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مستند تحریرالوسیله الاجتهاد و التقلید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1526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71528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71530_3650668749">
            <w:r>
              <w:rPr>
                <w:webHidden/>
                <w:rStyle w:val="IndexLink"/>
                <w:rtl w:val="true"/>
              </w:rPr>
              <w:t>مقدّمة الناشر</w:t>
            </w:r>
            <w:r>
              <w:rPr>
                <w:rStyle w:val="IndexLink"/>
                <w:rtl w:val="true"/>
              </w:rPr>
              <w:tab/>
            </w:r>
            <w:r>
              <w:rPr>
                <w:rStyle w:val="IndexLink"/>
              </w:rPr>
              <w:t>7</w:t>
            </w:r>
          </w:hyperlink>
        </w:p>
        <w:p>
          <w:pPr>
            <w:pStyle w:val="Contents2"/>
            <w:tabs>
              <w:tab w:val="clear" w:pos="8743"/>
              <w:tab w:val="right" w:pos="9026" w:leader="dot"/>
            </w:tabs>
            <w:rPr/>
          </w:pPr>
          <w:hyperlink w:anchor="__RefHeading___Toc2371532_3650668749">
            <w:r>
              <w:rPr>
                <w:webHidden/>
                <w:rStyle w:val="IndexLink"/>
                <w:rtl w:val="true"/>
              </w:rPr>
              <w:t>مقدّمة التحقيق‌</w:t>
            </w:r>
            <w:r>
              <w:rPr>
                <w:rStyle w:val="IndexLink"/>
                <w:rtl w:val="true"/>
              </w:rPr>
              <w:tab/>
            </w:r>
            <w:r>
              <w:rPr>
                <w:rStyle w:val="IndexLink"/>
              </w:rPr>
              <w:t>11</w:t>
            </w:r>
          </w:hyperlink>
        </w:p>
        <w:p>
          <w:pPr>
            <w:pStyle w:val="Contents2"/>
            <w:tabs>
              <w:tab w:val="clear" w:pos="8743"/>
              <w:tab w:val="right" w:pos="9026" w:leader="dot"/>
            </w:tabs>
            <w:rPr/>
          </w:pPr>
          <w:hyperlink w:anchor="__RefHeading___Toc2371534_3650668749">
            <w:r>
              <w:rPr>
                <w:webHidden/>
                <w:rStyle w:val="IndexLink"/>
                <w:rtl w:val="true"/>
              </w:rPr>
              <w:t>مسيرة البحث عن الاجتهاد والتقليد</w:t>
            </w:r>
            <w:r>
              <w:rPr>
                <w:rStyle w:val="IndexLink"/>
                <w:rtl w:val="true"/>
              </w:rPr>
              <w:tab/>
            </w:r>
            <w:r>
              <w:rPr>
                <w:rStyle w:val="IndexLink"/>
              </w:rPr>
              <w:t>11</w:t>
            </w:r>
          </w:hyperlink>
        </w:p>
        <w:p>
          <w:pPr>
            <w:pStyle w:val="Contents3"/>
            <w:tabs>
              <w:tab w:val="clear" w:pos="8459"/>
              <w:tab w:val="right" w:pos="9026" w:leader="dot"/>
            </w:tabs>
            <w:rPr/>
          </w:pPr>
          <w:hyperlink w:anchor="__RefHeading___Toc2371536_365066874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371538_3650668749">
            <w:r>
              <w:rPr>
                <w:webHidden/>
                <w:rStyle w:val="IndexLink"/>
                <w:rtl w:val="true"/>
              </w:rPr>
              <w:t>المرحلة الاولى</w:t>
            </w:r>
            <w:r>
              <w:rPr>
                <w:rStyle w:val="IndexLink"/>
                <w:rtl w:val="true"/>
              </w:rPr>
              <w:t xml:space="preserve">: </w:t>
            </w:r>
            <w:r>
              <w:rPr>
                <w:rStyle w:val="IndexLink"/>
                <w:rtl w:val="true"/>
              </w:rPr>
              <w:t>بروز الاجتهاد والتقليد علمياً</w:t>
            </w:r>
            <w:r>
              <w:rPr>
                <w:rStyle w:val="IndexLink"/>
                <w:rtl w:val="true"/>
              </w:rPr>
              <w:tab/>
            </w:r>
            <w:r>
              <w:rPr>
                <w:rStyle w:val="IndexLink"/>
              </w:rPr>
              <w:t>12</w:t>
            </w:r>
          </w:hyperlink>
        </w:p>
        <w:p>
          <w:pPr>
            <w:pStyle w:val="Contents3"/>
            <w:tabs>
              <w:tab w:val="clear" w:pos="8459"/>
              <w:tab w:val="right" w:pos="9026" w:leader="dot"/>
            </w:tabs>
            <w:rPr/>
          </w:pPr>
          <w:hyperlink w:anchor="__RefHeading___Toc2371540_3650668749">
            <w:r>
              <w:rPr>
                <w:webHidden/>
                <w:rStyle w:val="IndexLink"/>
                <w:rtl w:val="true"/>
              </w:rPr>
              <w:t>المرحلة الثانية</w:t>
            </w:r>
            <w:r>
              <w:rPr>
                <w:rStyle w:val="IndexLink"/>
                <w:rtl w:val="true"/>
              </w:rPr>
              <w:t xml:space="preserve">: </w:t>
            </w:r>
            <w:r>
              <w:rPr>
                <w:rStyle w:val="IndexLink"/>
                <w:rtl w:val="true"/>
              </w:rPr>
              <w:t>انعقاد البحث عن الاجتهاد والتقليد في كتب الاصول‌</w:t>
            </w:r>
            <w:r>
              <w:rPr>
                <w:rStyle w:val="IndexLink"/>
                <w:rtl w:val="true"/>
              </w:rPr>
              <w:tab/>
            </w:r>
            <w:r>
              <w:rPr>
                <w:rStyle w:val="IndexLink"/>
              </w:rPr>
              <w:t>15</w:t>
            </w:r>
          </w:hyperlink>
        </w:p>
        <w:p>
          <w:pPr>
            <w:pStyle w:val="Contents3"/>
            <w:tabs>
              <w:tab w:val="clear" w:pos="8459"/>
              <w:tab w:val="right" w:pos="9026" w:leader="dot"/>
            </w:tabs>
            <w:rPr/>
          </w:pPr>
          <w:hyperlink w:anchor="__RefHeading___Toc2371542_3650668749">
            <w:r>
              <w:rPr>
                <w:webHidden/>
                <w:rStyle w:val="IndexLink"/>
                <w:rtl w:val="true"/>
              </w:rPr>
              <w:t>المرحلة الثالثة</w:t>
            </w:r>
            <w:r>
              <w:rPr>
                <w:rStyle w:val="IndexLink"/>
                <w:rtl w:val="true"/>
              </w:rPr>
              <w:t xml:space="preserve">: </w:t>
            </w:r>
            <w:r>
              <w:rPr>
                <w:rStyle w:val="IndexLink"/>
                <w:rtl w:val="true"/>
              </w:rPr>
              <w:t>تطوّر مصطلح الاجتهاد عند الإمامية</w:t>
            </w:r>
            <w:r>
              <w:rPr>
                <w:rStyle w:val="IndexLink"/>
                <w:rtl w:val="true"/>
              </w:rPr>
              <w:tab/>
            </w:r>
            <w:r>
              <w:rPr>
                <w:rStyle w:val="IndexLink"/>
              </w:rPr>
              <w:t>19</w:t>
            </w:r>
          </w:hyperlink>
        </w:p>
        <w:p>
          <w:pPr>
            <w:pStyle w:val="Contents3"/>
            <w:tabs>
              <w:tab w:val="clear" w:pos="8459"/>
              <w:tab w:val="right" w:pos="9026" w:leader="dot"/>
            </w:tabs>
            <w:rPr/>
          </w:pPr>
          <w:hyperlink w:anchor="__RefHeading___Toc2371544_3650668749">
            <w:r>
              <w:rPr>
                <w:webHidden/>
                <w:rStyle w:val="IndexLink"/>
                <w:rtl w:val="true"/>
              </w:rPr>
              <w:t>المرحلة الرابعة</w:t>
            </w:r>
            <w:r>
              <w:rPr>
                <w:rStyle w:val="IndexLink"/>
                <w:rtl w:val="true"/>
              </w:rPr>
              <w:t xml:space="preserve">: </w:t>
            </w:r>
            <w:r>
              <w:rPr>
                <w:rStyle w:val="IndexLink"/>
                <w:rtl w:val="true"/>
              </w:rPr>
              <w:t>دور المتأخّرين في تطوّر مباحث الاجتهاد والتقليد</w:t>
            </w:r>
            <w:r>
              <w:rPr>
                <w:rStyle w:val="IndexLink"/>
                <w:rtl w:val="true"/>
              </w:rPr>
              <w:tab/>
            </w:r>
            <w:r>
              <w:rPr>
                <w:rStyle w:val="IndexLink"/>
              </w:rPr>
              <w:t>22</w:t>
            </w:r>
          </w:hyperlink>
        </w:p>
        <w:p>
          <w:pPr>
            <w:pStyle w:val="Contents3"/>
            <w:tabs>
              <w:tab w:val="clear" w:pos="8459"/>
              <w:tab w:val="right" w:pos="9026" w:leader="dot"/>
            </w:tabs>
            <w:rPr/>
          </w:pPr>
          <w:hyperlink w:anchor="__RefHeading___Toc2371546_3650668749">
            <w:r>
              <w:rPr>
                <w:webHidden/>
                <w:rStyle w:val="IndexLink"/>
                <w:rtl w:val="true"/>
              </w:rPr>
              <w:t>المرحلة الخامسة</w:t>
            </w:r>
            <w:r>
              <w:rPr>
                <w:rStyle w:val="IndexLink"/>
                <w:rtl w:val="true"/>
              </w:rPr>
              <w:t xml:space="preserve">: </w:t>
            </w:r>
            <w:r>
              <w:rPr>
                <w:rStyle w:val="IndexLink"/>
                <w:rtl w:val="true"/>
              </w:rPr>
              <w:t>ظهور الحركة الأخبارية في القرنين الحادي والثاني عشر</w:t>
            </w:r>
            <w:r>
              <w:rPr>
                <w:rStyle w:val="IndexLink"/>
                <w:rtl w:val="true"/>
              </w:rPr>
              <w:tab/>
            </w:r>
            <w:r>
              <w:rPr>
                <w:rStyle w:val="IndexLink"/>
              </w:rPr>
              <w:t>26</w:t>
            </w:r>
          </w:hyperlink>
        </w:p>
        <w:p>
          <w:pPr>
            <w:pStyle w:val="Contents3"/>
            <w:tabs>
              <w:tab w:val="clear" w:pos="8459"/>
              <w:tab w:val="right" w:pos="9026" w:leader="dot"/>
            </w:tabs>
            <w:rPr/>
          </w:pPr>
          <w:hyperlink w:anchor="__RefHeading___Toc2371548_3650668749">
            <w:r>
              <w:rPr>
                <w:webHidden/>
                <w:rStyle w:val="IndexLink"/>
                <w:rtl w:val="true"/>
              </w:rPr>
              <w:t>المرحلة السادسة</w:t>
            </w:r>
            <w:r>
              <w:rPr>
                <w:rStyle w:val="IndexLink"/>
                <w:rtl w:val="true"/>
              </w:rPr>
              <w:t xml:space="preserve">: </w:t>
            </w:r>
            <w:r>
              <w:rPr>
                <w:rStyle w:val="IndexLink"/>
                <w:rtl w:val="true"/>
              </w:rPr>
              <w:t>عصر افول الحركة الأخبارية</w:t>
            </w:r>
            <w:r>
              <w:rPr>
                <w:rStyle w:val="IndexLink"/>
                <w:rtl w:val="true"/>
              </w:rPr>
              <w:tab/>
            </w:r>
            <w:r>
              <w:rPr>
                <w:rStyle w:val="IndexLink"/>
              </w:rPr>
              <w:t>34</w:t>
            </w:r>
          </w:hyperlink>
        </w:p>
        <w:p>
          <w:pPr>
            <w:pStyle w:val="Contents3"/>
            <w:tabs>
              <w:tab w:val="clear" w:pos="8459"/>
              <w:tab w:val="right" w:pos="9026" w:leader="dot"/>
            </w:tabs>
            <w:rPr/>
          </w:pPr>
          <w:hyperlink w:anchor="__RefHeading___Toc2371550_3650668749">
            <w:r>
              <w:rPr>
                <w:webHidden/>
                <w:rStyle w:val="IndexLink"/>
                <w:rtl w:val="true"/>
              </w:rPr>
              <w:t>المرحلة السابعة</w:t>
            </w:r>
            <w:r>
              <w:rPr>
                <w:rStyle w:val="IndexLink"/>
                <w:rtl w:val="true"/>
              </w:rPr>
              <w:t xml:space="preserve">: </w:t>
            </w:r>
            <w:r>
              <w:rPr>
                <w:rStyle w:val="IndexLink"/>
                <w:rtl w:val="true"/>
              </w:rPr>
              <w:t>الاجتهاد والتقليد في القرن الرابع عشر</w:t>
            </w:r>
            <w:r>
              <w:rPr>
                <w:rStyle w:val="IndexLink"/>
                <w:rtl w:val="true"/>
              </w:rPr>
              <w:tab/>
            </w:r>
            <w:r>
              <w:rPr>
                <w:rStyle w:val="IndexLink"/>
              </w:rPr>
              <w:t>44</w:t>
            </w:r>
          </w:hyperlink>
        </w:p>
        <w:p>
          <w:pPr>
            <w:pStyle w:val="Contents3"/>
            <w:tabs>
              <w:tab w:val="clear" w:pos="8459"/>
              <w:tab w:val="right" w:pos="9026" w:leader="dot"/>
            </w:tabs>
            <w:rPr/>
          </w:pPr>
          <w:hyperlink w:anchor="__RefHeading___Toc2371552_3650668749">
            <w:r>
              <w:rPr>
                <w:webHidden/>
                <w:rStyle w:val="IndexLink"/>
                <w:rtl w:val="true"/>
              </w:rPr>
              <w:t>المرحلة الثامنة</w:t>
            </w:r>
            <w:r>
              <w:rPr>
                <w:rStyle w:val="IndexLink"/>
                <w:rtl w:val="true"/>
              </w:rPr>
              <w:t xml:space="preserve">: </w:t>
            </w:r>
            <w:r>
              <w:rPr>
                <w:rStyle w:val="IndexLink"/>
                <w:rtl w:val="true"/>
              </w:rPr>
              <w:t>الاجتهاد والتقليد في العصر الحاضر</w:t>
            </w:r>
            <w:r>
              <w:rPr>
                <w:rStyle w:val="IndexLink"/>
                <w:rtl w:val="true"/>
              </w:rPr>
              <w:tab/>
            </w:r>
            <w:r>
              <w:rPr>
                <w:rStyle w:val="IndexLink"/>
              </w:rPr>
              <w:t>52</w:t>
            </w:r>
          </w:hyperlink>
        </w:p>
        <w:p>
          <w:pPr>
            <w:pStyle w:val="Contents2"/>
            <w:tabs>
              <w:tab w:val="clear" w:pos="8743"/>
              <w:tab w:val="right" w:pos="9026" w:leader="dot"/>
            </w:tabs>
            <w:rPr/>
          </w:pPr>
          <w:hyperlink w:anchor="__RefHeading___Toc2371554_3650668749">
            <w:r>
              <w:rPr>
                <w:webHidden/>
                <w:rStyle w:val="IndexLink"/>
                <w:rtl w:val="true"/>
              </w:rPr>
              <w:t>المقدّمة</w:t>
            </w:r>
            <w:r>
              <w:rPr>
                <w:rStyle w:val="IndexLink"/>
                <w:rtl w:val="true"/>
              </w:rPr>
              <w:t xml:space="preserve">: </w:t>
            </w:r>
            <w:r>
              <w:rPr>
                <w:rStyle w:val="IndexLink"/>
                <w:rtl w:val="true"/>
              </w:rPr>
              <w:t>الاجتهاد والتقليد</w:t>
            </w:r>
            <w:r>
              <w:rPr>
                <w:rStyle w:val="IndexLink"/>
                <w:rtl w:val="true"/>
              </w:rPr>
              <w:tab/>
            </w:r>
            <w:r>
              <w:rPr>
                <w:rStyle w:val="IndexLink"/>
              </w:rPr>
              <w:t>55</w:t>
            </w:r>
          </w:hyperlink>
        </w:p>
        <w:p>
          <w:pPr>
            <w:pStyle w:val="Contents3"/>
            <w:tabs>
              <w:tab w:val="clear" w:pos="8459"/>
              <w:tab w:val="right" w:pos="9026" w:leader="dot"/>
            </w:tabs>
            <w:rPr/>
          </w:pPr>
          <w:hyperlink w:anchor="__RefHeading___Toc2371556_3650668749">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371558_3650668749">
            <w:r>
              <w:rPr>
                <w:webHidden/>
                <w:rStyle w:val="IndexLink"/>
                <w:rtl w:val="true"/>
              </w:rPr>
              <w:t>وجوب الاجتهاد أو الاحتياط أو التقليد</w:t>
            </w:r>
            <w:r>
              <w:rPr>
                <w:rStyle w:val="IndexLink"/>
                <w:rtl w:val="true"/>
              </w:rPr>
              <w:tab/>
            </w:r>
            <w:r>
              <w:rPr>
                <w:rStyle w:val="IndexLink"/>
              </w:rPr>
              <w:t>56</w:t>
            </w:r>
          </w:hyperlink>
        </w:p>
        <w:p>
          <w:pPr>
            <w:pStyle w:val="Contents4"/>
            <w:tabs>
              <w:tab w:val="clear" w:pos="8176"/>
              <w:tab w:val="right" w:pos="9026" w:leader="dot"/>
            </w:tabs>
            <w:rPr/>
          </w:pPr>
          <w:hyperlink w:anchor="__RefHeading___Toc2371560_365066874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2371562_3650668749">
            <w:r>
              <w:rPr>
                <w:webHidden/>
                <w:rStyle w:val="IndexLink"/>
                <w:rtl w:val="true"/>
              </w:rPr>
              <w:t>الاحتمال الأوّل</w:t>
            </w:r>
            <w:r>
              <w:rPr>
                <w:rStyle w:val="IndexLink"/>
                <w:rtl w:val="true"/>
              </w:rPr>
              <w:t xml:space="preserve">: </w:t>
            </w:r>
            <w:r>
              <w:rPr>
                <w:rStyle w:val="IndexLink"/>
                <w:rtl w:val="true"/>
              </w:rPr>
              <w:t>الوجوب العقلي‌</w:t>
            </w:r>
            <w:r>
              <w:rPr>
                <w:rStyle w:val="IndexLink"/>
                <w:rtl w:val="true"/>
              </w:rPr>
              <w:tab/>
            </w:r>
            <w:r>
              <w:rPr>
                <w:rStyle w:val="IndexLink"/>
              </w:rPr>
              <w:t>56</w:t>
            </w:r>
          </w:hyperlink>
        </w:p>
        <w:p>
          <w:pPr>
            <w:pStyle w:val="Contents4"/>
            <w:tabs>
              <w:tab w:val="clear" w:pos="8176"/>
              <w:tab w:val="right" w:pos="9026" w:leader="dot"/>
            </w:tabs>
            <w:rPr/>
          </w:pPr>
          <w:hyperlink w:anchor="__RefHeading___Toc2371564_3650668749">
            <w:r>
              <w:rPr>
                <w:webHidden/>
                <w:rStyle w:val="IndexLink"/>
                <w:rtl w:val="true"/>
              </w:rPr>
              <w:t>الاحتمال الثاني</w:t>
            </w:r>
            <w:r>
              <w:rPr>
                <w:rStyle w:val="IndexLink"/>
                <w:rtl w:val="true"/>
              </w:rPr>
              <w:t xml:space="preserve">: </w:t>
            </w:r>
            <w:r>
              <w:rPr>
                <w:rStyle w:val="IndexLink"/>
                <w:rtl w:val="true"/>
              </w:rPr>
              <w:t>الوجوب الفطري‌</w:t>
            </w:r>
            <w:r>
              <w:rPr>
                <w:rStyle w:val="IndexLink"/>
                <w:rtl w:val="true"/>
              </w:rPr>
              <w:tab/>
            </w:r>
            <w:r>
              <w:rPr>
                <w:rStyle w:val="IndexLink"/>
              </w:rPr>
              <w:t>58</w:t>
            </w:r>
          </w:hyperlink>
        </w:p>
        <w:p>
          <w:pPr>
            <w:pStyle w:val="Contents4"/>
            <w:tabs>
              <w:tab w:val="clear" w:pos="8176"/>
              <w:tab w:val="right" w:pos="9026" w:leader="dot"/>
            </w:tabs>
            <w:rPr/>
          </w:pPr>
          <w:hyperlink w:anchor="__RefHeading___Toc2371566_3650668749">
            <w:r>
              <w:rPr>
                <w:webHidden/>
                <w:rStyle w:val="IndexLink"/>
                <w:rtl w:val="true"/>
              </w:rPr>
              <w:t>الاحتمال الثالث</w:t>
            </w:r>
            <w:r>
              <w:rPr>
                <w:rStyle w:val="IndexLink"/>
                <w:rtl w:val="true"/>
              </w:rPr>
              <w:t xml:space="preserve">: </w:t>
            </w:r>
            <w:r>
              <w:rPr>
                <w:rStyle w:val="IndexLink"/>
                <w:rtl w:val="true"/>
              </w:rPr>
              <w:t>الوجوب الشرعي‌</w:t>
            </w:r>
            <w:r>
              <w:rPr>
                <w:rStyle w:val="IndexLink"/>
                <w:rtl w:val="true"/>
              </w:rPr>
              <w:tab/>
            </w:r>
            <w:r>
              <w:rPr>
                <w:rStyle w:val="IndexLink"/>
              </w:rPr>
              <w:t>59</w:t>
            </w:r>
          </w:hyperlink>
        </w:p>
        <w:p>
          <w:pPr>
            <w:pStyle w:val="Contents5"/>
            <w:tabs>
              <w:tab w:val="clear" w:pos="7892"/>
              <w:tab w:val="right" w:pos="9026" w:leader="dot"/>
            </w:tabs>
            <w:rPr/>
          </w:pPr>
          <w:hyperlink w:anchor="__RefHeading___Toc2371568_3650668749">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2371570_3650668749">
            <w:r>
              <w:rPr>
                <w:webHidden/>
                <w:rStyle w:val="IndexLink"/>
                <w:rtl w:val="true"/>
              </w:rPr>
              <w:t>الأوّل</w:t>
            </w:r>
            <w:r>
              <w:rPr>
                <w:rStyle w:val="IndexLink"/>
                <w:rtl w:val="true"/>
              </w:rPr>
              <w:t xml:space="preserve">: </w:t>
            </w:r>
            <w:r>
              <w:rPr>
                <w:rStyle w:val="IndexLink"/>
                <w:rtl w:val="true"/>
              </w:rPr>
              <w:t>أنّه وجوب مقدّمي غيري‌</w:t>
            </w:r>
            <w:r>
              <w:rPr>
                <w:rStyle w:val="IndexLink"/>
                <w:rtl w:val="true"/>
              </w:rPr>
              <w:tab/>
            </w:r>
            <w:r>
              <w:rPr>
                <w:rStyle w:val="IndexLink"/>
              </w:rPr>
              <w:t>59</w:t>
            </w:r>
          </w:hyperlink>
        </w:p>
        <w:p>
          <w:pPr>
            <w:pStyle w:val="Contents5"/>
            <w:tabs>
              <w:tab w:val="clear" w:pos="7892"/>
              <w:tab w:val="right" w:pos="9026" w:leader="dot"/>
            </w:tabs>
            <w:rPr/>
          </w:pPr>
          <w:hyperlink w:anchor="__RefHeading___Toc2371572_3650668749">
            <w:r>
              <w:rPr>
                <w:webHidden/>
                <w:rStyle w:val="IndexLink"/>
                <w:rtl w:val="true"/>
              </w:rPr>
              <w:t>الثاني</w:t>
            </w:r>
            <w:r>
              <w:rPr>
                <w:rStyle w:val="IndexLink"/>
                <w:rtl w:val="true"/>
              </w:rPr>
              <w:t xml:space="preserve">: </w:t>
            </w:r>
            <w:r>
              <w:rPr>
                <w:rStyle w:val="IndexLink"/>
                <w:rtl w:val="true"/>
              </w:rPr>
              <w:t>أنّ هذا الوجوب وجوب شرعي طريقي‌</w:t>
            </w:r>
            <w:r>
              <w:rPr>
                <w:rStyle w:val="IndexLink"/>
                <w:rtl w:val="true"/>
              </w:rPr>
              <w:tab/>
            </w:r>
            <w:r>
              <w:rPr>
                <w:rStyle w:val="IndexLink"/>
              </w:rPr>
              <w:t>61</w:t>
            </w:r>
          </w:hyperlink>
        </w:p>
        <w:p>
          <w:pPr>
            <w:pStyle w:val="Contents5"/>
            <w:tabs>
              <w:tab w:val="clear" w:pos="7892"/>
              <w:tab w:val="right" w:pos="9026" w:leader="dot"/>
            </w:tabs>
            <w:rPr/>
          </w:pPr>
          <w:hyperlink w:anchor="__RefHeading___Toc2371574_3650668749">
            <w:r>
              <w:rPr>
                <w:webHidden/>
                <w:rStyle w:val="IndexLink"/>
                <w:rtl w:val="true"/>
              </w:rPr>
              <w:t>الثالث</w:t>
            </w:r>
            <w:r>
              <w:rPr>
                <w:rStyle w:val="IndexLink"/>
                <w:rtl w:val="true"/>
              </w:rPr>
              <w:t xml:space="preserve">: </w:t>
            </w:r>
            <w:r>
              <w:rPr>
                <w:rStyle w:val="IndexLink"/>
                <w:rtl w:val="true"/>
              </w:rPr>
              <w:t>أنّ هذا الوجوب وجوب نفسي‌</w:t>
            </w:r>
            <w:r>
              <w:rPr>
                <w:rStyle w:val="IndexLink"/>
                <w:rtl w:val="true"/>
              </w:rPr>
              <w:tab/>
            </w:r>
            <w:r>
              <w:rPr>
                <w:rStyle w:val="IndexLink"/>
              </w:rPr>
              <w:t>71</w:t>
            </w:r>
          </w:hyperlink>
        </w:p>
        <w:p>
          <w:pPr>
            <w:pStyle w:val="Contents4"/>
            <w:tabs>
              <w:tab w:val="clear" w:pos="8176"/>
              <w:tab w:val="right" w:pos="9026" w:leader="dot"/>
            </w:tabs>
            <w:rPr/>
          </w:pPr>
          <w:hyperlink w:anchor="__RefHeading___Toc2371576_3650668749">
            <w:r>
              <w:rPr>
                <w:webHidden/>
                <w:rStyle w:val="IndexLink"/>
                <w:rtl w:val="true"/>
              </w:rPr>
              <w:t>هل الامور الثلاثة في عرض واحد أم بينها ترتّب طولي؟</w:t>
            </w:r>
            <w:r>
              <w:rPr>
                <w:rStyle w:val="IndexLink"/>
                <w:rtl w:val="true"/>
              </w:rPr>
              <w:tab/>
            </w:r>
            <w:r>
              <w:rPr>
                <w:rStyle w:val="IndexLink"/>
              </w:rPr>
              <w:t>75</w:t>
            </w:r>
          </w:hyperlink>
        </w:p>
        <w:p>
          <w:pPr>
            <w:pStyle w:val="Contents4"/>
            <w:tabs>
              <w:tab w:val="clear" w:pos="8176"/>
              <w:tab w:val="right" w:pos="9026" w:leader="dot"/>
            </w:tabs>
            <w:rPr/>
          </w:pPr>
          <w:hyperlink w:anchor="__RefHeading___Toc2371578_3650668749">
            <w:r>
              <w:rPr>
                <w:webHidden/>
                <w:rStyle w:val="IndexLink"/>
                <w:rtl w:val="true"/>
              </w:rPr>
              <w:t>أدلّة مشروعية التقليد</w:t>
            </w:r>
            <w:r>
              <w:rPr>
                <w:rStyle w:val="IndexLink"/>
                <w:rtl w:val="true"/>
              </w:rPr>
              <w:tab/>
            </w:r>
            <w:r>
              <w:rPr>
                <w:rStyle w:val="IndexLink"/>
              </w:rPr>
              <w:t>90</w:t>
            </w:r>
          </w:hyperlink>
        </w:p>
        <w:p>
          <w:pPr>
            <w:pStyle w:val="Contents3"/>
            <w:tabs>
              <w:tab w:val="clear" w:pos="8459"/>
              <w:tab w:val="right" w:pos="9026" w:leader="dot"/>
            </w:tabs>
            <w:rPr/>
          </w:pPr>
          <w:hyperlink w:anchor="__RefHeading___Toc2371580_3650668749">
            <w:r>
              <w:rPr>
                <w:webHidden/>
                <w:rStyle w:val="IndexLink"/>
                <w:rtl w:val="true"/>
              </w:rPr>
              <w:t>مباحث الاحتياط</w:t>
            </w:r>
            <w:r>
              <w:rPr>
                <w:rStyle w:val="IndexLink"/>
                <w:rtl w:val="true"/>
              </w:rPr>
              <w:tab/>
            </w:r>
            <w:r>
              <w:rPr>
                <w:rStyle w:val="IndexLink"/>
              </w:rPr>
              <w:t>108</w:t>
            </w:r>
          </w:hyperlink>
        </w:p>
        <w:p>
          <w:pPr>
            <w:pStyle w:val="Contents4"/>
            <w:tabs>
              <w:tab w:val="clear" w:pos="8176"/>
              <w:tab w:val="right" w:pos="9026" w:leader="dot"/>
            </w:tabs>
            <w:rPr/>
          </w:pPr>
          <w:hyperlink w:anchor="__RefHeading___Toc2371582_3650668749">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2371584_3650668749">
            <w:r>
              <w:rPr>
                <w:webHidden/>
                <w:rStyle w:val="IndexLink"/>
                <w:rtl w:val="true"/>
              </w:rPr>
              <w:t>حكم الاحتياط المستلزم للتكرار</w:t>
            </w:r>
            <w:r>
              <w:rPr>
                <w:rStyle w:val="IndexLink"/>
                <w:rtl w:val="true"/>
              </w:rPr>
              <w:tab/>
            </w:r>
            <w:r>
              <w:rPr>
                <w:rStyle w:val="IndexLink"/>
              </w:rPr>
              <w:t>112</w:t>
            </w:r>
          </w:hyperlink>
        </w:p>
        <w:p>
          <w:pPr>
            <w:pStyle w:val="Contents3"/>
            <w:tabs>
              <w:tab w:val="clear" w:pos="8459"/>
              <w:tab w:val="right" w:pos="9026" w:leader="dot"/>
            </w:tabs>
            <w:rPr/>
          </w:pPr>
          <w:hyperlink w:anchor="__RefHeading___Toc2371586_3650668749">
            <w:r>
              <w:rPr>
                <w:webHidden/>
                <w:rStyle w:val="IndexLink"/>
                <w:rtl w:val="true"/>
              </w:rPr>
              <w:t>ماهية التقليد</w:t>
            </w:r>
            <w:r>
              <w:rPr>
                <w:rStyle w:val="IndexLink"/>
                <w:rtl w:val="true"/>
              </w:rPr>
              <w:tab/>
            </w:r>
            <w:r>
              <w:rPr>
                <w:rStyle w:val="IndexLink"/>
              </w:rPr>
              <w:t>115</w:t>
            </w:r>
          </w:hyperlink>
        </w:p>
        <w:p>
          <w:pPr>
            <w:pStyle w:val="Contents4"/>
            <w:tabs>
              <w:tab w:val="clear" w:pos="8176"/>
              <w:tab w:val="right" w:pos="9026" w:leader="dot"/>
            </w:tabs>
            <w:rPr/>
          </w:pPr>
          <w:hyperlink w:anchor="__RefHeading___Toc2371588_3650668749">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2371590_3650668749">
            <w:r>
              <w:rPr>
                <w:webHidden/>
                <w:rStyle w:val="IndexLink"/>
                <w:rtl w:val="true"/>
              </w:rPr>
              <w:t>مناط صحّة عمل العامّي‌</w:t>
            </w:r>
            <w:r>
              <w:rPr>
                <w:rStyle w:val="IndexLink"/>
                <w:rtl w:val="true"/>
              </w:rPr>
              <w:tab/>
            </w:r>
            <w:r>
              <w:rPr>
                <w:rStyle w:val="IndexLink"/>
              </w:rPr>
              <w:t>127</w:t>
            </w:r>
          </w:hyperlink>
        </w:p>
        <w:p>
          <w:pPr>
            <w:pStyle w:val="Contents3"/>
            <w:tabs>
              <w:tab w:val="clear" w:pos="8459"/>
              <w:tab w:val="right" w:pos="9026" w:leader="dot"/>
            </w:tabs>
            <w:rPr/>
          </w:pPr>
          <w:hyperlink w:anchor="__RefHeading___Toc2371592_3650668749">
            <w:r>
              <w:rPr>
                <w:webHidden/>
                <w:rStyle w:val="IndexLink"/>
                <w:rtl w:val="true"/>
              </w:rPr>
              <w:t>شرائط مرجع التقليد</w:t>
            </w:r>
            <w:r>
              <w:rPr>
                <w:rStyle w:val="IndexLink"/>
                <w:rtl w:val="true"/>
              </w:rPr>
              <w:tab/>
            </w:r>
            <w:r>
              <w:rPr>
                <w:rStyle w:val="IndexLink"/>
              </w:rPr>
              <w:t>129</w:t>
            </w:r>
          </w:hyperlink>
        </w:p>
        <w:p>
          <w:pPr>
            <w:pStyle w:val="Contents4"/>
            <w:tabs>
              <w:tab w:val="clear" w:pos="8176"/>
              <w:tab w:val="right" w:pos="9026" w:leader="dot"/>
            </w:tabs>
            <w:rPr/>
          </w:pPr>
          <w:hyperlink w:anchor="__RefHeading___Toc2371594_3650668749">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2371596_3650668749">
            <w:r>
              <w:rPr>
                <w:webHidden/>
                <w:rStyle w:val="IndexLink"/>
                <w:rtl w:val="true"/>
              </w:rPr>
              <w:t>شرطية الاجتهاد</w:t>
            </w:r>
            <w:r>
              <w:rPr>
                <w:rStyle w:val="IndexLink"/>
                <w:rtl w:val="true"/>
              </w:rPr>
              <w:tab/>
            </w:r>
            <w:r>
              <w:rPr>
                <w:rStyle w:val="IndexLink"/>
              </w:rPr>
              <w:t>130</w:t>
            </w:r>
          </w:hyperlink>
        </w:p>
        <w:p>
          <w:pPr>
            <w:pStyle w:val="Contents4"/>
            <w:tabs>
              <w:tab w:val="clear" w:pos="8176"/>
              <w:tab w:val="right" w:pos="9026" w:leader="dot"/>
            </w:tabs>
            <w:rPr/>
          </w:pPr>
          <w:hyperlink w:anchor="__RefHeading___Toc2371598_3650668749">
            <w:r>
              <w:rPr>
                <w:webHidden/>
                <w:rStyle w:val="IndexLink"/>
                <w:rtl w:val="true"/>
              </w:rPr>
              <w:t>شرطية العدالة</w:t>
            </w:r>
            <w:r>
              <w:rPr>
                <w:rStyle w:val="IndexLink"/>
                <w:rtl w:val="true"/>
              </w:rPr>
              <w:tab/>
            </w:r>
            <w:r>
              <w:rPr>
                <w:rStyle w:val="IndexLink"/>
              </w:rPr>
              <w:t>134</w:t>
            </w:r>
          </w:hyperlink>
        </w:p>
        <w:p>
          <w:pPr>
            <w:pStyle w:val="Contents4"/>
            <w:tabs>
              <w:tab w:val="clear" w:pos="8176"/>
              <w:tab w:val="right" w:pos="9026" w:leader="dot"/>
            </w:tabs>
            <w:rPr/>
          </w:pPr>
          <w:hyperlink w:anchor="__RefHeading___Toc2371600_3650668749">
            <w:r>
              <w:rPr>
                <w:webHidden/>
                <w:rStyle w:val="IndexLink"/>
                <w:rtl w:val="true"/>
              </w:rPr>
              <w:t>أمّا شرطية الورع والزهد</w:t>
            </w:r>
            <w:r>
              <w:rPr>
                <w:rStyle w:val="IndexLink"/>
                <w:rtl w:val="true"/>
              </w:rPr>
              <w:tab/>
            </w:r>
            <w:r>
              <w:rPr>
                <w:rStyle w:val="IndexLink"/>
              </w:rPr>
              <w:t>138</w:t>
            </w:r>
          </w:hyperlink>
        </w:p>
        <w:p>
          <w:pPr>
            <w:pStyle w:val="Contents3"/>
            <w:tabs>
              <w:tab w:val="clear" w:pos="8459"/>
              <w:tab w:val="right" w:pos="9026" w:leader="dot"/>
            </w:tabs>
            <w:rPr/>
          </w:pPr>
          <w:hyperlink w:anchor="__RefHeading___Toc2371602_3650668749">
            <w:r>
              <w:rPr>
                <w:webHidden/>
                <w:rStyle w:val="IndexLink"/>
                <w:rtl w:val="true"/>
              </w:rPr>
              <w:t>العدول من مجتهد إلى آخر</w:t>
            </w:r>
            <w:r>
              <w:rPr>
                <w:rStyle w:val="IndexLink"/>
                <w:rtl w:val="true"/>
              </w:rPr>
              <w:tab/>
            </w:r>
            <w:r>
              <w:rPr>
                <w:rStyle w:val="IndexLink"/>
              </w:rPr>
              <w:t>144</w:t>
            </w:r>
          </w:hyperlink>
        </w:p>
        <w:p>
          <w:pPr>
            <w:pStyle w:val="Contents4"/>
            <w:tabs>
              <w:tab w:val="clear" w:pos="8176"/>
              <w:tab w:val="right" w:pos="9026" w:leader="dot"/>
            </w:tabs>
            <w:rPr/>
          </w:pPr>
          <w:hyperlink w:anchor="__RefHeading___Toc2371604_3650668749">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2371606_3650668749">
            <w:r>
              <w:rPr>
                <w:webHidden/>
                <w:rStyle w:val="IndexLink"/>
                <w:rtl w:val="true"/>
              </w:rPr>
              <w:t>أدلّة القائلين بجواز العدول‌</w:t>
            </w:r>
            <w:r>
              <w:rPr>
                <w:rStyle w:val="IndexLink"/>
                <w:rtl w:val="true"/>
              </w:rPr>
              <w:tab/>
            </w:r>
            <w:r>
              <w:rPr>
                <w:rStyle w:val="IndexLink"/>
              </w:rPr>
              <w:t>146</w:t>
            </w:r>
          </w:hyperlink>
        </w:p>
        <w:p>
          <w:pPr>
            <w:pStyle w:val="Contents5"/>
            <w:tabs>
              <w:tab w:val="clear" w:pos="7892"/>
              <w:tab w:val="right" w:pos="9026" w:leader="dot"/>
            </w:tabs>
            <w:rPr/>
          </w:pPr>
          <w:hyperlink w:anchor="__RefHeading___Toc2371608_3650668749">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2371610_3650668749">
            <w:r>
              <w:rPr>
                <w:webHidden/>
                <w:rStyle w:val="IndexLink"/>
                <w:rtl w:val="true"/>
              </w:rPr>
              <w:t>مختار الماتن قدس سره‌</w:t>
            </w:r>
            <w:r>
              <w:rPr>
                <w:rStyle w:val="IndexLink"/>
                <w:rtl w:val="true"/>
              </w:rPr>
              <w:tab/>
            </w:r>
            <w:r>
              <w:rPr>
                <w:rStyle w:val="IndexLink"/>
              </w:rPr>
              <w:t>156</w:t>
            </w:r>
          </w:hyperlink>
        </w:p>
        <w:p>
          <w:pPr>
            <w:pStyle w:val="Contents4"/>
            <w:tabs>
              <w:tab w:val="clear" w:pos="8176"/>
              <w:tab w:val="right" w:pos="9026" w:leader="dot"/>
            </w:tabs>
            <w:rPr/>
          </w:pPr>
          <w:hyperlink w:anchor="__RefHeading___Toc2371612_3650668749">
            <w:r>
              <w:rPr>
                <w:webHidden/>
                <w:rStyle w:val="IndexLink"/>
                <w:rtl w:val="true"/>
              </w:rPr>
              <w:t>حول العدول إلى الحيّ الأعلم‌</w:t>
            </w:r>
            <w:r>
              <w:rPr>
                <w:rStyle w:val="IndexLink"/>
                <w:rtl w:val="true"/>
              </w:rPr>
              <w:tab/>
            </w:r>
            <w:r>
              <w:rPr>
                <w:rStyle w:val="IndexLink"/>
              </w:rPr>
              <w:t>157</w:t>
            </w:r>
          </w:hyperlink>
        </w:p>
        <w:p>
          <w:pPr>
            <w:pStyle w:val="Contents3"/>
            <w:tabs>
              <w:tab w:val="clear" w:pos="8459"/>
              <w:tab w:val="right" w:pos="9026" w:leader="dot"/>
            </w:tabs>
            <w:rPr/>
          </w:pPr>
          <w:hyperlink w:anchor="__RefHeading___Toc2371614_3650668749">
            <w:r>
              <w:rPr>
                <w:webHidden/>
                <w:rStyle w:val="IndexLink"/>
                <w:rtl w:val="true"/>
              </w:rPr>
              <w:t>وجوب تقليد الأعلم‌</w:t>
            </w:r>
            <w:r>
              <w:rPr>
                <w:rStyle w:val="IndexLink"/>
                <w:rtl w:val="true"/>
              </w:rPr>
              <w:tab/>
            </w:r>
            <w:r>
              <w:rPr>
                <w:rStyle w:val="IndexLink"/>
              </w:rPr>
              <w:t>158</w:t>
            </w:r>
          </w:hyperlink>
        </w:p>
        <w:p>
          <w:pPr>
            <w:pStyle w:val="Contents4"/>
            <w:tabs>
              <w:tab w:val="clear" w:pos="8176"/>
              <w:tab w:val="right" w:pos="9026" w:leader="dot"/>
            </w:tabs>
            <w:rPr/>
          </w:pPr>
          <w:hyperlink w:anchor="__RefHeading___Toc2371616_365066874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371618_3650668749">
            <w:r>
              <w:rPr>
                <w:webHidden/>
                <w:rStyle w:val="IndexLink"/>
                <w:rtl w:val="true"/>
              </w:rPr>
              <w:t>الصورة الاولى</w:t>
            </w:r>
            <w:r>
              <w:rPr>
                <w:rStyle w:val="IndexLink"/>
                <w:rtl w:val="true"/>
              </w:rPr>
              <w:t xml:space="preserve">: </w:t>
            </w:r>
            <w:r>
              <w:rPr>
                <w:rStyle w:val="IndexLink"/>
                <w:rtl w:val="true"/>
              </w:rPr>
              <w:t>أدلّة وجوب الرجوع إلى الأعلم‌</w:t>
            </w:r>
            <w:r>
              <w:rPr>
                <w:rStyle w:val="IndexLink"/>
                <w:rtl w:val="true"/>
              </w:rPr>
              <w:tab/>
            </w:r>
            <w:r>
              <w:rPr>
                <w:rStyle w:val="IndexLink"/>
              </w:rPr>
              <w:t>170</w:t>
            </w:r>
          </w:hyperlink>
        </w:p>
        <w:p>
          <w:pPr>
            <w:pStyle w:val="Contents4"/>
            <w:tabs>
              <w:tab w:val="clear" w:pos="8176"/>
              <w:tab w:val="right" w:pos="9026" w:leader="dot"/>
            </w:tabs>
            <w:rPr/>
          </w:pPr>
          <w:hyperlink w:anchor="__RefHeading___Toc2371620_3650668749">
            <w:r>
              <w:rPr>
                <w:webHidden/>
                <w:rStyle w:val="IndexLink"/>
                <w:rtl w:val="true"/>
              </w:rPr>
              <w:t>الصورة الثانية</w:t>
            </w:r>
            <w:r>
              <w:rPr>
                <w:rStyle w:val="IndexLink"/>
                <w:rtl w:val="true"/>
              </w:rPr>
              <w:t xml:space="preserve">: </w:t>
            </w:r>
            <w:r>
              <w:rPr>
                <w:rStyle w:val="IndexLink"/>
                <w:rtl w:val="true"/>
              </w:rPr>
              <w:t>العلم بالمخالفة إجمالًا</w:t>
            </w:r>
            <w:r>
              <w:rPr>
                <w:rStyle w:val="IndexLink"/>
                <w:rtl w:val="true"/>
              </w:rPr>
              <w:tab/>
            </w:r>
            <w:r>
              <w:rPr>
                <w:rStyle w:val="IndexLink"/>
              </w:rPr>
              <w:t>183</w:t>
            </w:r>
          </w:hyperlink>
        </w:p>
        <w:p>
          <w:pPr>
            <w:pStyle w:val="Contents4"/>
            <w:tabs>
              <w:tab w:val="clear" w:pos="8176"/>
              <w:tab w:val="right" w:pos="9026" w:leader="dot"/>
            </w:tabs>
            <w:rPr/>
          </w:pPr>
          <w:hyperlink w:anchor="__RefHeading___Toc2371622_3650668749">
            <w:r>
              <w:rPr>
                <w:webHidden/>
                <w:rStyle w:val="IndexLink"/>
                <w:rtl w:val="true"/>
              </w:rPr>
              <w:t>أمّا أدلّة وجوب الرجوع إلى الأعلم‌</w:t>
            </w:r>
            <w:r>
              <w:rPr>
                <w:rStyle w:val="IndexLink"/>
                <w:rtl w:val="true"/>
              </w:rPr>
              <w:tab/>
            </w:r>
            <w:r>
              <w:rPr>
                <w:rStyle w:val="IndexLink"/>
              </w:rPr>
              <w:t>183</w:t>
            </w:r>
          </w:hyperlink>
        </w:p>
        <w:p>
          <w:pPr>
            <w:pStyle w:val="Contents5"/>
            <w:tabs>
              <w:tab w:val="clear" w:pos="7892"/>
              <w:tab w:val="right" w:pos="9026" w:leader="dot"/>
            </w:tabs>
            <w:rPr/>
          </w:pPr>
          <w:hyperlink w:anchor="__RefHeading___Toc2371624_3650668749">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2371626_3650668749">
            <w:r>
              <w:rPr>
                <w:webHidden/>
                <w:rStyle w:val="IndexLink"/>
                <w:rtl w:val="true"/>
              </w:rPr>
              <w:t>وأمّا أدلّة التخيير</w:t>
            </w:r>
            <w:r>
              <w:rPr>
                <w:rStyle w:val="IndexLink"/>
                <w:rtl w:val="true"/>
              </w:rPr>
              <w:tab/>
            </w:r>
            <w:r>
              <w:rPr>
                <w:rStyle w:val="IndexLink"/>
              </w:rPr>
              <w:t>184</w:t>
            </w:r>
          </w:hyperlink>
        </w:p>
        <w:p>
          <w:pPr>
            <w:pStyle w:val="Contents5"/>
            <w:tabs>
              <w:tab w:val="clear" w:pos="7892"/>
              <w:tab w:val="right" w:pos="9026" w:leader="dot"/>
            </w:tabs>
            <w:rPr/>
          </w:pPr>
          <w:hyperlink w:anchor="__RefHeading___Toc2371628_3650668749">
            <w:r>
              <w:rPr>
                <w:webHidden/>
                <w:rStyle w:val="IndexLink"/>
                <w:rtl w:val="true"/>
              </w:rPr>
              <w:t>الصورة الثالثة</w:t>
            </w:r>
            <w:r>
              <w:rPr>
                <w:rStyle w:val="IndexLink"/>
                <w:rtl w:val="true"/>
              </w:rPr>
              <w:t xml:space="preserve">: </w:t>
            </w:r>
            <w:r>
              <w:rPr>
                <w:rStyle w:val="IndexLink"/>
                <w:rtl w:val="true"/>
              </w:rPr>
              <w:t>ما إذا كان لا يعلم اختلاف الأعلم مع غيره‌</w:t>
            </w:r>
            <w:r>
              <w:rPr>
                <w:rStyle w:val="IndexLink"/>
                <w:rtl w:val="true"/>
              </w:rPr>
              <w:tab/>
            </w:r>
            <w:r>
              <w:rPr>
                <w:rStyle w:val="IndexLink"/>
              </w:rPr>
              <w:t>185</w:t>
            </w:r>
          </w:hyperlink>
        </w:p>
        <w:p>
          <w:pPr>
            <w:pStyle w:val="Contents4"/>
            <w:tabs>
              <w:tab w:val="clear" w:pos="8176"/>
              <w:tab w:val="right" w:pos="9026" w:leader="dot"/>
            </w:tabs>
            <w:rPr/>
          </w:pPr>
          <w:hyperlink w:anchor="__RefHeading___Toc2371630_3650668749">
            <w:r>
              <w:rPr>
                <w:webHidden/>
                <w:rStyle w:val="IndexLink"/>
                <w:rtl w:val="true"/>
              </w:rPr>
              <w:t>وجوب الفحص عن الأعلم‌</w:t>
            </w:r>
            <w:r>
              <w:rPr>
                <w:rStyle w:val="IndexLink"/>
                <w:rtl w:val="true"/>
              </w:rPr>
              <w:tab/>
            </w:r>
            <w:r>
              <w:rPr>
                <w:rStyle w:val="IndexLink"/>
              </w:rPr>
              <w:t>187</w:t>
            </w:r>
          </w:hyperlink>
        </w:p>
        <w:p>
          <w:pPr>
            <w:pStyle w:val="Contents4"/>
            <w:tabs>
              <w:tab w:val="clear" w:pos="8176"/>
              <w:tab w:val="right" w:pos="9026" w:leader="dot"/>
            </w:tabs>
            <w:rPr/>
          </w:pPr>
          <w:hyperlink w:anchor="__RefHeading___Toc2371632_3650668749">
            <w:r>
              <w:rPr>
                <w:webHidden/>
                <w:rStyle w:val="IndexLink"/>
                <w:rtl w:val="true"/>
              </w:rPr>
              <w:t>التخيير بين المتساويين‌</w:t>
            </w:r>
            <w:r>
              <w:rPr>
                <w:rStyle w:val="IndexLink"/>
                <w:rtl w:val="true"/>
              </w:rPr>
              <w:tab/>
            </w:r>
            <w:r>
              <w:rPr>
                <w:rStyle w:val="IndexLink"/>
              </w:rPr>
              <w:t>188</w:t>
            </w:r>
          </w:hyperlink>
        </w:p>
        <w:p>
          <w:pPr>
            <w:pStyle w:val="Contents4"/>
            <w:tabs>
              <w:tab w:val="clear" w:pos="8176"/>
              <w:tab w:val="right" w:pos="9026" w:leader="dot"/>
            </w:tabs>
            <w:rPr/>
          </w:pPr>
          <w:hyperlink w:anchor="__RefHeading___Toc2371634_3650668749">
            <w:r>
              <w:rPr>
                <w:webHidden/>
                <w:rStyle w:val="IndexLink"/>
                <w:rtl w:val="true"/>
              </w:rPr>
              <w:t>تقديم الأورع‌</w:t>
            </w:r>
            <w:r>
              <w:rPr>
                <w:rStyle w:val="IndexLink"/>
                <w:rtl w:val="true"/>
              </w:rPr>
              <w:tab/>
            </w:r>
            <w:r>
              <w:rPr>
                <w:rStyle w:val="IndexLink"/>
              </w:rPr>
              <w:t>190</w:t>
            </w:r>
          </w:hyperlink>
        </w:p>
        <w:p>
          <w:pPr>
            <w:pStyle w:val="Contents5"/>
            <w:tabs>
              <w:tab w:val="clear" w:pos="7892"/>
              <w:tab w:val="right" w:pos="9026" w:leader="dot"/>
            </w:tabs>
            <w:rPr/>
          </w:pPr>
          <w:hyperlink w:anchor="__RefHeading___Toc2371636_3650668749">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2371638_3650668749">
            <w:r>
              <w:rPr>
                <w:webHidden/>
                <w:rStyle w:val="IndexLink"/>
                <w:rtl w:val="true"/>
              </w:rPr>
              <w:t>أمّا الكلام بالنسبة إلى الأصل الأوّلي‌</w:t>
            </w:r>
            <w:r>
              <w:rPr>
                <w:rStyle w:val="IndexLink"/>
                <w:rtl w:val="true"/>
              </w:rPr>
              <w:tab/>
            </w:r>
            <w:r>
              <w:rPr>
                <w:rStyle w:val="IndexLink"/>
              </w:rPr>
              <w:t>190</w:t>
            </w:r>
          </w:hyperlink>
        </w:p>
        <w:p>
          <w:pPr>
            <w:pStyle w:val="Contents5"/>
            <w:tabs>
              <w:tab w:val="clear" w:pos="7892"/>
              <w:tab w:val="right" w:pos="9026" w:leader="dot"/>
            </w:tabs>
            <w:rPr/>
          </w:pPr>
          <w:hyperlink w:anchor="__RefHeading___Toc2371640_3650668749">
            <w:r>
              <w:rPr>
                <w:webHidden/>
                <w:rStyle w:val="IndexLink"/>
                <w:rtl w:val="true"/>
              </w:rPr>
              <w:t>وأمّا الكلام في الأدلّة الاجتهادية</w:t>
            </w:r>
            <w:r>
              <w:rPr>
                <w:rStyle w:val="IndexLink"/>
                <w:rtl w:val="true"/>
              </w:rPr>
              <w:tab/>
            </w:r>
            <w:r>
              <w:rPr>
                <w:rStyle w:val="IndexLink"/>
              </w:rPr>
              <w:t>192</w:t>
            </w:r>
          </w:hyperlink>
        </w:p>
        <w:p>
          <w:pPr>
            <w:pStyle w:val="Contents4"/>
            <w:tabs>
              <w:tab w:val="clear" w:pos="8176"/>
              <w:tab w:val="right" w:pos="9026" w:leader="dot"/>
            </w:tabs>
            <w:rPr/>
          </w:pPr>
          <w:hyperlink w:anchor="__RefHeading___Toc2371642_3650668749">
            <w:r>
              <w:rPr>
                <w:webHidden/>
                <w:rStyle w:val="IndexLink"/>
                <w:rtl w:val="true"/>
              </w:rPr>
              <w:t>تقديم محتمل الأعلمية</w:t>
            </w:r>
            <w:r>
              <w:rPr>
                <w:rStyle w:val="IndexLink"/>
                <w:rtl w:val="true"/>
              </w:rPr>
              <w:tab/>
            </w:r>
            <w:r>
              <w:rPr>
                <w:rStyle w:val="IndexLink"/>
              </w:rPr>
              <w:t>194</w:t>
            </w:r>
          </w:hyperlink>
        </w:p>
        <w:p>
          <w:pPr>
            <w:pStyle w:val="Contents3"/>
            <w:tabs>
              <w:tab w:val="clear" w:pos="8459"/>
              <w:tab w:val="right" w:pos="9026" w:leader="dot"/>
            </w:tabs>
            <w:rPr/>
          </w:pPr>
          <w:hyperlink w:anchor="__RefHeading___Toc2371644_3650668749">
            <w:r>
              <w:rPr>
                <w:webHidden/>
                <w:rStyle w:val="IndexLink"/>
                <w:rtl w:val="true"/>
              </w:rPr>
              <w:t>إذا كان الأعلم منحصراً في شخصين‌</w:t>
            </w:r>
            <w:r>
              <w:rPr>
                <w:rStyle w:val="IndexLink"/>
                <w:rtl w:val="true"/>
              </w:rPr>
              <w:tab/>
            </w:r>
            <w:r>
              <w:rPr>
                <w:rStyle w:val="IndexLink"/>
              </w:rPr>
              <w:t>196</w:t>
            </w:r>
          </w:hyperlink>
        </w:p>
        <w:p>
          <w:pPr>
            <w:pStyle w:val="Contents3"/>
            <w:tabs>
              <w:tab w:val="clear" w:pos="8459"/>
              <w:tab w:val="right" w:pos="9026" w:leader="dot"/>
            </w:tabs>
            <w:rPr/>
          </w:pPr>
          <w:hyperlink w:anchor="__RefHeading___Toc2371646_3650668749">
            <w:r>
              <w:rPr>
                <w:webHidden/>
                <w:rStyle w:val="IndexLink"/>
                <w:rtl w:val="true"/>
              </w:rPr>
              <w:t>لزوم التقليد في مسألة تقليد الأعلم‌</w:t>
            </w:r>
            <w:r>
              <w:rPr>
                <w:rStyle w:val="IndexLink"/>
                <w:rtl w:val="true"/>
              </w:rPr>
              <w:tab/>
            </w:r>
            <w:r>
              <w:rPr>
                <w:rStyle w:val="IndexLink"/>
              </w:rPr>
              <w:t>198</w:t>
            </w:r>
          </w:hyperlink>
        </w:p>
        <w:p>
          <w:pPr>
            <w:pStyle w:val="Contents3"/>
            <w:tabs>
              <w:tab w:val="clear" w:pos="8459"/>
              <w:tab w:val="right" w:pos="9026" w:leader="dot"/>
            </w:tabs>
            <w:rPr/>
          </w:pPr>
          <w:hyperlink w:anchor="__RefHeading___Toc2371648_3650668749">
            <w:r>
              <w:rPr>
                <w:webHidden/>
                <w:rStyle w:val="IndexLink"/>
                <w:rtl w:val="true"/>
              </w:rPr>
              <w:t>التقليد بين المتساويين‌</w:t>
            </w:r>
            <w:r>
              <w:rPr>
                <w:rStyle w:val="IndexLink"/>
                <w:rtl w:val="true"/>
              </w:rPr>
              <w:tab/>
            </w:r>
            <w:r>
              <w:rPr>
                <w:rStyle w:val="IndexLink"/>
              </w:rPr>
              <w:t>202</w:t>
            </w:r>
          </w:hyperlink>
        </w:p>
        <w:p>
          <w:pPr>
            <w:pStyle w:val="Contents3"/>
            <w:tabs>
              <w:tab w:val="clear" w:pos="8459"/>
              <w:tab w:val="right" w:pos="9026" w:leader="dot"/>
            </w:tabs>
            <w:rPr/>
          </w:pPr>
          <w:hyperlink w:anchor="__RefHeading___Toc2371650_3650668749">
            <w:r>
              <w:rPr>
                <w:webHidden/>
                <w:rStyle w:val="IndexLink"/>
                <w:rtl w:val="true"/>
              </w:rPr>
              <w:t>التخيير في التقليد</w:t>
            </w:r>
            <w:r>
              <w:rPr>
                <w:rStyle w:val="IndexLink"/>
                <w:rtl w:val="true"/>
              </w:rPr>
              <w:tab/>
            </w:r>
            <w:r>
              <w:rPr>
                <w:rStyle w:val="IndexLink"/>
              </w:rPr>
              <w:t>202</w:t>
            </w:r>
          </w:hyperlink>
        </w:p>
        <w:p>
          <w:pPr>
            <w:pStyle w:val="Contents3"/>
            <w:tabs>
              <w:tab w:val="clear" w:pos="8459"/>
              <w:tab w:val="right" w:pos="9026" w:leader="dot"/>
            </w:tabs>
            <w:rPr/>
          </w:pPr>
          <w:hyperlink w:anchor="__RefHeading___Toc2371652_3650668749">
            <w:r>
              <w:rPr>
                <w:webHidden/>
                <w:rStyle w:val="IndexLink"/>
                <w:rtl w:val="true"/>
              </w:rPr>
              <w:t>التبعيض في التقليد</w:t>
            </w:r>
            <w:r>
              <w:rPr>
                <w:rStyle w:val="IndexLink"/>
                <w:rtl w:val="true"/>
              </w:rPr>
              <w:tab/>
            </w:r>
            <w:r>
              <w:rPr>
                <w:rStyle w:val="IndexLink"/>
              </w:rPr>
              <w:t>210</w:t>
            </w:r>
          </w:hyperlink>
        </w:p>
        <w:p>
          <w:pPr>
            <w:pStyle w:val="Contents3"/>
            <w:tabs>
              <w:tab w:val="clear" w:pos="8459"/>
              <w:tab w:val="right" w:pos="9026" w:leader="dot"/>
            </w:tabs>
            <w:rPr/>
          </w:pPr>
          <w:hyperlink w:anchor="__RefHeading___Toc2371654_3650668749">
            <w:r>
              <w:rPr>
                <w:webHidden/>
                <w:rStyle w:val="IndexLink"/>
                <w:rtl w:val="true"/>
              </w:rPr>
              <w:t>وجوب الاحتياط في زمان الفحص‌</w:t>
            </w:r>
            <w:r>
              <w:rPr>
                <w:rStyle w:val="IndexLink"/>
                <w:rtl w:val="true"/>
              </w:rPr>
              <w:tab/>
            </w:r>
            <w:r>
              <w:rPr>
                <w:rStyle w:val="IndexLink"/>
              </w:rPr>
              <w:t>213</w:t>
            </w:r>
          </w:hyperlink>
        </w:p>
        <w:p>
          <w:pPr>
            <w:pStyle w:val="Contents3"/>
            <w:tabs>
              <w:tab w:val="clear" w:pos="8459"/>
              <w:tab w:val="right" w:pos="9026" w:leader="dot"/>
            </w:tabs>
            <w:rPr/>
          </w:pPr>
          <w:hyperlink w:anchor="__RefHeading___Toc2371656_3650668749">
            <w:r>
              <w:rPr>
                <w:webHidden/>
                <w:rStyle w:val="IndexLink"/>
                <w:rtl w:val="true"/>
              </w:rPr>
              <w:t>تقليد المفضول‌</w:t>
            </w:r>
            <w:r>
              <w:rPr>
                <w:rStyle w:val="IndexLink"/>
                <w:rtl w:val="true"/>
              </w:rPr>
              <w:tab/>
            </w:r>
            <w:r>
              <w:rPr>
                <w:rStyle w:val="IndexLink"/>
              </w:rPr>
              <w:t>215</w:t>
            </w:r>
          </w:hyperlink>
        </w:p>
        <w:p>
          <w:pPr>
            <w:pStyle w:val="Contents3"/>
            <w:tabs>
              <w:tab w:val="clear" w:pos="8459"/>
              <w:tab w:val="right" w:pos="9026" w:leader="dot"/>
            </w:tabs>
            <w:rPr/>
          </w:pPr>
          <w:hyperlink w:anchor="__RefHeading___Toc2371658_3650668749">
            <w:r>
              <w:rPr>
                <w:webHidden/>
                <w:rStyle w:val="IndexLink"/>
                <w:rtl w:val="true"/>
              </w:rPr>
              <w:t>إن لم يكن للأعلم فتوى‌</w:t>
            </w:r>
            <w:r>
              <w:rPr>
                <w:rStyle w:val="IndexLink"/>
                <w:rtl w:val="true"/>
              </w:rPr>
              <w:tab/>
            </w:r>
            <w:r>
              <w:rPr>
                <w:rStyle w:val="IndexLink"/>
              </w:rPr>
              <w:t>218</w:t>
            </w:r>
          </w:hyperlink>
        </w:p>
        <w:p>
          <w:pPr>
            <w:pStyle w:val="Contents4"/>
            <w:tabs>
              <w:tab w:val="clear" w:pos="8176"/>
              <w:tab w:val="right" w:pos="9026" w:leader="dot"/>
            </w:tabs>
            <w:rPr/>
          </w:pPr>
          <w:hyperlink w:anchor="__RefHeading___Toc2371660_3650668749">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2371662_3650668749">
            <w:r>
              <w:rPr>
                <w:webHidden/>
                <w:rStyle w:val="IndexLink"/>
                <w:rtl w:val="true"/>
              </w:rPr>
              <w:t>رأي السيّد الإمام قدس سره‌</w:t>
            </w:r>
            <w:r>
              <w:rPr>
                <w:rStyle w:val="IndexLink"/>
                <w:rtl w:val="true"/>
              </w:rPr>
              <w:tab/>
            </w:r>
            <w:r>
              <w:rPr>
                <w:rStyle w:val="IndexLink"/>
              </w:rPr>
              <w:t>221</w:t>
            </w:r>
          </w:hyperlink>
        </w:p>
        <w:p>
          <w:pPr>
            <w:pStyle w:val="Contents3"/>
            <w:tabs>
              <w:tab w:val="clear" w:pos="8459"/>
              <w:tab w:val="right" w:pos="9026" w:leader="dot"/>
            </w:tabs>
            <w:rPr/>
          </w:pPr>
          <w:hyperlink w:anchor="__RefHeading___Toc2371664_3650668749">
            <w:r>
              <w:rPr>
                <w:webHidden/>
                <w:rStyle w:val="IndexLink"/>
                <w:rtl w:val="true"/>
              </w:rPr>
              <w:t>فتوى من لا أهلية له‌</w:t>
            </w:r>
            <w:r>
              <w:rPr>
                <w:rStyle w:val="IndexLink"/>
                <w:rtl w:val="true"/>
              </w:rPr>
              <w:tab/>
            </w:r>
            <w:r>
              <w:rPr>
                <w:rStyle w:val="IndexLink"/>
              </w:rPr>
              <w:t>222</w:t>
            </w:r>
          </w:hyperlink>
        </w:p>
        <w:p>
          <w:pPr>
            <w:pStyle w:val="Contents3"/>
            <w:tabs>
              <w:tab w:val="clear" w:pos="8459"/>
              <w:tab w:val="right" w:pos="9026" w:leader="dot"/>
            </w:tabs>
            <w:rPr/>
          </w:pPr>
          <w:hyperlink w:anchor="__RefHeading___Toc2371666_3650668749">
            <w:r>
              <w:rPr>
                <w:webHidden/>
                <w:rStyle w:val="IndexLink"/>
                <w:rtl w:val="true"/>
              </w:rPr>
              <w:t>تقليد الميّت‌</w:t>
            </w:r>
            <w:r>
              <w:rPr>
                <w:rStyle w:val="IndexLink"/>
                <w:rtl w:val="true"/>
              </w:rPr>
              <w:tab/>
            </w:r>
            <w:r>
              <w:rPr>
                <w:rStyle w:val="IndexLink"/>
              </w:rPr>
              <w:t>225</w:t>
            </w:r>
          </w:hyperlink>
        </w:p>
        <w:p>
          <w:pPr>
            <w:pStyle w:val="Contents4"/>
            <w:tabs>
              <w:tab w:val="clear" w:pos="8176"/>
              <w:tab w:val="right" w:pos="9026" w:leader="dot"/>
            </w:tabs>
            <w:rPr/>
          </w:pPr>
          <w:hyperlink w:anchor="__RefHeading___Toc2371668_3650668749">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2371670_3650668749">
            <w:r>
              <w:rPr>
                <w:webHidden/>
                <w:rStyle w:val="IndexLink"/>
                <w:rtl w:val="true"/>
              </w:rPr>
              <w:t>حكم المسألة بالقياس إلى العامّي‌</w:t>
            </w:r>
            <w:r>
              <w:rPr>
                <w:rStyle w:val="IndexLink"/>
                <w:rtl w:val="true"/>
              </w:rPr>
              <w:tab/>
            </w:r>
            <w:r>
              <w:rPr>
                <w:rStyle w:val="IndexLink"/>
              </w:rPr>
              <w:t>227</w:t>
            </w:r>
          </w:hyperlink>
        </w:p>
        <w:p>
          <w:pPr>
            <w:pStyle w:val="Contents4"/>
            <w:tabs>
              <w:tab w:val="clear" w:pos="8176"/>
              <w:tab w:val="right" w:pos="9026" w:leader="dot"/>
            </w:tabs>
            <w:rPr/>
          </w:pPr>
          <w:hyperlink w:anchor="__RefHeading___Toc2371672_3650668749">
            <w:r>
              <w:rPr>
                <w:webHidden/>
                <w:rStyle w:val="IndexLink"/>
                <w:rtl w:val="true"/>
              </w:rPr>
              <w:t>حكم المسألة بالقياس إلى المجتهد</w:t>
            </w:r>
            <w:r>
              <w:rPr>
                <w:rStyle w:val="IndexLink"/>
                <w:rtl w:val="true"/>
              </w:rPr>
              <w:tab/>
            </w:r>
            <w:r>
              <w:rPr>
                <w:rStyle w:val="IndexLink"/>
              </w:rPr>
              <w:t>227</w:t>
            </w:r>
          </w:hyperlink>
        </w:p>
        <w:p>
          <w:pPr>
            <w:pStyle w:val="Contents4"/>
            <w:tabs>
              <w:tab w:val="clear" w:pos="8176"/>
              <w:tab w:val="right" w:pos="9026" w:leader="dot"/>
            </w:tabs>
            <w:rPr/>
          </w:pPr>
          <w:hyperlink w:anchor="__RefHeading___Toc2371674_3650668749">
            <w:r>
              <w:rPr>
                <w:webHidden/>
                <w:rStyle w:val="IndexLink"/>
                <w:rtl w:val="true"/>
              </w:rPr>
              <w:t>الوجوه المستدلّ بها لعدم جواز تقليد الميّت مطلقاً</w:t>
            </w:r>
            <w:r>
              <w:rPr>
                <w:rStyle w:val="IndexLink"/>
                <w:rtl w:val="true"/>
              </w:rPr>
              <w:tab/>
            </w:r>
            <w:r>
              <w:rPr>
                <w:rStyle w:val="IndexLink"/>
              </w:rPr>
              <w:t>230</w:t>
            </w:r>
          </w:hyperlink>
        </w:p>
        <w:p>
          <w:pPr>
            <w:pStyle w:val="Contents4"/>
            <w:tabs>
              <w:tab w:val="clear" w:pos="8176"/>
              <w:tab w:val="right" w:pos="9026" w:leader="dot"/>
            </w:tabs>
            <w:rPr/>
          </w:pPr>
          <w:hyperlink w:anchor="__RefHeading___Toc2371676_3650668749">
            <w:r>
              <w:rPr>
                <w:webHidden/>
                <w:rStyle w:val="IndexLink"/>
                <w:rtl w:val="true"/>
              </w:rPr>
              <w:t>الوجوه المستدلّ بها لجواز تقليد الميّت مطلقاً</w:t>
            </w:r>
            <w:r>
              <w:rPr>
                <w:rStyle w:val="IndexLink"/>
                <w:rtl w:val="true"/>
              </w:rPr>
              <w:tab/>
            </w:r>
            <w:r>
              <w:rPr>
                <w:rStyle w:val="IndexLink"/>
              </w:rPr>
              <w:t>238</w:t>
            </w:r>
          </w:hyperlink>
        </w:p>
        <w:p>
          <w:pPr>
            <w:pStyle w:val="Contents4"/>
            <w:tabs>
              <w:tab w:val="clear" w:pos="8176"/>
              <w:tab w:val="right" w:pos="9026" w:leader="dot"/>
            </w:tabs>
            <w:rPr/>
          </w:pPr>
          <w:hyperlink w:anchor="__RefHeading___Toc2371678_3650668749">
            <w:r>
              <w:rPr>
                <w:webHidden/>
                <w:rStyle w:val="IndexLink"/>
                <w:rtl w:val="true"/>
              </w:rPr>
              <w:t>البقاء على تقليد الميّت‌</w:t>
            </w:r>
            <w:r>
              <w:rPr>
                <w:rStyle w:val="IndexLink"/>
                <w:rtl w:val="true"/>
              </w:rPr>
              <w:tab/>
            </w:r>
            <w:r>
              <w:rPr>
                <w:rStyle w:val="IndexLink"/>
              </w:rPr>
              <w:t>261</w:t>
            </w:r>
          </w:hyperlink>
        </w:p>
        <w:p>
          <w:pPr>
            <w:pStyle w:val="Contents3"/>
            <w:tabs>
              <w:tab w:val="clear" w:pos="8459"/>
              <w:tab w:val="right" w:pos="9026" w:leader="dot"/>
            </w:tabs>
            <w:rPr/>
          </w:pPr>
          <w:hyperlink w:anchor="__RefHeading___Toc2371680_3650668749">
            <w:r>
              <w:rPr>
                <w:webHidden/>
                <w:rStyle w:val="IndexLink"/>
                <w:rtl w:val="true"/>
              </w:rPr>
              <w:t>تعاقب تقليد الأموات‌</w:t>
            </w:r>
            <w:r>
              <w:rPr>
                <w:rStyle w:val="IndexLink"/>
                <w:rtl w:val="true"/>
              </w:rPr>
              <w:tab/>
            </w:r>
            <w:r>
              <w:rPr>
                <w:rStyle w:val="IndexLink"/>
              </w:rPr>
              <w:t>268</w:t>
            </w:r>
          </w:hyperlink>
        </w:p>
        <w:p>
          <w:pPr>
            <w:pStyle w:val="Contents3"/>
            <w:tabs>
              <w:tab w:val="clear" w:pos="8459"/>
              <w:tab w:val="right" w:pos="9026" w:leader="dot"/>
            </w:tabs>
            <w:rPr/>
          </w:pPr>
          <w:hyperlink w:anchor="__RefHeading___Toc2371682_3650668749">
            <w:r>
              <w:rPr>
                <w:webHidden/>
                <w:rStyle w:val="IndexLink"/>
                <w:rtl w:val="true"/>
              </w:rPr>
              <w:t>المأذون والوكيل عن المجتهد</w:t>
            </w:r>
            <w:r>
              <w:rPr>
                <w:rStyle w:val="IndexLink"/>
                <w:rtl w:val="true"/>
              </w:rPr>
              <w:tab/>
            </w:r>
            <w:r>
              <w:rPr>
                <w:rStyle w:val="IndexLink"/>
              </w:rPr>
              <w:t>275</w:t>
            </w:r>
          </w:hyperlink>
        </w:p>
        <w:p>
          <w:pPr>
            <w:pStyle w:val="Contents3"/>
            <w:tabs>
              <w:tab w:val="clear" w:pos="8459"/>
              <w:tab w:val="right" w:pos="9026" w:leader="dot"/>
            </w:tabs>
            <w:rPr/>
          </w:pPr>
          <w:hyperlink w:anchor="__RefHeading___Toc2371684_3650668749">
            <w:r>
              <w:rPr>
                <w:webHidden/>
                <w:rStyle w:val="IndexLink"/>
                <w:rtl w:val="true"/>
              </w:rPr>
              <w:t>التقليد والإجزاء في الأعمال الماضية</w:t>
            </w:r>
            <w:r>
              <w:rPr>
                <w:rStyle w:val="IndexLink"/>
                <w:rtl w:val="true"/>
              </w:rPr>
              <w:tab/>
            </w:r>
            <w:r>
              <w:rPr>
                <w:rStyle w:val="IndexLink"/>
              </w:rPr>
              <w:t>280</w:t>
            </w:r>
          </w:hyperlink>
        </w:p>
        <w:p>
          <w:pPr>
            <w:pStyle w:val="Contents3"/>
            <w:tabs>
              <w:tab w:val="clear" w:pos="8459"/>
              <w:tab w:val="right" w:pos="9026" w:leader="dot"/>
            </w:tabs>
            <w:rPr/>
          </w:pPr>
          <w:hyperlink w:anchor="__RefHeading___Toc2371686_3650668749">
            <w:r>
              <w:rPr>
                <w:webHidden/>
                <w:rStyle w:val="IndexLink"/>
                <w:rtl w:val="true"/>
              </w:rPr>
              <w:t>الشكّ في حائزية المجتهد للشرائط</w:t>
            </w:r>
            <w:r>
              <w:rPr>
                <w:rStyle w:val="IndexLink"/>
                <w:rtl w:val="true"/>
              </w:rPr>
              <w:tab/>
            </w:r>
            <w:r>
              <w:rPr>
                <w:rStyle w:val="IndexLink"/>
              </w:rPr>
              <w:t>292</w:t>
            </w:r>
          </w:hyperlink>
        </w:p>
        <w:p>
          <w:pPr>
            <w:pStyle w:val="Contents3"/>
            <w:tabs>
              <w:tab w:val="clear" w:pos="8459"/>
              <w:tab w:val="right" w:pos="9026" w:leader="dot"/>
            </w:tabs>
            <w:rPr/>
          </w:pPr>
          <w:hyperlink w:anchor="__RefHeading___Toc2371688_3650668749">
            <w:r>
              <w:rPr>
                <w:webHidden/>
                <w:rStyle w:val="IndexLink"/>
                <w:rtl w:val="true"/>
              </w:rPr>
              <w:t>فقد شرائط التقليد</w:t>
            </w:r>
            <w:r>
              <w:rPr>
                <w:rStyle w:val="IndexLink"/>
                <w:rtl w:val="true"/>
              </w:rPr>
              <w:tab/>
            </w:r>
            <w:r>
              <w:rPr>
                <w:rStyle w:val="IndexLink"/>
              </w:rPr>
              <w:t>295</w:t>
            </w:r>
          </w:hyperlink>
        </w:p>
        <w:p>
          <w:pPr>
            <w:pStyle w:val="Contents4"/>
            <w:tabs>
              <w:tab w:val="clear" w:pos="8176"/>
              <w:tab w:val="right" w:pos="9026" w:leader="dot"/>
            </w:tabs>
            <w:rPr/>
          </w:pPr>
          <w:hyperlink w:anchor="__RefHeading___Toc2371690_3650668749">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2371692_3650668749">
            <w:r>
              <w:rPr>
                <w:webHidden/>
                <w:rStyle w:val="IndexLink"/>
                <w:rtl w:val="true"/>
              </w:rPr>
              <w:t>تقليد من لا يصلح للتقليد</w:t>
            </w:r>
            <w:r>
              <w:rPr>
                <w:rStyle w:val="IndexLink"/>
                <w:rtl w:val="true"/>
              </w:rPr>
              <w:tab/>
            </w:r>
            <w:r>
              <w:rPr>
                <w:rStyle w:val="IndexLink"/>
              </w:rPr>
              <w:t>302</w:t>
            </w:r>
          </w:hyperlink>
        </w:p>
        <w:p>
          <w:pPr>
            <w:pStyle w:val="Contents3"/>
            <w:tabs>
              <w:tab w:val="clear" w:pos="8459"/>
              <w:tab w:val="right" w:pos="9026" w:leader="dot"/>
            </w:tabs>
            <w:rPr/>
          </w:pPr>
          <w:hyperlink w:anchor="__RefHeading___Toc2371694_3650668749">
            <w:r>
              <w:rPr>
                <w:webHidden/>
                <w:rStyle w:val="IndexLink"/>
                <w:rtl w:val="true"/>
              </w:rPr>
              <w:t>طرق معرفة الاجتهاد أو أعلمية</w:t>
            </w:r>
            <w:r>
              <w:rPr>
                <w:rStyle w:val="IndexLink"/>
                <w:rtl w:val="true"/>
              </w:rPr>
              <w:tab/>
            </w:r>
            <w:r>
              <w:rPr>
                <w:rStyle w:val="IndexLink"/>
              </w:rPr>
              <w:t>303</w:t>
            </w:r>
          </w:hyperlink>
        </w:p>
        <w:p>
          <w:pPr>
            <w:pStyle w:val="Contents3"/>
            <w:tabs>
              <w:tab w:val="clear" w:pos="8459"/>
              <w:tab w:val="right" w:pos="9026" w:leader="dot"/>
            </w:tabs>
            <w:rPr/>
          </w:pPr>
          <w:hyperlink w:anchor="__RefHeading___Toc2371696_3650668749">
            <w:r>
              <w:rPr>
                <w:webHidden/>
                <w:rStyle w:val="IndexLink"/>
                <w:rtl w:val="true"/>
              </w:rPr>
              <w:t>حكم عمل الجاهل‌</w:t>
            </w:r>
            <w:r>
              <w:rPr>
                <w:rStyle w:val="IndexLink"/>
                <w:rtl w:val="true"/>
              </w:rPr>
              <w:tab/>
            </w:r>
            <w:r>
              <w:rPr>
                <w:rStyle w:val="IndexLink"/>
              </w:rPr>
              <w:t>309</w:t>
            </w:r>
          </w:hyperlink>
        </w:p>
        <w:p>
          <w:pPr>
            <w:pStyle w:val="Contents4"/>
            <w:tabs>
              <w:tab w:val="clear" w:pos="8176"/>
              <w:tab w:val="right" w:pos="9026" w:leader="dot"/>
            </w:tabs>
            <w:rPr/>
          </w:pPr>
          <w:hyperlink w:anchor="__RefHeading___Toc2371698_3650668749">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2371700_3650668749">
            <w:r>
              <w:rPr>
                <w:webHidden/>
                <w:rStyle w:val="IndexLink"/>
                <w:rtl w:val="true"/>
              </w:rPr>
              <w:t>الكلام في المعاملات‌</w:t>
            </w:r>
            <w:r>
              <w:rPr>
                <w:rStyle w:val="IndexLink"/>
                <w:rtl w:val="true"/>
              </w:rPr>
              <w:tab/>
            </w:r>
            <w:r>
              <w:rPr>
                <w:rStyle w:val="IndexLink"/>
              </w:rPr>
              <w:t>311</w:t>
            </w:r>
          </w:hyperlink>
        </w:p>
        <w:p>
          <w:pPr>
            <w:pStyle w:val="Contents4"/>
            <w:tabs>
              <w:tab w:val="clear" w:pos="8176"/>
              <w:tab w:val="right" w:pos="9026" w:leader="dot"/>
            </w:tabs>
            <w:rPr/>
          </w:pPr>
          <w:hyperlink w:anchor="__RefHeading___Toc2371702_3650668749">
            <w:r>
              <w:rPr>
                <w:webHidden/>
                <w:rStyle w:val="IndexLink"/>
                <w:rtl w:val="true"/>
              </w:rPr>
              <w:t>الكلام في العبادات‌</w:t>
            </w:r>
            <w:r>
              <w:rPr>
                <w:rStyle w:val="IndexLink"/>
                <w:rtl w:val="true"/>
              </w:rPr>
              <w:tab/>
            </w:r>
            <w:r>
              <w:rPr>
                <w:rStyle w:val="IndexLink"/>
              </w:rPr>
              <w:t>313</w:t>
            </w:r>
          </w:hyperlink>
        </w:p>
        <w:p>
          <w:pPr>
            <w:pStyle w:val="Contents3"/>
            <w:tabs>
              <w:tab w:val="clear" w:pos="8459"/>
              <w:tab w:val="right" w:pos="9026" w:leader="dot"/>
            </w:tabs>
            <w:rPr/>
          </w:pPr>
          <w:hyperlink w:anchor="__RefHeading___Toc2371704_3650668749">
            <w:r>
              <w:rPr>
                <w:webHidden/>
                <w:rStyle w:val="IndexLink"/>
                <w:rtl w:val="true"/>
              </w:rPr>
              <w:t>طرق معرفة فتوى المجتهد</w:t>
            </w:r>
            <w:r>
              <w:rPr>
                <w:rStyle w:val="IndexLink"/>
                <w:rtl w:val="true"/>
              </w:rPr>
              <w:tab/>
            </w:r>
            <w:r>
              <w:rPr>
                <w:rStyle w:val="IndexLink"/>
              </w:rPr>
              <w:t>321</w:t>
            </w:r>
          </w:hyperlink>
        </w:p>
        <w:p>
          <w:pPr>
            <w:pStyle w:val="Contents3"/>
            <w:tabs>
              <w:tab w:val="clear" w:pos="8459"/>
              <w:tab w:val="right" w:pos="9026" w:leader="dot"/>
            </w:tabs>
            <w:rPr/>
          </w:pPr>
          <w:hyperlink w:anchor="__RefHeading___Toc2371706_3650668749">
            <w:r>
              <w:rPr>
                <w:webHidden/>
                <w:rStyle w:val="IndexLink"/>
                <w:rtl w:val="true"/>
              </w:rPr>
              <w:t>التعارض في نقل الفتاوى‌</w:t>
            </w:r>
            <w:r>
              <w:rPr>
                <w:rStyle w:val="IndexLink"/>
                <w:rtl w:val="true"/>
              </w:rPr>
              <w:tab/>
            </w:r>
            <w:r>
              <w:rPr>
                <w:rStyle w:val="IndexLink"/>
              </w:rPr>
              <w:t>325</w:t>
            </w:r>
          </w:hyperlink>
        </w:p>
        <w:p>
          <w:pPr>
            <w:pStyle w:val="Contents3"/>
            <w:tabs>
              <w:tab w:val="clear" w:pos="8459"/>
              <w:tab w:val="right" w:pos="9026" w:leader="dot"/>
            </w:tabs>
            <w:rPr/>
          </w:pPr>
          <w:hyperlink w:anchor="__RefHeading___Toc2371708_3650668749">
            <w:r>
              <w:rPr>
                <w:webHidden/>
                <w:rStyle w:val="IndexLink"/>
                <w:rtl w:val="true"/>
              </w:rPr>
              <w:t>وجوب تعلّم العبادات وأحكام الخلل‌</w:t>
            </w:r>
            <w:r>
              <w:rPr>
                <w:rStyle w:val="IndexLink"/>
                <w:rtl w:val="true"/>
              </w:rPr>
              <w:tab/>
            </w:r>
            <w:r>
              <w:rPr>
                <w:rStyle w:val="IndexLink"/>
              </w:rPr>
              <w:t>329</w:t>
            </w:r>
          </w:hyperlink>
        </w:p>
        <w:p>
          <w:pPr>
            <w:pStyle w:val="Contents3"/>
            <w:tabs>
              <w:tab w:val="clear" w:pos="8459"/>
              <w:tab w:val="right" w:pos="9026" w:leader="dot"/>
            </w:tabs>
            <w:rPr/>
          </w:pPr>
          <w:hyperlink w:anchor="__RefHeading___Toc2371710_3650668749">
            <w:r>
              <w:rPr>
                <w:webHidden/>
                <w:rStyle w:val="IndexLink"/>
                <w:rtl w:val="true"/>
              </w:rPr>
              <w:t>العمل بلا تقليد</w:t>
            </w:r>
            <w:r>
              <w:rPr>
                <w:rStyle w:val="IndexLink"/>
                <w:rtl w:val="true"/>
              </w:rPr>
              <w:tab/>
            </w:r>
            <w:r>
              <w:rPr>
                <w:rStyle w:val="IndexLink"/>
              </w:rPr>
              <w:t>340</w:t>
            </w:r>
          </w:hyperlink>
        </w:p>
        <w:p>
          <w:pPr>
            <w:pStyle w:val="Contents3"/>
            <w:tabs>
              <w:tab w:val="clear" w:pos="8459"/>
              <w:tab w:val="right" w:pos="9026" w:leader="dot"/>
            </w:tabs>
            <w:rPr/>
          </w:pPr>
          <w:hyperlink w:anchor="__RefHeading___Toc2371712_3650668749">
            <w:r>
              <w:rPr>
                <w:webHidden/>
                <w:rStyle w:val="IndexLink"/>
                <w:rtl w:val="true"/>
              </w:rPr>
              <w:t>الشكّ في صحّة التقليد</w:t>
            </w:r>
            <w:r>
              <w:rPr>
                <w:rStyle w:val="IndexLink"/>
                <w:rtl w:val="true"/>
              </w:rPr>
              <w:tab/>
            </w:r>
            <w:r>
              <w:rPr>
                <w:rStyle w:val="IndexLink"/>
              </w:rPr>
              <w:t>349</w:t>
            </w:r>
          </w:hyperlink>
        </w:p>
        <w:p>
          <w:pPr>
            <w:pStyle w:val="Contents3"/>
            <w:tabs>
              <w:tab w:val="clear" w:pos="8459"/>
              <w:tab w:val="right" w:pos="9026" w:leader="dot"/>
            </w:tabs>
            <w:rPr/>
          </w:pPr>
          <w:hyperlink w:anchor="__RefHeading___Toc2371714_3650668749">
            <w:r>
              <w:rPr>
                <w:webHidden/>
                <w:rStyle w:val="IndexLink"/>
                <w:rtl w:val="true"/>
              </w:rPr>
              <w:t>اشتراط العدالة في المفتي والقاضي‌</w:t>
            </w:r>
            <w:r>
              <w:rPr>
                <w:rStyle w:val="IndexLink"/>
                <w:rtl w:val="true"/>
              </w:rPr>
              <w:tab/>
            </w:r>
            <w:r>
              <w:rPr>
                <w:rStyle w:val="IndexLink"/>
              </w:rPr>
              <w:t>353</w:t>
            </w:r>
          </w:hyperlink>
        </w:p>
        <w:p>
          <w:pPr>
            <w:pStyle w:val="Contents4"/>
            <w:tabs>
              <w:tab w:val="clear" w:pos="8176"/>
              <w:tab w:val="right" w:pos="9026" w:leader="dot"/>
            </w:tabs>
            <w:rPr/>
          </w:pPr>
          <w:hyperlink w:anchor="__RefHeading___Toc2371716_3650668749">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2371718_3650668749">
            <w:r>
              <w:rPr>
                <w:webHidden/>
                <w:rStyle w:val="IndexLink"/>
                <w:rtl w:val="true"/>
              </w:rPr>
              <w:t>طرق إثبات العدالة</w:t>
            </w:r>
            <w:r>
              <w:rPr>
                <w:rStyle w:val="IndexLink"/>
                <w:rtl w:val="true"/>
              </w:rPr>
              <w:tab/>
            </w:r>
            <w:r>
              <w:rPr>
                <w:rStyle w:val="IndexLink"/>
              </w:rPr>
              <w:t>355</w:t>
            </w:r>
          </w:hyperlink>
        </w:p>
        <w:p>
          <w:pPr>
            <w:pStyle w:val="Contents3"/>
            <w:tabs>
              <w:tab w:val="clear" w:pos="8459"/>
              <w:tab w:val="right" w:pos="9026" w:leader="dot"/>
            </w:tabs>
            <w:rPr/>
          </w:pPr>
          <w:hyperlink w:anchor="__RefHeading___Toc2371720_3650668749">
            <w:r>
              <w:rPr>
                <w:webHidden/>
                <w:rStyle w:val="IndexLink"/>
                <w:rtl w:val="true"/>
              </w:rPr>
              <w:t>مفهوم العدالة</w:t>
            </w:r>
            <w:r>
              <w:rPr>
                <w:rStyle w:val="IndexLink"/>
                <w:rtl w:val="true"/>
              </w:rPr>
              <w:tab/>
            </w:r>
            <w:r>
              <w:rPr>
                <w:rStyle w:val="IndexLink"/>
              </w:rPr>
              <w:t>364</w:t>
            </w:r>
          </w:hyperlink>
        </w:p>
        <w:p>
          <w:pPr>
            <w:pStyle w:val="Contents4"/>
            <w:tabs>
              <w:tab w:val="clear" w:pos="8176"/>
              <w:tab w:val="right" w:pos="9026" w:leader="dot"/>
            </w:tabs>
            <w:rPr/>
          </w:pPr>
          <w:hyperlink w:anchor="__RefHeading___Toc2371722_3650668749">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2371724_3650668749">
            <w:r>
              <w:rPr>
                <w:webHidden/>
                <w:rStyle w:val="IndexLink"/>
                <w:rtl w:val="true"/>
              </w:rPr>
              <w:t>العدالة والمروّة</w:t>
            </w:r>
            <w:r>
              <w:rPr>
                <w:rStyle w:val="IndexLink"/>
                <w:rtl w:val="true"/>
              </w:rPr>
              <w:tab/>
            </w:r>
            <w:r>
              <w:rPr>
                <w:rStyle w:val="IndexLink"/>
              </w:rPr>
              <w:t>382</w:t>
            </w:r>
          </w:hyperlink>
        </w:p>
        <w:p>
          <w:pPr>
            <w:pStyle w:val="Contents3"/>
            <w:tabs>
              <w:tab w:val="clear" w:pos="8459"/>
              <w:tab w:val="right" w:pos="9026" w:leader="dot"/>
            </w:tabs>
            <w:rPr/>
          </w:pPr>
          <w:hyperlink w:anchor="__RefHeading___Toc2371726_3650668749">
            <w:r>
              <w:rPr>
                <w:webHidden/>
                <w:rStyle w:val="IndexLink"/>
                <w:rtl w:val="true"/>
              </w:rPr>
              <w:t>زوال العدالة بارتكاب المعاصي‌</w:t>
            </w:r>
            <w:r>
              <w:rPr>
                <w:rStyle w:val="IndexLink"/>
                <w:rtl w:val="true"/>
              </w:rPr>
              <w:tab/>
            </w:r>
            <w:r>
              <w:rPr>
                <w:rStyle w:val="IndexLink"/>
              </w:rPr>
              <w:t>387</w:t>
            </w:r>
          </w:hyperlink>
        </w:p>
        <w:p>
          <w:pPr>
            <w:pStyle w:val="Contents3"/>
            <w:tabs>
              <w:tab w:val="clear" w:pos="8459"/>
              <w:tab w:val="right" w:pos="9026" w:leader="dot"/>
            </w:tabs>
            <w:rPr/>
          </w:pPr>
          <w:hyperlink w:anchor="__RefHeading___Toc2371728_3650668749">
            <w:r>
              <w:rPr>
                <w:webHidden/>
                <w:rStyle w:val="IndexLink"/>
                <w:rtl w:val="true"/>
              </w:rPr>
              <w:t>حكم نقل الفتوى خطأً</w:t>
            </w:r>
            <w:r>
              <w:rPr>
                <w:rStyle w:val="IndexLink"/>
                <w:rtl w:val="true"/>
              </w:rPr>
              <w:tab/>
            </w:r>
            <w:r>
              <w:rPr>
                <w:rStyle w:val="IndexLink"/>
              </w:rPr>
              <w:t>398</w:t>
            </w:r>
          </w:hyperlink>
        </w:p>
        <w:p>
          <w:pPr>
            <w:pStyle w:val="Contents3"/>
            <w:tabs>
              <w:tab w:val="clear" w:pos="8459"/>
              <w:tab w:val="right" w:pos="9026" w:leader="dot"/>
            </w:tabs>
            <w:rPr/>
          </w:pPr>
          <w:hyperlink w:anchor="__RefHeading___Toc2371730_3650668749">
            <w:r>
              <w:rPr>
                <w:webHidden/>
                <w:rStyle w:val="IndexLink"/>
                <w:rtl w:val="true"/>
              </w:rPr>
              <w:t>ابتلاء المصلّي بمسألة يجهل حكمها</w:t>
            </w:r>
            <w:r>
              <w:rPr>
                <w:rStyle w:val="IndexLink"/>
                <w:rtl w:val="true"/>
              </w:rPr>
              <w:tab/>
            </w:r>
            <w:r>
              <w:rPr>
                <w:rStyle w:val="IndexLink"/>
              </w:rPr>
              <w:t>406</w:t>
            </w:r>
          </w:hyperlink>
        </w:p>
        <w:p>
          <w:pPr>
            <w:pStyle w:val="Contents3"/>
            <w:tabs>
              <w:tab w:val="clear" w:pos="8459"/>
              <w:tab w:val="right" w:pos="9026" w:leader="dot"/>
            </w:tabs>
            <w:rPr/>
          </w:pPr>
          <w:hyperlink w:anchor="__RefHeading___Toc2371732_3650668749">
            <w:r>
              <w:rPr>
                <w:webHidden/>
                <w:rStyle w:val="IndexLink"/>
                <w:rtl w:val="true"/>
              </w:rPr>
              <w:t>الوكيل في عمل عن الغير</w:t>
            </w:r>
            <w:r>
              <w:rPr>
                <w:rStyle w:val="IndexLink"/>
                <w:rtl w:val="true"/>
              </w:rPr>
              <w:tab/>
            </w:r>
            <w:r>
              <w:rPr>
                <w:rStyle w:val="IndexLink"/>
              </w:rPr>
              <w:t>411</w:t>
            </w:r>
          </w:hyperlink>
        </w:p>
        <w:p>
          <w:pPr>
            <w:pStyle w:val="Contents3"/>
            <w:tabs>
              <w:tab w:val="clear" w:pos="8459"/>
              <w:tab w:val="right" w:pos="9026" w:leader="dot"/>
            </w:tabs>
            <w:rPr/>
          </w:pPr>
          <w:hyperlink w:anchor="__RefHeading___Toc2371734_3650668749">
            <w:r>
              <w:rPr>
                <w:webHidden/>
                <w:rStyle w:val="IndexLink"/>
                <w:rtl w:val="true"/>
              </w:rPr>
              <w:t>اختلاف المتعاقدين تقليداً أو اجتهاداً</w:t>
            </w:r>
            <w:r>
              <w:rPr>
                <w:rStyle w:val="IndexLink"/>
                <w:rtl w:val="true"/>
              </w:rPr>
              <w:tab/>
            </w:r>
            <w:r>
              <w:rPr>
                <w:rStyle w:val="IndexLink"/>
              </w:rPr>
              <w:t>416</w:t>
            </w:r>
          </w:hyperlink>
        </w:p>
        <w:p>
          <w:pPr>
            <w:pStyle w:val="Contents3"/>
            <w:tabs>
              <w:tab w:val="clear" w:pos="8459"/>
              <w:tab w:val="right" w:pos="9026" w:leader="dot"/>
            </w:tabs>
            <w:rPr/>
          </w:pPr>
          <w:hyperlink w:anchor="__RefHeading___Toc2371736_3650668749">
            <w:r>
              <w:rPr>
                <w:webHidden/>
                <w:rStyle w:val="IndexLink"/>
                <w:rtl w:val="true"/>
              </w:rPr>
              <w:t>أقسام الاحتياط</w:t>
            </w:r>
            <w:r>
              <w:rPr>
                <w:rStyle w:val="IndexLink"/>
                <w:rtl w:val="true"/>
              </w:rPr>
              <w:tab/>
            </w:r>
            <w:r>
              <w:rPr>
                <w:rStyle w:val="IndexLink"/>
              </w:rPr>
              <w:t>420</w:t>
            </w:r>
          </w:hyperlink>
        </w:p>
        <w:p>
          <w:pPr>
            <w:pStyle w:val="Contents3"/>
            <w:tabs>
              <w:tab w:val="clear" w:pos="8459"/>
              <w:tab w:val="right" w:pos="9026" w:leader="dot"/>
            </w:tabs>
            <w:rPr/>
          </w:pPr>
          <w:hyperlink w:anchor="__RefHeading___Toc2371738_3650668749">
            <w:r>
              <w:rPr>
                <w:webHidden/>
                <w:rStyle w:val="IndexLink"/>
                <w:rtl w:val="true"/>
              </w:rPr>
              <w:t>مصادر التحقيق‌</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90_14544"/>
      <w:bookmarkStart w:id="1" w:name="pg1790_14544"/>
      <w:bookmarkEnd w:id="1"/>
    </w:p>
    <w:p>
      <w:pPr>
        <w:pStyle w:val="Heading2"/>
        <w:numPr>
          <w:ilvl w:val="1"/>
          <w:numId w:val="1"/>
        </w:numPr>
        <w:rPr/>
      </w:pPr>
      <w:bookmarkStart w:id="2" w:name="pg1790_14544"/>
      <w:bookmarkStart w:id="3" w:name="__RefHeading___Toc2371526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تحريرالوسيله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لجنه من‌المحققين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موسسه تنظيم و نشر آثار الامام‌الخميني قدس‌سره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تنظيم و نشر تراث‌الامام‌الخميني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موسسه مطبعه‌العروج،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9789643359331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تحريرالوسيله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تنظيم و نشر آثار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چاپ و نشر عروج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تنظيم و نشر آثار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۳۰۲۳۸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۱۱۰۶۴۹۵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1528_3650668749"/>
      <w:bookmarkStart w:id="6" w:name="_Toc2"/>
      <w:bookmarkEnd w:id="5"/>
      <w:r>
        <w:rPr>
          <w:rtl w:val="true"/>
        </w:rPr>
        <w:t>اشارة</w:t>
      </w:r>
      <w:bookmarkStart w:id="7" w:name="pg1790_14548"/>
      <w:bookmarkEnd w:id="6"/>
    </w:p>
    <w:p>
      <w:pPr>
        <w:pStyle w:val="Heading2"/>
        <w:numPr>
          <w:ilvl w:val="1"/>
          <w:numId w:val="1"/>
        </w:numPr>
        <w:rPr/>
      </w:pPr>
      <w:bookmarkStart w:id="8" w:name="__RefHeading___Toc2371530_3650668749"/>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مقدّمة الناشر</w:t>
      </w:r>
    </w:p>
    <w:p>
      <w:pPr>
        <w:pStyle w:val="BookText"/>
        <w:rPr/>
      </w:pPr>
      <w:r>
        <w:rPr>
          <w:rFonts w:ascii="Amiri" w:hAnsi="Amiri" w:eastAsia="Amiri" w:cs="Amiri"/>
          <w:color w:val="111111"/>
          <w:sz w:val="28"/>
          <w:sz w:val="28"/>
          <w:szCs w:val="28"/>
          <w:rtl w:val="true"/>
          <w:lang w:bidi="ar-SA"/>
        </w:rPr>
        <w:t xml:space="preserve">يعدّ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العظمى سيّدنا الإمام الخميني قدس سره حلقة فقهية مكمّلةً في عصرها لسائر حلقات التراث النفيس لفقه الشيعة الإمامية كثّرهم اللَّه تعالى، فهو مجموعة فقهية كاملة من كتاب الطهارة إلى كتاب الديات بضميمة المسائل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صار في زمانه منبعاً للفيض الفقهي بفضل ما حواه من الدقّة والاستيعاب والتفصيل في عرض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 كتاب فتوائي لذا يمكنه أن يتبوّأ مكانه السامي في دروس الحوزة الفقهية الاختصاصية من خلال شرحه شرحاً استدلالياً مبسوطاً، وقد سبق إلى هذا الميدان بعض فقهائنا المعاصرين، نخصّ بالذكر منهم المرجع الديني الكبير سماحة آية اللَّه العظمى الشيخ الفاضل اللنكراني دام ظلّه، حيث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الشريعة في شرح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آية اللَّه الشيخ أحمد المطهّري رحمه الله حيث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تحرير الوسيلة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مؤسّسة تنظيم ونشر آثار الإمام الخميني قدس سره قد أخذت على عاتقها حفظ ونشر الآراء والمباني الفكرية للإمام الراحل قدس سره لذا فقد دعت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فضلاء وأساتذة الحوزة العلمية بقم المقدّسة ممّن لهم معرفة بالآراء والمباني الاصولية والفقهية للإمام قدس سره فشكّلت منهم لجنة مهمّتها شرح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استدلالياً مبسوطاً موضّحاً للُاسس والركائز التي استند إليها قدس سره في فتاواه، وعلى أن يبذل قصارى الجهد في بيان أدلّته من خلال سائر كتبه وتقريرات بحثه الشريف، فشرعت اللجنة أوّلًا ببحث الاجتهاد والتقليد؛ لكونه أوّل 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 نّه قدس سره كان قد شرح هذا البحث بنفسه شرحاً استدلالياً في رسالة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مع إذعاننا بإمكان إنجاز هذا العمل بصورة أفضل بكثير ممّا هو عليها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ندعو المتخصّصين في ميداني الفقه والاصول إلى أن يفيضوا علينا بما جادت به أنظارهم المكمّلة وانتقاداتهم البنّاءة؛ لندرجها في الطبعة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نأمل أن يكون هذا الأثر واجداً لميزتين رئيسيّتين تبرّران السعي الجادّ والعمل الدؤوب والنفقات المبذولة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اسلوب العمل الجمعي، لا الفردي، حيث قام أحد أعضاء اللجنة ببيان دليل المسألة أوّلًا، ثمّ نقده باقي الأعضاء ومحّصوه على مدى أيّام عديدة أحياناً، وبعدها تمّ ملاحظة وإدخال هذه التعديلات على دليل المسألة من قبل المدوّن وبإشراف المسؤول عن اللجنة، وفي هذه المرحلة قد يتمّ إصلاح الدليل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قوّمنا المتن تقويماً علمياً من خلال مراجعة الأدلّة والمستندات بهدف زيادة استحكام المطالب وسدّ خللها مهما أمكن، مع إيقاع التناسب والتوحيد بين سائر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تمّ تقويم المتن تقويماً أدبياً وفنّياً؛ كي يكون الكتاب بمستوى من الوضوح والبيان، وليتناسب مع لغة هذا العصر وأساليبه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اللازم علينا أن نذكر أعضاء اللجنة رعايةً للأمانة العلمية، وتقديراً</w:t>
      </w:r>
    </w:p>
    <w:p>
      <w:pPr>
        <w:pStyle w:val="BookText"/>
        <w:rPr/>
      </w:pPr>
      <w:r>
        <w:rPr>
          <w:rFonts w:ascii="Amiri" w:hAnsi="Amiri" w:eastAsia="Amiri" w:cs="Amiri"/>
          <w:color w:val="111111"/>
          <w:sz w:val="28"/>
          <w:sz w:val="28"/>
          <w:szCs w:val="28"/>
          <w:rtl w:val="true"/>
          <w:lang w:bidi="ar-SA"/>
        </w:rPr>
        <w:t>لجهودهم التي بذلوها في هذا السبيل، وهم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والمسلمين الشيخ محمّد كاظم رحمان ستايش، حيث أعدّ أدلّة المسائل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الإسلام والمسلمين الشيخ سيف اللَّه صرّامي، حيث أعدّ أدلّة المسائل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وحجّة الإسلام والمسلمين السيّد أحمد الحسيني الخراساني، حيث أعدّ أدلّة المسائل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الإسلام والمسلمين الشيخ أحمد المبلّغي، حيث أعدّ أدلّة المقدّمة المذكورة قبل المسائل، مع المسألتين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الإسلام والمسلمين الشيخ كاظم قاضي‌زاده، حيث أعدّ أدلّة المسألتين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 هذه المسائل وإن كتبت أوّلًا من قِبَل شخصين، إلّاأنّا نسبناها إلى من وضع إطارها العامّ الكلّي، ولم نشر إلى الشخص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الواجب علينا أن نخصّ بالشكر كلّاً من سماحة حجّة الإسلام والمسلمين كاظم قاضي زاده الذي تولّى إدارة هذا المشروع في بدايته، ومن سماحة حجّة الإسلام والمسلمين سيف اللَّه صرّامي الذي تولّي إدارة شؤونه فيما بعد حتّى نهاية المطاف</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الكتاب على مقدّمة نافعة أعدّها سماحة حجّة الإسلام والمسلمين محمّد كاظم رحمان ستايش، نبّه فيها على الجذور التأريخية للمسائل</w:t>
      </w:r>
    </w:p>
    <w:p>
      <w:pPr>
        <w:pStyle w:val="BookText"/>
        <w:rPr/>
      </w:pPr>
      <w:r>
        <w:rPr>
          <w:rFonts w:ascii="Amiri" w:hAnsi="Amiri" w:eastAsia="Amiri" w:cs="Amiri"/>
          <w:color w:val="111111"/>
          <w:sz w:val="28"/>
          <w:sz w:val="28"/>
          <w:szCs w:val="28"/>
          <w:rtl w:val="true"/>
          <w:lang w:bidi="ar-SA"/>
        </w:rPr>
        <w:t>المطروحة في الاجتهاد والتقليد، كما تتبّع الكتب والرسائل المؤلّفة في هذين المجالين ملاحظاً التدرّج الزمني في تأليفها، وما توفيقنا إلّاباللَّه عليه توكّلنا، وإليه ننيب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قم المقدّسة</w:t>
      </w:r>
      <w:bookmarkStart w:id="10" w:name="pg1790_14552"/>
    </w:p>
    <w:p>
      <w:pPr>
        <w:pStyle w:val="Heading2"/>
        <w:numPr>
          <w:ilvl w:val="1"/>
          <w:numId w:val="1"/>
        </w:numPr>
        <w:rPr/>
      </w:pPr>
      <w:bookmarkStart w:id="11" w:name="__RefHeading___Toc2371532_3650668749"/>
      <w:bookmarkStart w:id="12" w:name="_Toc4"/>
      <w:bookmarkEnd w:id="10"/>
      <w:bookmarkEnd w:id="11"/>
      <w:r>
        <w:rPr>
          <w:rtl w:val="true"/>
        </w:rPr>
        <w:t>مقدّمة التحقيق‌</w:t>
      </w:r>
      <w:bookmarkEnd w:id="12"/>
    </w:p>
    <w:p>
      <w:pPr>
        <w:pStyle w:val="BookText"/>
        <w:rPr/>
      </w:pPr>
      <w:r>
        <w:rPr>
          <w:rFonts w:ascii="Amiri" w:hAnsi="Amiri" w:eastAsia="Amiri" w:cs="Amiri"/>
          <w:color w:val="111111"/>
          <w:sz w:val="28"/>
          <w:sz w:val="28"/>
          <w:szCs w:val="28"/>
          <w:rtl w:val="true"/>
          <w:lang w:bidi="ar-SA"/>
        </w:rPr>
        <w:t>مقدّمة التحقيق‌</w:t>
      </w:r>
    </w:p>
    <w:p>
      <w:pPr>
        <w:pStyle w:val="Heading2"/>
        <w:numPr>
          <w:ilvl w:val="1"/>
          <w:numId w:val="1"/>
        </w:numPr>
        <w:rPr/>
      </w:pPr>
      <w:bookmarkStart w:id="13" w:name="__RefHeading___Toc2371534_3650668749"/>
      <w:bookmarkStart w:id="14" w:name="_Toc5"/>
      <w:bookmarkEnd w:id="13"/>
      <w:r>
        <w:rPr>
          <w:rtl w:val="true"/>
        </w:rPr>
        <w:t>مسيرة البحث عن الاجتهاد والتقليد</w:t>
      </w:r>
      <w:bookmarkEnd w:id="14"/>
    </w:p>
    <w:p>
      <w:pPr>
        <w:pStyle w:val="Heading3"/>
        <w:numPr>
          <w:ilvl w:val="2"/>
          <w:numId w:val="1"/>
        </w:numPr>
        <w:rPr/>
      </w:pPr>
      <w:bookmarkStart w:id="15" w:name="__RefHeading___Toc2371536_3650668749"/>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عرف الاجتهاد في عصر الأئمّة عليهم السلام بشهادة الأخبار المستفيضة التي تدلّ بأنحائها عليه، كما عرف في ذلك العصر إرجاع الأئمّة عليهم السلام شيعتهم إلى الفقهاء، وهو ما يعبّر عنه بظاهرة التقليد؛ انطلاقاً من عدّة عوامل دعت إلى ظهوره في عصرهم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تأخّر البحث عن نفس الاجتهاد وحقيقته وشروطه وأنحائه وكذا التقليد، إلى أوائل الغيبة الكبرى؛ على الرغم من طرح مباحث الاجتهاد والتقليد في علمي الكلام واصول الفقه عند العامّة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تقدّم العامّة في هذه المباحث، تقدّم حاجتهم إليهما بسبب الظروف الخاصّة التي مرّت بهم؛ من جهة ابتعادهم عن عصر النبي صلى الله عليه و آله والصحابة، وعدم تمكّنهم من الوصول إلى الحكم الشرعي إلّاعن طريق الاجتهاد، الذي كان في بدو أمره مرادفاً للقياس، فبحثوا عن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زمن بعيد، وبالتحديد من عصر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وبيّنوا أحكامه وشروطه بوضوح</w:t>
      </w:r>
      <w:bookmarkStart w:id="17" w:name="pg1790_14553"/>
    </w:p>
    <w:p>
      <w:pPr>
        <w:pStyle w:val="BookText"/>
        <w:rPr/>
      </w:pPr>
      <w:bookmarkEnd w:id="17"/>
      <w:r>
        <w:rPr>
          <w:rFonts w:ascii="Amiri" w:hAnsi="Amiri" w:eastAsia="Amiri" w:cs="Amiri"/>
          <w:color w:val="111111"/>
          <w:sz w:val="28"/>
          <w:sz w:val="28"/>
          <w:szCs w:val="28"/>
          <w:rtl w:val="true"/>
          <w:lang w:bidi="ar-SA"/>
        </w:rPr>
        <w:t xml:space="preserve">في القرن الرابع الهجري، كما ظهر التقليد أيضاً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تقسيم البحث إلى مراحل</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371538_3650668749"/>
      <w:bookmarkStart w:id="19" w:name="_Toc7"/>
      <w:bookmarkEnd w:id="18"/>
      <w:r>
        <w:rPr>
          <w:rtl w:val="true"/>
        </w:rPr>
        <w:t>المرحلة الاولى</w:t>
      </w:r>
      <w:r>
        <w:rPr>
          <w:rtl w:val="true"/>
        </w:rPr>
        <w:t xml:space="preserve">: </w:t>
      </w:r>
      <w:r>
        <w:rPr>
          <w:rtl w:val="true"/>
        </w:rPr>
        <w:t>بروز الاجتهاد والتقليد علمياً</w:t>
      </w:r>
      <w:bookmarkEnd w:id="19"/>
    </w:p>
    <w:p>
      <w:pPr>
        <w:pStyle w:val="BookText"/>
        <w:rPr/>
      </w:pPr>
      <w:r>
        <w:rPr>
          <w:rFonts w:ascii="Amiri" w:hAnsi="Amiri" w:eastAsia="Amiri" w:cs="Amiri"/>
          <w:color w:val="111111"/>
          <w:sz w:val="28"/>
          <w:sz w:val="28"/>
          <w:szCs w:val="28"/>
          <w:rtl w:val="true"/>
          <w:lang w:bidi="ar-SA"/>
        </w:rPr>
        <w:t>صار التقليد موضوعاً خاصّاً للمباحث العلمية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اطلق في تلك المدّة على المجتهد في الأحكام الشرعية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مدرسة أهل البيت عليهم السلام ولسان أصحاب الأئمّة الأطهار، ولم نجد في المصادر الروائية والتأريخية، ما يدلّ على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دام الأمر على ذلك إلى أن وقعت الغيبة الكبرى، فارتفع معظم مبرّرات التقيّة؛ بسبب إعراض خلفاء بني العبّاس عن الشيعة، لعدم كون الإمام ظاهراً ليخافونه على ملكهم، وانضمّ إلى ذلك ظهور قوم من الشيعة لهم دولة وشوكة، كسلاطين آل بويه، وامراء بني حمدان، وغيرهم، فظهر أمر الشيعة، ونشأ فيهم علماء فضلاء في الكلام، كالشيخ المفيد، والسيّد المرتضى، والشيخ الطوسي، وغيرهم، فنظروا في كتب العامّة، وبحثوا معهم في الاصول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مدار العامّة في الفقه على الاعتبارات العقلية، كاجتهاد الرأي، والقياس، والاستحسان، وغير ذلك ممّا أحدثوه في الدين، وكانوا يسمّون الملكة التي يقتدر بها على استنباط الفروع من تلك الاصول الموضوعة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الشيعة، فقد دأبوا في ذلك الزمان على مناقشة العامّة في الاصول والفروع،</w:t>
      </w:r>
    </w:p>
    <w:p>
      <w:pPr>
        <w:pStyle w:val="BookText"/>
        <w:rPr/>
      </w:pPr>
      <w:r>
        <w:rPr>
          <w:rFonts w:ascii="Amiri" w:hAnsi="Amiri" w:eastAsia="Amiri" w:cs="Amiri"/>
          <w:color w:val="111111"/>
          <w:sz w:val="28"/>
          <w:sz w:val="28"/>
          <w:szCs w:val="28"/>
          <w:rtl w:val="true"/>
          <w:lang w:bidi="ar-SA"/>
        </w:rPr>
        <w:t>ومقابلتهم في كلّ ما يبدعونه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خالف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يبطله من أدلّة العقل و النقل؛ حتّى لا يمكنهم إنكارها، ولا ردّها، فسمّوا طريقهم في مقابلتهم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والعارف بمذهب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يخرجوا عن العمل بكلام الأئمّة عليهم السلام فإن استدلّوا على فرع بغير النصّ، فليس هذا لأنّه مدرك شرعي عندهم، بل لإلزام الخصم؛ وبيان أنّ ما نقل عن الأئمّة عليهم السلام ممّا تعاضد فيه العقل والنقل، فمدرك الحكم عندهم النصّ لا غير، والعقل مؤيّد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ديدنهم من عصر الأئمّة عليهم السلام إلى أواخر المئة الخامسة من الهجرة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فأصحابنا رحمهم الله وقفوا بوجه الاتجاهات العامّية في الاجتهاد، وفي نفس الوقت دافعوا عن الاجتهاد والفقاهة على أساس النصّ الشرعي، والشاهد على ذلك ما وصل إلينا من أسماء كتبهم في الفهارس، حيث ظهرت القرن الرابع الهجري تأليفات في هذا المضمار،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عيسى بن أبان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لأبي سهل إسماعيل بن علي بن إسحاق النوبختي، الذي كان حاضراً عند وفاة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بعنوان 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أصحاب الاجتهاد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أبي القاسم علي بن أحمد الكوفي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إظهار ما ستره أهل العناد من الرواية عن أئمّة العترة في أمر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محمّد بن أحمد بن الجنيد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الكتابين الأوّلين كانا في مقام الردّ على الاجتهاد المعروف عند العامّة؛ أي‌القياس، ولعلّ ما كتبه الشيخ الإسكافي كان دفاعاً عن الاجتهاد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فلم تصل إلينا هذه الكتب حتّى نطّلع على ما فيها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ملامح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أهمّ ملامح هذه المرحلة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المرحلة تابعة لمسيرة أصحاب الأئمّة عليهم السلام وتعدّ تطوّراً لها، ولذا قلّت الحاجة إلى الاجتهاد المصطلح؛ على الرغم من إعداد الإمامين الباقر والصادق عليهما السلام جماعة من الشيعة الإمامية للاستقلال الفكري، ورفدهم أصحابهم المستعدّين بما يمكّنهم من الاستمرار في حياتهم الثقافية على ضوء تعاليمهم الاصولية، فقد وضع الإمامان ومن بعدهما من الأئمّة عليهم السلام الأساس لتشييد القواعد الاصولية والفقهية، وبيّنوا أنّ المكلّف إمّا أن يكون عالماً، أو متعلّماً يأخذ منهم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بيّنوا أنّ وظيفة فضلاء أصحابهم، التفريع على الاصول المأخوذ عنهم عليهم السلام</w:t>
      </w:r>
      <w:r>
        <w:rPr>
          <w:rStyle w:val="FootnoteAnchor"/>
          <w:rtl w:val="true"/>
        </w:rPr>
        <w:footnoteReference w:id="6"/>
      </w:r>
      <w:r>
        <w:rPr>
          <w:rFonts w:ascii="Amiri" w:hAnsi="Amiri" w:eastAsia="Amiri" w:cs="Amiri"/>
          <w:color w:val="111111"/>
          <w:sz w:val="28"/>
          <w:sz w:val="28"/>
          <w:szCs w:val="28"/>
          <w:rtl w:val="true"/>
          <w:lang w:bidi="ar-SA"/>
        </w:rPr>
        <w:t>، ولذا فحينما نراجع الأخبار المروية عن هذين الإمامين، نرى تغيير اسلوب تعليمهم من الحفظ والاستظهار الشائعين في تلك الأعصار، إلى البحث والاستقراء في حلقات التعليم، فبرز الحوار والمناقشة والنقد، وانبثقت الآراء في القضايا الدائرة بينهم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فالفقيه في تلك الأعصار يمكنه التوصّل إلى الحكم الشرعي؛ إمّا من نصّ صريح في موضوع، أو من تطبيق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قنّنها الأئمّة عليهم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الموضوع؛ من دون حاجة إلى الاجتهاد المصطلح</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في بداية عصر الغيبة، أخذوا بحقيقة الاجتهاد، وكانوا يعرفونه، ولم يكن مخترعاً من عند أنفسهم، بل كان الاجتهاد عندهم نتيجة لإرشادات الأئمّة إلى فقهاء أصحابنا القدامى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الالتزام بالنصّ دون الرأي،</w:t>
      </w:r>
      <w:bookmarkStart w:id="20" w:name="pg1790_14556"/>
    </w:p>
    <w:p>
      <w:pPr>
        <w:pStyle w:val="BookText"/>
        <w:rPr/>
      </w:pPr>
      <w:bookmarkEnd w:id="20"/>
      <w:r>
        <w:rPr>
          <w:rFonts w:ascii="Amiri" w:hAnsi="Amiri" w:eastAsia="Amiri" w:cs="Amiri"/>
          <w:color w:val="111111"/>
          <w:sz w:val="28"/>
          <w:sz w:val="28"/>
          <w:szCs w:val="28"/>
          <w:rtl w:val="true"/>
          <w:lang w:bidi="ar-SA"/>
        </w:rPr>
        <w:t>كان ميّزة أساسية لهذه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المرحلة، تمّ تدوين القواعد الاصولية المتلقّاة عن أئمّة الهدى عليهم السلام بالنحو الذي كان متيسّراً لهم في تلك العصور، وعلى أساس مدركاتهم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إلّاأنّنا لا يمكننا إنكار سذاجة المباحث الاصولية والفقهية؛ خصوصاً مبحث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المرحلة في الحقيقة، حلقة وصل بين عصر الحضور وعصر الغيبة، ولها أهمّية خاصّة في نموّ البذور العلمية للشيعة الإمامية وغيرهم في مختلف المجالات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371540_3650668749"/>
      <w:bookmarkStart w:id="22" w:name="_Toc8"/>
      <w:bookmarkEnd w:id="21"/>
      <w:r>
        <w:rPr>
          <w:rtl w:val="true"/>
        </w:rPr>
        <w:t>المرحلة الثانية</w:t>
      </w:r>
      <w:r>
        <w:rPr>
          <w:rtl w:val="true"/>
        </w:rPr>
        <w:t xml:space="preserve">: </w:t>
      </w:r>
      <w:r>
        <w:rPr>
          <w:rtl w:val="true"/>
        </w:rPr>
        <w:t>انعقاد البحث عن الاجتهاد والتقليد في كتب الاصول‌</w:t>
      </w:r>
      <w:bookmarkEnd w:id="22"/>
    </w:p>
    <w:p>
      <w:pPr>
        <w:pStyle w:val="BookText"/>
        <w:rPr/>
      </w:pPr>
      <w:r>
        <w:rPr>
          <w:rFonts w:ascii="Amiri" w:hAnsi="Amiri" w:eastAsia="Amiri" w:cs="Amiri"/>
          <w:color w:val="111111"/>
          <w:sz w:val="28"/>
          <w:sz w:val="28"/>
          <w:szCs w:val="28"/>
          <w:rtl w:val="true"/>
          <w:lang w:bidi="ar-SA"/>
        </w:rPr>
        <w:t>تعرّض أعلامنا الاصوليون لمبحث الاجتهاد والتقليد في بداية القرن الخامس الهجري، وهو بداية عصر التأليف الاصولي على ضوء الفكر الإمامي، وفي مقدّمتهم السيّد المرتضى، والشيخ الطوسي، فلابدّ أن نذكر خلاصة هذا البحث عندهما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والاجتهاد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السيّد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اصول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أكبر تأليفات الشيعة الإمامية في اصول الفقه عبر عدّة قرون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الاجتهاد هو إثبات الأحكام الشرعية بغير النصوص وأدلّتها، بل بما طريقه الأمارات والظنون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عبارته أنّه يريد بالنصوص، الصريحة القطعية، وكذلك الأمر بالنسبة إلى الأدلّة، وفي قبال ذلك يذكر أنّ الطريق إلى الأحكام هو الظنّ، دون القطع الحاصل من النصّ الصريح والدليل القطعي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على أساس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المعقول أن يتعبّدنا اللَّه تعالى بالقياس، الذي</w:t>
      </w:r>
    </w:p>
    <w:p>
      <w:pPr>
        <w:pStyle w:val="BookText"/>
        <w:rPr/>
      </w:pPr>
      <w:r>
        <w:rPr>
          <w:rFonts w:ascii="Amiri" w:hAnsi="Amiri" w:eastAsia="Amiri" w:cs="Amiri"/>
          <w:color w:val="111111"/>
          <w:sz w:val="28"/>
          <w:sz w:val="28"/>
          <w:szCs w:val="28"/>
          <w:rtl w:val="true"/>
          <w:lang w:bidi="ar-SA"/>
        </w:rPr>
        <w:t>هو حمل الفروع على الاصول، وهو داخل في الاجتهاد؛ إذ هو أيضاً من الظنون، إلّا أنّه لم يتعبّدنا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واجتهاد الرسول فيما لم يتعبّدنا الشارع به، غير ممكن بطريق أولى، فلا مجال له على رأي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بحث عن صفة المفتي والمستفتي وطريقة التقليد؛ استناداً في حكم جواز التقليد إلى السيرة المستمرّة المتشرّعية من جميع الامّة على وجوب رجوع العامّي إلى المفتي،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صفة المفتي، فهي أن يكون عالماً بالاصول تفصيلًا، وبطريقة استخراج الأحكام من الكتاب والسنّة، وعالماً باللغة والعربية؛ بما يحتاج إليها في ذلك، ويكون مع هذه العلوم ورعاً، ديّناً، صيّناً، عدلًا، متنزّهاً؛ حتّى يحسن تقليده والسكون إلى نصيحته وأمانته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اشتراط الأعلمية إذا تعدّد العلماء</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ويتعرّض السيّد في كتابه هذا للعامّة وشبهاتهم، كما يظهر من مخاطبته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بالإحاطة الكاملة بآراء المتكلّمين والاصوليين من العامّة، وبإرثه لعلم متقدّمي الأصحاب القائم على أساس مدرسة النصّ ومدرسة العقل، ولذا أنكر الاجتهاد بما له من المعنى عند العامّة؛ أي‌القياس، فقال في الفصل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القياس والاجتهاد، فعندنا أنّهما ليس بدليلين، بل محظور استعمالهما، ونحن نبيّن ذلك فيما بعد، ونبيّن أيضاً ما عندنا في صفة المفتي والمستفتي</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عقد الباب الحادي عشر للكلام في الاجتهاد، وأورد في الفصل الأوّل منه اختلاف آراء متكلّمي العامّة وفقهائهم في أنّ كلّ مجتهد مصيب في اجتهاده وفي</w:t>
      </w:r>
    </w:p>
    <w:p>
      <w:pPr>
        <w:pStyle w:val="BookText"/>
        <w:rPr/>
      </w:pPr>
      <w:r>
        <w:rPr>
          <w:rFonts w:ascii="Amiri" w:hAnsi="Amiri" w:eastAsia="Amiri" w:cs="Amiri"/>
          <w:color w:val="111111"/>
          <w:sz w:val="28"/>
          <w:sz w:val="28"/>
          <w:szCs w:val="28"/>
          <w:rtl w:val="true"/>
          <w:lang w:bidi="ar-SA"/>
        </w:rPr>
        <w:t>حكمه، أو أنّ الحقّ في واحد فقط؟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جميع شيوخنا المتكلّمين المحقّقين من المتقدّمين والمتأخّرين، وهو الذي اختاره سيّدنا المرتضى رحمه الله وإليه كان يذهب شيخنا أبو عبداللَّه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واحد، وأنّ عليه دليلًا من خالفه كان مخطئاً فاسقاً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وذكر أنّ الأصل في هذه المسألة، القول بالقياس والعمل بأخبار الآحاد التي اختصّ المخالف بروايتها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كلامه هذا، أنّ الاجتهاد في كلامه وفي عصره كان عنواناً للقياس المحظور عندنا، وعلى هذا الأساس أيضاً نفى اجتهاد الرسول في الأحكام في الفصل الثالث من هذا الباب</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يستفاد منه أنّ العامّي، لابدّ أن يرجع إلى الفتوى الصادرة من العالم بالأحكام الشرعية، وبمقدّمات العلم بها، ويعبّر عندنا عن هذا العالم بالمفتي، وعن العامّي المراجع إليه بالمستفتي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يشترط في المفتي أن يكون عالماً بالعقائد، واصول استنباط الأحكام؛ من الكتاب، والسنّة، والإجماع، دون القياس،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 يشترط في المستفتي أن لا يكون قادراً على البحث والتفتيش عن أدلّة الأحكام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جواز تقليد العامّي للعالم في الأحكام، بالسيرة المتشرّعية منذ عهد أمير المؤمنين عليه السلام إلى زمانه؛ من غير نكير من أحد ومن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العقائد، فلا يجوز التقليد؛ لقيام الأدلّة العقلية والشرعية على بطلانه، وأنّ المقلّد فيها</w:t>
      </w:r>
    </w:p>
    <w:p>
      <w:pPr>
        <w:pStyle w:val="BookText"/>
        <w:rPr/>
      </w:pPr>
      <w:r>
        <w:rPr>
          <w:rFonts w:ascii="Amiri" w:hAnsi="Amiri" w:eastAsia="Amiri" w:cs="Amiri"/>
          <w:color w:val="111111"/>
          <w:sz w:val="28"/>
          <w:sz w:val="28"/>
          <w:szCs w:val="28"/>
          <w:rtl w:val="true"/>
          <w:lang w:bidi="ar-SA"/>
        </w:rPr>
        <w:t>غير مؤاخذ به ومعفوّ عنه؛ ولو كان مخطئاً لاعتقاده الحقّ، وإن لم يسند ذلك إلى حجّة عقل، أو شرع</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إدريس الحلّي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الشيخ الطوسي من الهيمنة بآرائه على أعلام مفكّري الشيعة نحو قرنٍ كامل؛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علماء هذا القرن كانوا مقلّدة لشيخ الطائفة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جاء دور 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إحياء الاجتهاد بالمعنى المعروف منه عند أصحابنا في القرون الاولى؛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القياس والاستحسان والاجتهاد باطل عندنا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فهذا التعبير نصّ في تداول التعبير عن القياس وأخويه بالاجتهاد، وفي كونها موضع إنكار فقهائنا الإمامية القدامى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 نفس الوقت، سلك طريق الاستنباط والاستدلال على الفروع الفقهية، واستعان في ذلك بالمسائل الاصولية، واللغوية، والعرفية، والعلوم الروائية، وغيرها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هذه المرحلة مرحلة تطوّر العلوم الإسلامية في مدرسة أهل البيت عليهم السلام وقد اتسمت بملامح خاصّة، إليك بعضاً منها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الجذري بين البحوث الإسلامية، وتخصيص كلّ منها بدراسة معيّنة، فكتبوا في الاصول دراسات خاصّة به، وكذا في الكلام، والفقه، وغيرها من العلوم؛ في حين لم يكن كثير من مباحث المرحلة السابقة، مستقلّة في التدوين، بل كان فيها اختلاط واضح</w:t>
      </w:r>
      <w:r>
        <w:rPr>
          <w:rFonts w:eastAsia="Amiri" w:cs="Amiri" w:ascii="Amiri" w:hAnsi="Amiri"/>
          <w:color w:val="111111"/>
          <w:sz w:val="28"/>
          <w:szCs w:val="28"/>
          <w:rtl w:val="true"/>
          <w:lang w:bidi="ar-SA"/>
        </w:rPr>
        <w:t>.</w:t>
      </w:r>
      <w:bookmarkStart w:id="23" w:name="pg1790_14560"/>
    </w:p>
    <w:p>
      <w:pPr>
        <w:pStyle w:val="BookText"/>
        <w:rPr/>
      </w:pPr>
      <w:bookmarkEnd w:id="2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الكتب الاستدلالية بنحو موسّع في مختلف مجالات البحث، ومنها المباحث الاصولية وتعدّ كتب الشيخ المفيد والسيّد المرتضى والشيخ الطوسي قدست أسرارهم من أوائل الدراسات الاصولية الاستدلالية للشيعة الإمامية، والتي عالجوا فيها أهمّ مسائلها، ومنها مبحث الاجتهاد والتقليد، بينما لم يكن البحث معنوناً في الكتب السابقة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اختلفوا في تحديد مصطلح الاجتهاد؛ فذهب بعضهم إلى أنّ المراد منه ما يساوي القياس العامّي المنهي عنه، وذهب آخر إلى أنّه الفقاهة والعلم واستنباط الأحكام من الأدلّة المعتبرة الشرعية، ولذا أنكر الاجتهاد بعضهم أخذاً بالمعنى الأوّل، بينما أثبته بعضهم أخذاً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مسائل الاجتهاد والتقليد في هذه المرحلة، لا تتجاوز بضع مسائل مهمّة أصلية، فكانت محدودة أشدّ التحديد</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371542_3650668749"/>
      <w:bookmarkStart w:id="25" w:name="_Toc9"/>
      <w:bookmarkEnd w:id="24"/>
      <w:r>
        <w:rPr>
          <w:rtl w:val="true"/>
        </w:rPr>
        <w:t>المرحلة الثالثة</w:t>
      </w:r>
      <w:r>
        <w:rPr>
          <w:rtl w:val="true"/>
        </w:rPr>
        <w:t xml:space="preserve">: </w:t>
      </w:r>
      <w:r>
        <w:rPr>
          <w:rtl w:val="true"/>
        </w:rPr>
        <w:t>تطوّر مصطلح الاجتهاد عند الإمامية</w:t>
      </w:r>
      <w:bookmarkEnd w:id="25"/>
    </w:p>
    <w:p>
      <w:pPr>
        <w:pStyle w:val="BookText"/>
        <w:rPr/>
      </w:pPr>
      <w:r>
        <w:rPr>
          <w:rFonts w:ascii="Amiri" w:hAnsi="Amiri" w:eastAsia="Amiri" w:cs="Amiri"/>
          <w:color w:val="111111"/>
          <w:sz w:val="28"/>
          <w:sz w:val="28"/>
          <w:szCs w:val="28"/>
          <w:rtl w:val="true"/>
          <w:lang w:bidi="ar-SA"/>
        </w:rPr>
        <w:t>قد عرفت ممّا مرّ اقتران مصطلح الاجتهاد بنوع من الكراهية والنفور في أذهان فقهاء الإمامية، وذلك نتيجة وقوف الأئمّة المعصومين عليهم السلام بوجه القياس في الدين، وإبطاله بأشدّ ما يمكن من الأدلّة والحجج، إلّاأنّه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هذا المصطلح على يد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عقد باباً لبيان حقيقة الاجتهاد قال فيه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في عرف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الجهد في استخراج الأحكام الشرعية، وبهذا الاعتبار يكون استخراج الأحكام من أدلّة الشرع اجتهاداً؛ لأنّها تبتني على اعتبارات نظرية ليست مستفادة من ظواهر النصوص في الأكثر، سواء كان ذلك الدليل قياساً، أو غيره، فيكون القياس على هذا التقرير أحد أقسام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أن يكون الإمامية من أهل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 لكن فيه إيهام؛ من حيث إنّ القياس من جملة الاجتهاد، فإذا استثني القياس، كنّا من أهل الاجتهاد في تحصيل الأحكام بالطرق النظرية التي ليس أحدها القياس</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بحث في الفصل الثاني من ذلك الباب عن القياس</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في الباب العاشر من الكتاب لذكر مسائل في المفتي والمستفتي</w:t>
      </w:r>
      <w:r>
        <w:rPr>
          <w:rStyle w:val="FootnoteAnchor"/>
          <w:rtl w:val="true"/>
        </w:rPr>
        <w:footnoteReference w:id="19"/>
      </w:r>
      <w:r>
        <w:rPr>
          <w:rFonts w:ascii="Amiri" w:hAnsi="Amiri" w:eastAsia="Amiri" w:cs="Amiri"/>
          <w:color w:val="111111"/>
          <w:sz w:val="28"/>
          <w:sz w:val="28"/>
          <w:szCs w:val="28"/>
          <w:rtl w:val="true"/>
          <w:lang w:bidi="ar-SA"/>
        </w:rPr>
        <w:t>، وبيّن أحكام التقليد والإفتاء في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حقيقة الاجتهاد وانطباق مفهومه على القياس في برهة من الزمان، لم يؤثّر في مسألة التقليد، فهي كانت مسلّمة عند الكلّ، وإنّما الخلاف في تسمية الاجتهاد فقط، وهذا الخلاف زال على يد المحقّق الحلّي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تعرّض المحقّق الحلّي أيضاً لخلاف بعض المعتزلة في جواز التقليد مطلقاً، وردّهم بالدليل</w:t>
      </w:r>
      <w:r>
        <w:rPr>
          <w:rStyle w:val="FootnoteAnchor"/>
          <w:rtl w:val="true"/>
        </w:rPr>
        <w:footnoteReference w:id="20"/>
      </w:r>
      <w:r>
        <w:rPr>
          <w:rFonts w:ascii="Amiri" w:hAnsi="Amiri" w:eastAsia="Amiri" w:cs="Amiri"/>
          <w:color w:val="111111"/>
          <w:sz w:val="28"/>
          <w:sz w:val="28"/>
          <w:szCs w:val="28"/>
          <w:rtl w:val="true"/>
          <w:lang w:bidi="ar-SA"/>
        </w:rPr>
        <w:t>، كما تعرّض لخلاف الحشوية القائلين بجواز التقليد في العقائد واصولها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كلامهم في بيان شروط القاضي، على تعارف الاجتهاد بمعناه الحقّ عند أصحابنا القدامى؛ وإن أطلقوا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أن يكون القاضي عاقلًا، كاملًا، عالماً بالكتاب، وناسخه ومنسوخه، وعامّه وخاصّه، وندبه وإيجابه، ومحكمه ومتشابهه، عارفاً بالسنّة، وناسخها</w:t>
      </w:r>
    </w:p>
    <w:p>
      <w:pPr>
        <w:pStyle w:val="BookText"/>
        <w:rPr/>
      </w:pPr>
      <w:r>
        <w:rPr>
          <w:rFonts w:ascii="Amiri" w:hAnsi="Amiri" w:eastAsia="Amiri" w:cs="Amiri"/>
          <w:color w:val="111111"/>
          <w:sz w:val="28"/>
          <w:sz w:val="28"/>
          <w:szCs w:val="28"/>
          <w:rtl w:val="true"/>
          <w:lang w:bidi="ar-SA"/>
        </w:rPr>
        <w:t>ومنسوخها، عالماً باللغة، مطّلعاً بمعاني كلام العرب، بصيراً بوجوه الإعراب، ورعاً عن محارم اللَّه عزّ وجلّ، زاهداً في الدنيا، متوفّراً على الأعمال الصالحات، مجتنباً للذنوب والسيّئات، شديد الحذر من الهوى، حريصاً على التقوى</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تكرّر هذا المضمون في كتب أصحابنا،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 الشيعة بمصباح الشريعة</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الحاوي لتحرير الفتاوى</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هذا التعبير في العصور المتأخّر أيضاً، إلّاأنّه قد يعبّر عن الفقيه بالمجتهد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هذه المرحلة ذهب بعض علماء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لأكثر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الاستدلال على العوامّ، واكتفوا فيه بمعرفة الإجماع الحاصل من مناقشة العلماء عند الحاجة إلى الوقائع، أو النصوص الظاهرة، أو أنّ الأصل في المنافع الإباحة، وفي المضارّ الحرمة، مع فقد نصّ قاطع في متنه ودلالته، والنصوص محصورة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26" w:name="pg1790_14563"/>
    </w:p>
    <w:p>
      <w:pPr>
        <w:pStyle w:val="BookText"/>
        <w:rPr/>
      </w:pPr>
      <w:bookmarkEnd w:id="26"/>
      <w:r>
        <w:rPr>
          <w:rFonts w:ascii="Amiri" w:hAnsi="Amiri" w:eastAsia="Amiri" w:cs="Amiri"/>
          <w:color w:val="111111"/>
          <w:sz w:val="28"/>
          <w:sz w:val="28"/>
          <w:szCs w:val="28"/>
          <w:rtl w:val="true"/>
          <w:lang w:bidi="ar-SA"/>
        </w:rPr>
        <w:t>ومن جملة علماء حلب المشار إليهم، أبو الصلاح الحلبي، والسيّد أبوالمكارم ابن زهرة الحلبي، وغيرهما من أعلام تلك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خالفهم الأكثر، بل جميع أصحابنا منذ أقدم فقيه تعرّض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وتحتاج دراسة آراء مخالفي التقليد والحكم بوجوب الاجتهاد عيناً في القرنين السادس والسابع الهجري، إلى تفصيل لايتسع المقام لإيراده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ملامح هذه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تلخيص ملامح هذه المرحلة حول الاجتهاد والتقليد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اصطلاح الاجتهاد على المعنى المقبول الإمامي، وتبيين المراد من المصطلح، وتمييزه عن المصطلح العامّي؛ وذلك على يد 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مدرسة حلب بإيجاب الاجتهاد العيني على جميع المكلّفين، وحرمة التقليد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المتأخّرون هذا الرأي أشدّ الإنكار،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ونتيجة لهذا الخلاف الأساسي، لم يوضّح في مباحث الاجتهاد والتقليد، الكثير من الفروع المحتاج إليها، وبقيت على سذاجتها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371544_3650668749"/>
      <w:bookmarkStart w:id="28" w:name="_Toc10"/>
      <w:bookmarkEnd w:id="27"/>
      <w:r>
        <w:rPr>
          <w:rtl w:val="true"/>
        </w:rPr>
        <w:t>المرحلة الرابعة</w:t>
      </w:r>
      <w:r>
        <w:rPr>
          <w:rtl w:val="true"/>
        </w:rPr>
        <w:t xml:space="preserve">: </w:t>
      </w:r>
      <w:r>
        <w:rPr>
          <w:rtl w:val="true"/>
        </w:rPr>
        <w:t>دور المتأخّرين في تطوّر مباحث الاجتهاد والتقليد</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تطوّر البحث عن الاجتهاد والتقليد على يد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يعدّ من أوائل الفقهاء المتأخّرين، فقد تعرّض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الاجتهاد وتوابعه، وبيّن حقيقة الاجتهاد، وثبوته للعلماء دون المعصومين عليهم السلام وشروط المجتهد، وتصويبه، وتفسير الاجتهاد، وجواز التقليد، وشروط الاستفتاء، وإفتاء غير المجتهد، واستفتاء من لم يبلغ مرتبة الاجتهاد،</w:t>
      </w:r>
    </w:p>
    <w:p>
      <w:pPr>
        <w:pStyle w:val="BookText"/>
        <w:rPr/>
      </w:pPr>
      <w:r>
        <w:rPr>
          <w:rFonts w:ascii="Amiri" w:hAnsi="Amiri" w:eastAsia="Amiri" w:cs="Amiri"/>
          <w:color w:val="111111"/>
          <w:sz w:val="28"/>
          <w:sz w:val="28"/>
          <w:szCs w:val="28"/>
          <w:rtl w:val="true"/>
          <w:lang w:bidi="ar-SA"/>
        </w:rPr>
        <w:t>وجواز التجزّي في الاجتهاد، ووجوب تقليد الأعلم مهما أمكن، وعدم جواز تقليد الميّت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يكون قد توسّع في مباحث الاجتهاد والتقليد بما لم يتوسّع فيها أحد قبل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اقتفى أثره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وجوب التقليد؛ خلافاً لبعض قليل من القدماء وفقهاء حلب، واعتبر اموراً ثلاثة عشر في الفقيه المفتي؛ استناداً إلى مقبولة عمر بن حنظلة، واعتبر أيضاً رأي الأعلم، واشترط الحياة في المفتي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الاجتهاد والتقليد في القرن العاشر</w:t>
      </w:r>
    </w:p>
    <w:p>
      <w:pPr>
        <w:pStyle w:val="BookText"/>
        <w:rPr/>
      </w:pPr>
      <w:r>
        <w:rPr>
          <w:rFonts w:ascii="Amiri" w:hAnsi="Amiri" w:eastAsia="Amiri" w:cs="Amiri"/>
          <w:color w:val="111111"/>
          <w:sz w:val="28"/>
          <w:sz w:val="28"/>
          <w:szCs w:val="28"/>
          <w:rtl w:val="true"/>
          <w:lang w:bidi="ar-SA"/>
        </w:rPr>
        <w:t xml:space="preserve">كان لأعلام القرن العاشر دور مهمّ وأساسي في المرحلة الرابعة من مسيرة الاجتهاد والتقليد، فقد ازدهر البحث عن الاجتهاد والتقليد ومباحثه المهمّة على يد الشيخ زين الدين بن علي العاملي المشهور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 عن هذا الموضوع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المسائل الفقهية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القضاء</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القواعد الاصولية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بحث في المقصد السابع عن جواز التقليد على العامّي، دون المجتهد، ووجوب تقليد الأعلم، وتخطئة المجتهد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بإفراد رسائل في هذا المعنى نذكرها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ظهرت في هذه المرحلة عدّة رسائل خاصّة بهذا الموضوع ومسائله، إليك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قبس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الاهتداء في شرائط الإفتاء والاستفتاء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جمهور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مباحث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الاجتهاد على جميع العباد عند عدم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بن علي بن عبدالعالي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مقالة في المنع عن تقليد الميّت بل عن البقاء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قويّاً اتّحاد هذه المقالة مع سابقتها؛ حيث أشار المحقّق الطهراني في هذه المقالة إلى محتوى الرسالة السابقة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بن علي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طبع ضمن رسائله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تخفيف العباد في بيان أحوال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وهو رسالة مختصرة تعرّض فيها 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يجب على المكلّفين عند خلوّ العصر من المجتهد،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المجتهد لم يعتبر قوله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ضمن رسائله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ولعلّها نفس الرسالة المشار إليها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الاجتهادية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معاصري الشهيد الثاني، 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نّه للسيّد فضل اللَّه الإسترآبادي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عبداللطيف ابن الشيخ نور الدين علي ابن الشيخ شهاب الدين أحمد الجامعي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من عناوين هذه الكتب والرسائل وما يحكى عن محتوياتها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إمكان خلوّ زمان عن المجتهد وكذا البحث عن حكم تقليد الميّت، كان من المسائل المبحوث عنها؛ بحيث انبعث بعض الأعلام لتأليف رسائل في هاتين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ملامح 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المرحلة عدّة ميّزات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تفنيد الفقهاء الفحول في هذه المرحلة رأي فقهاء حلب في عدم جواز التقليد، حيث ردّوا وجوب الاجتهاد عيناً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حجراً أساسياً لتطوّر بحث الاجتهاد والتقليد؛ وتقدّمه نحو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مباحث الاجتهاد والتقليد نسبياً؛ حيث تعرّضوا لتعريف الاجتهاد، وشروط المجتهد، وأدلّة جواز التقليد، ولزوم تقليد الأعلم، وحياته، والتخطئة والتصويب، والتجزّي في الاجتهاد، كما ذكروا شروط الإفتاء والاستفتاء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الكثير من الرسائل الخاصّة في مسائل الاجتهاد، خصوصاً مسألة الاجتهاد؛ وهل يجب على المكلّفين عيناً، أم لا، وكذا في مسائل التقليد، خصوصاً تقليد الميّت ابتداءً وبقاءً، فقد أثبته بعضهم، وردّه آخر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البحث عن الاجتهاد والتقليد في المباحث الفقهية على يد الشهيد الثاني؛ بعد ما كان يعدّ في المراحل السابقة من المسائل الاصولية، وقد استمرّ الأمر على هذه الوتيرة لعدّة قرون</w:t>
      </w:r>
      <w:r>
        <w:rPr>
          <w:rFonts w:eastAsia="Amiri" w:cs="Amiri" w:ascii="Amiri" w:hAnsi="Amiri"/>
          <w:color w:val="111111"/>
          <w:sz w:val="28"/>
          <w:szCs w:val="28"/>
          <w:rtl w:val="true"/>
          <w:lang w:bidi="ar-SA"/>
        </w:rPr>
        <w:t>.</w:t>
      </w:r>
      <w:bookmarkStart w:id="29" w:name="pg1790_14567"/>
    </w:p>
    <w:p>
      <w:pPr>
        <w:pStyle w:val="Heading3"/>
        <w:numPr>
          <w:ilvl w:val="2"/>
          <w:numId w:val="1"/>
        </w:numPr>
        <w:rPr/>
      </w:pPr>
      <w:bookmarkStart w:id="30" w:name="__RefHeading___Toc2371546_3650668749"/>
      <w:bookmarkStart w:id="31" w:name="_Toc11"/>
      <w:bookmarkEnd w:id="29"/>
      <w:bookmarkEnd w:id="30"/>
      <w:r>
        <w:rPr>
          <w:rtl w:val="true"/>
        </w:rPr>
        <w:t>المرحلة الخامسة</w:t>
      </w:r>
      <w:r>
        <w:rPr>
          <w:rtl w:val="true"/>
        </w:rPr>
        <w:t xml:space="preserve">: </w:t>
      </w:r>
      <w:r>
        <w:rPr>
          <w:rtl w:val="true"/>
        </w:rPr>
        <w:t>ظهور الحركة الأخبارية في القرنين الحادي والثاني عشر</w:t>
      </w:r>
      <w:bookmarkEnd w:id="3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الاجتهاد والتقليد في القرن الحادي عشر</w:t>
      </w:r>
    </w:p>
    <w:p>
      <w:pPr>
        <w:pStyle w:val="BookText"/>
        <w:rPr/>
      </w:pPr>
      <w:r>
        <w:rPr>
          <w:rFonts w:ascii="Amiri" w:hAnsi="Amiri" w:eastAsia="Amiri" w:cs="Amiri"/>
          <w:color w:val="111111"/>
          <w:sz w:val="28"/>
          <w:sz w:val="28"/>
          <w:szCs w:val="28"/>
          <w:rtl w:val="true"/>
          <w:lang w:bidi="ar-SA"/>
        </w:rPr>
        <w:t xml:space="preserve">تعدّ الحركة الأخبارية والصراع الثقافي الذي أفرزته، أعظم ما اتفق في تأريخ الفقه الإمامي، وكان على رأس هذه الحركة الشيخ محمّد أمين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استندت إلى اصول دوّنوها في كتب ورسالات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ميّزات هذه النزعة إنكارهم للاجتهاد المصطلح، فقد عقد الإسترآبادي الفصل الأوّل من كتابه في اثنتي عشرة مقدّمة</w:t>
      </w:r>
      <w:r>
        <w:rPr>
          <w:rStyle w:val="FootnoteAnchor"/>
          <w:rtl w:val="true"/>
        </w:rPr>
        <w:footnoteReference w:id="39"/>
      </w:r>
      <w:r>
        <w:rPr>
          <w:rFonts w:ascii="Amiri" w:hAnsi="Amiri" w:eastAsia="Amiri" w:cs="Amiri"/>
          <w:color w:val="111111"/>
          <w:sz w:val="28"/>
          <w:sz w:val="28"/>
          <w:szCs w:val="28"/>
          <w:rtl w:val="true"/>
          <w:lang w:bidi="ar-SA"/>
        </w:rPr>
        <w:t>، استنتج منها عدم اعتبار طريقة الاجتهاد المتعارف بين الاصوليين في الوصول إلى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ادعى وجود طريق بديل للاجتهاد، وبيّنه في الفصل الثاني إلى الفصل السابع من كتابه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 الفصل الثامن لدفع الشبهات الموثوق بصدورها المتوجّهة إلى مسلكه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تصريحه بنفي المجال للاجتهاد المصطلح، فقد كرّره ببيانات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الوجه الثاني عشر لإبطال التمسّك بالاستنباطات الظنّية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أي‌الاصوليين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صرّحوا بأنّ محلّ الاجتهاد مسألة لم تكن من ضروريات الدين، ولا من ضروريات المذهب، ولم تكن للَّه‌دلالة قطعية عليها، ونحن قد أثبتنا أنّ للَّه‌عزّوجلّ في كلّ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إليها الامّة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معيّناً، ودليلًا قطعياً عليه، وأنّ كلّ الأحكام والدلالات القطعية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النصوص الصريحة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 عند معادن وحي اللَّه تعالى، وخزّان</w:t>
      </w:r>
    </w:p>
    <w:p>
      <w:pPr>
        <w:pStyle w:val="BookText"/>
        <w:rPr/>
      </w:pPr>
      <w:r>
        <w:rPr>
          <w:rFonts w:ascii="IRNazanin" w:hAnsi="IRNazanin" w:eastAsia="IRNazanin"/>
          <w:color w:val="111111"/>
          <w:sz w:val="28"/>
          <w:sz w:val="28"/>
          <w:szCs w:val="28"/>
          <w:rtl w:val="true"/>
          <w:lang w:bidi="fa-IR"/>
        </w:rPr>
        <w:t>علمه، والناس مأمورون بطلبها من عندهم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الفصل الرابع الذي عقده لإبطال انقسام المكلّف إلى المجتهد والمقلّد،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لفاقد الملكة المعتبرة في المجتهد، أن يتمسّك في مسألة مختلف فيها بنصّ صريح خالٍ عن المعارض؛ لم يبلغ صاحب الملكة، أو بلغ ولم يطّلع على صحّته، ولا يجوز له أن يتركه ويعمل بظنّ صاحب الملكة المبني على البراءة الأصلية، أو استصحاب، أو عموم، أو إطلاق</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الفصل السابع الذي عقده لبيان من يجب الرجوع إليه في القضاء والإفتاء، حيث ذكر عدّة أخبار استنتج منها أنّ الأحاديث الناطقة بأمرهم عليهم السلام بالرجوع في الفتوى والقضاء إلى رواة أحاديثهم وأحكامهم، متواترة معنىً، وتلك الأحاديث صريحة في وجوب اتباع الرواة فيما يروونه عنهم عليهم السلام من الأحكام النظرية، وليست فيها دلالة أصلًا على جواز اتّباع ظنونهم الحاصلة من ظواهر كتاب اللَّه، أو أصل، أو استصحاب، أو غيرها، ولا دلالة فيها على اشتراط أن يكون الرواة المتَّبعون، أصحاب الملكة المعتبرة في المجتهدين، ومن المعلوم أنّ المقام مقام البيان والتفصيل، فيعلم بقرينة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عادياً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الظنون وكذلك تلك الملكة، غير معتبرين عندهم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جملة غفلات المتأخّرين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الحلّي، والمحقّق الحلّي في اصوله؛ لا في معتبره، وكالشهيد الأوّل، والثاني، والفاضل الشيخ علي 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زعموا أنّ المراد من تلك الأحاديث المجتهدون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صرّح بعدم مشروعية التقليد المصطلح عندهم، وأنّ اللازم هو تقليد المعصوم بأخذ رواياته والعمل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اجتهاد عند الأخباريين، لا تقليد أيضاً، فانحصر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عنهم عليهم السلام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ذهبوا إلى جواز تقليد الميّت؛ بناءً على لزوم الرجوع إلى رواة الأخبار و من يستنبط من الأخبار، دون المباني الظنّية، فقد صرّح الإسترآبادي بذلك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بين المتأخّرين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 الميّت كالميّت؛ لا يجوز العمل به بعد موته، المراد به ظنّه المبني على استنباط ظنّي، وأمّا فتاوى الأخباريين من أصحابنا، فهي مبنية على ما هو صريح الأحاديث، أو لازمه البيّن، فلا تموت بموت المفتي</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تبعه جمع من الطائفة، واشتهروا بالطائفة الأخبارية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ألّفوا في تشييد أركان الأخبارية ووجوه تمايزهم عن الاصوليين، كتباً ورسائل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هذه الكتب بيّن الطريقة الأخبارية بوجه أحسن وأضبط،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الأبرار إلى طريق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حسين بن شهاب الدين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الدعوة إلى هذه الطريقة ودعم تعاليمها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واجهت من ناحية الاصوليين الردّ والإنكار البليغين، فكتبوا في ردّ هذه الطريقة الكثير من الكتب؛ على حدّ ما ألّفه الأخباريون في نصرة طريقتهم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البديهي أن تكون خصوص مسألة الاجتهاد ومصادره ومبانيه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وبتبعها مسألة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مركزاً للنزاع والصراع آنذاك، فكانت مسيرة البحث عن الاجتهاد والتقليد</w:t>
      </w:r>
    </w:p>
    <w:p>
      <w:pPr>
        <w:pStyle w:val="BookText"/>
        <w:rPr/>
      </w:pPr>
      <w:r>
        <w:rPr>
          <w:rFonts w:ascii="Amiri" w:hAnsi="Amiri" w:eastAsia="Amiri" w:cs="Amiri"/>
          <w:color w:val="111111"/>
          <w:sz w:val="28"/>
          <w:sz w:val="28"/>
          <w:szCs w:val="28"/>
          <w:rtl w:val="true"/>
          <w:lang w:bidi="ar-SA"/>
        </w:rPr>
        <w:t>في القرن الحادي عشر، على وتيرة ما كان في القرن العاشر، فكتبوا في هذا الموضوع عدّة رسائل مهمّة، إليك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الغنية في مهمّات الدين من تقليد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بن الحسن الموسوي الغريفي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الحسن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 مؤلّفه قدس سره المطلب التاسع من الكتاب في الاجتهاد والتقليد، وتعرّض لآراء الشيخ الطوسي، والسيّد المرتضى، والمحقّق والعلّامة الحلّيين، والشهيدين، وفي هذا المطلب بيّن اصولًا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تجزئة الاجتهاد، وأصل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شروط الاجتهاد المطلق، وأصل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التخطئة والتصويب، وأصل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التقليد وجوازه، وأصل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التقليد في العقائد، وأصل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المفتي، وأصل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تجديد النظر في الفتوى، وأصل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مشكاة القول السديد في معنى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سلاسل الحديد في تقييد أهل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ماجد بن هاشم بن علي بن مرتضى الحسيني الحفصي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جابر بن عبّاس العاملي النجفي تلميذ الشيخ محمّد سبط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رسالة مختصرة صرّح فيها بحرمة تقليد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علي بن سليمان بن درويش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حرمة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لبهاء الدين محمّد العاملي المشهور بالشيخ البهائي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رسالة موجزة في علم الاصول، تعرّض في المنهج الرابع منها لحكم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أمين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لإنكاره الاجتهاد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عبداللَّه بن محمّد البشروي الخراساني المشهور بالفاضل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 مؤلّفه الباب الخامس من كتابه في الاجتهاد والتقليد، وفيه مباحث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في الاجتهاد، وواحد في التقليد، وقد تعرّض في مباحث الاجتهاد لكلام الأخباريين، وردّ عليهم، ولكن تركّزت مباحث التقليد على تقليد الميّت، وذكر فيه أدلّة المجوّزين والمانعين، واختار تفصيلًا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الفتوى إن كانت مستندة إلى منطوق الأدلّة، فيجوز تقليد مفتيها حيّاً وميّتاً، وأمّا إن لم يعلم من حال المفتي إلّاأنّه يعمل باللوازم غير البيّنة، فيشكل تقليده حيّاً وميّتاً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الأبرار إلى طريق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بن شهاب الدين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 الفصل السادس من الكتاب في الاجتهاد والتقليد، وذهب إلى أنّ المنفي في نظر منكري الاجتهاد، هو التقليد عند المتأخّرين؛ بمعنى عمل العامّي بقول المجتهد فيما يرجّحه ظنّه في فروع الشريعة، وأمّا عند قدماء أصحابنا الإمامية، فهو رجوع العامّي إلى قول المعصوم في امور دينه ولو بواسطة يوثق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إنكار الحلبيين للاجتهاد إلى إنكارهم جواز العمل بما يستند إلى رأي، أو اجتهاد، وأ نّه يجب على كلّ مكلّف الاجتهاد</w:t>
      </w:r>
    </w:p>
    <w:p>
      <w:pPr>
        <w:pStyle w:val="BookText"/>
        <w:rPr/>
      </w:pPr>
      <w:r>
        <w:rPr>
          <w:rFonts w:ascii="Amiri" w:hAnsi="Amiri" w:eastAsia="Amiri" w:cs="Amiri"/>
          <w:color w:val="111111"/>
          <w:sz w:val="28"/>
          <w:sz w:val="28"/>
          <w:szCs w:val="28"/>
          <w:rtl w:val="true"/>
          <w:lang w:bidi="ar-SA"/>
        </w:rPr>
        <w:t>والسعي في تحصيل ما ورد من المعصوم عليه السلام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الفصل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متأخّري أصحابنا لمّا رأوا كثرة المجتهدين من الموتى، وما هم عليه من الاختلاف في الفتوى، أرادوا رفع الخلاف والمنازعة، ولم يمكنهم القول بوجوب تقليد مجتهد معيّن من الموتى؛ لعدم المرجّح، ولا العمل بالكلّ؛ لتعذّر ذلك، فحكموا بوجوب تقليد المجتهد الحيّ، وطرح قول الميّت، وصار عندهم قول الميّت كالميّت، من جملة الأمثال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نّهم وادعوا على ذلك الإجماع، والحال أنّ كتب القدماء خالية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كان في بداية الأمر تدبيراً سياسياً من العامّة، ثمّ اضطرّوا إلى أن يحصروا الاجتهاد في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خلص إلى أن كلّ قول يستند إلى كلام الأئمّة، فهو باقٍ لا يموت بموت قائله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الاصول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المؤلّف فيه على لزوم التفقّه في الدين لكلّ مكلّف، وعدم اعتبار الظنون في العقائد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أورد فيها الآيات والأخبار وكلام القدماء وغيرهم في ذمّ الاجتهاد، وبيّن ما يترتّب عليه من المفاسد والآثار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للمدقّق الميرزا محمّد بن الحسن الشيرواني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أصهار المولى محمّد تقي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أقوال خاصّة في الفروع، ينكر عليه منها قوله بوجوب الاجتهاد عيناً على كلّ أحد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 وأ نّه لا 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والجواب عن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جواز التقليد والإفتاء،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النبذة في مسائل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الحارث المنصوري الجزائري من تلامذة المحقّق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عبداللطيف بن نورالدين علي بن شهاب الدين أحمد بن أبي جامع الحارثي الهمداني الشامي العاملي تلميذ البهائي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مرّ ظهور الحركة الأخبارية في هذا القرن على يد المولى محمّد أمين الإسترآبادي، وأنّ مسلكها يختلف عن مسلك الاصوليين في عدّة نقاط، من أهمّها نفيهم لمشروعية الاجتهاد، وعدم تجويزهم تقليد غير المعصوم؛ وإن اختلفت حدّة تعابيرهم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يرون جواز العمل بآراء المحدّثين؛ لاستنباطهم الأحكام من كلام الأئمّة عليهم السلام فتكون آراء من هذه صفته حجّة؛ سواء كان حيّاً، أو ميّتاً، ولذا ترى ظهور كثير من الرسائل العلمية حول تقليد الميّت في هذه الحقبة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الاجتهاد والتقليد في القرن الثاني عشر</w:t>
      </w:r>
    </w:p>
    <w:p>
      <w:pPr>
        <w:pStyle w:val="BookText"/>
        <w:rPr/>
      </w:pPr>
      <w:r>
        <w:rPr>
          <w:rFonts w:ascii="Amiri" w:hAnsi="Amiri" w:eastAsia="Amiri" w:cs="Amiri"/>
          <w:color w:val="111111"/>
          <w:sz w:val="28"/>
          <w:sz w:val="28"/>
          <w:szCs w:val="28"/>
          <w:rtl w:val="true"/>
          <w:lang w:bidi="ar-SA"/>
        </w:rPr>
        <w:t>انتشرت الحركة الأخبارية في بداية هذا القرن في جميع المراكز العلمية الشيعية في العراق وإيران، وأ لّفوا رسائل في مختلف مسائل الاجتهاد والتقليد، كما ردّهم في ذلك كلّه بعض أعلام الاصوليين، ومن جملة ما كتبه الفريقان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العمل بكتب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للسيّد نعمة اللَّه المحدّث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بن عبداللَّه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أعلام الأخباريين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وهي عشر مسائل في عشرة فصول؛ كلّها في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الاجتهاد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حيدرعلي بن محمّد بن الحسن المدقّق الشيرواني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تلاميذ المولى محمّد باقر المجلسي، وتقع الفائدة الثانية عشرة في الاجتهاد والتقليد وعدم جواز خروج المكلّف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رفيع الدين بن فرج الجيلاني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 السيّد عبداللَّه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الذخيرة الباقية في أجوبة المسائل الجبلية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عبداللَّه بن نور الدين ابن المحدّث الجزائري الموسوي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فيها عن ثلاثين مسألة، وفصّل الكلام في مسألة تقليد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 الفؤاد في حقيقة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علي المعروف بالشيخ علي الحزين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النقّاد إلى تيسير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إسماعيل بن صلاح الأمير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منبع الحياة في حجّية قول المجتهدين من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إبراهيم بن سليمان العاملي، كان حيّاً في أواسط القرن الثاني عشر، ومن العلماء المتأخّرين عن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في هذه الرسالة بجواز تقليد الميّت</w:t>
      </w:r>
      <w:r>
        <w:rPr>
          <w:rFonts w:eastAsia="Amiri" w:cs="Amiri" w:ascii="Amiri" w:hAnsi="Amiri"/>
          <w:color w:val="111111"/>
          <w:sz w:val="28"/>
          <w:szCs w:val="28"/>
          <w:rtl w:val="true"/>
          <w:lang w:bidi="ar-SA"/>
        </w:rPr>
        <w:t>.</w:t>
      </w:r>
      <w:bookmarkStart w:id="32" w:name="pg1790_14575"/>
    </w:p>
    <w:p>
      <w:pPr>
        <w:pStyle w:val="BookText"/>
        <w:rPr/>
      </w:pPr>
      <w:bookmarkEnd w:id="32"/>
      <w:r>
        <w:rPr>
          <w:rFonts w:ascii="Amiri" w:hAnsi="Amiri" w:eastAsia="Amiri" w:cs="Amiri"/>
          <w:color w:val="111111"/>
          <w:sz w:val="28"/>
          <w:sz w:val="28"/>
          <w:szCs w:val="28"/>
          <w:rtl w:val="true"/>
          <w:lang w:bidi="ar-SA"/>
        </w:rPr>
        <w:t>ملامح 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الحركة الأخبارية بنحو بارز في مباحث الاجتهاد والتقليد، فتميّزت هذه المرحلة بعدّة ميّزات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ازدهار الحركة الأخبارية، وتصدّيها للاجتهاد والتقليد المبنيين على أساس الفكرة الاصولية المنقّحة في طيّ المراحل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الأعلام الاصوليين في قبال النزعة الأخبارية، وإلزامهم تلك النزعة بإصلاح دعاويهم، والاستدلال عليها، وتطويرها نحو الواقع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مسألة جواز الاجتهاد وجواز التقليد، مورداً للبحث بين الأخباريين والاصوليين، وكذا صارت مسألة جواز تقليد الميّت من صلب الصراع بين النزعة الأخبارية والاصولية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371548_3650668749"/>
      <w:bookmarkStart w:id="34" w:name="_Toc12"/>
      <w:bookmarkEnd w:id="33"/>
      <w:r>
        <w:rPr>
          <w:rtl w:val="true"/>
        </w:rPr>
        <w:t>المرحلة السادسة</w:t>
      </w:r>
      <w:r>
        <w:rPr>
          <w:rtl w:val="true"/>
        </w:rPr>
        <w:t xml:space="preserve">: </w:t>
      </w:r>
      <w:r>
        <w:rPr>
          <w:rtl w:val="true"/>
        </w:rPr>
        <w:t>عصر افول الحركة الأخبارية</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استمرّ أمر الأخبارية على هذه الوتيرة، إلى أن وصلت النوبة إلى الفقيه الأخباري المعتدل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 طريقة الأخباريين المتشدّدين المتعصّبين إلى طريقة وسطى؛ وذلك بحكم ما اوتيه من دقّة، وورع، وإنصاف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نذعن بأنّ هذا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لزميله الاصولي الشيخ محمّد باقر بن محمّد أكمل؛ الشهير بالوحيد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ظهرت جذوره في وقت مبكّر قبل تلاقيهما، فقد صرّح الشيخ يوسف البحراني بهذه الحقيقة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كنت في أوّل الأمر ممّن ينتصر لمذهب الأخباريين، وقد أكثرت البحث فيه مع بعض المجتهدين من مشايخنا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إعطاء التأمّل حقّه في المقام، وإمعان النظر في كلام علمائنا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إغماض النظر عن هذا الباب، وإرخاء الستر دونه والحجاب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وجهين لاتخاذ هذا المرام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رفع صيت هذا الخلاف، وعابه في تجريد لسان التشنيع على الأصحاب</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وبحسب رؤية البحراني، فإنّ الناس في وقت الأئمّة عليهم السلام مكلّفون بالرجوع إليهم، والأخذ عنهم مشافهة، أو بواسطة، أو وسائط، وهذا ممّا لا خلاف فيه بين كافّة العلماء؛ من أخباري ومجتهد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كزماننا هذا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فيه إمّا عالم، أو متعلّم،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فقيه، أو متفقّه، 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مجتهد، أو 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العالم والفقيه الذي يجب على من عداه الرجوع إليه، لابدّ أن تكون له ملكة استنباط الأحكام الشرعية من الأدلّة التفصيلية؛ إذ ليس كلّ أحد من الرعية والعامّة، ممّن يمكنه تحصيل الأحكام من تلك الأدلّة، واستنباطها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من كان قاصراً عن هذه المرتبة العلية والدرجة السنية، لا يجوز الأخذ عنه، ولا الاعتماد على فتواه،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هي عليه من الإطلاق والتقييد، والإجمال والاشتباه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متصادمة في جملة الأحكام، واستنباط الحكم الشرعي منها يحتاج إلى مزيد قوّة؛ وملكة راسخة 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الكلام في أمر آخر؛ وهو أنّ ذلك الفقيه إن استند في استنباطه الأحكام إلى الكتاب والسنّة، فهذا ممّا وقع الاتّفاق على الرجوع إليه، وإن كان إنّما استند إلى أدلّة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إجماع، أو دليل عقل،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الذي منعه الأخباريون، وشنّعوا به على المجتهدين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نظر البحراني لا يكون الخلاف بين الأخباري والاصولي إلّافي الاستناد</w:t>
      </w:r>
    </w:p>
    <w:p>
      <w:pPr>
        <w:pStyle w:val="BookText"/>
        <w:rPr/>
      </w:pPr>
      <w:r>
        <w:rPr>
          <w:rFonts w:ascii="Amiri" w:hAnsi="Amiri" w:eastAsia="Amiri" w:cs="Amiri"/>
          <w:color w:val="111111"/>
          <w:sz w:val="28"/>
          <w:sz w:val="28"/>
          <w:szCs w:val="28"/>
          <w:rtl w:val="true"/>
          <w:lang w:bidi="ar-SA"/>
        </w:rPr>
        <w:t>إلى بعض المصادر، والخلاف بينهم لا يزيد عن الخلاف بين الاصوليين أنفسهم، وكذا بين الأخباريين أنفسهم، ويرى أنّ ما ذكر من مناط الفرق بين المسلكين، إمّا أن يكون من جملة المسائل التي اختلفت فيها الأنظار، وتصادمت فيها الآراء والأفكار، أو أنّ ذلك القول كان ناشئاً عن بعض هذه الأشياء المذكورة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ربما حاد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أخبارياً كان، أو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الطريق غفلة، أو توهّماً، أو لقصور اطّلاع، أو قصور فهم، أو نحو ذلك في بعض المسائل، وهذا لا يوجب تشنيعاً، ولا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المسائل التي جعلوها مناط الفرق بين الأخباري والاصولي، من هذا القبيل، كما لا يخفى على من خاض بحار التحصيل؛ فإنّا نرى كلًاّ من المجتهدين والأخباريين يختلفون في آحاد المسائل، بل ربما خالف أحدهم نفسه، مع أنّه لا يوجب تشنيعاً، ولا قدحاً، وقد ذهب رئيس الأخباريين الصدوق رحمه الله إلى مذاهب غريبة لم يوافقه عليها مجتهد، ولا أخباري، مع أنّه لم يقدح ذلك في علمه وفضله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فآراء الشيخ البحراني تعدّ معتدلة في موضوع الاجتهاد والتقليد بالقياس إلى آراء الإسترآبادي التي تقدّمت الإشارة إليها، فهو يرى جواز الاجتهاد والتقليد، إلّا أنّ منبع الاستنباط والاجتهاد لابدّ أن يكون الكتاب والسنّة، ولا يعدوهما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فالمسلك الأخباري المتصلّب قد انتهى أمده بظهور البحراني، إلّاأنّ الاصوليين لم يرتضوا بهذا الحدّ من الاعتدال الأخباري أيضاً، ولذا استمرّ صراع الاصوليين مع هذا المسلك على أشدّه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أن نعدّ النصف الثاني من القرن الثاني عشر، عصر افول الحركة الأخبارية</w:t>
      </w:r>
    </w:p>
    <w:p>
      <w:pPr>
        <w:pStyle w:val="BookText"/>
        <w:rPr/>
      </w:pPr>
      <w:r>
        <w:rPr>
          <w:rFonts w:ascii="Amiri" w:hAnsi="Amiri" w:eastAsia="Amiri" w:cs="Amiri"/>
          <w:color w:val="111111"/>
          <w:sz w:val="28"/>
          <w:sz w:val="28"/>
          <w:szCs w:val="28"/>
          <w:rtl w:val="true"/>
          <w:lang w:bidi="ar-SA"/>
        </w:rPr>
        <w:t>على يد الوحيد البهبهاني، حيث اقصيت تلك الحركة عن بلاد إيران والعراق، وبقيت جذورها في البحرين إلى 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كثرت المؤلّفات في إطار الاجتهاد والتقليد لبيان حقيقة الاجتهاد، وإثبات مشروعيته وأحكامه، وكذا التقليد، بل قد عدّ البحث عن تقليد الميّت، من المسائل الأساسية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هؤلاء الأعلام المؤلّفين في الموضوع الوحيد البهبهاني نفسه، ثمّ تتابعت حركته على يد تلامذته، فأ لّفوا في هذا المجال، وإليك نبذة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للُاستاذ الأكبر آقا محمّدباقر الشهير بالوحيد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المؤلّف في هذه الرسالة على الأخبارية، وذكر كيفية الاجتهاد، ومقدّماته، وأقسامه، ولزوم إعمال القواعد الاجتهادية في الأخبار 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في الفائدة الثامنة من الفوائد القديمة لردّ الأخباريّين القائلين بعدم جواز التقليد، كما ذكر في الفائدة السادسة والثلاثين شروط الاجتهاد، وجعل الخاتمة في خطورة طريق الاجتهاد، وأمّا الفائدة الخامسة والعشرون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تناولت تقليد المجتهد، وتناولت الفائدة الثانية والثلاثون عدم جواز التقليد في اصول الدين، وتعرّضت الفائدة الثالثة والثلاثون للوظائف المحوّلة للمجتهد، وبعدها ردّ شبهة المانعين من وجوب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بطلان عبادة الجاهل من غير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المنع عن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مناهج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ارجوزة في الاجتهاد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بن محمّد بن علي بن عيثان الأخباري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ترحّم عليه تلميذه الشيخ فتح علي نزيل</w:t>
      </w:r>
    </w:p>
    <w:p>
      <w:pPr>
        <w:pStyle w:val="BookText"/>
        <w:rPr/>
      </w:pPr>
      <w:r>
        <w:rPr>
          <w:rFonts w:ascii="Amiri" w:hAnsi="Amiri" w:eastAsia="Amiri" w:cs="Amiri"/>
          <w:color w:val="111111"/>
          <w:sz w:val="28"/>
          <w:sz w:val="28"/>
          <w:szCs w:val="28"/>
          <w:rtl w:val="true"/>
          <w:lang w:bidi="ar-SA"/>
        </w:rPr>
        <w:t xml:space="preserve">شيراز في هذا التأريخ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الشيرازية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التجزّي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عبدالصمد الهمداني الحائري الشهيد بالحائر الحسيني في وقعة الوهّابيين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رتّبه على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جوازه ووقوعه،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رأي المتجزّي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التذكرة في شرح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لآقا محمّد جعفر بن محمّد علي بن محمّد باقر البهبهاني الكرمانشاهي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قبل الشروع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وجملة من مباحث الاجتهاد والتقليد، وشروط الاجتهاد،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محمّدباقر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عباراتها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علي القزويني، وهي رسالة مبسوطة ذكرها في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بعد تأليف رسالتين، رأى رسالة السيّد محمّد باقر الأصفهاني في التقليد التي أوجب قبلها العدول إلى المجتهد الحيّ بمجرّد موت المجتهد،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الأموات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أي‌جواز البقاء على تقليد الميّت، للسيّد محمّد جعفر بن محمّد حسين بن مهدي الموسوي الشهرستاني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بلغ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شوارع الهداية في شرح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المسألة، جعلها مستقلّة مرتّبة على مقدّمة، ومصباحين، وخاتمة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أبوالقاسم</w:t>
      </w:r>
    </w:p>
    <w:p>
      <w:pPr>
        <w:pStyle w:val="BookText"/>
        <w:rPr/>
      </w:pPr>
      <w:r>
        <w:rPr>
          <w:rFonts w:ascii="Amiri" w:hAnsi="Amiri" w:eastAsia="Amiri" w:cs="Amiri"/>
          <w:color w:val="111111"/>
          <w:sz w:val="28"/>
          <w:sz w:val="28"/>
          <w:szCs w:val="28"/>
          <w:rtl w:val="true"/>
          <w:lang w:bidi="ar-SA"/>
        </w:rPr>
        <w:t xml:space="preserve">الجيلاني نزيل قم، المشتهر بالمحقّق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الباب الثاني من الكتاب بالأحكام الشرعية على ترتيب الكتب الفقهية؛ مبتدئاً بمسائل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المستفيد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شاه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المحصول في شرح وافية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الأعرجي الحسيني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 في الباب الخامس من الفنّ الثاني، عن الاجتهاد والتقليد وأحكامهما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في غوامض المسائل الاصولية، ومنها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المؤلّف على أربعة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التقليد، وفي المقلِّد، وفي المقلَّد، وفي المقلَّد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أبوالقاسم الكلانتر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تقريرات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معه رسالتان في تقليد الميّت، وتقليد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مرتضى الحسيني اليزدي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 اصولية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جعفر الإسترآبادي الشريعتمداري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المجلّد الثاني عن الاجتهاد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المظاهر العقلية في العقائد والأحكام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تقي</w:t>
      </w:r>
    </w:p>
    <w:p>
      <w:pPr>
        <w:pStyle w:val="BookText"/>
        <w:rPr/>
      </w:pPr>
      <w:r>
        <w:rPr>
          <w:rFonts w:ascii="Amiri" w:hAnsi="Amiri" w:eastAsia="Amiri" w:cs="Amiri"/>
          <w:color w:val="111111"/>
          <w:sz w:val="28"/>
          <w:sz w:val="28"/>
          <w:szCs w:val="28"/>
          <w:rtl w:val="true"/>
          <w:lang w:bidi="ar-SA"/>
        </w:rPr>
        <w:t>الحسيني الاورازاني الطالقاني نزيل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على مقدّمة، وثلاثة مقاصد، وخاتمة، والمقصد الثاني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شروط الاجتهاد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 عن الاجتهاد والتقليد مبسوطاً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 عن الاجتهاد والتقليد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فوائد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مهدي الطباطبائي الشهير ببحر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فيها عن التخطئة والتصويب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مقدّمات الكتاب عن الاجتهاد وحقيقته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ردّاً على شبهات الأخباريين، ويقع قسم منه في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مصادر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مؤلّفه ردّاً على طريقة الاصوليين في الأحكام، وذمّ فيه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الاصول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المؤلّف مباحث الكتاب من الروايات، وقد اختصّ قسم منه بالاجتهاد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مناهج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مؤلّفه عن الاجتهاد والتقليد في عداد المسائل الاصولية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رايات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أبوالحسن بن محمّد كاظم الجاجرمي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الاجتهاد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ابن الشيخ أحمد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منبّه العوامّ على وجوب تقليد نائب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كاظم ابن المولى محمّد شفيع الهزارجريبي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المسترشدين في شرح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 مؤلّفه عن الاجتهاد مبسوطاً، ولم يتعرّض لمباحث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الغروية في الاصول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بن محمّد رحيم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ضوابط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 فيهما مؤلّفهما عن الاجتهاد والتقليد؛ كلّ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شفيع الجابلقي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فيه مباحث الاجتهاد والتقليد على وتيرة البحث الاصولي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الأسئلة الصالحية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جوابات الشيخ صالح بن طعّان بن ناصر بن علي التستري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فروع الاجتهاد والتقليد، للشيخ عبد علي ابن الشيخ خلف بن عبد علي ابن الشيخ حسين العصفوري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الكرامة في شرح تهذيب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مزجي للسيّد محمّد ابن السيّد عطيّة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بحث الاجتهاد والتقليد عن رسالة الاجتهاد للوحيد البهبهاني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نتائج الأفكار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محمّد تقي بن حسين علي الهروي</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رتّبه على مقدّمة، وثلاثة أبواب، وخاتمة، والباب الثالث في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علي ابن الميرزا محمّد الأخباري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آقا محمّد علي ابن المولى محمّد صادق الشيرازي، من أحفاد المولى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فيه حجّية ظنّ المجتهد المتجزّي العالم بالعلوم التي هي من مقدّمات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الميرزا عبدالواسع الحسيني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مسيح بن محمّد سعيد الرازي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مهدي ابن العلّامة الحاجّ محمّد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إحياء الاجتهاد لإرشاد العباد فيما يتعلّق بتقليد الأحياء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لسلطان العلماء السيّد محمّد ابن السيّد دلدار علي النقوي النصيرآبادي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علي أكبر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التجزّي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ابن السيّد دلدار علي النقوي النصيرآبادي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المسترشدين في حكم التقليد 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عبدالوهّاب الشريف ابن محمّد 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أنّه ألّف أوّلًا رسالة فارسية مختصرة، واخرى عربية في مسائل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تلاميذ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مجلّد 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الدرر النجفية في ردّ الأخبارية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درره في تقليد الميّت، ولم يذكر المؤلّف اسمه، ولكنّه من أحفاد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تلاميذ السيّد محسن المقدّس الأعرجي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النضيد في مسألة التقليد وجوازه ابتداءً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حسين بن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تبصرة الحرّ الرشيد بعجائب الدرّ النضيد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مهدي الكاظمي، وهو ردّ على الكتاب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مهدي الكجوري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تقرير لأبحاث الميرزا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ملامح المرحلة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البحث في هذه المرحلة عن الاجتهاد والتقليد، وكان ذلك لعدّة 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افول الحركة الأخبارية، أدّى إلى إيجاد الأرضية المناسبة لازدهار مباحث الاجتهاد والتقليد وفروعهما، حيث انقضى أمد الأخباريين في القرن الثالث عشر، وابتعدوا من الساحة؛ خصوصاً على يد استاذ الفقهاء والمجتهدين الشيخ الأعظم مرتضى الأنصاري، ولم يبق أثر منهم في الساحة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 مجال التأليف في هذا الموضوع؛ فكتبوا رسائل مستقلّة في بعض مباحثهما، كما كتبوا عنهما كتباً مستقلّة جامعة فيهما؛ مضافاً إلى تفصيل المباحث في حلقي الاصول والفقه على غير ما كان متعارفاً قبل هذه المرحلة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البحث عن الاجتهاد والتقليد في الفقه واصوله معاً، وفي الغالب لم يميّز تمييزاً أساسياً بين طور البحث فيهما</w:t>
      </w:r>
      <w:r>
        <w:rPr>
          <w:rFonts w:eastAsia="Amiri" w:cs="Amiri" w:ascii="Amiri" w:hAnsi="Amiri"/>
          <w:color w:val="111111"/>
          <w:sz w:val="28"/>
          <w:szCs w:val="28"/>
          <w:rtl w:val="true"/>
          <w:lang w:bidi="ar-SA"/>
        </w:rPr>
        <w:t>.</w:t>
      </w:r>
      <w:bookmarkStart w:id="35" w:name="pg1790_14585"/>
    </w:p>
    <w:p>
      <w:pPr>
        <w:pStyle w:val="Heading3"/>
        <w:numPr>
          <w:ilvl w:val="2"/>
          <w:numId w:val="1"/>
        </w:numPr>
        <w:rPr/>
      </w:pPr>
      <w:bookmarkStart w:id="36" w:name="__RefHeading___Toc2371550_3650668749"/>
      <w:bookmarkStart w:id="37" w:name="_Toc13"/>
      <w:bookmarkEnd w:id="35"/>
      <w:bookmarkEnd w:id="36"/>
      <w:r>
        <w:rPr>
          <w:rtl w:val="true"/>
        </w:rPr>
        <w:t>المرحلة السابعة</w:t>
      </w:r>
      <w:r>
        <w:rPr>
          <w:rtl w:val="true"/>
        </w:rPr>
        <w:t xml:space="preserve">: </w:t>
      </w:r>
      <w:r>
        <w:rPr>
          <w:rtl w:val="true"/>
        </w:rPr>
        <w:t>الاجتهاد والتقليد في القرن الرابع عشر</w:t>
      </w:r>
      <w:bookmarkEnd w:id="37"/>
    </w:p>
    <w:p>
      <w:pPr>
        <w:pStyle w:val="BookText"/>
        <w:rPr/>
      </w:pPr>
      <w:r>
        <w:rPr>
          <w:rFonts w:ascii="Amiri" w:hAnsi="Amiri" w:eastAsia="Amiri" w:cs="Amiri"/>
          <w:color w:val="111111"/>
          <w:sz w:val="28"/>
          <w:sz w:val="28"/>
          <w:szCs w:val="28"/>
          <w:rtl w:val="true"/>
          <w:lang w:bidi="ar-SA"/>
        </w:rPr>
        <w:t>تواصل التأليف في اصول الفقه على يد تلامذة الشيخ الأعظم الأنصاري، جاعلين بحث الاجتهاد والتقليد في خاتمة المباحث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كتب الشرح والتعليق والحواشي على كتب الأعلام السابقين في هذه الحقبة الزمنية أكثر من الحقب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توسّعت هذه الثروة العلمية في مجال التأليف؛ بحيث يعسر استقصاء المؤلّفات في هذا الموضوع، فلنصفح عن ذكر الكتب الاصولية التي بحثوا فيها عن الاجتهاد والتقليد، محيلين للطالب على ما كتب في المصادر الخاصّة بموضوع تعريف الكتب الاصولية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والمهمّ الآن ذكر ما كتب حول الاجتهاد والتقليد خاصّة في هذه الفترة التي سمّيت بعصر ازدهار الفقه والاصول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صالح الشهير بالعرب ابن السيّد حسن الشهير بداماد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صهراً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الحائري نزيل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 والتقليد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عبدالرحيم الگلي بري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عبدالعظيم بن محمّد اللواساني من تلاميذ شريف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علي ابن المولى مهدي الآراني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فيه عدم وجوب تقليد الأعلم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بن محمّد باقر الإيرواني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التجزّي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رفيع بن عبدالمحمّد بن محمّد رفيع بن أحمد بن صفي الكوازي الكزازي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تلامذة الشيخ حبيب اللَّه الرشتي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من الاصول مباحث الاجتهاد والتقليد، للشيخ حسن بن عبداللَّه بن علي الهشترودي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بن محمّد جعفر البهاري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مرتّب على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التقليد، حكمه، كفاية الاحتياط عند المطابقة، جوازه لمن بلغ مرتبة الاجتهاد، شروط المفتي، اشتراط حياة المفتي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أكبر ابن الميرزا محسن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فيه بوجوب تقليد الميّت الأعلم ابتداءً عند الدوران مع الحيّ غير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المعالي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ضمن الرسائل الخمس عشرة التي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تقرير استاذه العلّامة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التنقيد في أحكام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أبوطالب بن أبوالقاسم ابن السيّد كاظم الموسوي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جواب العلّامة الشيخ مهدي الخالصي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اعتراضاته على بعض مسائل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كبّة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المنظوم في نفي تقليد 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حسين بن علي بن</w:t>
      </w:r>
    </w:p>
    <w:p>
      <w:pPr>
        <w:pStyle w:val="BookText"/>
        <w:rPr/>
      </w:pPr>
      <w:r>
        <w:rPr>
          <w:rFonts w:ascii="Amiri" w:hAnsi="Amiri" w:eastAsia="Amiri" w:cs="Amiri"/>
          <w:color w:val="111111"/>
          <w:sz w:val="28"/>
          <w:sz w:val="28"/>
          <w:szCs w:val="28"/>
          <w:rtl w:val="true"/>
          <w:lang w:bidi="ar-SA"/>
        </w:rPr>
        <w:t xml:space="preserve">محمّد الأخباري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أبوالقاسم بن محمّد صادق النوراني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تحريم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الهمداني إمام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باقر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 العباد في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بن عبّاس بن حسن ابن الشيخ جعفر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لباب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حسين بن محمّد علي بن محمّد حسين الشهرستاني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مرتّب على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مسائل الاجتهاد، ومهمّات مسائل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محمود بن محمّد ذهب الظالمي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تشتمل على ثلاث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تقليد الميّت، وتقليد الأعلم، وبيان موضوع التقليد وأحكامه، وهي بخطّ تلميذه السيّد حسن ابن السيّد جاسم الفحّام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ملاذ العباد في تتميم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برزت منه مسائل الاجتهاد والتقليد مستوفاة، وهو للشيخ أحمد بن صالح البحراني آل طعّان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منقذة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في مقصدين، والثاني في أحكام التقليد وشروطه؛ من الأعلمية، والحياة، وغيرهما؛ للسيّد مهدي بن حيدر الموسوي الصفوي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السديد في مسائل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المولوي ابن الحسن بن المير حسن رضا الجايسي اللكنهوي،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الاجتهاد وحكم تارك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لأسد اللَّه بن عبّاس الإشكوري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هداية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حسين بن مهدي السلطان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براهين كثيرة على عدم جواز تقليد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تقرير لمسألتي تقليد الميّت، وتقليد الأعلم،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طبعا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بن إسماعيل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اختار فيه عدم تعيّن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النضيد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ابن الشيخ حسن ابن الشيخ جعفر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اللوامع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مصطفى بن إسماعيل الموسوي تلميذ الميرزا محمّد النيسابوري الأخباري، ذكر فيها حدوث أصل الاجتهاد، ونقل كلمات القدماء والمتأخّرين في المنع عنه، والمنع عن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باسم محمّد شاه القاجار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الآخوند الخراساني، لتلميذه السيّد أبوالحسن بن عبّاس الإشكوري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طاهر ابن الشيخ عبد علي ابن الشيخ طاهر الحجامي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في الاجتهاد والتقليد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راحت حسين الرضوي الكوپال پوري المولود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الاجتهاد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تقي بن عبدالكريم التبريزي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عبداللَّه ثقة الإسلام الأصفهاني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الرشاد في معنى التقليد والاجتهاد وما يتعلّق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عبدالحسين ابن الشيخ مبارك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نظرة اليقين في تحريم تقليد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هادي الدفتر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عنايت اللَّه ابن الميرزا حسين ابن الميرزا علي ابن الميرزا محمّد النيسابوري الهندي المعروف بالأخباري، من شيوخ إجازة آية اللَّه العظمى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قلائد العوامّ في التقليد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قصير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منظومة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ابن السيّد محمود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المواهب السنية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الميرزا مهدي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التحبيب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مهدي بن صالح الموسوي القزويني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فيه عن تقليد الميّت ابتداءً، وقد كتب في الردّ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النضيد</w:t>
      </w:r>
    </w:p>
    <w:p>
      <w:pPr>
        <w:pStyle w:val="BookText"/>
        <w:rPr/>
      </w:pPr>
      <w:r>
        <w:rPr>
          <w:rFonts w:ascii="Amiri" w:hAnsi="Amiri" w:eastAsia="Amiri" w:cs="Amiri"/>
          <w:color w:val="111111"/>
          <w:sz w:val="28"/>
          <w:sz w:val="28"/>
          <w:szCs w:val="28"/>
          <w:rtl w:val="true"/>
          <w:lang w:bidi="ar-SA"/>
        </w:rPr>
        <w:t>في مسألة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مختصرة في ثلاثمئة بيت، للشيخ محمّد تقي بن أبوطالب اليزدي الأردكاني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التحفة الحسينية في شرائط الاجتهاد في الأحكام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الأشكذري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التقليد في مسائله باللغة الگجراتية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غلام علي البهاوتگري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المفيد في مسائل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حسين بن الحسين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الساطع في الفقه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رضا بن هادي بن عبّاس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مجلّدين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الحقّ السديد على زخرف يقظة البليد في مسألة وجوب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الطيّبة في حرمة البقاء على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صالح ابن الميرزا فضل اللَّه المازندراني الحائري،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المنظم في حكم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علي ابن المفتي المير محمّد عبّاس التستري اللكنهوي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التنقيد في إثبات الاجتهاد والتقليد من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ابن السيّد أبوالقاسم الرضوي اللاهوري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حرمة البقاء على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الشيخ حسن بن مطر الحويزي العنزي الحائري الوائلي لأبحاث السيّد محمود الشاهرودي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الرشاد في تأريخ حصر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محسن الطهراني الشهير بالشيخ آغا بزرگ الطهراني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علي الأراكي، تقرير أبحاث الشيخ عبدالكريم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المرحلة 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الفقيه الكبير السيّد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تلامذة الشيخ الأعظم الأنصاري، وقد اشتمل على مباحث الاجتهاد والتقليد بنحو أوفى؛ ممّا دعا جمعاً من الأعلام للتعليق عليه، والشرح له، فكتب عدّة من الأعلام شروحاً ضخمة عليه، ويشتمل أكثرها على شرح مباحث الاجتهاد والتقليد، وإليك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مرتضى بن أحمد الخسروشاهي التبريزي، خرج منه مسائل الاجتهاد والتقليد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التنقيح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أبحاث السيّد أبوالقاسم الخوئي، للميرزا علي الغروي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دروس في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أبحاث السيّد أبوالقاسم الخوئي، للسيّد مهدي الخلخالي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السديد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غلام‌رضا عرفانيان اليزدي، تقرير أبحاث السيّد أبوالقاسم الخوئي في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عبدالأعلى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عدّة شروح اخرى جامعة لمباحثها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المرحلة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ازدهار المباحث الاصولية في هذه المرحلة، صاحبه عدّة ميّزات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المسائل المبحوث عنها في الاجتهاد والتقليد، وطرح بعض الفروض الجديدة، كحكم تارك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مباحث الاجتهاد والتقليد ساحةً لإبراز مقدّرات كلّ فقيه في مجال الدراسة والبحث؛ لكونها من المسائل النظرية الدقيقة والخلافية، ولذا كثر التأليف في هذا الموضوع، كما كثرت الأقوال، وتنوّعت الأدلّة أيضاً في هذا المجال، خصوصاً مسألتي تقليد الأعلم، وتقليد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في هذه المرحلة بين طور مباحث الاجتهاد والتقليد في الدراسات الاصولية، وبين طورها في الدراسات الفقهية، فغالباً ما بحثوا في علم الاصول عن أصل جواز الاجتهاد، وأدلّة مشروعيته، والتخطئة والتصويب، والشروط الأصلية في الاجتهاد ومقدّماته، وأصل مشروعية التقليد، وأمّا أحكام التقليد، وتعريف المجتهد، والشروط المعتبرة في الرجوع إليه، وما يبتلى به المكلّف من مسائل تقليده، فيبحث عنها في الدراسات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الرسائل المستقلّة، فتختلف رؤية مؤلّفيها إلى موضوع الاجتهاد والتقليد؛ فقد يغلب على بعضها العنصر الاصولي، وعلى بعض آخر العنصر الفقهي</w:t>
      </w:r>
      <w:r>
        <w:rPr>
          <w:rFonts w:eastAsia="Amiri" w:cs="Amiri" w:ascii="Amiri" w:hAnsi="Amiri"/>
          <w:color w:val="111111"/>
          <w:sz w:val="28"/>
          <w:szCs w:val="28"/>
          <w:rtl w:val="true"/>
          <w:lang w:bidi="ar-SA"/>
        </w:rPr>
        <w:t>.</w:t>
      </w:r>
      <w:bookmarkStart w:id="38" w:name="pg1790_14593"/>
    </w:p>
    <w:p>
      <w:pPr>
        <w:pStyle w:val="Heading3"/>
        <w:numPr>
          <w:ilvl w:val="2"/>
          <w:numId w:val="1"/>
        </w:numPr>
        <w:rPr/>
      </w:pPr>
      <w:bookmarkStart w:id="39" w:name="__RefHeading___Toc2371552_3650668749"/>
      <w:bookmarkStart w:id="40" w:name="_Toc14"/>
      <w:bookmarkEnd w:id="38"/>
      <w:bookmarkEnd w:id="39"/>
      <w:r>
        <w:rPr>
          <w:rtl w:val="true"/>
        </w:rPr>
        <w:t>المرحلة الثامنة</w:t>
      </w:r>
      <w:r>
        <w:rPr>
          <w:rtl w:val="true"/>
        </w:rPr>
        <w:t xml:space="preserve">: </w:t>
      </w:r>
      <w:r>
        <w:rPr>
          <w:rtl w:val="true"/>
        </w:rPr>
        <w:t>الاجتهاد والتقليد في العصر الحاضر</w:t>
      </w:r>
      <w:bookmarkEnd w:id="40"/>
    </w:p>
    <w:p>
      <w:pPr>
        <w:pStyle w:val="BookText"/>
        <w:rPr/>
      </w:pPr>
      <w:r>
        <w:rPr>
          <w:rFonts w:ascii="Amiri" w:hAnsi="Amiri" w:eastAsia="Amiri" w:cs="Amiri"/>
          <w:color w:val="111111"/>
          <w:sz w:val="28"/>
          <w:sz w:val="28"/>
          <w:szCs w:val="28"/>
          <w:rtl w:val="true"/>
          <w:lang w:bidi="ar-SA"/>
        </w:rPr>
        <w:t>تبتدئ هذه المرحلة المهمّة منذ خمس وسبعين سنة تقريباً، ومن أهمّ ميّزاتها عند الشيعة الإمامية، ازدهار دور المرجعية الدينية في مختلف مجالات حياتهم وشؤونها، خصوصاً الشؤون السياسية والحكومية، وذلك نتيجة تطبيق نظرية ولاية الفقيه عملياً؛ بعد أن كانت نظرية علمية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يلاحظ في هذه المرحلة، اهتمام الفقهاء ومثقفي الشعوب الإسلامية الشديد بمسألة الاجتهاد والتقليد، خصوصاً بعد انتصار الثورة الإسلامية في إيران، وتوسّع شؤون الفقهاء، حيث تركّزت جهود الأعلام في الدراسات الفقهية والاصولية على هذا المجال، وبسط الكلام في هذا الموضوع الهامّ؛ حسبما فيه من المباني الفقهية والقانونية لتلك الشؤون، فظهرت المئات من التأليفات، وحقّقت الكثير من كتب الأعلام المتقدّمين؛ لحاجة هذا البحث إلى التنقيح، كما نشرت الكثير من المقالات في المجلّات الثقافية التي تناولت هذا الموضوع المهمّ باللغات المختلفة، وبإمكان القارئ الاطلاع عليها من خلال مراجعة كشّاف المجلّات الثقافية، وفهارس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أفضل ما ا لّف في بداية هذه المرحلة، وهو ما كتبه السيّد الإمام الخميني رحمه الله والذي هو عصارة أبحاثه الاصولية العالية في الدورة الاولى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امتاز به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تطوّر وابتكار في بحوثه، فمحاور البحث من هذا الكتاب، تفوق ما خلّفه السابقون؛ حيث طرح السيّد الإمام في هذا الكتاب اموراً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شؤون النبي صلى الله عليه و آله و سلم والأئمّة عليهم السلام من بعده، وذهب إلى أنّها بجميعها تنتقل إلى الفقهاء في عصر الغيبة؛ إلّاما خرج بالدليل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شروط الاجتهاد، وشروط المفتي، وبيّن العلوم التي لابدّ أن يعرفها الفقيه ويستفيد منها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مسألة اشتراط القضاء بالاجتهاد؛ وهل للفقيه أن يوكله إلى غير المجتهد، أم لا؟</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مشروعية التقليد واستناده إلى ما تعارف في عصر الأئمّة عليهم السلام واستعرض ما جرى على لسانهم عليهم السلام من التعابير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تشخيص مرجع التقليد وشروطه، كالحياة، والأعلمية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هذه المزايا التي اتّسم بها كتاب السيّد الإمام الخميني قدس سره قمنا بتقديمه على سائر ما كتب منذ بداية هذه المرحلة وإلى يومنا هذا، حيث ا لّفت الكثير من الكتب،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الآذري القمّي، ويقع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رضا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الرشيد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عادل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 والاتباع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في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عزّ الدين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في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أنوار الهدى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الاجتهاد والتقليد، للسيّد محمّد تقي العلوي الغروي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المبين في شرح التحرير ومنهاج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 للسيّد نور الدين الشريعتمدار الجزائري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 للسيّد محمّد سعيد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رسائل في الاجتهاد والتقليد وقاعدة لا ضرر وولاية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رضا الأراكي السنجري، تقرير أبحاث السيّد محمّد صادق الروحاني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الحسيني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النضيد في الاجتهاد والاحتياط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حسن المرتضوي اللنكرودي، ويقع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تفصيل الشريعة في شرح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 للشيخ محمّد الفاضل اللنكراني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مباني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تقي الطباطبائي القمّي، وقد بحث عن الاجتهاد والتقليد في المجلّد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فقهية لظاهرة التقليد الشرعي، للدكتور عبدالهادي الفضلي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آراء في المرجعية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لمجموعة من الباحثين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والحياة حوار على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السيّد محمّد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الشريعة في شرح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الاجتهاد والتقليد، للشيخ عبدالنبي النمازي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حسين فضل اللَّه وحركية العقل الاجتهادي لدى فقهاء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الشاطوري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المصنّفين تعرّضوا لمسألة ولاية الفقيه في بحث الاجتهاد والتقليد؛ وذلك لأجل ما لولاية الفقيه من الصلة العميقة بالاجتهاد والتقليد، إلّا أنّ هذا لاينفي الاختلاف الأساسي بين مداري البحثين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يبحث في الأوساط العلمية المعاصرة، عن عدّة فروض جديدة في مجال الاجتهاد والتقليد، كالتخصّص في شؤون المرجعية، والأبحاث العلمية، ونحوها</w:t>
      </w:r>
      <w:r>
        <w:rPr>
          <w:rFonts w:eastAsia="Amiri" w:cs="Amiri" w:ascii="Amiri" w:hAnsi="Amiri"/>
          <w:color w:val="111111"/>
          <w:sz w:val="28"/>
          <w:szCs w:val="28"/>
          <w:rtl w:val="true"/>
          <w:lang w:bidi="ar-SA"/>
        </w:rPr>
        <w:t>.</w:t>
      </w:r>
      <w:bookmarkStart w:id="41" w:name="pg1790_14596"/>
    </w:p>
    <w:p>
      <w:pPr>
        <w:pStyle w:val="Heading2"/>
        <w:numPr>
          <w:ilvl w:val="1"/>
          <w:numId w:val="1"/>
        </w:numPr>
        <w:rPr/>
      </w:pPr>
      <w:bookmarkStart w:id="42" w:name="__RefHeading___Toc2371554_3650668749"/>
      <w:bookmarkStart w:id="43" w:name="_Toc15"/>
      <w:bookmarkEnd w:id="41"/>
      <w:bookmarkEnd w:id="42"/>
      <w:r>
        <w:rPr>
          <w:rtl w:val="true"/>
        </w:rPr>
        <w:t>المقدّمة</w:t>
      </w:r>
      <w:r>
        <w:rPr>
          <w:rtl w:val="true"/>
        </w:rPr>
        <w:t xml:space="preserve">: </w:t>
      </w:r>
      <w:r>
        <w:rPr>
          <w:rtl w:val="true"/>
        </w:rPr>
        <w:t>الاجتهاد والتقليد</w:t>
      </w:r>
      <w:bookmarkEnd w:id="4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371556_3650668749"/>
      <w:bookmarkStart w:id="45" w:name="_Toc16"/>
      <w:bookmarkEnd w:id="44"/>
      <w:r>
        <w:rPr>
          <w:rtl w:val="true"/>
        </w:rPr>
        <w:t>اشارة</w:t>
      </w:r>
      <w:bookmarkStart w:id="46" w:name="pg1790_14598"/>
      <w:bookmarkEnd w:id="45"/>
    </w:p>
    <w:p>
      <w:pPr>
        <w:pStyle w:val="Heading3"/>
        <w:numPr>
          <w:ilvl w:val="2"/>
          <w:numId w:val="1"/>
        </w:numPr>
        <w:rPr/>
      </w:pPr>
      <w:bookmarkStart w:id="47" w:name="__RefHeading___Toc2371558_3650668749"/>
      <w:bookmarkStart w:id="48" w:name="_Toc17"/>
      <w:bookmarkEnd w:id="46"/>
      <w:bookmarkEnd w:id="47"/>
      <w:r>
        <w:rPr>
          <w:rtl w:val="true"/>
        </w:rPr>
        <w:t>وجوب الاجتهاد أو الاحتياط أو التقليد</w:t>
      </w:r>
      <w:bookmarkEnd w:id="48"/>
    </w:p>
    <w:p>
      <w:pPr>
        <w:pStyle w:val="Heading4"/>
        <w:numPr>
          <w:ilvl w:val="3"/>
          <w:numId w:val="1"/>
        </w:numPr>
        <w:rPr/>
      </w:pPr>
      <w:bookmarkStart w:id="49" w:name="__RefHeading___Toc2371560_3650668749"/>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اعلم أنّه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مكلّف غير بالغ مرتبة الاجتهاد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العلماء في أصل هذا الوجوب، وإنّما اختلفوا في تحديد سنخه؛ وأ نّه هل هو عقلي، أو فطري، أو شرعي؟</w:t>
      </w:r>
    </w:p>
    <w:p>
      <w:pPr>
        <w:pStyle w:val="BookText"/>
        <w:rPr/>
      </w:pPr>
      <w:r>
        <w:rPr>
          <w:rFonts w:ascii="Amiri" w:hAnsi="Amiri" w:eastAsia="Amiri" w:cs="Amiri"/>
          <w:color w:val="111111"/>
          <w:sz w:val="28"/>
          <w:sz w:val="28"/>
          <w:szCs w:val="28"/>
          <w:rtl w:val="true"/>
          <w:lang w:bidi="ar-SA"/>
        </w:rPr>
        <w:t>فهاهنا احتمالات ثلاثة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371562_3650668749"/>
      <w:bookmarkStart w:id="52" w:name="_Toc19"/>
      <w:bookmarkEnd w:id="51"/>
      <w:r>
        <w:rPr>
          <w:rtl w:val="true"/>
        </w:rPr>
        <w:t>الاحتمال الأوّل</w:t>
      </w:r>
      <w:r>
        <w:rPr>
          <w:rtl w:val="true"/>
        </w:rPr>
        <w:t xml:space="preserve">: </w:t>
      </w:r>
      <w:r>
        <w:rPr>
          <w:rtl w:val="true"/>
        </w:rPr>
        <w:t>الوجوب العقلي‌</w:t>
      </w:r>
      <w:bookmarkEnd w:id="52"/>
    </w:p>
    <w:p>
      <w:pPr>
        <w:pStyle w:val="BookText"/>
        <w:rPr/>
      </w:pPr>
      <w:r>
        <w:rPr>
          <w:rFonts w:ascii="Amiri" w:hAnsi="Amiri" w:eastAsia="Amiri" w:cs="Amiri"/>
          <w:color w:val="111111"/>
          <w:sz w:val="28"/>
          <w:sz w:val="28"/>
          <w:szCs w:val="28"/>
          <w:rtl w:val="true"/>
          <w:lang w:bidi="ar-SA"/>
        </w:rPr>
        <w:t>وقد قرِّر بتقريرين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الوجوب عقلي مناطه وجوب شكر المنعم؛ ويمكن في بيانه أن نشكل قياساً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شكر المنعم واجب، وبما أنّ امتثال تكاليفه من مصاديق الشكر له، فيجب إمّا الاجتهاد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نعرف من خلالهما تلك التكاليف، فنأتي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الاحتياط؛ حتّى نتيقّن بسببه بتحقّق الامتثال لهذه التكاليف عملياً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اعتُرض على هذا التقرير</w:t>
      </w:r>
      <w:r>
        <w:rPr>
          <w:rStyle w:val="FootnoteAnchor"/>
          <w:rtl w:val="true"/>
        </w:rPr>
        <w:footnoteReference w:id="56"/>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شكر المنعم مطلقاً حتّى يثبت المطلوب، بل الواجب شكره في الجملة، وهذا لا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شيئين؛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ترك كفران النعمة،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شكر المنعم؛ أمّا بالنسبة إلى الأوّل فالعقل يحكم به بشكل مطلق؛ بمعنى أنّه يرى أنّ من يكفر بالنعمة فهو مستحقّ للذمّ واللوم، وأمّا بالنسبة إلى الثاني فالعقل لايرى أنّ ترك شكر المنعم موجب لاستحقاق الذمّ واللوم بشكل مطلق، بل يرى أنّ هذا الاستحقاق ثابت في كلّ مورد اجتمع فيه ترك شكر المنعم مع كفران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كلّ ترك شكر للمنعم إذا صدق عليه عنوان كفران النعمة، فهو يوجب استحقاق‌الذمّ واللوم، وإلّا فلا، فالنسبة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العموم والخصوص المطلق؛ بمعنى أنّ كلّ كفران للنعمة يصدق عليه عنوان ترك شكر المنعم، ولكن عكسه غير صحيح؛ فليس كلّ ترك شكر للمنعم عبارة عن كفران للنعمة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ترك شي‌ءٍ نحتمل أنّه تكليف، يستلزم كفران النعمة؛ حتّى يقال بلزوم الاجتهاد أو التقليد لكي نعرف هل هو تكليف أو لا، أو نحتاط حتّى لا نقع في كفران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الوجوب العقلي ثابت على أساس قاعدة وجوب تحصيل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علماً إجمالياً بوجود تكاليف شرعية، وهذا العلم الإجمالي منجّز كما ثبت في علم الاصول، ومقتضى منجّزيته أنّه يصحّ للمولى عقوبة من لم يأتِ بما احتمل أنّه من تلك التكاليف فيما إذا وافق الواقع، فلا بدّ من سلوك طريق يؤمّننا من العذاب، وهذا المؤمّن يتحقّق إمّا بالاجتهاد، أو بالتقليد، أو بالاحتياط</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متين</w:t>
      </w:r>
      <w:r>
        <w:rPr>
          <w:rFonts w:eastAsia="Amiri" w:cs="Amiri" w:ascii="Amiri" w:hAnsi="Amiri"/>
          <w:color w:val="111111"/>
          <w:sz w:val="28"/>
          <w:szCs w:val="28"/>
          <w:rtl w:val="true"/>
          <w:lang w:bidi="ar-SA"/>
        </w:rPr>
        <w:t>.</w:t>
      </w:r>
      <w:bookmarkStart w:id="53" w:name="pg1790_14600"/>
    </w:p>
    <w:p>
      <w:pPr>
        <w:pStyle w:val="Heading4"/>
        <w:numPr>
          <w:ilvl w:val="3"/>
          <w:numId w:val="1"/>
        </w:numPr>
        <w:rPr/>
      </w:pPr>
      <w:bookmarkStart w:id="54" w:name="__RefHeading___Toc2371564_3650668749"/>
      <w:bookmarkStart w:id="55" w:name="_Toc20"/>
      <w:bookmarkEnd w:id="53"/>
      <w:bookmarkEnd w:id="54"/>
      <w:r>
        <w:rPr>
          <w:rtl w:val="true"/>
        </w:rPr>
        <w:t>الاحتمال الثاني</w:t>
      </w:r>
      <w:r>
        <w:rPr>
          <w:rtl w:val="true"/>
        </w:rPr>
        <w:t xml:space="preserve">: </w:t>
      </w:r>
      <w:r>
        <w:rPr>
          <w:rtl w:val="true"/>
        </w:rPr>
        <w:t>الوجوب الفطري‌</w:t>
      </w:r>
      <w:bookmarkEnd w:id="55"/>
    </w:p>
    <w:p>
      <w:pPr>
        <w:pStyle w:val="BookText"/>
        <w:rPr/>
      </w:pPr>
      <w:r>
        <w:rPr>
          <w:rFonts w:ascii="Amiri" w:hAnsi="Amiri" w:eastAsia="Amiri" w:cs="Amiri"/>
          <w:color w:val="111111"/>
          <w:sz w:val="28"/>
          <w:sz w:val="28"/>
          <w:szCs w:val="28"/>
          <w:rtl w:val="true"/>
          <w:lang w:bidi="ar-SA"/>
        </w:rPr>
        <w:t>إنّ الوجوب هنا فطري</w:t>
      </w:r>
      <w:r>
        <w:rPr>
          <w:rStyle w:val="FootnoteAnchor"/>
          <w:rtl w:val="true"/>
        </w:rPr>
        <w:footnoteReference w:id="58"/>
      </w:r>
      <w:r>
        <w:rPr>
          <w:rFonts w:ascii="Amiri" w:hAnsi="Amiri" w:eastAsia="Amiri" w:cs="Amiri"/>
          <w:color w:val="111111"/>
          <w:sz w:val="28"/>
          <w:sz w:val="28"/>
          <w:szCs w:val="28"/>
          <w:rtl w:val="true"/>
          <w:lang w:bidi="ar-SA"/>
        </w:rPr>
        <w:t>بمعنى أنّ الإنسان بحسب فطرته يرى ويدرك لزوم دفع الضرر المحتمل، وهذه الفطرة لا تختصّ بالإنسان، بل تحصل للحيوان أيضاً، ولذا نجد أنّه يفرّ ممّا يواجهه من الأضرار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يشاهَد في الإنسان أو الحيوان من الفطرة، ليس إلّا فعلًا يصدر عنه بالطبع؛ وهو اتّقاؤه من الضرر المحتمل، وأين هذا من الذي نحن بصدد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وهو الحكم بوجوب دفع الضرر المحتمل وإدراك هذا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في المقام الكشف عن ماهية الوجوب المتعلّق بالاجتهاد والتقليد والاحتياط؛ وأنّ الحاكم بهذا الوجوب من هو؟ ومن المعلوم أنّ أقصى ما يثبته هذا التقرير اتّقاء الإنسان والحيوان من الضرر المحتمل، وهذا لا ربط له بقضيّة الإدراكات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الإنسان مع الحيوان في التوقّي من الضرر المحتمل، لا ينفي امتياز الإنسان عن الحيوان في إدراكه الفطري لهذا اللزوم، فللإنسان فطرتان؛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 من الضرر المحتمل، وهذه هي التي يشترك مع الحيوان فيها،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إدراكه بالفطرة لحكم وجوب دفع الضرر المحتمل، فثبت أنّ الإنسان بفطرته يدرك هذا الوجوب، وهذا هو المدّعى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فجوابه ما أفاده بعض الأعلام</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إدراك شي‌ء حسب الفطرة، يعني إدراكه بشكل بديهي لا يحتاج إلى أيّ‌نظر واستدلال، ومن المعلوم أنّ إدراك وجوب دفع</w:t>
      </w:r>
      <w:bookmarkStart w:id="56" w:name="pg1790_14601"/>
    </w:p>
    <w:p>
      <w:pPr>
        <w:pStyle w:val="BookText"/>
        <w:rPr/>
      </w:pPr>
      <w:bookmarkEnd w:id="56"/>
      <w:r>
        <w:rPr>
          <w:rFonts w:ascii="Amiri" w:hAnsi="Amiri" w:eastAsia="Amiri" w:cs="Amiri"/>
          <w:color w:val="111111"/>
          <w:sz w:val="28"/>
          <w:sz w:val="28"/>
          <w:szCs w:val="28"/>
          <w:rtl w:val="true"/>
          <w:lang w:bidi="ar-SA"/>
        </w:rPr>
        <w:t>الضرر المحتمل ليس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الاصطلاح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القضية التي تكون قياساتها معها،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نصف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خفيّ أنّ الحكم بلزوم دفع الضرر المحتمل ليس بمثابة الحكم بأنّ الأربعة زوج، بل يحتاج حصوله إلى إمعان النظر وترتيب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مشاحّة في الاصطلاح؛ فإنّه من الممكن أن نعتبر الحكم في المقام فطرياً، لا على أساس اصطلاح المناطقة، بل على أساس أنّ هناك فعلًا فطرياً للإنسان؛ وهو اتّقاؤه من الضرر المحتمل، ويقارن هذا الفعل حكم العقل بوجوب دفع الضرر المحتمل، وهذه المقارنة تصحّح لنا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الضرر المحتمل 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بأس به، إلّاأنّه لابدّ أن يُعلم بأنّ اعتبار هذا من الفطريات، لا يعني أنّ إدراك الوجوب هنا يحصل على أساس الفطرة؛ فإنّ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على أساس إمعان النظر وإعمال الفكر، وهذا هو محطّ البحث في المقام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371566_3650668749"/>
      <w:bookmarkStart w:id="58" w:name="_Toc21"/>
      <w:bookmarkEnd w:id="57"/>
      <w:r>
        <w:rPr>
          <w:rtl w:val="true"/>
        </w:rPr>
        <w:t>الاحتمال الثالث</w:t>
      </w:r>
      <w:r>
        <w:rPr>
          <w:rtl w:val="true"/>
        </w:rPr>
        <w:t xml:space="preserve">: </w:t>
      </w:r>
      <w:r>
        <w:rPr>
          <w:rtl w:val="true"/>
        </w:rPr>
        <w:t>الوجوب الشرعي‌</w:t>
      </w:r>
      <w:bookmarkEnd w:id="58"/>
    </w:p>
    <w:p>
      <w:pPr>
        <w:pStyle w:val="Heading5"/>
        <w:numPr>
          <w:ilvl w:val="4"/>
          <w:numId w:val="1"/>
        </w:numPr>
        <w:rPr/>
      </w:pPr>
      <w:bookmarkStart w:id="59" w:name="__RefHeading___Toc2371568_3650668749"/>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في داخل إطار هذا الاحتمال وقع البحث في أنّ هذا الوجوب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مقدّمي غيري، أو طريقي، أو نفسي؟ وهناك وجوه بل أقوال</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2371570_3650668749"/>
      <w:bookmarkStart w:id="62" w:name="_Toc23"/>
      <w:bookmarkEnd w:id="61"/>
      <w:r>
        <w:rPr>
          <w:rtl w:val="true"/>
        </w:rPr>
        <w:t>الأوّل</w:t>
      </w:r>
      <w:r>
        <w:rPr>
          <w:rtl w:val="true"/>
        </w:rPr>
        <w:t xml:space="preserve">: </w:t>
      </w:r>
      <w:r>
        <w:rPr>
          <w:rtl w:val="true"/>
        </w:rPr>
        <w:t>أنّه وجوب مقدّمي غيري‌</w:t>
      </w:r>
      <w:bookmarkEnd w:id="62"/>
    </w:p>
    <w:p>
      <w:pPr>
        <w:pStyle w:val="BookText"/>
        <w:rPr/>
      </w:pPr>
      <w:r>
        <w:rPr>
          <w:rFonts w:ascii="Amiri" w:hAnsi="Amiri" w:eastAsia="Amiri" w:cs="Amiri"/>
          <w:color w:val="111111"/>
          <w:sz w:val="28"/>
          <w:sz w:val="28"/>
          <w:szCs w:val="28"/>
          <w:rtl w:val="true"/>
          <w:lang w:bidi="ar-SA"/>
        </w:rPr>
        <w:t>بمعنى أنّ الاجتهاد أو التقليد أو الاحتياط بما أنّها تكون مقدّمة للعمل، فلابدّ من الحكم بوجوبها من باب المقدّمة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 بعض الأعلام المحقّقين رحمه الله في ذلك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p>
    <w:p>
      <w:pPr>
        <w:pStyle w:val="BookText"/>
        <w:rPr/>
      </w:pPr>
      <w:r>
        <w:rPr>
          <w:rFonts w:ascii="Amiri" w:hAnsi="Amiri" w:eastAsia="Amiri" w:cs="Amiri"/>
          <w:color w:val="111111"/>
          <w:sz w:val="28"/>
          <w:sz w:val="28"/>
          <w:szCs w:val="28"/>
          <w:rtl w:val="true"/>
          <w:lang w:bidi="ar-SA"/>
        </w:rPr>
        <w:t>بيّناه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بواجبة شرعاً، وليس أمرها مولوياً بوجه وإنّما هي واجبة عقلًا لعدم حصول الواجب إلّابها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سلّمنا وجوب المقدّمة فليس الاحتياط مقدّمة لأيّ واجب فإنّ ما أتى به المكلّف إمّا أنّه نفس الواجب أو أنّه أمر مباح، وهو أجنبي عن الواجب رأساً لا أ نّه مقدّمة لوجود الواجب وتحقّقه، بلا فرق في ذلك بين أن يكون أصل الوجوب معلوماً وكان التردّد في متعلّقه كما في موارد الاحتياط المستلزم للتكرار، وبين أن يكون أصل الوجوب محتملًا كما في موارد الاحتياط غير المستلزم للتكرار، ومعه كيف يكون الاحتياط مقدّمة لوجود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ضمّ أحد الفعلين إلى الآخر مقدّمة علمية للامتثال، لأنّ به يحرز الخروج عن عهدة التكليف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الاحتياط غير المستلزم للتكرار، لا أ نّه مقدّمة وجودية للواجب ليجب أو لا يجب، هذا كلّه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الاجتهاد والتقليد، لأنّهما في الحقيقة عبارتان عن العلم بالأحكام ومعرفتها، ولا يكون معرفة حكم أيّ موضوع مقوّماً لوجود ذلك الموضوع ومقدّمة لتحقّقه بحيث لا يتيسّر صدوره ممّن لا يعلم بحكمه، فهذا كردّ السلام فإنّه ممكن الصدور ممّن لا يعلم بحكمه، وكذلك الحال في غيره من الواجبات إذ يمكن أن يأتي بها المكلّف ولو على سبيل الاحتياط من دون أن يكون عالماً بحكمها، فلا يتوقّف وجود الواجب على معرفته بالاجتهاد أو التقليد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يتمكّن المكلّف في بعض الموارد من الإتيان بالعمل إلّاإذا علم بما اعتبر فيه من القيود والشروط، كما في الموضوعات المركّبة مثل الصلاة والحجّ فإنّ الجاهل بأحكامهما غير متمكّن على إصدارهما، إلّاأنّه من الندرة بمكان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63" w:name="pg1790_14603"/>
    </w:p>
    <w:p>
      <w:pPr>
        <w:pStyle w:val="Heading5"/>
        <w:numPr>
          <w:ilvl w:val="4"/>
          <w:numId w:val="1"/>
        </w:numPr>
        <w:rPr/>
      </w:pPr>
      <w:bookmarkStart w:id="64" w:name="__RefHeading___Toc2371572_3650668749"/>
      <w:bookmarkStart w:id="65" w:name="_Toc24"/>
      <w:bookmarkEnd w:id="63"/>
      <w:bookmarkEnd w:id="64"/>
      <w:r>
        <w:rPr>
          <w:rtl w:val="true"/>
        </w:rPr>
        <w:t>الثاني</w:t>
      </w:r>
      <w:r>
        <w:rPr>
          <w:rtl w:val="true"/>
        </w:rPr>
        <w:t xml:space="preserve">: </w:t>
      </w:r>
      <w:r>
        <w:rPr>
          <w:rtl w:val="true"/>
        </w:rPr>
        <w:t>أنّ هذا الوجوب وجوب شرعي طريقي‌</w:t>
      </w:r>
      <w:bookmarkEnd w:id="65"/>
    </w:p>
    <w:p>
      <w:pPr>
        <w:pStyle w:val="BookText"/>
        <w:rPr/>
      </w:pPr>
      <w:r>
        <w:rPr>
          <w:rFonts w:ascii="Amiri" w:hAnsi="Amiri" w:eastAsia="Amiri" w:cs="Amiri"/>
          <w:color w:val="111111"/>
          <w:sz w:val="28"/>
          <w:sz w:val="28"/>
          <w:szCs w:val="28"/>
          <w:rtl w:val="true"/>
          <w:lang w:bidi="ar-SA"/>
        </w:rPr>
        <w:t>والمقصود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انشئ بداعي تنجيز التكليف، فالواجب الطريقي هو الذي وجب لكي ينجّز التكليف؛ بحيث لو لا الأمر به لبقي التكليف على حالة عدم التنجيز،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على الحائض في بعض الحالات؛ فإنّ مثل هذا الوجوب لم يشرّع إلّابهدف تنجيز ما عليها من التكليف، وكذا وجوب العمل بخبر الواحد؛ فإنّ إيجابه إنّما هو بهدف التحفّظ على أحكام شرعية كثيرة تتضمّنها جملة من أخبار الآحاد؛ فإيجابه ينجّز تلك التكاليف المنتشرة في هذه الأخبار، وبهذا اللحاظ قد يعبّر عن الواجبات الطريقية بما يحافظ على الأحكام وملاكاتها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وجوب الاجتهاد والتقليد والاحتياط من هذا القبيل أو لا؟</w:t>
      </w:r>
    </w:p>
    <w:p>
      <w:pPr>
        <w:pStyle w:val="BookText"/>
        <w:rPr/>
      </w:pPr>
      <w:r>
        <w:rPr>
          <w:rFonts w:ascii="Amiri" w:hAnsi="Amiri" w:eastAsia="Amiri" w:cs="Amiri"/>
          <w:color w:val="111111"/>
          <w:sz w:val="28"/>
          <w:sz w:val="28"/>
          <w:szCs w:val="28"/>
          <w:rtl w:val="true"/>
          <w:lang w:bidi="ar-SA"/>
        </w:rPr>
        <w:t>وللإجابة على هذا السؤال لابدّ من عقد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لبحث ثبوتي، ومقام لبحث 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فنبحث فيه عن إمكان اعتبار الوجوب الطريقي للُامور الثلاثة وعدم إمكانه، فلو أثبتنا في هذا المقام عدم إمكان تحقّق الوجوب الطريقي لهذه الامور فسوف لا تصل النوبة إلى مقام الإثبات؛ أي‌ليس بالإمكان حينئدٍ أن نفحص عن دليل يدلّ على تعلّق الوجوب الطريقي بها، ولو وجدنا دليلًا يظهر منه ذلك فلابدّ من توجيهه؛ حيث إنّ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أن تكون كواجبات 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الأعلام رحمه الله إلى تفصيل في المقام،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فرضين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وجود العلم الإجمالي بالتكاليف الشرعية، وفرض عدم وجوده في البين بأن نفترض عدم وجود العلم من الأوّل، أو انحلاله بعد أن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يتصوّر تعلّق الوجوب الطريقي بالامور الثلاثة؛ حيث إنّ الغرض من الوجوب الطريقي هو تنجيز متعلّقه، والمفروض تنجّزه بالعلم الإجمالي، والمتنجّز لا يتنجّز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تعلّق الوجوب الطريقي بالاجتهاد وأخويه، ووجه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الاصول الترخيصية تشمل موارد الشبهة الحكمية قبل الفحص، ومقتضى شمولها لذلك عدم تنجّز التكاليف، وحينئدٍ فبالإمكان أن نفترض ورود أمر من الشارع يدلّ على وجوب الاجتهاد وأخويه بهدف تنجيز ما هو غير متنجّز علينا، فيصبح الاجتهاد وأخواه كواجبات يتحفّظ بسببها على الأحكام والتكاليف، فيثبت المدّعى وهو إمكان فرض الوجوب الطريقي لهذه الثلاثة، ولا نريد الأزيد من ذلك، فلو لا أمر الشارع بهذه الثلاثة لما بقي لتنجّز الأحكام طريق، وعليه فإنّ الشارع لو أراد تنجيز هذه الأحكام في موارد الشبهة الحكمية قبل الفحص فلابدّ أن يستفيد من هذه الطرق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هل أمر بها بهدف التنجيز فهو أمر لابدّ أن نبحث عنه في مقام الإثبات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رحمه الله في ذيل كلامه إلى نكتة، وهي أنّ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تعلّق الوجوب الطريقي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إذا افترضنا أنّ التقليد عبارة عن تعلّم الفتوى أو أخذها، أمّا لو فسّرناه بأ نّه العمل استناداً إلى الفتوى فلا تصحّ نسبة التنجيز إليه؛ حيث إنّه عبارة عن نفس الإتيان بالعمل، مع أنّ التنجّز يعني أنّ الحكم قد ثبت واستقرّ علينا فلابدّ من الإتيان به؛ والذي ينجّز الحكم هو التعلّم، فإذا تعلّم شخص حكماً ما فهو يتنجّز عليه، فلابدّ من الإتيان به، أي‌يجب عليه أن يأتي به، وهذا هو معنى التنجّز</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وتتوجّه إلى كلامه عدّة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الوجوب الطريقي الشرعي بالاجتهاد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نفس المشكلة التي نحن بصدد حلّها؛ حيث إنّ هذا الوجوب الذي نريد إثباته للُامور الثلاثة نفسه حكم شرعي حسب الفرض، فلابدّ أن يتنجّز علينا، فنسأل ما هو المنجّز لهذا الحكم؟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ينجّزه فهو خلاف المدّعى؛ حيث ثبت أنّ الذي يوجب الاجتهاد وأخويه لأوّل مرّة هو العقل لا الشرع،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تنجّزه يتمّ بسبب حكم آخر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أي‌أنّه أمر باجتهادٍ أو تقليدٍ آخرين؛ حتّى نصّ في ضوئهما على وجوب الاجتهاد أو التقليد بسبب الاستنباط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إمّا الدور أو التسلسل، وكلاهما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صحّ أن يدّعى أنّه لا مجال للقول بتعلّق الوجوب بالامور الثلاثة في الفرض الثاني؛ فإنّ أقصى ما يمكن أن يقال لإثبات هذا الإمكان هو ما قاله، وهو محلّ مناقشة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ماذكره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أدلّة الاصول الترخيصية في موارد الشبهة الحكمية قبل الفحص، ومقتضى شمولها لها عدم تنجّز التكليف، بإمكان أن يتصوّر التنجيز للاجتهاد والتقليد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الذي نحن فيه هو فرض عدم وجود العلم الإجمالي في البين، وعليه فلا حاجة إلى اللجوء إلى الأدلّة الترخيصية لإثبات عدم تنجيز التكليف؛ حيث إنّ المنجّز هو العلم الإجمالي وهو منتفٍ بحسب الفرض</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مبنى آخر يقول بأنّ صرف الاحتمال منجّز وإن لم يكن مقروناً بالعلم الإجمالي، وعليه لابدّ من التمسّك بأدلّة الاصول الترخيصية لرفع تنجّز التكليف الذي ثبت تنجّزه بسبب الاحتمال، فكلام المحقّق الخوئي رحمه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ذهاب السيّد الخوئي رحمه الله نفسه وكثير من المحقّقين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تبنّينا هذا المبنى القائل بمنجّزية الاحتمال فسوف لا يبقى لنا مجال للاعتقاد بشمول أدلّة الاصول الترخيصية في المقام، بل إنّ قبول شمول تلك الأدلّة للمقام يواجه مشكلة أساسية؛ وهي أنّ هذا الدليل المرخّص لا يخلو حاله 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 صدر كحكم من العقل أو صدر كحكم من الشرع، فلو كان الأوّل فالإشكال هو أنّنا بذلك التزمنا في الفرض بصدور أمرين متعارضين من ناحية العقل؛ حيث قبلنا من ناحية أنّ العقل حكم بتنجّز التكليف، ومن ناحية اخرى حكم بعدم تنجّزه، فإنّه عندما يحكم بالمنجّزية للاحتمال فهو بذلك يحكم بأنّ التكليف متنجّز علينا، وعندما يحكم بالترخيص فهو يحكم بعدم تنجّز التكليف علينا، فلو حكم بالأوّل فلا يحكم بالثاني، والعكس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بالمنجّزية للاحتمال ولم يحكم بالثاني،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تصل النوبة إلى الاجتهاد والتقليد والاحتياط لكي يكون كلّ منها منجّزاً للتكليف؛ حيث إنّ الفرض أنّ الاحتمال حينئذٍ هو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 بأنّ العقل لم يحكم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أي‌منجّزية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حكم بالثاني أي الترخيص،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حاجة إلى اللجوء إلى الأدلّة الترخيصية كما فعل هذا المحقّق رحمه الله؛ حيث إنّ التنجيز حينئذٍ منتفٍ فلماذا ترجعون إلى الأدلّة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بما أنّ التكليف غير متنجّز فيصحّ أن يجعل الاجتهاد وأخواه كواجبات طريقية تنجّز التكاليف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الثاني فالإشكال هو أنّ هذا يعني صدور أمرين متعارضين من قبل الشرع؛ حيث إنّنا تصوّرنا من ناحية أنّ الشارع حكم بالترخيص، ومقتضاه عدم تنجّز التكليف، ومن ناحية اخرى حكم بلزوم الاجتهاد وأخويه بهدف التنجّز، فلو</w:t>
      </w:r>
    </w:p>
    <w:p>
      <w:pPr>
        <w:pStyle w:val="BookText"/>
        <w:rPr/>
      </w:pPr>
      <w:r>
        <w:rPr>
          <w:rFonts w:ascii="Amiri" w:hAnsi="Amiri" w:eastAsia="Amiri" w:cs="Amiri"/>
          <w:color w:val="111111"/>
          <w:sz w:val="28"/>
          <w:sz w:val="28"/>
          <w:szCs w:val="28"/>
          <w:rtl w:val="true"/>
          <w:lang w:bidi="ar-SA"/>
        </w:rPr>
        <w:t>كان أراد التنجّز فلماذا جاء بدليل الأصل الترخيصي؟ ولو أراد عدم التنجّز فلماذا أصدر أمره بالاجتهاد والتقليد والاحتياط بهدف التنجّز؟</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شمول أدلّة الاصول الترخيصية لموارد الشبهة الحكمية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متوجّهة إلى ما ذكره قدس سره في نهاية كلامه من أنّ التقليد إذا فُسّر بأ نّه العمل استناداً إلى الفتوى فلا تصحّ نسبة التنجيز إليه؛ حيث إنّنا نلتزم بأنّ الذي هو منجّز في الواقع في مفروض الكلام ليس الاجتهاد أو التقليد أو الاحتياط حتّى يلزم ما قاله، بل المنجّز هو ذلك الأمر الصادر من المولى متوجّهاً إلى الاجتهاد وعدليه؛ بمعنى أنّ هذا الأمر ينجّز التكليف بمحض صدوره، وعليه فإنّ الاجتهاد حتّى لو لم يتحقّق بعدُ فإنّ التكليف متنجّز على الشخص؛ وذلك لأنّ هذا الاجتهاد ليس هو الذي ينجّزه بل المنجّز هو ذلك الأمر، ومن المعلوم أنّ هذا الأمر يمكن أن يأتي بالنسبة إلى الكلّ على مستوى واحد، وعليه فلا فرق في أن نفسّر التقليد بالعمل أو نفسّره بالتعلّم؛ فإنّ الأمر المتوجّه إليه هو الذي ينجّز الحكم في كلا الشقّين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إنّ المنجّز هو الأمر، غير أنّه يوجد هناك فرق بين الاجتهاد والتقليد حسب التفسير الأوّل والتقليد حسب تفسيره بأ نّه العمل، وهذا الفرق هو أنّ الاجتهاد والتقليد إذا فسِّرا بالتعلّم توجد فيهما قابلية التنجيز؛ بمعنى أنّ الاجتهاد لو اتّفق أن يتحقّق في موردٍ ينجّز الحكم الذي يكشف عنه، وكذلك التقليد حسب هذا التفسير؛ فإنّ المقلّد إذا أخذ الفتوى أو تعلّمها يصبح التكليف عليه منجّزاً، وهذا بخلاف التقليد حسب التفسير الثاني؛ فإنّه لا يمتلك مثل هذه القابلية، حيث إنّه عبارة عن نفس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هذه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الاجتهاد والتقليد حسب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تلعب دوراً في إصدار الأمر من قبل المولى، فالذي هو الداعي في إصداره وجود هذه القابلية فيهما؛ بمعنى أنّ الشارع لمّا رأى أنّ الاجتهاد يمكن أن ينجّز الحكم يُصدر أمره إليه بهدف التنجيز، غير أنّ هذا الأمر سوف ينجّز الحكم بمجرّد أن صدر من المولى، فلا يُبقي مجالًا للاجتهاد حتّى ينجّز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بمعنى أنّه بعد صدور الأمر لو لم تأتِ بالاجتهاد فإنّ التكليف متنجّز عليك بلحاظ كون منجّزه هو ذلك الأمر لا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بمثابة الداعي إلى إصدار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التقليد الذي فُسّر بنفس العمل، وعليه كيف يصدر أمر يتوجّه إليه؟ وهذا هو الفارق بين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يقال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إصدار المولى أمره بالنسبة إلى شي‌ء بهدف تنجيز الحكم لا يحتاج إلى أن يكون الداعي له عبارة عن وجود مثل هذه القابلية المشار إليها، بل يكفي لتحقّق هذا الداعي ثبوت صلة وارتباط للشي‌ء بما فيه مثل تلك القابلية، بمعنى أنّ الشي‌ء الذي يتوجّه إليه أمر المولى بهدف التنجيز لابدّ إمّا أن تكون فيه قابلية التنجيز، أو أن تكون له صلة بما فيه قابلية التنجيز؛ فإنّ كلًاّ من القابلية المذكورة والصلة بما فيه تلك القابلية يكفي لكي يكون داعياً للمولى حتّى يصدر أمره إلى الشي‌ء بهدف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إذا فسّر بنفس العمل وإن لم يكن فيه تلك القابلية، ولكن له صلة بما فيه تلك القابلية، وهذه الصلة تتمثّل لنا في صورتين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هذا عِدل للاجتهاد، وعليه يكون أمر الشارع عبارة عن أنّه يجب عليكم بهدف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الاجتهاد وإمّا التقليد، فالصلة عبارة عن كونه</w:t>
      </w:r>
    </w:p>
    <w:p>
      <w:pPr>
        <w:pStyle w:val="BookText"/>
        <w:rPr/>
      </w:pPr>
      <w:r>
        <w:rPr>
          <w:rFonts w:ascii="Amiri" w:hAnsi="Amiri" w:eastAsia="Amiri" w:cs="Amiri"/>
          <w:color w:val="111111"/>
          <w:sz w:val="28"/>
          <w:sz w:val="28"/>
          <w:szCs w:val="28"/>
          <w:rtl w:val="true"/>
          <w:lang w:bidi="ar-SA"/>
        </w:rPr>
        <w:t>عِدلًا للاجتهاد الذي فيه تلك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لا معنى له بدون الاجتهاد؛ حيث إنّه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استناداً إلى فتوى المجتهد، لا نفس العمل بدون أن يكون له مثل هذا الاستناد، ومن المعلوم أنّ هذا الاستناد يعني الاستناد إلى ما تحقّق على أساس الاجتهاد الذي فيه تلك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من 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أمامنا طريق للقول بإمكان تعلّق الوجوب الطريقي بالامور الثلاثة في الفرض الثاني، كما هو الحال بالنسبة إلى الفرض الأوّل أيضاً بما تقدّم 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هناك أدلّة تدلّ على وجوب التعلّم مثل ما ورد</w:t>
      </w:r>
      <w:r>
        <w:rPr>
          <w:rStyle w:val="FootnoteAnchor"/>
          <w:rtl w:val="true"/>
        </w:rPr>
        <w:footnoteReference w:id="62"/>
      </w:r>
      <w:r>
        <w:rPr>
          <w:rFonts w:ascii="Amiri" w:hAnsi="Amiri" w:eastAsia="Amiri" w:cs="Amiri"/>
          <w:color w:val="111111"/>
          <w:sz w:val="28"/>
          <w:sz w:val="28"/>
          <w:szCs w:val="28"/>
          <w:rtl w:val="true"/>
          <w:lang w:bidi="ar-SA"/>
        </w:rPr>
        <w:t>من إيجاب طلب العلم، أو لزوم السؤال من أهل الذكر</w:t>
      </w:r>
      <w:r>
        <w:rPr>
          <w:rStyle w:val="FootnoteAnchor"/>
          <w:rtl w:val="true"/>
        </w:rPr>
        <w:footnoteReference w:id="63"/>
      </w:r>
      <w:r>
        <w:rPr>
          <w:rFonts w:ascii="Amiri" w:hAnsi="Amiri" w:eastAsia="Amiri" w:cs="Amiri"/>
          <w:color w:val="111111"/>
          <w:sz w:val="28"/>
          <w:sz w:val="28"/>
          <w:szCs w:val="28"/>
          <w:rtl w:val="true"/>
          <w:lang w:bidi="ar-SA"/>
        </w:rPr>
        <w:t>، فإنّ هذه الأدلّة تدلّ على تحقّق الوجوب الطريقي للاجتهاد والتقليد اللذين يتحقّق التعلّم بأحدهما؛ فإنّ التعلّم عبارة عن التعلّم الاجتهادي والتعلّم التقليدي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الأدلّة تدلّ على تحقّق وجوب نفسي للاجتهاد والتقليد، لا الوجوب الطريقي لهما كما هو المدّعى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دليل تتحقّق له الدلالة على أساس ما للناس والعرف من الرؤية والارتكاز، ومن المعلوم أنّ الذي يراه العرف بالنسبة إلى التعلّم هو كونه طريقاً إلى الواقع، وأ نّه 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 في ذلك الشي‌ء، لا في التعلّم نفسه؛ فإنّه يأتي لكي يكون طريقاً إلى ذلك الشي‌ء، فإذا كان للعرف مثل هذه الرؤية فلابدّ أن تُحمل الأدلّة الواردة في التعلّم على ذلك الفهم العرفي، 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w:t>
      </w:r>
    </w:p>
    <w:p>
      <w:pPr>
        <w:pStyle w:val="BookText"/>
        <w:rPr/>
      </w:pPr>
      <w:r>
        <w:rPr>
          <w:rFonts w:ascii="Amiri" w:hAnsi="Amiri" w:eastAsia="Amiri" w:cs="Amiri"/>
          <w:color w:val="111111"/>
          <w:sz w:val="28"/>
          <w:sz w:val="28"/>
          <w:szCs w:val="28"/>
          <w:rtl w:val="true"/>
          <w:lang w:bidi="ar-SA"/>
        </w:rPr>
        <w:t>تثبت لنا تعلّق وجوب طريقي بالاجتهاد والتقليد،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إثبات المدّعى مشكل؛ من ناحية أنّنا أثبتنا في البحث الثبوتي عدم إمكان تعلّق الوجوب الطريقي بالاجتهاد والتقليد، وعليه لا يبقى مجال لمثل هذه الاستفادة الإثباتية من الأدلّة الواردة في التعلّم، بل لابدّ من توجيهها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الأدلّة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بالنسبة إلى الشقّ الثاني من الفرد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فرض انحلال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الوجوب الطريقي بالاجتهاد والتقليد قد يتصوّر أمراً ممكناً لو قبلنا شيئاً من التسامح وأغمضنا عن بعض الإشكالات المتصوّرة هناك، وعليه لابدّ من حمل الأدلّة الواردة في التعلّم على أنّها في مقام إيجاب الاجتهاد والتقليد بالنسبة إلى ما يبرز أمامنا بعد الانحلال من شبهات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إثبات الإمكان في البحث الثبوتي لإيجاب الاجتهاد والتقليد بالنسبة إلى فرض الانحلال، تحمل الأدلّة الواردة في التعلّم على ذلك الإيجاب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يلاحظ على هذه المحاولة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توجد في المقام فروض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الأدلّة الواردة في التعلّم ناظرة إلى فرض الانحلال، فتكون هي بصدد إيجاب الاجتهاد والتقليد بالنسبة إلى الشبهات البدوية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ناظرة إلى ما قبل الانحلال، فتكون حينئذٍ بصدد الإرشاد إلى حكم العقل؛ حيث افترضنا أنّ العقل قد أوجب علينا الاجتهاد والتقليد على أساس وجود العلم الإجمالي في البين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مطلقة وشاملة لفرض ما قبل الانحلال وفرض ما بعده، فتكون بصدد الإرشاد إلى حكم العقل بالنسبة إلى فرض ما قبل الانحلال، وفي نفس الوقت</w:t>
      </w:r>
    </w:p>
    <w:p>
      <w:pPr>
        <w:pStyle w:val="BookText"/>
        <w:rPr/>
      </w:pPr>
      <w:r>
        <w:rPr>
          <w:rFonts w:ascii="Amiri" w:hAnsi="Amiri" w:eastAsia="Amiri" w:cs="Amiri"/>
          <w:color w:val="111111"/>
          <w:sz w:val="28"/>
          <w:sz w:val="28"/>
          <w:szCs w:val="28"/>
          <w:rtl w:val="true"/>
          <w:lang w:bidi="ar-SA"/>
        </w:rPr>
        <w:t>تكون بصدد تأسيس الوجوب بالنسبة إلى فرض ما بعد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الأوّل لا يمكن الالتزام به؛ حيث إنّه مع وجود حكم للعقل في إيجاب الاجتهاد والتقليد بالنسبة إلى فرض ما قبل الانحلال ينعقد لتلك الأدلّة ظهور في الإرشاد إلى ذلك الحكم، ومع مثل هذا الظهور كيف يمكن اعتبار الأدلّة واردة في غير ما دلّ العقل على إيجابه؟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أنّ المفروض إمكان تعلّق وجوب طريقي بالاجتهاد والتقليد بالنسبة إلى فرض ما بعد الانحلال، غير أنّ صرف هذا الإمكان غير كافٍ في إثبات المدّعى، بل لابدّ أن نرى أنّ الأدلّة هل تدلّ على ذلك الأمر الممكن أم لا؟</w:t>
      </w:r>
    </w:p>
    <w:p>
      <w:pPr>
        <w:pStyle w:val="BookText"/>
        <w:rPr/>
      </w:pPr>
      <w:r>
        <w:rPr>
          <w:rFonts w:ascii="Amiri" w:hAnsi="Amiri" w:eastAsia="Amiri" w:cs="Amiri"/>
          <w:color w:val="111111"/>
          <w:sz w:val="28"/>
          <w:sz w:val="28"/>
          <w:szCs w:val="28"/>
          <w:rtl w:val="true"/>
          <w:lang w:bidi="ar-SA"/>
        </w:rPr>
        <w:t>ومن المعلوم أنّ هذه الدلالة غير متحقّقة لها؛ وذلك بسبب أنّه انعقد لها ظهور في الإرشاد إلى حكم العقل، لأنّ للعقل حكماً في إيجاب الاجتهاد والتقليد وبما أنّ حكم العقل يكون لما قبل الانحلال فلا محالة الحكم الإرشادي إلى ذلك الحكم العقلي أيضاً يكون لما قبل الانحلال فلا ينعقد ظهور لتلك الأدلّة لما بعد الانحلال كما هو المدّعى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إبطال الفرض الأوّل يبقى أمامنا فرضان، فلو ذهبنا إلى الفرض الثاني فالنتيجة عدم إثبات المدّعى؛ حيث اعتبر كون الأدلّة إرشادية محضة، ولو ذهبنا إلى الفرض الثالث فيثبت المدّعى؛ حيث افترضنا أنّ الأدلّة تكون بصدد تأسيس الوجوب لفرض ما بعد الانحلال في نفس الوقت الذي تكون هي إرشادية بالنسبة إلى فرض ما قبل الانحلال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الثالث لا يمكن قبوله؛ وذلك لأنّه يعني فرض ورود دليل واحد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الإرشاد ومقام التأسيس، وهذا لا يمكن الالتزام به؛ فإنّ الدليل لو أراد الشخص الذي جاء به أن يجعله ناظراً إلى كلا مجالي الإرشاد</w:t>
      </w:r>
    </w:p>
    <w:p>
      <w:pPr>
        <w:pStyle w:val="BookText"/>
        <w:rPr/>
      </w:pPr>
      <w:r>
        <w:rPr>
          <w:rFonts w:ascii="Amiri" w:hAnsi="Amiri" w:eastAsia="Amiri" w:cs="Amiri"/>
          <w:color w:val="111111"/>
          <w:sz w:val="28"/>
          <w:sz w:val="28"/>
          <w:szCs w:val="28"/>
          <w:rtl w:val="true"/>
          <w:lang w:bidi="ar-SA"/>
        </w:rPr>
        <w:t>والتأسيس فلابدّ من نصب قرينة تدلّ على ذلك، ومع عدم نصبها فالدليل ينصرف لا محالة إلى ذلك الوجوب العقلي، وحينئذٍ يكون إرشادياً؛ فإنّ التأسيس شي‌ء زائد على ما أثبته العقل من الوجوه، وهذا الشي‌ء الزائد لا يثبت إلّاإذا نُصبت عليه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الاجتهاد والتقليد، وأمّا الاحتياط فقد يقال بوجود أدلّة تدلّ عليه،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تقسيم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الفروض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أتت بالنسبة إلى أدلّة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جائية هنا أيضاً، فلو فرضنا كون هذه الأدلّة واردة بشكل مطلق بحيث تشمل فرضي ما قبل الانحلال وما بعده، فتكون هي إرشادية بالنسبة إلى ما قبل الانحلال وتأسيسية بالنسبة إلى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الفرض الثالث من تلك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بمثل ما رُدّ به فرض كون أدلّة التعلّم مطلقة؛ من أنّ ورود دليل واحد في مقامين لا يصح إلّاإذا نصبت عليه قرينة، وهي منتفية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لو فرضنا الفرض الثاني من تلك الفروض وهو نظارة الأدلّة إلى ما قبل الانحلال فيرد عليه ما تقدّم بالنسبة إلى الاجتهاد والتقليد في هذا الفرض من أنّ النتيجة حينئذٍ عدم إثبات المدّعى حيث اعتبر كون الأدلّة إرشادية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الفرض الأوّل من تلك الفروض وهو كون هذه الأدلّة في مقام تأسيس الوجوب الطريقي للاحتياط لمرحلة ما بعد الانحلال؛ أي‌تلك المرحلة التي برزت فيها أمامنا شبهات بدوية ولم نفحص عنها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الذي فهمه الكثير من أدلّة الاحتياط، وقالوا بأ نّها توجب الاحتياط لهذه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قبول هذا الفرض يواجه مشكلتين، فإن أمكن دفعهما ثبت الفرض وإلّا فلا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المشكلة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فرض أنّ هناك حكماً للعقل بوجوب الاحتياط لمرحلة ما</w:t>
      </w:r>
      <w:bookmarkStart w:id="66" w:name="pg1790_14613"/>
    </w:p>
    <w:p>
      <w:pPr>
        <w:pStyle w:val="BookText"/>
        <w:rPr/>
      </w:pPr>
      <w:bookmarkEnd w:id="66"/>
      <w:r>
        <w:rPr>
          <w:rFonts w:ascii="Amiri" w:hAnsi="Amiri" w:eastAsia="Amiri" w:cs="Amiri"/>
          <w:color w:val="111111"/>
          <w:sz w:val="28"/>
          <w:sz w:val="28"/>
          <w:szCs w:val="28"/>
          <w:rtl w:val="true"/>
          <w:lang w:bidi="ar-SA"/>
        </w:rPr>
        <w:t>قبل الانحلال بنحو البدلية؛ أي‌أنّه يجب إمّا الاجتهاد أو التقليد أو الاحتياط، فلابدّ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أدلّة الاحتياط على الإرشاد إلى ذلك الحكم العقلي؛ لما قلناه سابقاً من أنّه إذا كان هناك حكم عقلي ثمّ ورد دليل من الشرع فلابدّ من حمله على ذلك الحكم العقلي، أمّا اعتبار هذا الدليل ناظراً إلى تأسيس الوجوب بالنسبة إلى تلك المرحلة التي ورد فيها حكم العقل فهو شي‌ء زائد يحتاج إلى نصب قرينة، وعليه لا يصحّ هذا الفرض القائل بأنّ الأدلّة تؤسّس وجوباً للاحتياط لمرحلة ما بعد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كون أدلّة الاحتياط ناظرة إلى مورد بروز الشبهات البدوية بعد الانحلال، فإنّه يثبت بناءً على ذلك شي‌ءٌ هو غير المدّعى؛ حيث إنّ المدّعى اعتبار وجوب طريقي للاحتياط على سبيل كونه بدلًا عن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عندما ننظر إلى أصل المسألة التي عقدوها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يجب على المكلّف إمّا أن يجتهد أو يقلّد أو يحتاط، فالمدّعى هو أنّه يجب من أوّل الأمر أحد هذه الامور الثلاثة، مع أنّ الذي أثبتّموه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فرض ما بعد الانحلال، 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الوجوب للاحتياط جاء لا على سبيل البدلية؛ حيث أثبتنا سابقاً أنّ الوجوب للاجتهاد والتقليد لا يأتي لا قبل الانحلال ولا بعد الانحلال، ومعنى ذلك أنّ الثابت غير المدّعى</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371574_3650668749"/>
      <w:bookmarkStart w:id="68" w:name="_Toc25"/>
      <w:bookmarkEnd w:id="67"/>
      <w:r>
        <w:rPr>
          <w:rtl w:val="true"/>
        </w:rPr>
        <w:t>الثالث</w:t>
      </w:r>
      <w:r>
        <w:rPr>
          <w:rtl w:val="true"/>
        </w:rPr>
        <w:t xml:space="preserve">: </w:t>
      </w:r>
      <w:r>
        <w:rPr>
          <w:rtl w:val="true"/>
        </w:rPr>
        <w:t>أنّ هذا الوجوب وجوب نفسي‌</w:t>
      </w:r>
      <w:bookmarkEnd w:id="68"/>
    </w:p>
    <w:p>
      <w:pPr>
        <w:pStyle w:val="BookText"/>
        <w:rPr/>
      </w:pPr>
      <w:r>
        <w:rPr>
          <w:rFonts w:ascii="Amiri" w:hAnsi="Amiri" w:eastAsia="Amiri" w:cs="Amiri"/>
          <w:color w:val="111111"/>
          <w:sz w:val="28"/>
          <w:sz w:val="28"/>
          <w:szCs w:val="28"/>
          <w:rtl w:val="true"/>
          <w:lang w:bidi="ar-SA"/>
        </w:rPr>
        <w:t>وهاهنا نبحث أيضاً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 وإثباتي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ثبوتاً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وجوب نفسي بالاجتهاد وأخويه يبدو كأمر غير ممكن، لا بلحاظ أنّ توفّر مصلحة واقعية في الاجتهاد وأخويه يكون أمراً غير ممكن، فإنّ</w:t>
      </w:r>
    </w:p>
    <w:p>
      <w:pPr>
        <w:pStyle w:val="BookText"/>
        <w:rPr/>
      </w:pPr>
      <w:r>
        <w:rPr>
          <w:rFonts w:ascii="Amiri" w:hAnsi="Amiri" w:eastAsia="Amiri" w:cs="Amiri"/>
          <w:color w:val="111111"/>
          <w:sz w:val="28"/>
          <w:sz w:val="28"/>
          <w:szCs w:val="28"/>
          <w:rtl w:val="true"/>
          <w:lang w:bidi="ar-SA"/>
        </w:rPr>
        <w:t>هذا أمر لا إشكال في إمكانه؛ فإنّ العقل لا يرى أيّ‌استحالة في أن تكون لهذه الامور الثلاثة مصلحة واقعية تصبح على أساسها كواجبات نفسية، غير أنّ صرف إمكان توفّر هذه المصلحة غير كافٍ للحكم بإمكان صيرورتها كواجبات نفسية، بل لابدّ أن نرى هل هناك مشكلة في تعلّق أمر الشارع بهذه الامور الثلاثة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توجد مشكلتان في المقام لا يمكن بلحاظهما الحكم بإمكان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للشارع أن يُصدر أمراً مولوياً في موردٍ صدر من العقل فيه حكم بالوجوب، فلو واجهنا فيه أمراً من الشارع لزم حمله على الإرشاد؛ ولعلّه لذلك حمل السيّد الإمام الخميني الأحاديث الواردة في المقام على كونها إرشاداً إلى حكم العقل بلزوم التعلّم والسؤال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في المقام وجوباً عقلياً للاجتهاد والتقليد والاحتياط كما هو المفروض؛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وجود علم إجمالي بالتكاليف فلابدّ من تحصيل مؤمّن من العذاب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قاعدة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للشارع أن يُصدر تكاليف لا تقبل التنجّز أو تواجه مشكلة التنجّز، ومن المعلوم أنّ إيجاب الشارع للاجتهاد والتقليد والاحتياط من الموارد التي تواجه مشكلة التنجّز؛ حيث إنّ الاجتهاد أو التقليد أو الاحتياط ما هو منجّزها؟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بوجوبها هو السبيل والطريق إلى تنجّز هذا الوجوب الشرعي،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الامور الثلاثة كواجبات عقلية يثبت ذلك المدّعى الذي يقابل مدّعانا؛ وهو أنّ هذه الامور تُعدّ كواجبات 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تنجّز هذا الوجوب الشرعي يتحقّق على أساس ما للشارع من حكم آخر؛ وهو إيجاب الاجتهاد والتقليد كواجبين طريقيّين، فنقول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لو أوجبها كواجبات طريقية، فإنّه يتحقّق بهذا الإيجاب الطريقي ما يريده من إيجابها بالوجوب النفسي، فليس من المعقول أن نتصوّر أنّ الشارع أوجبها في البداية بالوجوب الطريقي ثمّ بعد ذلك أوجبها بالوجوب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الإيجاب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المتصوّر للاجتهاد والتقليد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يعدّ حكماً شرعياً، ولابدّ من أن يتنجّز علينا، فيسأل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المنجّز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كذلك أي‌إنّه غير ممكن، وليس ذلك بلحاظ عدم إمكان توفّر مصلحة واقعية في الاحتياط، فإنّ ذلك غير مقبول، بل بلحاظ عدم إمكان تعلّق الإيجاب الشرعي النفسي به بعد إثبات وجوب عقلي له حسب الدليل الذي أسلفناه سابقاً من لزوم تحصيل المؤمّن، وإذا ثبت حكم عقلي لشي‌ء فليس للشارع إصدار أمر مولوي بالنسبة إلى نفس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إثباتاً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النظر عن النتيجة التي انتهينا إليها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إمكان تعلّق الوجوب النفسي بالامور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نرى في مقام الإثبات هل هناك دليل على تعلّق هذا الوجوب بها أم لا؟ فيقال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الاجتهاد والتقليد فنحن نواجه أدلّة تدلّ على لزوم التعلّم، غير أنّه لا يصحّ استفادة الوجوب النفسي من هذه الأدلّة؛ وذلك لأنّ كلّ دليل لابدّ أن تتمّ الاستفادة منه حسب الفهم العرفي، ومن المعلوم أنّ العرف يرى أنّ التعلّم طريق للمحافظة على الواقع، وليست له الموضوعية، ومع وجود مثل هذا الفهم العرفي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المتأصّلة جذوره في مرتكزاتهم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استفادة الوجوب النفسي للتعلّق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في بعض هذه الأدلّة إشارةً وإشعاراً بذلك؛ فإنّه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يسأل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عملت؟ فيقول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تعلمت؟</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فالتعلّم لا يسأل عنه إلّابلحاظ العمل، وهذا يقوّي ذلك الفهم العرفي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الاحتياط فهناك أدلّة شرعية تدلّ عليه، غير أنّ الذي يستفاد من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ورودها في مقام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وجوب الاحتياط كعِدل للاجتهاد والتقليد؛ وذلك لأنّه ثبت عدم استفادة الوجوب للاجتهاد والتقليد من الأدلّة، ومعه لا مجال لأن نذهب إلى إيجاب الاحتياط كعِدل لهما، فإنّهما حسب الفرض غير واجبين، فكيف يجب الاحتياط كعِدل للاجتهاد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الاحتياط لا على سبيل البدل،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يصحّ الالتزام به؛ لأنّه يعني أنّ الشارع قد أوجب علينا أن نحتاط دائماً ومنذ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بوجوب الاحتياط لا على سبيل البدل لا يقتضي إيجابه للاحتياط منذ البداية؛ لأنّ المفروض أنّ الشارع ارتضى الوجوب العقلي للاجتهاد والتقليد وأرشد إليهما، ومع قبوله له يكون إيجابه للاحتياط إيجاباً لمرحلة ما بعد العمل على أساس الاجتهاد والتقليد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يوجب الاحتياط إلّاللشبهات البدوية قبل الفحص، لا منذ البداية وحين وجود العلم الإجمالي</w:t>
      </w:r>
      <w:r>
        <w:rPr>
          <w:rFonts w:eastAsia="Amiri" w:cs="Amiri" w:ascii="Amiri" w:hAnsi="Amiri"/>
          <w:color w:val="111111"/>
          <w:sz w:val="28"/>
          <w:szCs w:val="28"/>
          <w:rtl w:val="true"/>
          <w:lang w:bidi="ar-SA"/>
        </w:rPr>
        <w:t>.</w:t>
      </w:r>
      <w:bookmarkStart w:id="69" w:name="pg1790_14617"/>
    </w:p>
    <w:p>
      <w:pPr>
        <w:pStyle w:val="BookText"/>
        <w:rPr/>
      </w:pPr>
      <w:bookmarkEnd w:id="69"/>
      <w:r>
        <w:rPr>
          <w:rFonts w:ascii="Amiri" w:hAnsi="Amiri" w:eastAsia="Amiri" w:cs="Amiri"/>
          <w:color w:val="111111"/>
          <w:sz w:val="28"/>
          <w:sz w:val="28"/>
          <w:szCs w:val="28"/>
          <w:rtl w:val="true"/>
          <w:lang w:bidi="ar-SA"/>
        </w:rPr>
        <w:t>هذا كلّه بالإضافة إلى أنّ الفهم العرفي في الاحتياط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للمحافظة على الواقع، ومع مثل هذا الفهم العرفي لا يصحّ استفادة الوجوب النفسي له من الأدلّة، فيكون حاله حال الاجتهاد والتقليد في عدم استفادة الوجوب النفسي</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371576_3650668749"/>
      <w:bookmarkStart w:id="71" w:name="_Toc26"/>
      <w:bookmarkEnd w:id="70"/>
      <w:r>
        <w:rPr>
          <w:rtl w:val="true"/>
        </w:rPr>
        <w:t>هل الامور الثلاثة في عرض واحد أم بينها ترتّب طولي؟</w:t>
      </w:r>
      <w:bookmarkEnd w:id="71"/>
    </w:p>
    <w:p>
      <w:pPr>
        <w:pStyle w:val="BookText"/>
        <w:rPr/>
      </w:pPr>
      <w:r>
        <w:rPr>
          <w:rFonts w:ascii="Amiri" w:hAnsi="Amiri" w:eastAsia="Amiri" w:cs="Amiri"/>
          <w:color w:val="111111"/>
          <w:sz w:val="28"/>
          <w:sz w:val="28"/>
          <w:szCs w:val="28"/>
          <w:rtl w:val="true"/>
          <w:lang w:bidi="ar-SA"/>
        </w:rPr>
        <w:t>بحث الفقهاء في أنّ هذه الامور الثلاثة هل هي في عرض واحد، أم بينها نسبة طولية؟ ولا يخفى أنّه ليس المقصود من وجود مراتب طولية بين الامور الثلاثة ما يتبادر إلى الذهن من الشرف لصاحب بعض هذه الامور بالنسبة إلى صاحب البعض الآخر؛ فإنّه لا سبيل لإنكار أنّ المجتهد في مكانة سامية وعالية بالنسبة إلى من يقلّده، بل المقصود هل تثبت المراتب الطولية بينها حسب قضية الاجتزاء الفقهي؛ بمعنى أنّه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يتمكّن من الاجتهاد مثلًا هل له أن يقلّد أو يحتاط؟ فلو قلّد أو احتاط فهل تقليده أو احتياطه هذا مجزٍ أم لا؟ وكذلك الأمر بالنسبة إلى التقليد بالإضافة إلى الاحتياط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هنا فرضان،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بينها نسبة طولية، وبالنسبة إلى هذا الفرض يبحث عن أنّ أيّ واحد منها هو الأوّل، وأيّاً منها هو الثاني وأيّاً منها هو الثالث؟ فهنا تتصوّر فروض يكون ثالثها التفصيل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الاجتهاد والتقليد فقبل الإشارة إلى ما ورد في المقام من الأدلّة لابدّ أن ننظر إلى حكم العقل، وسيّما أنّنا فرغنا من أنّ وجوب الاجتهاد والتقليد عقلي،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لا يخلو حاله في عالم الفرض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 أن يحكم بالترتيب والطولية، أو يحكم بعدم ذلك، أو لا يكون له حكم في المسألة، وعلى الأوّلين لا مشكلة، وأمّا على الأخير فلابدّ من النظر إلى الشرع؛ حيث إنّ للشرع أن يتدخّل ويحكم إمّا بالترتيب أو بعدمه، كما أنّ له أن لا يتدخّل بل يسكت، فلو ثبت عدم حكمه أيضاً فلابدّ من القول بثبوت النسبة العرضية بينهما؛ حيث إنّ المؤمّن من العذاب يتحقّق بكلا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ليس له حكم في المسألة لا بالترتيب ولا بعدمه، بل إنّما هو حاكم بلزوم تحصيل المؤمّن، وبما أنّ هذا المؤمّن يبرز إمّا بالاجتهاد أو بالتقليد فيصير هذان واجبين بحكمه، فالاجتهاد والتقليد مصداقان لما هو الواجب، ومعلوم أنّ المصداقين يكونان في عرض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لم يسكت في المقام، بل توجد من جانبه أدلّة تدلّ على عدم لزوم رعاية الترتيب؛ يعني أنّ للمكلّف أن يختار ما يشاء من الاجتهاد والتقليد، من دون أن يكون هناك فرق بين حالتي التمكّن من تحصيل الاجتهاد وعدم التمكّن منه، ونشير فيما يلي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النفر، فإنّها تدلّ على لزوم قيام طائفة بتحصيل الاجتهاد والتفقّه، لا قيام الجميع به، فوجوب ذلك كفائي وليس عينياً، ومقتضى ذلك أنّ المكلّف يمكنه أن يختار طريقة التقليد وإن تمكّن من أن يذهب ويتفقّه بنفسه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التقليد اللفظية كآية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 لُوا أَهْلَ الذِّكْرِ إِنْ كُنْتُمْ لَا تَعْلَمُونَ</w:t>
      </w:r>
      <w:r>
        <w:rPr>
          <w:rStyle w:val="FootnoteAnchor"/>
          <w:rtl w:val="true"/>
        </w:rPr>
        <w:footnoteReference w:id="66"/>
      </w:r>
      <w:r>
        <w:rPr>
          <w:rFonts w:ascii="Amiri" w:hAnsi="Amiri" w:eastAsia="Amiri" w:cs="Amiri"/>
          <w:color w:val="111111"/>
          <w:sz w:val="28"/>
          <w:sz w:val="28"/>
          <w:szCs w:val="28"/>
          <w:rtl w:val="true"/>
          <w:lang w:bidi="ar-SA"/>
        </w:rPr>
        <w:t>فإنّ لها إطلاقاً يشمل حالتي التمكّن من تحصيل الاجتهاد وعدم</w:t>
      </w:r>
    </w:p>
    <w:p>
      <w:pPr>
        <w:pStyle w:val="BookText"/>
        <w:rPr/>
      </w:pPr>
      <w:r>
        <w:rPr>
          <w:rFonts w:ascii="Amiri" w:hAnsi="Amiri" w:eastAsia="Amiri" w:cs="Amiri"/>
          <w:color w:val="111111"/>
          <w:sz w:val="28"/>
          <w:sz w:val="28"/>
          <w:szCs w:val="28"/>
          <w:rtl w:val="true"/>
          <w:lang w:bidi="ar-SA"/>
        </w:rPr>
        <w:t>التمكّن منه، ففي كلتا الحالتين يصحّ للمكلّف أن يقلّد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التمسّك بالسيرة العقلائية الجارية على رجوع الجاهل إلى العالم؛ فإنّهم لم يتقيّدوا في الرجوع إلى العالم بما إذا كانوا غير متمكّنين من تحصيل العلم، بل استقرّت سيرتهم على ذلك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الاجتهاد والتقليد نسبة عرضية، وإن كانت مرتبة الاجتهاد متقدّمة من حيث الشرف 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ويبرز بعد ذلك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النسبة بين الاحتياط وبين الاجتهاد والتقليد؟</w:t>
      </w:r>
    </w:p>
    <w:p>
      <w:pPr>
        <w:pStyle w:val="BookText"/>
        <w:rPr/>
      </w:pPr>
      <w:r>
        <w:rPr>
          <w:rFonts w:ascii="Amiri" w:hAnsi="Amiri" w:eastAsia="Amiri" w:cs="Amiri"/>
          <w:color w:val="111111"/>
          <w:sz w:val="28"/>
          <w:sz w:val="28"/>
          <w:szCs w:val="28"/>
          <w:rtl w:val="true"/>
          <w:lang w:bidi="ar-SA"/>
        </w:rPr>
        <w:t>هل هو في عرضهما، أو هو متقدّم من حيث الرتبة عليهما، أو هو متأخّر عنهما؟</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لا شكّ في كونه من المسائل الخلافية من حيث حكمه؛ فالبعض يجوّزه والبعض الآخر يحرّمه، كما أنّ القائلين بجوازه يذهب جملة منهم إلى وجوبه إمّا نفسياً أو طريقياً، فالاختلاف حوله ممّا لا شكّ فيه، ومن المعلوم أ نّه في المسائل الخلافية لابدّ من الاجتهاد أو التقليد لإثبات صحّة أحد الآراء وليس هناك طريق آخر غيرهما، ولازم ذلك احتياج الاحتياط إلى الاجتهاد والتقليد، فيكون متأخّراً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المحقّق الأصفهاني لردّ هذا الإشكال بما حاصله مع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حيثيّتين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بالوجوب الشرعي النفسي أو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حراماً نفسياً بعنوانه، وحيثية خروجه عن كونه احتياطاً بسبب تدخّل الشارع في مورده بتعيين حكم له أي‌للمورد، وهذا التعيين يخرج المورد عن دائرة الاحتياط العقلي، ويجعله واضحاً من حيث ماله من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الحيثية الاولى بالحيثية العارضة، و عن الثانية بالحيثية المخرجة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الحيثية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العارض هو الوجوب فلا يكون الاجتهاد</w:t>
      </w:r>
    </w:p>
    <w:p>
      <w:pPr>
        <w:pStyle w:val="BookText"/>
        <w:rPr/>
      </w:pPr>
      <w:r>
        <w:rPr>
          <w:rFonts w:ascii="Amiri" w:hAnsi="Amiri" w:eastAsia="Amiri" w:cs="Amiri"/>
          <w:color w:val="111111"/>
          <w:sz w:val="28"/>
          <w:sz w:val="28"/>
          <w:szCs w:val="28"/>
          <w:rtl w:val="true"/>
          <w:lang w:bidi="ar-SA"/>
        </w:rPr>
        <w:t>والتقليد حينئذٍ متوجّهين إلّاإلى ذلك العارض أي‌حكم الوجوب، فإنّ كشف هذا الحكم العارض ليس ممكناً إلّابسبب الاجتهاد أو التقليد، أمّا قضية ترتّب الأثر على الاحتياط في مقام العمل فهي أجنبية عن مسألة الاجتهاد والتقليد؛ بمعنى أنّ هذا الأثر يترتّب على الاحتياط شئنا أم لم نشأ، اجتهدنا وقلّدنا أم لم نجتهد ولم نقلّد، اعتقدنا بوجوب الاحتياط الذي نأتي به في مقام العمل أم لم نعتقد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النظر إلى الاحتياط كطريق من الطرق إلى ما له من مثل هذا التأثير العملي فيكون الاحتياط من هذا المنظار على مرتبة الاجتهاد والتقليد، وليس متأخّراً من حيث الرتبة عنهما، فكما أنّ بالاجتهاد والتقليد تخلّص الذمّة عن العهدة فكذلك الاحتياط؛ من حيث إنّه يترتّب عليه ذلك الأثر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العارض هو الحرمة، فقد يتوهّم بأنّ كشف هذه الحرمة يؤثّر على قصر الطريق في الاجتهاد والتقليد؛ حيث إنّه لو ثبت أنّه حرام فلا يبقى أمامنا إلّا الاجتهاد والتقليد، وعليه يكون الاحتياط متأخّراً من حيث الرتبة عنهما؛ إذ لو لم يتبيّن لنا ما له من حكم الحرمة فليس لنا جعله كطريق إلى جانب الاجتهاد والتقليد، فلو ثبت أنّه ليس بحرام في مورد جعلناه إلى جانبهما، أمّا لو ثبتت لنا حرمته فلا نحكم بكونه طريقاً إلى جانبهما، بل نحكم بقصر الطريق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الخطوة الاولى هي أن نفهم أنّ الاحتياط هل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العبادة مثلًا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ولابدّ لذلك من أن نجتهد أو نقلّد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دفع المحقّق الأصفهاني هذا التوهّم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الأصلي إلى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نجعله كطريق إلى جانب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النظر إلى ما له من تأثير في مقام العمل، أي‌ننظر هل يترتّب عليه أثر في تحصيل الغرض وخروج الذمّة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يترتّب أثر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يرجع البحث عن حرمة هذا الاحتياط في مثل العبادة إلى أنّها هل تتحقّق بسبب الاحتياط بلحاظ خصوصية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 الوجه 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وهذا لا ربط له بقضيّة إمكان الاحتياط كطريق من الطرق؛ فإنّ نتيجة التوصّل إلى حرمة الاحتياط في العبادة هو التعبّد بأ نّها غير متحقّقة بالاحتياط، وليست النتيجة عبارة عن التعبّد بإمكان الاحتياط وجوازه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اعتبار الاحتياط كطريق محصّل للغرض أمر عقلي، وهو بمعزل عن قضية التعبّد الشرعي، فلا نحتاج في جعله كطريق إلى تحصيل كونه محرّماً في مثل العبادة أم لا؛ فإنّه حتّى لو لم نجتهد ونقلّد ولم نصل بهما إلى حرمته أو عدمها أمكن اعتباره كطريق محصّل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الحيثية الثانية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والتقليد لو أوصلنا أحدهما إلى حكم للشارع في مورد الاحتياط العقلي، فإنّ نتيجة هذا الوصول إلى الحكم الشرعي هو التعبّد بوجود الحكم، وأنّ المورد خارج عن شمول الاحتياط العقلي، وليست النتيجة التعبّد بإمكان الاحتياط وجوازه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أنّنا عندما نتكلّم عن الاحتياط نريد به أنّه أمكن تحصيل الغرض بسبب الاحتياط، وأين هذا من تلك النتيجة الحاصلة بالاجتهاد والتقليد، والتي كانت عبارة عن كون المورد خارجاً عن مجرى الاحتياط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ذكرنا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سواء بالنسبة إلى الحيثية الاولى أو بالنسبة إلى الحيثية الثانية لا دخل للاجتهاد والتقليد في قضية إمكان الاحتياط كطريق محصِّل للغرض، فلا يكون الاحتياط متأخّراً من حيث الرتبة عن الاجتهاد والتقليد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لأجل تمحيص كلامه أن ننظر أوّلًا إلى معنى التقدّم والتأخّر في المقام،</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التقدّم والتأخّر على 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منهما من حيث الرتبة الشرفية، بمعنى أنّ الاجتهاد في مكانةٍ عالية بالنسبة إلى الاحتياط، وأنّ المجتهد أكثر شرفاً من المحتاط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ثبوت هذا التقدّم للاجتهاد بالنسبة إلى الاحتياط، غير أنّ التقدّم بهذا المعنى خارج عن محطّ نظر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منهما وجود التأثير لطرف بالنسبة إلى الآخر؛ بمعنى أنّ الاجتهاد قد ترك وسيترك آثاراً على الاحتياط؛ بمعنى أنّ المحتاط عندما يريد أن يعمل بالاحتياط فلا محالة يتأثّر بنتائج الاجتهاد؛ حيث إنّه يأتي في مسألةٍ بالطرفين اللذين أبرزهما الاجتهاد؛ فإنّ كون شي‌ء دائراً أمره بين طرفين يعلم غالباً من ناحية الاجتهاد، فالمحتاطون جالسون على المائدة التي أعدّها المجتهدون سواء شاؤوا أم 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والتقدّم والتأخّر بهذا المعنى واقعيان جدّاً، إلّاأنّ هذا المعنى خارج عن محطّ البحث أيضاً؛ فإنّ البحث هنا متوجّه إلى مكلّف واحد، وأ نّه هل يجتهد أو يقلّد أو يحتاط، وإنّ أيّاً من هذه الطرق متقدّم بمعنى تعيّنه عليه؟</w:t>
      </w:r>
    </w:p>
    <w:p>
      <w:pPr>
        <w:pStyle w:val="BookText"/>
        <w:rPr/>
      </w:pPr>
      <w:r>
        <w:rPr>
          <w:rFonts w:ascii="Amiri" w:hAnsi="Amiri" w:eastAsia="Amiri" w:cs="Amiri"/>
          <w:color w:val="111111"/>
          <w:sz w:val="28"/>
          <w:sz w:val="28"/>
          <w:szCs w:val="28"/>
          <w:rtl w:val="true"/>
          <w:lang w:bidi="ar-SA"/>
        </w:rPr>
        <w:t>وأمّا ما ذكر من أنّ الاجتهاد قد ترك آثاراً على الاحتياط فهو يعني استفادة المكلّف المحتاط من نتائج اجتهادات الآخرين، وهذا لا ربط له بالذي نريده هنا من الحكم على المكلّف بأ نّك لابدّ أن تجتهد أو تقلّد أو تحتاط، فإنّ في عالم الواقع يتأثّر بعض الأشياء ببعضٍ في ظروف خاصّة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منهما أنّه يجب على المكلّف في البداية أن يجتهد أو يقلّد، فلو لم يتمكّن منهما فعليه أن يحتاط، وهذا المعنى لو ثبت نفع في ثبوت المدّعى؛ حيث اعتُبر في هذا الفرض الموارد الثلاثة بالنسبة إلى مكلّف واحد، واعتُبر أنّه</w:t>
      </w:r>
    </w:p>
    <w:p>
      <w:pPr>
        <w:pStyle w:val="BookText"/>
        <w:rPr/>
      </w:pPr>
      <w:r>
        <w:rPr>
          <w:rFonts w:ascii="Amiri" w:hAnsi="Amiri" w:eastAsia="Amiri" w:cs="Amiri"/>
          <w:color w:val="111111"/>
          <w:sz w:val="28"/>
          <w:sz w:val="28"/>
          <w:szCs w:val="28"/>
          <w:rtl w:val="true"/>
          <w:lang w:bidi="ar-SA"/>
        </w:rPr>
        <w:t>ليس له أن يحتاط إلّابعد عدم التمكّن من الآخرين وهذا هو التقدّم المبحوث عنه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الفرض باطل ولم يذهب إليه أحد؛ حيث إنّ بحثنا في حكم العقل بوجوب هذه الثلاثة على البدلية، ومن المعلوم أنّ العقل ليس له حكم بمثل هذا التقدّم والتأخّر بين الاجتهاد والتقليد وبين الاحتياط؛ فإنّه في مقام بيان أنّ المحصِّل لغرض المولى يتحقّق بأحد هذه الامور الثلاثة، فلو كان التقدّم والتأخّر بالمعنى الثالث ثابتين فإنّما ينشآن من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المجتهد، وهذا لا ربط له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لابدّ من أن يثبت وجود هذا الدليل في الشرع، بينما لم يذهب إلى مثل هذا الفرض أحد، بل الكلّ متّفقون على أنّ الاحتياط حسب هذا المعنى في عرض الاجتهاد والتقليد؛ أي‌لم يذهب أحد من العلماء إلى أنّه يجب أوّلًا الاجتهاد والتقليد ثمّ الاحتياط على تقدير عدم التمكّن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منهما أنّه يجب على من يريد الاحتياط أن يعرف أحكامه إمّا بالاجتهاد أو بالتقليد ثمّ يبادر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الفرض وسابقه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 يكون كلّ احتياط مسبوقاً باجتهاد أو تقليد؛ بمعنى أنّه في البداية يكون مجتهداً أو مقلّداً ثمّ يحتاط على أساس ذلك الاجتهاد أو التقليد، فالمحتاط يكون في نفس الوقت مجتهداً أو مقلّداً؛ لأنّه يعمل بالأحكام التي وصلت إليه بالاجتهاد والتقليد والتي نعبّر عنها بالاحتياط</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في الفرض السابق ليس احتياط الشخص مسبوقاً باجتهاده أو تقليده، بل مسبوق بمعرفة نتائج اجتهادات الآخرين، وهذه المعرفة ليست عبارة عن تقليدهم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نسأل أنّ هذا الفرض الرابع هل هو صحيح؟ ثمّ لو كان صحيحاً فهل يثبت لهذا المعنى للتقدّم والتأخّر ذلك التقدّم والتأخّر المبحوث عنه هنا؟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السؤال الثاني فالجواب بالإثبات؛ حيث إنّه يثبت أنّ على المحتاط أن لا يبادر بالاحتياط إلّابعد اجتهادٍ وقع من جانبه بالنسبة إلى موارد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 هل يحصّل الغرض في جميع الموارد أو لا يحصّل الغرض في جميعها؟ وأ نّه كيف يتحقّق الاحتياط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تقليد للآخرين بالنسبة إلى موارد الاحتياط هذه؟ فمثل عدم جواز هذه المبادرة إلى الاحتياط منذ البداية يعني أنّ الاحتياط ليس في عرضهما في مقام العمل، وهذا هو نفس المدّعى الذي كان البعض بصدد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السؤال الأوّل فالحقّ أنّ هذا الفرض لا يمكن قبوله؛ حيث إنّ لزومَ كون المحتاط عاملًا بما وصل إليه بالاجتهاد أمر اجتهادي يحكم به المجتهد حسب اجتهاده، والمفروض أنّ هذا الشخص المحتاط ليس بمقلّد له؛ فإنّ التقليد له أمر يخيّره العقل فيه، أمّا التقليد الذي يحكم المجتهد بلزومه فهو غير واجب على هذا الشخص، بل هو مخيّر بين طرق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أو التقليد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مبتنٍ على عنصر يكون ثبوته أوّل الكلام؛ وهو لزوم عمل الشخص المحتاط بما وصل إليه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كلّه ننتقل إلى كلام المحقّق الأصفهاني لتقييمه وتحليله،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ملاحظتين على كلامه نذكرهما أوّلًا إجمالًا ثمّ نفصّلهما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يبيّن معنى التقدّم الوارد في كلامه؛ وأ نّه بأيّ معنى من المعاني المذكورة، ولو كان يركّز النظر إليه لكان يتمكّن من الإجابة على الإشكال بطريق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الذي ذكره عن الإشكال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توضيح الملاحظة الاولى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الحيثيّتين اللتين قال بثبوتهما للاحتياط تنكشفان في عالم الاجتهاد؛ فإنّ المجتهد هو الذي يصل إلى أنّ أيّ حكم قد عرض على الاحتياط، وأنّ الاحتياط متى يخرج عن كونه احتياطاً وبسبب أيّ حكم، وحينئذٍ لابدّ له من الالتزام بما 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غير المجتهد فليس هذا الالتزام واجباً عليه إلّاإذا أصبح مقلّداً له، وإلّا فليس عليه الالتزام بما توصّل إليه المجتهد من الأحكام العارضة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هذا الشخص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مقلّداً ولا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توجّهت إليه تكاليف الشرع، فلابدّ من أن يأتي بما يؤمّنه من العذاب المحتمل الكائن في صورة عدم الإتيان بالتكاليف، وهذا المؤمّن كما يحصل بالاجتهاد والتقليد يحصل كذلك بالاحتياط، فله الاحتياط من دون الالتزام بما يصل إليه هذا المجتهد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الاعتبار الذي أخذه الاجتهاد من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كونه طريقاً يؤمّن الشخص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أخذه الاحتياط من العقل أيضاً، وعليه يتمكّن المكلّف أن يختار طريق الاحتياط ويأتي به في عالم الخارج حسب ما يفهمه، وأمّا إلزامه بالأحكام التي يصل إليها الاجتهاد فلا وجه له؛ فإنّه ليس مجتهداً حتّى تتنجّز تلك الأحكام عليه، وليس مقلّداً حتّى يجب عليه الالتزام بتلك الأحكام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ليس في مرتبة متأخّرة عنهما؛ فإنّ قبول هذه المرتبة المتأخّرة للاحتياط منوط بأن نجدها في صميم حكم العقل والحال أنّ الأمر ليس</w:t>
      </w:r>
    </w:p>
    <w:p>
      <w:pPr>
        <w:pStyle w:val="BookText"/>
        <w:rPr/>
      </w:pPr>
      <w:r>
        <w:rPr>
          <w:rFonts w:ascii="Amiri" w:hAnsi="Amiri" w:eastAsia="Amiri" w:cs="Amiri"/>
          <w:color w:val="111111"/>
          <w:sz w:val="28"/>
          <w:sz w:val="28"/>
          <w:szCs w:val="28"/>
          <w:rtl w:val="true"/>
          <w:lang w:bidi="ar-SA"/>
        </w:rPr>
        <w:t>كذلك؛ حيث إنّ المفروض أنّ حكم العقل هنا عبارة عن أنّ التكاليف التي نعلمها إجمالًا لابدّ من الإتيان بها، وهذا الإتيان يتحقّق إمّا بالاجتهاد أو التقليد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لدى العقل حكم زائد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توضيح 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صحّة كلامه لأجل أنّه قبل أنّ إمكان الاحتياط يأتي كنتيجة للحكم الذي يثبت عروضه على الاحتياط وهو حكم الحرمة؛ فإنّه كما ذكرنا قال بأنّ من يصل إلى أنّ قصد الوجه شرط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يتحقّق في الامتثال بطريق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أنّ الاحتياط غير ممكن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كلامه ذلك هو الاعتراف بأنّ إمكان الاحتياط في العبادة متوقّف على نتيجة اجتهادية، وصرف هذا المقدار يكفي للحكم بتأخّر مرتبة الاحتياط عن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ذكره من التفكيك بين التعبّد بإمكان الاحتياط وإمكانه في مقام العمل لا يرجع إلى محصّل؛ فإنّ تأخّر مرتبة الاحتياط لا يتصوّر في فرض القول بتعبّد إمكان الاحتياط بسبب الاجتهاد، بل يتحقّق بسبب القول بنفس كشف عدم إمكان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عدم إمكانه يرتبط بموارد من موارد الاحتياط وهي العبادة، وهذه كصغرى من صغريات الاحتياط</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معلوم لنا؛ إذ لعلّ الاحتياط ممنوع وغير ممكن في موارد، فلابدّ أن نجتهد حتّى نفهم إمكانه أو عدم إمكانه؛ فإنّ بحثنا فيمن لم يجتهد بعد، فلابدّ من الاجتهاد أوّلًا، وهذا يعني تقدّم مرتبة الاجتهاد على الاحتياط، فهذا الجواب للمحقّق الأصفهاني لا ينهض لدفع الإشكال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ليس متأخّراً رتبةً عن الاجتهاد والتقليد، بل هو في عرضهما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بتقدّم رتبة الاحتياط على الاجتهاد والتقليد، ويستدلّ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الاحتياط هو الإتيان بجميع المحتملات في المسألة، فيوجب القطع بالامتثال، بخلاف الاجتهاد والتقليد؛ فإنّ السلوك على أساسهما لا يوجب القطع بالامتثال دائماً، بل يوجب الظنّ بالامتثال في أكثر الأحيان، ومن المعلوم أنّ الإتيان الموجب للقطع المتمثّل في الاحتياط مقدّم على الإتيان الموجب للظنّ المتمثّل في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هذا الدليل المحقّق الخوئي رحمه الله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لمّا نزّل الأمارات الظنّية منزلة القطع كان الإتيان بما قامت عليه الحجّة في عرض الإتيان الموجب للقطع بالامتثال؛ فإنّ الأوّل امتثال قطعي تعبّدي، والثاني امتثال قطعي وجداني، فالتفرقة بينهما في غير محلّها، فلا يبقى وجه لتقديم الاحتياط على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لم يكن الاحتياط محرّماً من ناحية الشارع؛ مثل ما إذا أوجب الاحتياط اختلالًا في النظام، ولم يكن كذلك مرجوحاً؛ مثل ما إذا أوجب الاحتياط عسراً وحرجاً للمكلّف</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الذي نتصوّر ثبوته هنا للُامور الثلاثة ليس وجوباً شرعياً، بل هو وجوب عقلي كما مرّ سابقاً، فعليه لابدّ أن ننظر إلى حكم العقل؛ لكي نرى أنّ الوجوب الذي حكم به، هل هو ثابت في المرحلة الاولى للاحتياط ثمّ في فرض عدم التمكّن منه يثبت للاجتهاد والتقليد، أو هو ثابت للكلّ على حدّ سواء؟</w:t>
      </w:r>
    </w:p>
    <w:p>
      <w:pPr>
        <w:pStyle w:val="BookText"/>
        <w:rPr/>
      </w:pPr>
      <w:r>
        <w:rPr>
          <w:rFonts w:ascii="Amiri" w:hAnsi="Amiri" w:eastAsia="Amiri" w:cs="Amiri"/>
          <w:color w:val="111111"/>
          <w:sz w:val="28"/>
          <w:sz w:val="28"/>
          <w:szCs w:val="28"/>
          <w:rtl w:val="true"/>
          <w:lang w:bidi="ar-SA"/>
        </w:rPr>
        <w:t>والحقيقة أنّ حكم العقل بالوجوب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قاعدة لزوم تحصيل المؤمّن من العذاب المحتمل، ومن المعلوم أنّ هذا المؤمن يتحقّق بكلّ من الاحتياط والاجتهاد والتقليد على حدّ سواء، فإنّ المطلوب للعقل تحصيل المؤمّن الذي يصدق على كلّ من الامور الثلاثة بشكل واحد، فليس الاحتياط مقدّماً عليه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هو لزوم تحصيل المؤمّن، لا لزوم تحصيل القطع بتحقّق المكلّف به؛ فإنّ العقل لم يتعلّق له حكم بلزوم الوصول إلى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أنّ الذي ذكره المحقّق الخوئي رحمه الله كجواب عن الاستدلال في غير محلّه؛ حيث إنّه نظر إلى ما وقع في الشرع من تنزيل الأمارات بمنزلة القطع، مع أنّنا نتكلّم في مرحلة ما يحكم به العقل بالنسبة إلى هذه الامور الثلاثة ولم تصل النوبة بعدُ إلى مرحلة ما حكم به الشرع؛ ومسألة التنزيل الشرعي أمر يثبت بسبب الاجتهاد، مع أنّنا نريد أن نكشف حكم الاجتهاد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الخوئي رحمه الله قبل في مسألة تعيين نوعية الوجوب أنّه عقلي، فكيف رجع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تعيين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الشرع حسب الفرض ليس له حكم في أصل الوجوب، فكيف يكون له حكم في تعيين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الفروض الثلاثة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الاحتياط والاجتهاد والتقليد في عرض واحد، وأمّا فرض كون الاحتياط مقدّماً على أخويه، أو كون الاجتهاد والتقليد مقدّمين على الاحتياط، فهما غير صحيحين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سائر الفروض المتصوّرة في المقام فلم يذهب إليها أحد، فلا داعي لتطويل الكلام بالبحث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غير الضروريات من عباداته ومعاملاته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تقسيم متعلّق الاجتهاد إلى الضروري وغير الضروري، كما يمكن تقسيم غير الضروري إلى اليقيني وغير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الفقهاء أنّ وجوب الامور الثلاثة المذكورة ثابت في غير الضروريات، أمّا بالنسبة إليها فلا يأتي حكم العقل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 التاليان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الضروري حجّيته ذاتية، ومع كونه كذلك، لا تصل النوبة إلى التعبّد فيه بالطرق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حكم العقل بلزوم تحصيل المؤمّن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احتمل المكلّف ترتّب العقاب على تصرّفاته، ومن المعلوم أنّ العالم بحكمٍ ما لا يحتمل أن يكون الواقع غيره، فلا يحتمل ترتّب العقاب على الإتيان به، فلا يكون داخلًا في موضوع القاعدة العقلية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ما ذكر من عدم الاحتياج إلى الامور الثلاثة في الضروريات يأتي فيما إذا كان العلم الضروري بالحكم حاصلًا للمكلّف، أمّا لو تصوّرنا أنّ هناك حكماً ضرورياً لدى المجتمع الإسلامي، غير أنّ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كونه بعيداً عن هذا المجتمع، أو عدم صلته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عالماً به، فإنّه حينئذٍ يعدّ شاكّاً في الحكم، فتجب عليه الامور الثلاثة بالوجوب التخييري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هذا الكلام يجري في اليقينيّات أيضاً، فكلّ حكم حصل لنا القطع به لا يجب الاجتهاد أو التقليد أو الاحتياط بالإضافة إليه؛ حتّى إذا لم يكن من الضروريات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في المستحبّات والمباحات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تقسيم متعلّق الاجتهاد أو التقليد أو الاحتياط من زاوية اخرى، وهي تقسيمه إلى الأحكام الإلزامية وغير الإلزامية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نسأل هل ما ذكر من وجوب الاجتهاد أو التقليد أو الاحتياط يختصّ بالأحكام الإلزامية فقط، أو يأتي بالإضافة إلى مثل المندوبات والمباحات أيضاً؟</w:t>
      </w:r>
    </w:p>
    <w:p>
      <w:pPr>
        <w:pStyle w:val="BookText"/>
        <w:rPr/>
      </w:pPr>
      <w:r>
        <w:rPr>
          <w:rFonts w:ascii="Amiri" w:hAnsi="Amiri" w:eastAsia="Amiri" w:cs="Amiri"/>
          <w:color w:val="111111"/>
          <w:sz w:val="28"/>
          <w:sz w:val="28"/>
          <w:szCs w:val="28"/>
          <w:rtl w:val="true"/>
          <w:lang w:bidi="ar-SA"/>
        </w:rPr>
        <w:t>ذهب بعض الفقهاء إلى الأوّل، والحقّ تعلّقه بجميع الأحكام الإلزامية وغير الإلزامية؛ فإنّه يجب على الإنسان أن يكون إمّا مجتهداً أو مقلّداً في المندوبات والمباحات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يطرح هنا سؤال آخر، وهو أنّ الأحكام غير الإلزامية لا يجب فعلها ولا يحرم تركها حتّى نحتاج إلى مؤمّن في تركها أو فعلها؟ فعليه لا يجب بالإضافة إليه تحصيل المؤمّن، فلا يجب الاجتهاد ولا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الإشكال غير صحيح؛ فإنّ الاجتهاد والتقليد لا نحتاج إليهما في مرحلة إحراز كون الحكم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بهذه المقالة، بل نحن نتكلّم عمّا قبل هذه المرحلة؛ والتي نواجه فيها مجموعة من الأحكام لا نعلم أنّ أيّ شي‌ء منها يكون واجباً، وأيّ شي‌ء محرّماً، وأيّ شي‌ء منها مندوباً، فلابدّ من تحصيل المؤمّن حتّى لو تركنا شيئاً أو فعلنا شيئاً وكانت لدينا حجّة في هذا الترك أو الفعل، والاجتهاد والتقليد هما الطريقان اللذان يفرزان لنا الواجبات والمحرّمات والمندوبات بعضها عن بعض</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لم نجتهد أو نقلّد وتركنا شيئاً نحتمل كونه واجباً فنحن نحتمل حينئذٍ الضرر؛ حيث يمكن أن يكون هذا الشي‌ء في الواقع واجباً ونحن اعتبرناه مندوباً لا</w:t>
      </w:r>
    </w:p>
    <w:p>
      <w:pPr>
        <w:pStyle w:val="BookText"/>
        <w:rPr/>
      </w:pPr>
      <w:r>
        <w:rPr>
          <w:rFonts w:ascii="Amiri" w:hAnsi="Amiri" w:eastAsia="Amiri" w:cs="Amiri"/>
          <w:color w:val="111111"/>
          <w:sz w:val="28"/>
          <w:sz w:val="28"/>
          <w:szCs w:val="28"/>
          <w:rtl w:val="true"/>
          <w:lang w:bidi="ar-SA"/>
        </w:rPr>
        <w:t xml:space="preserve">أن يكون إمّا مقلّداً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أساس الاجتهاد والتقليد وتركناه، أو فعلنا شيئاً بعنوان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محرّم في الواقع، فنحن نعاقب من دون أن يكون لدينا حجّة تؤمّننا من العذاب، وهذا معنى ما قد يقال من أنّ الاجتهاد والتقليد نحتاج إليهما في غير الإلزاميات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وجه آخر يدلّ على لزوم الاجتهاد أو التقليد في المندوبات والمباحات والمكروهات،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اعتبار شي‌ء مندوباً أو مباحاً أو مكروهاً، له حكم في الشرع، فلابدّ من أن نجتهد أو نقلّد حتّى لا نعتبر شيئاً على أساس غير صحيح؛ فإنّ من لا يجتهد ولا يقلّد، في اعتباره لشي‌ء أنّه مندوب ربّما يقع في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غير الوجه السابق كما هو واضح؛ فإنّه في الوجه السابق كان التركيز على لزوم الاجتهاد والتقليد بهدف كشف حكم الشي‌ء وأ نّه هل هو الندب أو الوجوب، بخلاف هذا الوجه فإنّه يُركّز فيه على لزوم الاجتهاد والتقليد بهدف أن لا نقع في البدعة،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شي‌ء مندوباً لا على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يكون حكمه في الشرع الابتداع، فلِكي لا نقع في الابتداع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يترتّب عليه العذاب الإلهي ولو بشكل 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نجتهد أو نقلّد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لغير المجتهد والمحتاط واجب حسب الوجوب التخييري المتقدّم بحثه، ولكن هذا الوجوب فرع مشروعيته كطريق للوصول إلى الأحكام الشرعية، كعِدليه من الاجتهاد والاحتياط، فلنتعرّض هنا لمشروعية التقليد حتّى يكون مقدّمة لما يأتي من المسائل المرتبطة بمشروعية التقليد وكيفية أدلّتها أيضاً</w:t>
      </w:r>
      <w:r>
        <w:rPr>
          <w:rFonts w:eastAsia="Amiri" w:cs="Amiri" w:ascii="Amiri" w:hAnsi="Amiri"/>
          <w:color w:val="111111"/>
          <w:sz w:val="28"/>
          <w:szCs w:val="28"/>
          <w:rtl w:val="true"/>
          <w:lang w:bidi="ar-SA"/>
        </w:rPr>
        <w:t>.</w:t>
      </w:r>
      <w:bookmarkStart w:id="72" w:name="pg1790_14632"/>
    </w:p>
    <w:p>
      <w:pPr>
        <w:pStyle w:val="Heading4"/>
        <w:numPr>
          <w:ilvl w:val="3"/>
          <w:numId w:val="1"/>
        </w:numPr>
        <w:rPr/>
      </w:pPr>
      <w:bookmarkStart w:id="73" w:name="__RefHeading___Toc2371578_3650668749"/>
      <w:bookmarkStart w:id="74" w:name="_Toc27"/>
      <w:bookmarkEnd w:id="72"/>
      <w:bookmarkEnd w:id="73"/>
      <w:r>
        <w:rPr>
          <w:rtl w:val="true"/>
        </w:rPr>
        <w:t>أدلّة مشروعية التقليد</w:t>
      </w:r>
      <w:bookmarkEnd w:id="74"/>
    </w:p>
    <w:p>
      <w:pPr>
        <w:pStyle w:val="BookText"/>
        <w:rPr/>
      </w:pPr>
      <w:r>
        <w:rPr>
          <w:rFonts w:ascii="Amiri" w:hAnsi="Amiri" w:eastAsia="Amiri" w:cs="Amiri"/>
          <w:color w:val="111111"/>
          <w:sz w:val="28"/>
          <w:sz w:val="28"/>
          <w:szCs w:val="28"/>
          <w:rtl w:val="true"/>
          <w:lang w:bidi="ar-SA"/>
        </w:rPr>
        <w:t>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الامور الفطرية المركوزة في عقول الناس الرجوع إلى العالم في موارد الجهل بشي‌ء، وقد تبانى العقلاء على هذا الحكم العقلي الفطري، وبما أنّ الشارع لم يردع عن هذا البناء في دائرة الأحكام الشرعية كشف عن كونه معتبراً لديه، فلابدّ من التقليد؛ إذ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رجوع المكلّف إلى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صغريات تلك القاعدة الفطرية التي تبانى عليها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هذا الدليل بعدّة مناقشات نذكرها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حتّى لو سلّمنا ببناء العقلاء على ذلك، لكن لا نسلّم كون ذلك فطريّاً لدى عقول الناس،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الفطرية في عقول البشر هي ما تكون قياساتها معها؛ بحيث لا يحتاج إدراكها إلى تأمّل وتشكيل قياس،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ورجوع الجاهل إلى العالم ليس من هذا السنخ؛ فإنّ ذلك بحاجة إلى تأمّل ولو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قبول هذا الإشكال لا يعني عدم صحّة التمسّك بالبناء العقلائي لإثبات مشروعية التقليد؛ لأنّ وجود هذا البناء للعقلاء مسلّم، إلّاأنّ الإشكال يُفقد إحدى مزيّتي مسألة الرجوع إلى العالم، وهي كونها من الامور البديهية الفطرية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المناقشة في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قصد من الرجوع إلى العالم هذا التعبير المتشكّل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شي‌ء، إلّاأنّ المقصود من كون ذلك فطرياً ليس المصطلح المستخدم في المجالات العلمية؛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 أمر هو نفسه بحاجة إلى التعلّم، أو على الأقلّ بحاجة إلى التأمّل، كما وردت تأمّلات في اصولنا حول هذه القضية، بل المقصود منه ما هو لبّه وجوهره الذي هو عبارة</w:t>
      </w:r>
    </w:p>
    <w:p>
      <w:pPr>
        <w:pStyle w:val="BookText"/>
        <w:rPr/>
      </w:pPr>
      <w:r>
        <w:rPr>
          <w:rFonts w:ascii="Amiri" w:hAnsi="Amiri" w:eastAsia="Amiri" w:cs="Amiri"/>
          <w:color w:val="111111"/>
          <w:sz w:val="28"/>
          <w:sz w:val="28"/>
          <w:szCs w:val="28"/>
          <w:rtl w:val="true"/>
          <w:lang w:bidi="ar-SA"/>
        </w:rPr>
        <w:t>عن رجوع من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تلقائي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يعلم، وهذا أمر فطري موجود منذ الطفولة إلى آخر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لا يرى ذلك فطرياً ينشأ توهّمه هذا عن تخيّله، بأنّ الأمر الفطري هنا هو قضية لزوم رجوع الجاهل إلى العالم،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بهذا اللزوم بحاجة إلى التأمّل، غير أنّ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حاجة إلى أن نطرح القضية بهذه الصورة،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الفطري هو لزوم الرجوع إلى العالم، بل ننظر إلى ذلك بصورة اخرى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الاندفاع والانبعاث إلى سؤال العالم يكون أمراً فطرياً، وهذا ممّا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السيرة بلحاظ توجّه إمضاء الشارع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قالب عدم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وتوجّهه إليها، متوقّفٌ على كونها موجودة في زمن الأئمّة عليهم السلام، ومن المعلوم أنّ التقليد أمر حصل وحدث بعد زمنهم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ننظر إلى التقليد إلّاكصغرى لكبرى قد قامت السيرة عليها، وتلك الكبرى هي الرجوع إلى العالم وأهل الخبرة في كلّ حرفة وصنعة، وهذه الكبرى كانت متبلورة في زمنهم كسيرة للعقلاء ولم يردع عنها الشارع، ومن المعلوم أنّه إذا ما وقعت كبرى كسيرة للعقلاء واعتبرها الشارع فتكون صغرياتها حجّة لا محالة، لأنّ الكبرى إنّما هي للتطبيق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صغرى تلك الكبرى في مجال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موجودة آنذاك أيضاً؛ أي‌أنّه بالإضافة إلى وجود أصل الكبرى في ذلك الزمن كانت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متحقّقة وقتذاك، والقرائن على وجود التقليد في زمنهم متوافرة ومتكاثرة، وهذه القرائن والشواهد يمكن تقسيمها إلى صنفين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روايات لها دلالة وإشعار بذلك، وهي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الروايات الآمرة بالاستنباط والتفريع، مثل الحديث القائل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إلقاء الاصول وعليكم التفريع</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لعلّها أمرت الأصحاب بالاستنباط لأنفسهم لا لغيرهم، فليس لها إشعار بصحّة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بالإفتاء، وهو كما هو معلوم يشعر بصحّة التقليد؛ لأنّ الإفتاء إنّما يكون اعتباره بلحاظ أن يستفيد الآخرون منه، وليس مجرّد عرض نكتة وإظهار رأي، ولاسيّما أنّ الإفتاء القائم آنذاك في المجتمع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كانوا هم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إبداء الفقيه رأيه للغير لكي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الروايات الواردة في إرجاع الناس إلى الفقهاء لتعلّم أحكامهم منهم، ومعلوم أنّ الرجوع إلى الفقيه لتعلّم الحكم منه هو يعني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الروايات التي تكلّمت عن التقليد وضرورته؛ مثل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وإن نوقش في سند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الحاكية عن رجوع الناس عملًا إلى الأصحاب وأخذ الأحكام منهم، مثل ما ورد في التأريخ</w:t>
      </w:r>
      <w:r>
        <w:rPr>
          <w:rStyle w:val="FootnoteAnchor"/>
          <w:rtl w:val="true"/>
        </w:rPr>
        <w:footnoteReference w:id="71"/>
      </w:r>
      <w:r>
        <w:rPr>
          <w:rFonts w:ascii="Amiri" w:hAnsi="Amiri" w:eastAsia="Amiri" w:cs="Amiri"/>
          <w:color w:val="111111"/>
          <w:sz w:val="28"/>
          <w:sz w:val="28"/>
          <w:szCs w:val="28"/>
          <w:rtl w:val="true"/>
          <w:lang w:bidi="ar-SA"/>
        </w:rPr>
        <w:t>من أنّ الناس بعد أن خرج الإمام الرضا عليه السلام من المدينة كانوا يرجعون إلى يونس بن عبدالرحمان ويوجّهون إليه سؤالاتهم الفقهية ويعملون بأجوبته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أساس ذلك فدعوى كون التقليد حاصلًا بعد زمنهم أمر يوجد على خلافه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بالشكل الرائج الآن عند علماء الشيعة لم يكن موجوداً في زمنهم، غير أنّ ذلك لا يعني أنّ عِدل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أمر يقبل التفاوت بتبع ما في الاجتهاد من التفاوت المشار إليه بين ما كان قائماً في زمنهم وبين ما حدث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اختلافات في بعض الزوايا بين التقليد الحاصل آنذاك وما حصل بعده، مثل ما يُرى الآن من كون تقليد كلّ مكلّف متوجّهاً إلى مرجع واحد، فلكلّ مرجع، وقبول أنّ ذلك كان موجوداً بهذا الشكل آنذاك لا دليل عليه، غير أنّ مثل هذه الاختلافات لا تضرّ بالمدّعى؛ حيث إنّ أصل التقليد هو المهمّ لنا، وهو كان موجوداً في زمنهم، أمّا أنّ زوايا وأبعاد التقليد الآن هي غير ما كان ثابتاً للتقليد في ذلك الزمان فهو أمر آخر لا يسبّب عدم مشروعية أصل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المعلوم أنّ الأئمّة عليهم السلام كانوا يعلمون بما سيقع في الأوساط الشيعية في زمن الغيبة من وضعية خاصّة في مجال تلقّي الأحكام الشرعية، وهي التقليد للعلماء بشكل خاصّ، فلولا رضاهم بذلك لكان من اللازم أن يردعوا عنها، ومن المعلوم أنّهم لم يردعوا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وعدمه يتصوّران بالإضافة إلى ما كان حاصلًا في زمنهم، لا بالنسبة إلى ما سيحدث بعد زمنهم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لم يكونوا يخبرون عمّا سيقع بعد زمنهم، وإلّا فسوف تكون هناك ضرورة للردع عمّا سيقع فيما إذا افترضنا عدم ارتضائهم به على ذلك المستوى من الضرورة للردع عمّا كان في زمنهم في صورة عدم ارتضائهم 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المناط الموجب لضرورة الردع بالنسبة إلى ما</w:t>
      </w:r>
    </w:p>
    <w:p>
      <w:pPr>
        <w:pStyle w:val="BookText"/>
        <w:rPr/>
      </w:pPr>
      <w:r>
        <w:rPr>
          <w:rFonts w:ascii="Amiri" w:hAnsi="Amiri" w:eastAsia="Amiri" w:cs="Amiri"/>
          <w:color w:val="111111"/>
          <w:sz w:val="28"/>
          <w:sz w:val="28"/>
          <w:szCs w:val="28"/>
          <w:rtl w:val="true"/>
          <w:lang w:bidi="ar-SA"/>
        </w:rPr>
        <w:t>لا يرتضونه ممّا هو واقع في زمنهم متواجد تماماً بالنسبة إلى ما يقع بعد زمنهم ولا يرتضونه، ولا سيّما إذا كان ما يقع بعد زمنهم أمراً حسّاساً له صلة بمجرى تعلّم الأحكام، وكان عامّ البلوى ورائجاً في أوساط المجتمع، ومترسّخاً في أعماق التأريخ الذي يحدث بعد زمنهم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معقول وقابل للتصديق حتّى فيما إذا كانت الحادثة ممّا لم يخبروا عن وقوعها، فضلًا عمّا إذا كانوا يخبرون عن ذلك، والمقام من هذا السنخ، ولا سيّما أنّ إخبارهم متضمّن لنكتة أنّ العلماء هم محلّ رجوع الناس بعدهم، وكانوا عليهم السلام يأمرون بضبط أحاديثهم لكي تبقى لبعد زمنهم، كي يستفيد منها العلماء، فإذا كان المفروض أنّهم قد أخبروا عمّا يحدث بعدهم، وأصدروا أوامر دفعاً لوقوع الهرج والمرج، فكيف نسمح لأنفسنا أن نتصوّر أنّهم 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ما يقع بعد زمنهم من ظاهرة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ساكتين رغم عدم ارتضائهم به، فسكوتهم دليل على رضاهم بهذه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الردع من جانب الشارع قد حصل بالنسبة إلى هذه السيرة، وهذا متمثّل في مثل الآيات الناهية عن العمل بالظنّ، فإنّ هذه الآيات تشمل التقليد أيضاً؛ لأنّ التقليد لا يوصلنا إلى القطع بالحكم، بل أقصى ما يحدث لنا غالباً ونوعاً 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حتّى لو سلّمنا بدلالة مثل هذه الآيات على الردع عن مطلق الظنّ، إلّاأنّها غير صالحة للردع عن مثل التقليد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الجاهل إلى العالم لمّا كان أمراً فطرياً في عقول البشر، فلا يكفي لردع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يجي‌ء بمثل ما جاء في الآية المشار إليها؛ حيث إنّ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مخاطبو الشارع في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ينتقلون أصلًا من</w:t>
      </w:r>
    </w:p>
    <w:p>
      <w:pPr>
        <w:pStyle w:val="BookText"/>
        <w:rPr/>
      </w:pPr>
      <w:r>
        <w:rPr>
          <w:rFonts w:ascii="Amiri" w:hAnsi="Amiri" w:eastAsia="Amiri" w:cs="Amiri"/>
          <w:color w:val="111111"/>
          <w:sz w:val="28"/>
          <w:sz w:val="28"/>
          <w:szCs w:val="28"/>
          <w:rtl w:val="true"/>
          <w:lang w:bidi="ar-SA"/>
        </w:rPr>
        <w:t>أمثال هذه التعابير إلى أنّ الشارع في مقام الردع عمّا لديهم من أمر فطري مثل الرجوع إلى العالم، وسرّ عدم انتقالهم واضح، بعد أن افترضنا كون قضية الرجوع بديهية لعقولهم، فلا يحتملون الخلاف، والشارع لو أراد الردع عن امور فطرية لابدّ له من استخدام كلمات صريحة؛ نظير ما جاء من قبله في ردّ القياس مع أنّه ليس أمراً بديهياً في عقول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يمكن الاتّكال عليها لإثبات مشروعية أصل التقليد،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سلّمنا أنّه لم يكن في عصر الأئمّة البناء العملي على الرجوع إلى العالم، وافترضنا أنّ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وقوع الكبرى في زمنهم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كان آنذاك ليس أزيد من وجود ارتكاز عقلائي على الرجوع إلى العالم، ولم نقبل ما ذكر أيضاً من أنّ سكوتهم إزاء ما يحدث بعدهم من التقليد يساوق إمضاءهم له، وبكلمة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لم نقبل جميع تلك المحاولات المذكورة بصدد إثبات وقوع الإمضاء إزاء السيرة، فهل من الممكن أن نعتبر ذلك الارتكاز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الوارد إلى ساحة العمل في زمنهم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مشروعية التقليد؟</w:t>
      </w:r>
    </w:p>
    <w:p>
      <w:pPr>
        <w:pStyle w:val="BookText"/>
        <w:rPr/>
      </w:pPr>
      <w:r>
        <w:rPr>
          <w:rFonts w:ascii="Amiri" w:hAnsi="Amiri" w:eastAsia="Amiri" w:cs="Amiri"/>
          <w:color w:val="111111"/>
          <w:sz w:val="28"/>
          <w:sz w:val="28"/>
          <w:szCs w:val="28"/>
          <w:rtl w:val="true"/>
          <w:lang w:bidi="ar-SA"/>
        </w:rPr>
        <w:t>يمكن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 الارتكاز إذا وقع إزاءه إمضاء كإمضاء السيرة من قبل الأئمّة عليهم السلام كان معتبراً، غير أنّ إمضاءه يختلف عن إمضاء السيرة من ناحية أنّ إمضاء السيرة يتحقّق بإحدى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قول من الأئمّة عليهم السلام أو صدور فعل من جانبهم بصدد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إزاءها وعدم الردع عنها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الارتكاز لا يعقل أن يتمّ إمضاؤه إلّابصورة واحدة، وهي مجي‌ء قول منهم أو صدور فعل من جانبهم وكانوا بصدد الإشعار إلى قبوله، أو كان له إشعار في ذلك</w:t>
      </w:r>
    </w:p>
    <w:p>
      <w:pPr>
        <w:pStyle w:val="BookText"/>
        <w:rPr/>
      </w:pPr>
      <w:r>
        <w:rPr>
          <w:rFonts w:ascii="Amiri" w:hAnsi="Amiri" w:eastAsia="Amiri" w:cs="Amiri"/>
          <w:color w:val="111111"/>
          <w:sz w:val="28"/>
          <w:sz w:val="28"/>
          <w:szCs w:val="28"/>
          <w:rtl w:val="true"/>
          <w:lang w:bidi="ar-SA"/>
        </w:rPr>
        <w:t>حتّى لو لم يكن الإمام عليه السلام في مقام بيانه، وأمّا فرض إمضائه من طريق السكوت تجاهه فهو ممّا لا وجه له، وإلّا لزم أن نعترف بكثير من السِّيَر الحاصلة بعدهم؛ بحجّة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عن جذور ارتكازية موجودة في زمنهم، فسكوتهم إزاء تلك الجذور يكون إمضاءً لها وتكون السِّيَر الحاصلة منها بعدهم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قبلنا أنّ هناك في زمنهم ارتكازاً بالرجوع إلى العالم، فهذا الارتكاز إنّما يكون معتبراً فيما لو وجدنا قولًا أو فعلًا يشعر باعتباره، والظاهر وقوع مثل ذلك إزاء هذا الارتكاز؛ حيث نجد روايات تدلّ على إرجاعهم عليهم السلام إلى العلماء، وهذا الإرجاع من جانبهم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مبادرة السائلين إلى السؤال عمّن يصحّ الرجوع إليه، فتكون مثل هذه الأسئلة دالّة على وجود ارتكاز لديهم على الرجوع إلى العالم، فما وقع من جانبهم عليهم السلام من الإرجاع إلى أشخاص معيّنين يعدّ إمضاءً لذلك المرتكز لديهم، وعليه يكون التقليد مشروعاً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تأتي هنا ملاحظتان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افترض أنّ إرجاعهم إلى العلماء سبّب أن يحدث في زمنهم ظاهرة الرجوع إلى الأصحاب، بحيث أصبحت تلك الظاهرة منتشرة بينهم، وكان الأئمّة عليهم السلام يسكتون إزاء هذه الظاهرة، فبالإمكان أن نعتبر تلك السيرة دليلًا آخر على التقليد بالإضافة إلى ذلك الإمضاء الحاصل من جانبهم إزاء المرتكز، وعليه يكون أمامنا حينئذٍ دليلان على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إمضاؤهم لذلك المرتكز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وإمضاؤهم لظاهرة الرجوع إلى العلماء المسبّبة عن إرجاعهم إليهم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الإمضاء الحاصل إزاء شي‌ء بما أنّه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هذا الإمضاء متمثّلًا في قضية الإرجاع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الاستفادة منه من الاقتصار على القدر المتيقّن،</w:t>
      </w:r>
    </w:p>
    <w:p>
      <w:pPr>
        <w:pStyle w:val="BookText"/>
        <w:rPr/>
      </w:pPr>
      <w:r>
        <w:rPr>
          <w:rFonts w:ascii="Amiri" w:hAnsi="Amiri" w:eastAsia="Amiri" w:cs="Amiri"/>
          <w:color w:val="111111"/>
          <w:sz w:val="28"/>
          <w:sz w:val="28"/>
          <w:szCs w:val="28"/>
          <w:rtl w:val="true"/>
          <w:lang w:bidi="ar-SA"/>
        </w:rPr>
        <w:t>وهنا يوجد هذا القدر المتيقّن في البين؛ حيث إنّنا نجد أنّ الرجوع آنذاك كان في حالٍ لم يكن بين العلماء اختلاف كثير في المسائل، حيث كانوا إنّ اجتهاداتهم لم تكن بمثل الاجتهادات التي حصلت في الأزمنة المتأخّرة عنهم، فلا يمكن الاستفادة من ذلك الإمضاء إلّابالنسبة إلى مثل تلك الرجوعات البسيطة، وأمّا الاستدلال بذلك الإمضاء لمثل الرجوعات الجارية الآن، مع هذه الاختلافات العظيمة، فهو من سنخ الاستدلال بفعل الأئمّة على الأزيد من القدر المتيقّن، فيبقى حينئذٍ التقليد الموجود حالياً بلا دليل من هذا الحيث</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الإجابة على هذا الإشكال بأ 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الاختلاف آنذاك بين المفتين وفق مذهب أهل البيت عليهم السلام موجوداً على مستوٍ كبير، وكانت هناك عوامل لهذا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انتشار المتعبّدين بمذهبهم في أقطار الأرض، وانتشار أصحابهم كذلك في النقاط المختلفة والبعيدة عن المدينة، ومثل إصدار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رعاية أصل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لأحكام فقهية مختلفة في موارد كثيرة، ممّا سبّب أن تكون لدى كلّ شخص أو مجموعة من الرواة، روايات خاصّة لا تطابق أحياناً بعضَ ما لدى المجموعة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الاختلاف يمكن مشاهدته في بعض ما ورد في أحوال الرواة من الأصحاب من مشاجرتهم حول سنخ من الروايات في مجالسهم، وقد بلغ هذا الاختلاف إلى حدّ كان الأصحاب الذين يعيشون في المدينة يختلفون حول آراء إمامهم مع أنّ الإمام عليه السلام كان قريباً منهم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تكلّم ابن قبة عن شدّة ما لدى الأصحاب من الاختلاف في بعض كلماته، وقال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 إلى الأئمّة عليهم السلام ما حدث لديهم من</w:t>
      </w:r>
    </w:p>
    <w:p>
      <w:pPr>
        <w:pStyle w:val="BookText"/>
        <w:rPr/>
      </w:pPr>
      <w:r>
        <w:rPr>
          <w:rFonts w:ascii="Amiri" w:hAnsi="Amiri" w:eastAsia="Amiri" w:cs="Amiri"/>
          <w:color w:val="111111"/>
          <w:sz w:val="28"/>
          <w:sz w:val="28"/>
          <w:szCs w:val="28"/>
          <w:rtl w:val="true"/>
          <w:lang w:bidi="ar-SA"/>
        </w:rPr>
        <w:t>وجود اختلافات شديدة، وقد أمروهم في موارد الاختلاف بالرجوع إلى الإجماع والشهرة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ذلك الجوّ المثير للاختلاف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مقبولًا ومشروعاً لدى الأئمّة، كان مشروعاً في هذه الأزمان كذلك، بل لعلّ الاختلاف في هذه الأزمان قد تقلّص وانضبط من بعض الجهات؛ فنجد أنّ الشخص يرجع إلى مفتٍ واحد في زمن طويل، مع أنّه آنذاك كان الناس يرجعون في مسائلهم إلى أفراد مختلفين كانت لهم فتاوى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من هنا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الرجوع إلى الأفراد المختلفين من حيث الفتوى لو تمكّنا من إثبات أنّ رجوعهم إلى المفتين في عصر الأئمّة عليهم السلام لم‌يكن من سنخ الرجوعات الثابتة لأشخاص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النظر إلى الفتوى في هذه الأزمان؛ لكي نفهم أنّ اختلافها مع الفتوى آنذاك يمكن في أيّ نقطة ومن حيث أيّ زاوية، فلو وجدنا أنّ الاختلاف لايمثّل اختلافاً يرتبط بجوهر الفتوى والتقليد فلابدّ أن لا نحسب له حساباً، وأن لا نحسب ما كان في زمن الأئمّة القدر المتيقّن ممّا دلّ الدليل على اعتباره،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اختلافات ثلاثة بين الفتوى في هذه الأزمان معها في تلك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عرض الفتوى؛ بمعنى أنّ المفتي في هذه الأزمان يعرض فتواه بطرق متطوّرة، ومثل هذا الاختلاف لا مساس له بجوهر الفتوى كما هو معلوم،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التقليد في زماننا ليس حجّة لأجل اختلافه عن التقليد آنذاك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من حيث الموضوعات التي تتمّ الفتوى للإجابة على حكمها،</w:t>
      </w:r>
    </w:p>
    <w:p>
      <w:pPr>
        <w:pStyle w:val="BookText"/>
        <w:rPr/>
      </w:pPr>
      <w:r>
        <w:rPr>
          <w:rFonts w:ascii="Amiri" w:hAnsi="Amiri" w:eastAsia="Amiri" w:cs="Amiri"/>
          <w:color w:val="111111"/>
          <w:sz w:val="28"/>
          <w:sz w:val="28"/>
          <w:szCs w:val="28"/>
          <w:rtl w:val="true"/>
          <w:lang w:bidi="ar-SA"/>
        </w:rPr>
        <w:t>فإنّنا نجد بالوجدان اختلافاً فاحشاً من هذا الحيث بين الفتوى آنذاك والفتوى في هذه الأزمان، ولكن هل من الصحيح والمعقول أن نربط هذا الاختلاف بقضيّة أصل الفتوى لكي يختلط التقليدان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ذلك الزمن وتقليد هذا الزمن؟ وإنّ اعتبار الفتوى إنّما يكون بلحاظ الإجابة عن المستحدثات فإنّ المسائل المستحدثة في زمن الإمام الرضا عليه السلام غيرها في زمن الإمام الباقر عليه السلام فاعتبار الاختلاف الحاصل بين التقليدين حسب الموضوعات اختلافاً بين الأقلّ والأكثر والمتيقّن، والزائد عليه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الذي بين التقليدين من حيث إنّ التقليد في ذلك الزمن كان حاصلًا عن اجتهاد غير متطوّر، بينما التقليد في هذا الزمن يعتمد على اجتهاد متطوّر، وهذا الاختلاف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حصل للاجتهاد المتأخّر من مهارة متكاملة بالقياس إلى الاجتهاد المتقدّم،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حصل من الاختلاف من حيث المهارة، هل يسبّب بصورة منطقية أن نعتبر التقليد المعتمد على الاجتهاد المتطوّر تقليداً زائداً على القدر المتيقّن، وأن يكون التقليد المعتمد على الاجتهاد الحاصل آنذاك هو القدر المتيقّن ممّا دلّ الدليل على اعتباره من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تشكيك لنا في أصل حجّية واعتبار ومشروعية هذا الذي حصل كتطوّرات في الاجتهاد، فحينئذٍ لا تصل النوبة لجعل التقليد والأخذ من هذه الاجتهادات غير معتبر إلى التمسّك بقضيّة لزوم الأخذ بالقدر المتيقّن، بل نقول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نشكّ في أصل اعتباره لا اعتبار له ولا يمكن التعويل عليه من رأس، إلّاأنّ التشكيك في ذلك لا مجال 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نكون من الأخباريّين أو من أتباع فكرتهم إزاء الاجتهاد، فالاجتهاد لو قبلنا أصله فلابدّ من أن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الأدلّة المذكورة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كلّما</w:t>
      </w:r>
    </w:p>
    <w:p>
      <w:pPr>
        <w:pStyle w:val="BookText"/>
        <w:rPr/>
      </w:pPr>
      <w:r>
        <w:rPr>
          <w:rFonts w:ascii="Amiri" w:hAnsi="Amiri" w:eastAsia="Amiri" w:cs="Amiri"/>
          <w:color w:val="111111"/>
          <w:sz w:val="28"/>
          <w:sz w:val="28"/>
          <w:szCs w:val="28"/>
          <w:rtl w:val="true"/>
          <w:lang w:bidi="ar-SA"/>
        </w:rPr>
        <w:t>ازداد مهارةً، ازداد اعتباراً فإذا كان أمامنا اجتهادان أحدهما ساذج وبسيط والآخر متعمّق لم يصحّ التقليد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وقع من إمضاءٍ لمرتكز الرجوع إلى العالم يكون دليلًا على التقليد الحاصل في ذلك الزمن فحسب؛ لأجل كونه قدراً متيقّناً من ذلك الدليل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العقلائية أو الارتكاز العقلائي دليل متين وتامّ يدلّ على اعتبار ومشروعية أصل التقليد، نعم بالنسبة إلى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 نّه هل تدلّ السيرة على تقليد الأعلم فيما إذا كان في البين، أو تقليد الميّت فيما إذا كان الحيّ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يأتي في الأبحاث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لفظية قد يقال بدلالتها على مشروعية التقليد، إزاء ما تقدّم من السيرة أو الارتكاز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لَاتَعْلَمُونَ</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عامّ يشمل كلّ من عنده خبروية في مجال من المجالات، والفقيه يُعدّ مصداقاً من مصاديق هذا العنوان العامّ، فلابدّ من الرجوع إليه لأخذ الأحكام منه، وهذا هو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الاستدلال بهذه الآية بعدّة مناقشات نذكر منها اثنتين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أوجبت السؤال معلّقاً على عدم العلم، فتفيد أنّ السؤال يجب كمقدّمة لتحصيل العلم، وعليه فإنّ ما يجب على المكلّف هو العمل وفق علمه، فالواجب في الحقيقة هو العمل، ويجب العلم لأجله، ويجب السؤال لأجل تحصيل العلم، فحينئذٍ تكون الآية أجنبية عمّا نحن بصدده، فإنّ الذي نريد إثباته في المقام</w:t>
      </w:r>
    </w:p>
    <w:p>
      <w:pPr>
        <w:pStyle w:val="BookText"/>
        <w:rPr/>
      </w:pPr>
      <w:r>
        <w:rPr>
          <w:rFonts w:ascii="Amiri" w:hAnsi="Amiri" w:eastAsia="Amiri" w:cs="Amiri"/>
          <w:color w:val="111111"/>
          <w:sz w:val="28"/>
          <w:sz w:val="28"/>
          <w:szCs w:val="28"/>
          <w:rtl w:val="true"/>
          <w:lang w:bidi="ar-SA"/>
        </w:rPr>
        <w:t>وجوب التعبّد برأي الفقيه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رأيه، والآية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حجّية رأيه وعلى لزوم العمل حسب قوله، بل هي بصدد إثبات لزوم تحصيل العلم لكي يتمّ العمل على وفقه، وطريق هذا التحصيل السؤال، فلابدّ من أن نسأل حتّى نصل إلى العلم، فلو وصلنا إليه نعمل على وفقه، وإلّا فلابدّ من تكرار السؤال أو الفحص حتّى نصل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السيّد الخوئي رحمه الله</w:t>
      </w:r>
      <w:r>
        <w:rPr>
          <w:rStyle w:val="FootnoteAnchor"/>
          <w:rtl w:val="true"/>
        </w:rPr>
        <w:footnoteReference w:id="76"/>
      </w:r>
      <w:r>
        <w:rPr>
          <w:rFonts w:ascii="Amiri" w:hAnsi="Amiri" w:eastAsia="Amiri" w:cs="Amiri"/>
          <w:color w:val="111111"/>
          <w:sz w:val="28"/>
          <w:sz w:val="28"/>
          <w:szCs w:val="28"/>
          <w:rtl w:val="true"/>
          <w:lang w:bidi="ar-SA"/>
        </w:rPr>
        <w:t>عن هذا الإشكال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يكون كمتفاهم عرفي لهذه الآية هو أنّ السؤال إنّما يجب لأن نعمل على وفق رأي المجيب، فهو من سنخ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الطبيب إن لم تكن طبيباً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حتّى تصير طبيباً،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حتّى تعمل برأيه فيزول مرضك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بصدد إثبات حجّية رأي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متين، ولا سيّما إذا التفتنا إلى أنّ العرف لمّا كان لهم مرتكز رجوع الجاهل إلى العالم، لم يمكن أن يتكوّن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مواجهتهم لمثل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آخر غير ما ذكر، فإنّ فهمهم يتكوّن في إطار ذلك المرتكز، فهم هكذا يفهمون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العلماء إن كنتم 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الذي لابدّ من الالتفات إليه حينئذٍ هو أنّ الآية 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كدليل لفظي مستقلّ؛ حيث إنّها تكون إرشاداً إلى ذلك الأمر المرتكز الذي عند العقلاء، فلابدّ من الرجوع إلى ما عندهم من الارتكاز بما له من حدود وإطار خاصّ</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قد وردت في قضية خاصّة تتعلّق بمجموعة من الناس كانوا ينكرون نبوّة نبيّنا صلى الله عليه و آله و سلم، وقد خاطبتهم الآية وأمرتهم بأن يرجعوا إلى أهل الذكر من علماء اليهود والنصارى؛ حتّى يخبروهم عن الحقائق الواردة حول</w:t>
      </w:r>
    </w:p>
    <w:p>
      <w:pPr>
        <w:pStyle w:val="BookText"/>
        <w:rPr/>
      </w:pPr>
      <w:r>
        <w:rPr>
          <w:rFonts w:ascii="Amiri" w:hAnsi="Amiri" w:eastAsia="Amiri" w:cs="Amiri"/>
          <w:color w:val="111111"/>
          <w:sz w:val="28"/>
          <w:sz w:val="28"/>
          <w:szCs w:val="28"/>
          <w:rtl w:val="true"/>
          <w:lang w:bidi="ar-SA"/>
        </w:rPr>
        <w:t xml:space="preserve">نبيّنا في كتبهم السماوية، وعليه فلا يمكن تعميم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إلى كلّ من عنده علم في مجال من المجالات؛ كي يمكن بسبب هذا التعميم استفادة ضرورة الرجوع إلى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التعميم سائغاً فلابدّ أن نعمّم ذلك العنوان إلى كلّ من له علم في المجالات الاعتقادية حتّى يتناسب مع ذلك المجال الاعتقادي الذي وردت الآية فيه؛ حيث إنّ الذي يحتاج إلى العلم هو المجال الاعتقادي، وتناسب الحكم والموضوع في الآية يؤكّد ذلك؛ أي‌أنّه فيما إذا لم نعلم أمراً عقائدياً ولم نعتقد به فلابدّ من الرجوع إلى من عنده علمه حتّى يعلّمنا إيّاه فنعتقد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استقرّت عليه الروايات، واحتجاجات المسلمين بعضهم مع البعض، هو لزوم التعامل مع شأن النزول للآيات تعامل التعميم والتسرية، لا تعامل الاستفادة من شأن النزول استفادة خاصّة، وهي المنحصرة بذلك المورد الذي وردت الآية فيه، فدور شأن النزول إنّما هو إيجاد فرصة لأن ترِد آية في مجالٍ ما، فتعطي أحكاماً أو مطالب في ذلك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شأن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هذا الدور الثابت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يرشدنا بسبب بعض ما فيه من خصوصيات إلى أن نفهم الآية ونصل إلى مغزاها، غير أنّ هذا لا يعني ردّ مطلق التعميم، بل يعني لزوم أن تتمّ استفادة التعميم في دائرة بعض تلك الخصوصيات المتعلّقة بشأن النزول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شأن نزول هذه الآية خصوصية لابدّ من رعايتها في استفادة التعميم من الآية، ألا وهي أنّ المشركين كانوا يجهلون أمراً اعتقادياً، فلابدّ أن يتمّ التعميم في دائرة المسائل الاعتقادية فحسب، فلامجال للتعميم إلى ما هو موضع بحثنا وهو المسائل الفقهية ولا سيّما مع تناسب الحكم والموضوع في</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امور 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بلحاظ نكتتين يمكن تعميم الآية إلى المجال الفقهي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في بعض الروايات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البيت عليهم السلام، فلو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عليهم السلام لابدّ من الرجوع إليهم في كلا مجالي الاعتقاد والفقه، فلابدّ لنا من قبول أنّ الآية يستفاد منها التعميم غير المنحصر بالمجال الاعتقادي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الروايات في مقام جعل التعبّد بالنسبة إلى أهل البيت، وعليه فلا يمكن أن نحسب ورود هذه الروايات كنكتة نعتمد عليها لاستفادة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الروايات بصدد تفسير الآية والإخبار عمّا فيها من المضمون والمراد، لا جعل التعبّد، وعليه فإنّ هذه الروايات يمكن الاعتماد عليها كقرينة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وردت لكي ترجعنا في كلّ مجالٍ من المجالات الدينية إلى من عنده علم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أبرز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البيت عليهم السلام، ودون هذا المصداق مراتب اخرى من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المجال الاعتقادي وإن كان بحاجة إلى العلم، غير أنّ الرجوع في هذا المجال إلى من عنده علم حول مسألة من مسائله لاينتهي دائماً إلى حصول العلم بما يفيده، بل أكثر ما يتحقّق بسبب هذا الرجوع هو الظنّ بتلك المسألة، وعليه فالرجوع قد يسبّب العلم وقد لا يسبّبه، فالمقصود حينئذٍ من الإرجاع إلى هؤلاء العلماء ذلك الإرجاع الذي يفهمه العرف فيما إذا ارجع جاهل إلى عالم، والذي ذكرناه سابقاً بعنوان أنّه المتفاهم عرفاً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يمكن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هي فائدة إرجاعهم إلى علماء اليهود والنصارى؟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ذلك قطع ألسنتهم في مقام الاحتجاج، وإثبات أنّهم كانوا</w:t>
      </w:r>
    </w:p>
    <w:p>
      <w:pPr>
        <w:pStyle w:val="BookText"/>
        <w:rPr/>
      </w:pPr>
      <w:r>
        <w:rPr>
          <w:rFonts w:ascii="Amiri" w:hAnsi="Amiri" w:eastAsia="Amiri" w:cs="Amiri"/>
          <w:color w:val="111111"/>
          <w:sz w:val="28"/>
          <w:sz w:val="28"/>
          <w:szCs w:val="28"/>
          <w:rtl w:val="true"/>
          <w:lang w:bidi="ar-SA"/>
        </w:rPr>
        <w:t>يتكلّمون عن جهلٍ حول النبي صلى الله عليه و آله و سلم، وأن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بناء العقلاء وديدنهم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الجاهل منكم إلى العالم وأن يعتدّ بما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أنّه ربّما كان يصل بعضهم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يسكت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الرجوع إلى هؤلاء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النكتة مردّها إلى ضرورة الفصل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العلم في الاعتقاديات، وعدم حصول العلم في الاعتقاديات بمجرّد السؤال، فلايصحّ ادّعاء أنّه لابدّ أن يكون التعميم حاصلًا في دائرة ما يحتاج إلى حصول العلم؛ أي الاعتقاديات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فَلَوْ لَانَفَرَ مِنْ كُلِّ فِرْقَةٍ مِنْهُمْ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تدلّ على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التفقّه في الدين، ووجوب الإنذار للقوم، ووجوب التحذّر على القوم، والذي يفيدنا في إثبات المدّعى الأمر الثالث؛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الحذر هو الحذر العملي؛ بمعنى أنّ على المكلّف أن يتحذّر في أعماله بالتقّيد بما يقوله ذلك الفقيه المنذر، وهذا الوجوب للتحذّر يستفاد من لعلّهم يحذرون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في هذا الاستدلال بعدّة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هذه الآية لا يستفاد منها وجوب التحذّر؛ فإنّ الذي استخدم فيها 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اللفظة لا دلالة لها على الوجوب، بل أقصى ما تدلّ عليه هو ثبوت المحبوبية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ذلك بعدّة أجوبة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حتّى لو سلّمنا عدم دلالتها على الوجوب، فلا أقلّ من قبول</w:t>
      </w:r>
    </w:p>
    <w:p>
      <w:pPr>
        <w:pStyle w:val="BookText"/>
        <w:rPr/>
      </w:pPr>
      <w:r>
        <w:rPr>
          <w:rFonts w:ascii="Amiri" w:hAnsi="Amiri" w:eastAsia="Amiri" w:cs="Amiri"/>
          <w:color w:val="111111"/>
          <w:sz w:val="28"/>
          <w:sz w:val="28"/>
          <w:szCs w:val="28"/>
          <w:rtl w:val="true"/>
          <w:lang w:bidi="ar-SA"/>
        </w:rPr>
        <w:t>دلالتها على مشروعية التقليد، وللمشروعية نفسها الموضوعية، وإن كنّا نريد هنا إثبات الأكثر من المشروعية؛ أي‌وجوب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الأحاديث</w:t>
      </w:r>
      <w:r>
        <w:rPr>
          <w:rStyle w:val="FootnoteAnchor"/>
          <w:rtl w:val="true"/>
        </w:rPr>
        <w:footnoteReference w:id="78"/>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استُعملت في القرآن فإنّها تدلّ على الوجوب، وتتّبع موارد استعمالها في القرآن شاهد على ذلك؛ فإنّه كلّما استخدمت هذه اللفظة فيه فإنّها استخدمت في امور هامّة لا يصحّ تصوّر الاستحباب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التحذّر هنا وقع كغاية للإنذار، وبما أنّ الإنذار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وممّا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ما جُعل غاية له، فبمعونة وجوب ذي الغاية نصل إلى وجوب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التحذّر لا يطلق إلّافي موارد وجود التخوّف النفساني، سواء كان مجرّداً عن أيّ عمل أو كان مع العمل، أمّا إطلاقه على العمل البحت فلا، وعليه كيف يدّعى أنّ الحذر هنا يقصد به الحذر العملي وإن لم يكن مقترناً بالخوف؟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أنّنا نجد أنّ الإنذار لا يصدق على الإفتاء؛ فإنّ من يفتي بوجوب شي‌ء أو حرمته لا يقال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الإنذار يصدق فيما إذا قال الشخص كلمة فيها وعيد وبيان للعذاب، وعليه يعلم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فيها من قرائن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الإنذار المقصود فيها هو ذكر ما يرتبط بالمسائل الاخروية من العذاب، وأنّ الحذر بمعنى إحساس الخوف عقيب ذلك الإنذار، فلا صلة للآية بقضيّة التقليد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يصحّ تفسيرها بهذا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الآية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التفقّه، أي‌الاجتهاد في الأحكام الشرعية، ومرحلة الإنذار</w:t>
      </w:r>
    </w:p>
    <w:p>
      <w:pPr>
        <w:pStyle w:val="BookText"/>
        <w:rPr/>
      </w:pPr>
      <w:r>
        <w:rPr>
          <w:rFonts w:ascii="Amiri" w:hAnsi="Amiri" w:eastAsia="Amiri" w:cs="Amiri"/>
          <w:color w:val="111111"/>
          <w:sz w:val="28"/>
          <w:sz w:val="28"/>
          <w:szCs w:val="28"/>
          <w:rtl w:val="true"/>
          <w:lang w:bidi="ar-SA"/>
        </w:rPr>
        <w:t xml:space="preserve">أو محتاطاً بشرط أن يعرف موارد الاحتياط، ولا يعرف ذلك إلّاالقليل؛ فعمل العامّي غير العارف بمواضع الاحتياط من غير تقليد باطل بتفصيل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الإفتاء، مرحلة الحذر أي‌التقليد، والأوّلتان تتحقّقان من جانب المجتهد المفتي، والأخيرة، من جانب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التفسير الصحيح للآية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المراحل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والإنذار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بيان العذاب الاخروي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إحساس الخوف في الذي يخاطبه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فلاصلة للآية بقضيّة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لو قبلنا أنّ التفقّه هو 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ادّعي في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وأن تكون للمرحلة الثانية والثالثة صلة بهذه الاولى، ومعلوم أنّ الذي يناسب التفقّه هو الإفتاء، لا الإنذار الذي بمعنى الإيعاد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التفقّه في هذه الآية المعنى المصطلح عليه بين الفقهاء كان الإشكال في محلّه، غير أنّ التفقّه في القرآن إنّما استعمل بمعنى عامّ يشمل جميع المعارف الدينية والتي من جملتها معرفة القضايا الاخروية، وعليه فإنّ مرحلة الإنذار تتناسب مع قسم كبير من هذا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مسوقة لبيان وجوب النفر، فلا يستفاد منها وجوب التحذّر بصورة مطلقة؛ أي‌سواء أفاد الإنذار العلم أو لم يفد، وبما أنّ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باستفادة هذا الإطلاق، فبعدم استفادته منها لا تدلّ الآية على هذا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المناقشة في محلّها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الاحتياط سيأتي في المسألة الاولى، أمّا بالنسبة إلى معرفة موارده فيبرز هنا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الاحتياط في عرض الاجتهاد، فكيف يصحّ أن يفتي الفقهاء بلزوم كون المحتاط عارفاً بموارد الاحتياط، وبأنّ الاحتياط لو تمّ من دون</w:t>
      </w:r>
    </w:p>
    <w:p>
      <w:pPr>
        <w:pStyle w:val="BookText"/>
        <w:rPr/>
      </w:pPr>
      <w:r>
        <w:rPr>
          <w:rFonts w:ascii="Amiri" w:hAnsi="Amiri" w:eastAsia="Amiri" w:cs="Amiri"/>
          <w:color w:val="111111"/>
          <w:sz w:val="28"/>
          <w:sz w:val="28"/>
          <w:szCs w:val="28"/>
          <w:rtl w:val="true"/>
          <w:lang w:bidi="ar-SA"/>
        </w:rPr>
        <w:t>هذه المعرفة فإنّه غير مجزٍ؟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عدم وجود ما يلزم المحتاط بتقليد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كون الاحتياط في عرض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تصحّ مثل هذه المقالة من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هذه الأرضية الثابتة بين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بإمكانه أن يختار الاجتهاد أو التقليد أو الاحتياط، فلو اختار الاحتياط فهو يأتي بما يفهمه كمعنى ومصداق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شكّ في أنّ المجتهد بإمكانه أن‌يفحص عن حكم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موضوع من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 إليه، كما أ نّه لا شكّ في أنّ بإمكانه أن يبدي نظره وفتواه في ذلك، وكذلك لا شكّ في أنّ بإمكانه أن يعمل بالاحتياط حسب ما له من الأحكام طبقاً لنظره، أو يعمل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تلك الأحكام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فإنّه يعقل بلحاظ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لا يصحّ إلّاإذا تمّ على أساس المعرفة بأحكامه، وهذا لا يعني نفي ذلك الاحتياط العقلي الذي هو في عرض الاجتهاد والتقليد، والذي كان لازمه صحّة مبادرة المكلّف إلى الاحتياط مباشرةً من دون الرجوع إلى الاجتهاد والتقليد، إلّاأنّ هذا الاحتياط العقلي لا يكون مؤمّناً له إلّا إذا كان بحيث يحسّ المكلّف بأنّ الذي يأتى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الحقيقة إتيان بجميع ما في البين من المحتملات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فلو كان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 أن يمشي على أساس 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عالم بالمحتملات في مسألة، فلابدّ له من أن يذهب ويفحص عن حقيقة الحال في المسألة، الأمر الذي ينتهي به أحياناً إلى الرجوع لآراء الفقهاء المتضمّنة لشقوق الاحتياط؛ حتّى يتمكّن من الإتيان بالاحتياط، من دون أن نسمّي ذلك بتقليده للغير؛ فإنّ مثل هذا الرجوع إليهم إنّما ينبعث إليه لأجل ذلك الحكم العقلي</w:t>
      </w:r>
      <w:r>
        <w:rPr>
          <w:rFonts w:eastAsia="Amiri" w:cs="Amiri" w:ascii="Amiri" w:hAnsi="Amiri"/>
          <w:color w:val="111111"/>
          <w:sz w:val="28"/>
          <w:szCs w:val="28"/>
          <w:rtl w:val="true"/>
          <w:lang w:bidi="ar-SA"/>
        </w:rPr>
        <w:t>.</w:t>
      </w:r>
      <w:bookmarkStart w:id="75" w:name="pg1790_14650"/>
    </w:p>
    <w:p>
      <w:pPr>
        <w:pStyle w:val="Heading3"/>
        <w:numPr>
          <w:ilvl w:val="2"/>
          <w:numId w:val="1"/>
        </w:numPr>
        <w:rPr/>
      </w:pPr>
      <w:bookmarkStart w:id="76" w:name="__RefHeading___Toc2371580_3650668749"/>
      <w:bookmarkStart w:id="77" w:name="_Toc28"/>
      <w:bookmarkEnd w:id="75"/>
      <w:bookmarkEnd w:id="76"/>
      <w:r>
        <w:rPr>
          <w:rtl w:val="true"/>
        </w:rPr>
        <w:t>مباحث الاحتياط</w:t>
      </w:r>
      <w:bookmarkEnd w:id="77"/>
    </w:p>
    <w:p>
      <w:pPr>
        <w:pStyle w:val="Heading4"/>
        <w:numPr>
          <w:ilvl w:val="3"/>
          <w:numId w:val="1"/>
        </w:numPr>
        <w:rPr/>
      </w:pPr>
      <w:bookmarkStart w:id="78" w:name="__RefHeading___Toc2371582_3650668749"/>
      <w:bookmarkStart w:id="79" w:name="_Toc29"/>
      <w:bookmarkEnd w:id="78"/>
      <w:r>
        <w:rPr>
          <w:rtl w:val="true"/>
        </w:rPr>
        <w:t>اشارة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العمل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مستلزماً للتكرار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الاحتياط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دراسة مسألة الاحتياط بجميع وجوهها تحتاج إلى بسطٍ في المقال بما هو خارج عن المقام؛ فإنّ المسألة بصياغتها الاصولية والفقهية ذات صور كثيرة، قد تعرّض لها الأصحاب في مواضع عديدة من المباحث الاصولية، كمسألة العلم الإجمالي وحجّيته ثبوتاً وسقوطاً، ومسألة الانسداد ومقدّماتها التي منها عدم جواز الاحتياط أو عدم وجوبه، ومسألة الشبهات الحكمية والموضوعية الوجوبية والتحريمية البدوية والمقرونة بالعلم الإجمالي وبيان أحكامها، ومسألة الاصول العملية التي منها أصالة الاحتياط والبحث عن شرائط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فيها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الأخباريّين والاصوليّين من جانبٍ، وبين الاصوليّين أنفسهم من نواحي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البحث والدراسة عن المسألة بهذه التفاصيل ممّا انفردت به الإمامية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هنا ما يتعلّق بالمسألة بمقدار ما له دَخْل في إيضاح ما أفاده السيّد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للأصحاب في حكم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 ومنعاً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ذهب إلى جوازه والاكتفاء به في مقام الامتثال مطلقاً من غير فرق بين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والأخصّ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العبادات، وسواء استلزم التكرار أم لم يستلزمه، وسواء أمكن الامتثال التفصيلي من طريق الاجتهاد والتقليد أم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منع منه في العبادات سيّما إذا استلزم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منع منه في المعاملات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ذهب إلى جوازه فيما إذا لم يتمكّن المكلّف من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المسالك والتفاصيل الموجودة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الماتن قدس سره ورأيه في المسألة هو مذهب جُلّ الأجلّة من المتأخّرين، وهو أنّ الأقوى جواز العمل بالاحتياط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جوازه في المعاملات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إشكال ولا خلاف فيه؛ إذ المقصود منها وقوع نفس العمل وتحقّقه الخارجي بأ يّ‌وجهٍ اتّفق من غير اعتبار القصد ونحوه، فمن شكّ في أنّ ثوبه المتنجّس هل يطهر بالغسل مرّةً أو يعتبر فيه التعدّد جاز له أن يغسله مرّتين احتياطاً، سواء كان متمكّناً من الامتثال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بالاجتهاد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المعاملات بالمعنى الأخصّ كالعقود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لا إشكال في جواز الاحتياط والاكتفاء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المعمول في إجراء عقد النكاح من ذكر صِيَغٍ مختلفة مادّةً وصيغةً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صحّة العقد كالنكاح والبيع، والإيقاع كالطلاق، لا يعتبر النيّة وقصد الأمر والوجه ونحو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الشيخ الأعظم الأنصاري قد حكى عن بعض مشايخه المعاصرين الخلاف في ذلك، فإنّه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التصريح بحسن الاحتياط في العبادات والمعاملات مع دفع</w:t>
      </w:r>
    </w:p>
    <w:p>
      <w:pPr>
        <w:pStyle w:val="BookText"/>
        <w:rPr/>
      </w:pPr>
      <w:r>
        <w:rPr>
          <w:rFonts w:ascii="Amiri" w:hAnsi="Amiri" w:eastAsia="Amiri" w:cs="Amiri"/>
          <w:color w:val="111111"/>
          <w:sz w:val="28"/>
          <w:sz w:val="28"/>
          <w:szCs w:val="28"/>
          <w:rtl w:val="true"/>
          <w:lang w:bidi="ar-SA"/>
        </w:rPr>
        <w:t>جميع ما اورد على الاحتياط من الإيرادات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المخالف في المعاملات بعض المعاصرين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مشايخنا المعاصرين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أفاده إيراداً على الاحتياط في المعاملات أي‌العقود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الأثر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النقل والانتقال، وتحقّق علقة الزوجية، وحصول البينونة، في البيع والنكاح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يترتّب على الصيغة الواقعة عن تقليد أو اجتهاد؛ إذ في المعاملات المختلف فيها يترتّب الأثر على ما أدّى إليه الاجتهاد أو التقليد، ومن دون الاستناد إليهما لا يترتّب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الأثر يترتّب على الواقع عند إدراكه بالاحتياط، والجهل به حين العمل لا دخل له في الواقع كما هو واضح</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هنا إشكالًا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عنه الشيخ الأعظم بالوهم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يعتبر فيه الجزم، وهو لا يتمشّى من المحتاط الشاكّ في الصحّة حين الإنشاء، وحصول العلم بوقوع ما هو المؤثّر بعده لا يكفي في تحقّق الإنشاء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الإنشاء فعل للمنشئ، وهو جازم به، وأمّا الشكّ والتعليق فإنّما هو في المُنشأ وما يوجد بالإنشاء من الحكم الشرعي بتحقّق الملكية أو الزوجية أو البينونة، والشكّ فيه لا يقدح في الجزم بالإنشاء</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المعاملات بالمعنى الأخصّ ممّا لا إشكال فيه، وما ذكر من المناقشتين قد أجاب الشيخ الأعظم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يتبيّن أنّ ما في بعض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المناقشة إلى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ولا أساس له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الاحتياط في العبادات مع عدم توقّفه على التكرار فمثاله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الأمر بين الأقلّ والأكثر الارتباطيّين، كالشكّ في جزئية السورة للصلاة، أو كالشكّ في وجوب الدعاء عند رؤية الهلال مع العلم بأصل الأمر، ومن المعلوم أنّ الاحتياط هنا لا يستلزم تكرار العمل، بل يأتي المحتاط بصلاةٍ واحدة مشتملة على السورة، وكذا يحتاط ويأتي بدعاء واحد عند رؤية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يمكن إتيان الصلاة بداعي مطلوبيّتها، فيصدق الامتثال ويجزئ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نسب إلى المشهور عدم جوازه؛ لاعتبار قصد الوجه والتمييز في عبادية العبادة وصحّتها، وهما لا يتأتّيان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دليل على اعتبارهما في العبادات؛ إذ لو كانا معتبرين فيها لأشار الأئمّة عليهم السلام إلى ذلك، ولانعكس ذلك في الروايات؛ لكثرة الابتلاء بها، والحال أنّه ليس في الروايات من اعتبارهما أثر ولا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اعتبارهما فمقتضى البراءة عدم اعتبارهما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اعتبارهما فإنّما هو في الواجبات النفسية، دون الضمنية من الأجزاء</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80" w:name="pg1790_14654"/>
    </w:p>
    <w:p>
      <w:pPr>
        <w:pStyle w:val="Heading4"/>
        <w:numPr>
          <w:ilvl w:val="3"/>
          <w:numId w:val="1"/>
        </w:numPr>
        <w:rPr/>
      </w:pPr>
      <w:bookmarkStart w:id="81" w:name="__RefHeading___Toc2371584_3650668749"/>
      <w:bookmarkStart w:id="82" w:name="_Toc30"/>
      <w:bookmarkEnd w:id="80"/>
      <w:bookmarkEnd w:id="81"/>
      <w:r>
        <w:rPr>
          <w:rtl w:val="true"/>
        </w:rPr>
        <w:t>حكم الاحتياط المستلزم للتكرار</w:t>
      </w:r>
      <w:bookmarkEnd w:id="82"/>
    </w:p>
    <w:p>
      <w:pPr>
        <w:pStyle w:val="BookText"/>
        <w:rPr/>
      </w:pPr>
      <w:r>
        <w:rPr>
          <w:rFonts w:ascii="Amiri" w:hAnsi="Amiri" w:eastAsia="Amiri" w:cs="Amiri"/>
          <w:color w:val="111111"/>
          <w:sz w:val="28"/>
          <w:sz w:val="28"/>
          <w:szCs w:val="28"/>
          <w:rtl w:val="true"/>
          <w:lang w:bidi="ar-SA"/>
        </w:rPr>
        <w:t>وأمّا مع التوقّف على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كدوران الأمر بين القصر والتمام أو الظهر والجمعة في الشبهة الحكمية، والصلاة إلى أربع جهات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فالمنسوب إلى المشهور هو الحكم ببطلان عبادة تاركي طريقَي الاجتهاد والتقليد الآخذين بالاحتياط، ولذلك قسّموا المكلّفين في زمن الغيبة إلى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ومقلّد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لهم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المنقول عن السيّدين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والمرتضى صريحاً وتقريراً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منقول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مدركي أو محتمل المدركية، إذ يمكن أن يكون المستند له سائر الوجوه، فلابدّ من ملاحظة مدركه ومستنده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معقده إنّما هو عبادة الجاهل التارك للطرق الثلاثة، فلا يشمل ما نحن فيه، ولذلك 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شمول معقده لما نحن فيه تأمّل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استُظهر عن بعض أنّ عدم جواز الاكتفاء بالاحتياط في العبادات إذا توقّف على التكرار اتّفاقي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لم تُعنون في جميع الكتب الفقهية عند جميع الأصحاب حتّى يدّعى عليها الاتّفاق، مع أنّ الاتّفاق ليس بدليل معتبر شرعي، فلابدّ من ملاحظة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المستلزم للتكرار لعب بأمر المولى، ويُعدّ لغواً وقبيحاً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قد يتعلّق غرض عقلائي بالتكرار، كأسهلية الامتثال الإجمالي بالاحتياط بالنسبة إلى التفصيلي بالاجتهاد أو التقليد، فلا يكون لغواً وعبثاً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فلا بأس به إذا كان ذلك في طريق تحصيل الامتثال والإطاعة، لا في أصله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العبادات فيما إذا استلزم التكرار يستلزم التشريع المحرَّم؛ وذلك أنّ المحتاط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يقصد بالمأتيّ به الامتثال والأمر لم تتحقّق العبادة، وإن قصد ذلك مع عدم العلم بأ نّه متعلّق للأمر يلزم التشريع، وهو قبيح عقلًا وحرام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الوجه أقدم شبهة في مسألة الاحتياط في العبادات، وقد حاول كثير من الأعلام الجواب عنها بوجوه عديدة، والذي اختاره السيّد الإمام وغيره هو أنّ التشريع إنّما يتحقّق بإتيان العمل استناداً إلى اللَّه تعالى من دون علم بالأمر، وأمّا إتيانه برجاء كونه محبوباً للَّه‌سبحانه فلا تشريع، بل هو عمل ممدوح عند العقل والعقلاء، وهذا المقدار من الإسناد كافٍ في عبادية العبادة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من الطولية بين مراتب الامتثال، وأنّ الامتثال الإجمالي في العبادات من طريق الاحتياط مترتّب على عدم التمكّن من الامتثال التفصيلي</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عنه ثلّة من المحقّقين منهم السيّد الماتن، 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فرق في صدق الإطاعة وتحقّق الامتثال بين الإجمالي منه والتفصيلي بعد إضافة العمل إلى اللَّه سبحانه وإتيانه بداعي أمره ومتقرّباً إليه، فالملاك في 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لحصول الغرض المسقط للأمر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الإطاعة، وهو حاصل بإتيان العمل مضافاً ومتقرّباً به إلى اللَّه تعالى</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عمدة الوجوه المستدلّ بها للمشهور من القول بعدم جواز الاحتياط في العبادات مع استلزامه التكرار، وقد عرفت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ادّعي الإجماع على المنع في المسألة، واحتُمل اعتبار قصد الوجه، مع طرح شبهة اللعب بأمر المولى، وكون الاحتياط المستلزم للتكرار خلاف السيرة المستمرّة للعلماء والمتشرّعة، حكم بعض الأعلام كالشيخ الأعظم</w:t>
      </w:r>
      <w:r>
        <w:rPr>
          <w:rStyle w:val="FootnoteAnchor"/>
          <w:rtl w:val="true"/>
        </w:rPr>
        <w:footnoteReference w:id="92"/>
      </w:r>
      <w:r>
        <w:rPr>
          <w:rFonts w:ascii="Amiri" w:hAnsi="Amiri" w:eastAsia="Amiri" w:cs="Amiri"/>
          <w:color w:val="111111"/>
          <w:sz w:val="28"/>
          <w:sz w:val="28"/>
          <w:szCs w:val="28"/>
          <w:rtl w:val="true"/>
          <w:lang w:bidi="ar-SA"/>
        </w:rPr>
        <w:t>بأنّ الأحوط ترك الاحتياط، وتحصيل الامتثال التفصيلي مع التمكّن منه تخلّصاً عن شبهة الخلاف؛ فإ نّ جواز الامتثال التفصيلي إجماعي ومتيقّن عند الجميع بلا خلاف، والامتثال الإجمالي وإن كان مقتضى القواعد جوازه ولكن حيث إنّه قد خالف فيه بعضٌ فمقتضى الاحتياط تركه وإن لم يكن واجباً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وبالنظر إلى هذه الدعاوي وهذا الخلاف في المسألة عدّ السيّد الماتن قدس سره الجواز أقوى؛ ليشير بذلك إلى القول المخالف في المسألة</w:t>
      </w:r>
      <w:r>
        <w:rPr>
          <w:rFonts w:eastAsia="Amiri" w:cs="Amiri" w:ascii="Amiri" w:hAnsi="Amiri"/>
          <w:color w:val="111111"/>
          <w:sz w:val="28"/>
          <w:szCs w:val="28"/>
          <w:rtl w:val="true"/>
          <w:lang w:bidi="ar-SA"/>
        </w:rPr>
        <w:t>.</w:t>
      </w:r>
      <w:bookmarkStart w:id="83" w:name="pg1790_14657"/>
    </w:p>
    <w:p>
      <w:pPr>
        <w:pStyle w:val="Heading3"/>
        <w:numPr>
          <w:ilvl w:val="2"/>
          <w:numId w:val="1"/>
        </w:numPr>
        <w:rPr/>
      </w:pPr>
      <w:bookmarkStart w:id="84" w:name="__RefHeading___Toc2371586_3650668749"/>
      <w:bookmarkStart w:id="85" w:name="_Toc31"/>
      <w:bookmarkEnd w:id="83"/>
      <w:bookmarkEnd w:id="84"/>
      <w:r>
        <w:rPr>
          <w:rtl w:val="true"/>
        </w:rPr>
        <w:t>ماهية التقليد</w:t>
      </w:r>
      <w:bookmarkEnd w:id="85"/>
    </w:p>
    <w:p>
      <w:pPr>
        <w:pStyle w:val="Heading4"/>
        <w:numPr>
          <w:ilvl w:val="3"/>
          <w:numId w:val="1"/>
        </w:numPr>
        <w:rPr/>
      </w:pPr>
      <w:bookmarkStart w:id="86" w:name="__RefHeading___Toc2371588_3650668749"/>
      <w:bookmarkStart w:id="87" w:name="_Toc32"/>
      <w:bookmarkEnd w:id="86"/>
      <w:r>
        <w:rPr>
          <w:rtl w:val="true"/>
        </w:rPr>
        <w:t>اشارة</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هو العمل مستنداً إلى فتوى فقيه معيّن، وهو الموضوع للمسألتين الآتيتين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يكون مصحّحاً للعمل هو صدوره عن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كفتوى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يصدق عليه عنوان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أنّ مجرّد انطباقه عليه مصحّح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هذه المسألة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التقليد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لصحّة عمل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ماهية التقليد</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فالتقليد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الغير ذا قلادة، ومنه التقليد في الدِّين والتقليد في الهَدْي، قلَّده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إيّاه، وتقلّد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عرّفه علماء الفريقين بعدّة تعاريف، يمكن أن نجعل كلّ</w:t>
      </w:r>
    </w:p>
    <w:p>
      <w:pPr>
        <w:pStyle w:val="BookText"/>
        <w:rPr/>
      </w:pPr>
      <w:r>
        <w:rPr>
          <w:rFonts w:ascii="Amiri" w:hAnsi="Amiri" w:eastAsia="Amiri" w:cs="Amiri"/>
          <w:color w:val="111111"/>
          <w:sz w:val="28"/>
          <w:sz w:val="28"/>
          <w:szCs w:val="28"/>
          <w:rtl w:val="true"/>
          <w:lang w:bidi="ar-SA"/>
        </w:rPr>
        <w:t xml:space="preserve">طائفة منها معبِّرةً عن مرحلة خاصّة، علماً بأنّ هذه التعاريف بين الخاصّة قد ظهرت من عصر المحقّق الحلّي، وأمّا القدماء من الاصوليّين فقد استعملوا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كلماتهم بمعناه اللغوي</w:t>
      </w:r>
      <w:r>
        <w:rPr>
          <w:rStyle w:val="FootnoteAnchor"/>
          <w:rtl w:val="true"/>
        </w:rPr>
        <w:footnoteReference w:id="95"/>
      </w:r>
      <w:r>
        <w:rPr>
          <w:rFonts w:ascii="Amiri" w:hAnsi="Amiri" w:eastAsia="Amiri" w:cs="Amiri"/>
          <w:color w:val="111111"/>
          <w:sz w:val="28"/>
          <w:sz w:val="28"/>
          <w:szCs w:val="28"/>
          <w:rtl w:val="true"/>
          <w:lang w:bidi="ar-SA"/>
        </w:rPr>
        <w:t>، والمراحل كمايلي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التقليد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بقول الغير من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عرّفه به الآمدي</w:t>
      </w:r>
      <w:r>
        <w:rPr>
          <w:rStyle w:val="FootnoteAnchor"/>
          <w:rtl w:val="true"/>
        </w:rPr>
        <w:footnoteReference w:id="96"/>
      </w:r>
      <w:r>
        <w:rPr>
          <w:rFonts w:ascii="Amiri" w:hAnsi="Amiri" w:eastAsia="Amiri" w:cs="Amiri"/>
          <w:color w:val="111111"/>
          <w:sz w:val="28"/>
          <w:sz w:val="28"/>
          <w:szCs w:val="28"/>
          <w:rtl w:val="true"/>
          <w:lang w:bidi="ar-SA"/>
        </w:rPr>
        <w:t>وابن الحاجب والعضدي</w:t>
      </w:r>
      <w:r>
        <w:rPr>
          <w:rStyle w:val="FootnoteAnchor"/>
          <w:rtl w:val="true"/>
        </w:rPr>
        <w:footnoteReference w:id="97"/>
      </w:r>
      <w:r>
        <w:rPr>
          <w:rFonts w:ascii="Amiri" w:hAnsi="Amiri" w:eastAsia="Amiri" w:cs="Amiri"/>
          <w:color w:val="111111"/>
          <w:sz w:val="28"/>
          <w:sz w:val="28"/>
          <w:szCs w:val="28"/>
          <w:rtl w:val="true"/>
          <w:lang w:bidi="ar-SA"/>
        </w:rPr>
        <w:t>من العامّة، والشيخ حسن ابن الشهيد الثاني</w:t>
      </w:r>
      <w:r>
        <w:rPr>
          <w:rStyle w:val="FootnoteAnchor"/>
          <w:rtl w:val="true"/>
        </w:rPr>
        <w:footnoteReference w:id="98"/>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ناسباً له إلى علماء الاصول</w:t>
      </w:r>
      <w:r>
        <w:rPr>
          <w:rStyle w:val="FootnoteAnchor"/>
          <w:rtl w:val="true"/>
        </w:rPr>
        <w:footnoteReference w:id="99"/>
      </w:r>
      <w:r>
        <w:rPr>
          <w:rFonts w:ascii="Amiri" w:hAnsi="Amiri" w:eastAsia="Amiri" w:cs="Amiri"/>
          <w:color w:val="111111"/>
          <w:sz w:val="28"/>
          <w:sz w:val="28"/>
          <w:szCs w:val="28"/>
          <w:rtl w:val="true"/>
          <w:lang w:bidi="ar-SA"/>
        </w:rPr>
        <w:t>واختاره النراقي</w:t>
      </w:r>
      <w:r>
        <w:rPr>
          <w:rStyle w:val="FootnoteAnchor"/>
          <w:rtl w:val="true"/>
        </w:rPr>
        <w:footnoteReference w:id="100"/>
      </w:r>
      <w:r>
        <w:rPr>
          <w:rFonts w:ascii="Amiri" w:hAnsi="Amiri" w:eastAsia="Amiri" w:cs="Amiri"/>
          <w:color w:val="111111"/>
          <w:sz w:val="28"/>
          <w:sz w:val="28"/>
          <w:szCs w:val="28"/>
          <w:rtl w:val="true"/>
          <w:lang w:bidi="ar-SA"/>
        </w:rPr>
        <w:t>وجمع من متأخّري المتأخّرين 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أضاف العلّامة الحلّي</w:t>
      </w:r>
      <w:r>
        <w:rPr>
          <w:rStyle w:val="FootnoteAnchor"/>
          <w:rtl w:val="true"/>
        </w:rPr>
        <w:footnoteReference w:id="101"/>
      </w:r>
      <w:r>
        <w:rPr>
          <w:rFonts w:ascii="Amiri" w:hAnsi="Amiri" w:eastAsia="Amiri" w:cs="Amiri"/>
          <w:color w:val="111111"/>
          <w:sz w:val="28"/>
          <w:sz w:val="28"/>
          <w:szCs w:val="28"/>
          <w:rtl w:val="true"/>
          <w:lang w:bidi="ar-SA"/>
        </w:rPr>
        <w:t>من الخاصّة والآمدي من العامّة على التعريف توصيف الحجّة بالمُلزِمة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قول الغير أو الأخذ به من غير حجّة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اختاره المحقّق الحلّي</w:t>
      </w:r>
      <w:r>
        <w:rPr>
          <w:rStyle w:val="FootnoteAnchor"/>
          <w:rtl w:val="true"/>
        </w:rPr>
        <w:footnoteReference w:id="102"/>
      </w:r>
      <w:r>
        <w:rPr>
          <w:rFonts w:ascii="Amiri" w:hAnsi="Amiri" w:eastAsia="Amiri" w:cs="Amiri"/>
          <w:color w:val="111111"/>
          <w:sz w:val="28"/>
          <w:sz w:val="28"/>
          <w:szCs w:val="28"/>
          <w:rtl w:val="true"/>
          <w:lang w:bidi="ar-SA"/>
        </w:rPr>
        <w:t xml:space="preserve">وفخر المحقّقين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الاصول</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والشهيد الأوّل</w:t>
      </w:r>
      <w:r>
        <w:rPr>
          <w:rStyle w:val="FootnoteAnchor"/>
          <w:rtl w:val="true"/>
        </w:rPr>
        <w:footnoteReference w:id="104"/>
      </w:r>
      <w:r>
        <w:rPr>
          <w:rFonts w:ascii="Amiri" w:hAnsi="Amiri" w:eastAsia="Amiri" w:cs="Amiri"/>
          <w:color w:val="111111"/>
          <w:sz w:val="28"/>
          <w:sz w:val="28"/>
          <w:szCs w:val="28"/>
          <w:rtl w:val="true"/>
          <w:lang w:bidi="ar-SA"/>
        </w:rPr>
        <w:t>والمحقّق الكركي</w:t>
      </w:r>
      <w:r>
        <w:rPr>
          <w:rStyle w:val="FootnoteAnchor"/>
          <w:rtl w:val="true"/>
        </w:rPr>
        <w:footnoteReference w:id="105"/>
      </w:r>
      <w:r>
        <w:rPr>
          <w:rFonts w:ascii="Amiri" w:hAnsi="Amiri" w:eastAsia="Amiri" w:cs="Amiri"/>
          <w:color w:val="111111"/>
          <w:sz w:val="28"/>
          <w:sz w:val="28"/>
          <w:szCs w:val="28"/>
          <w:rtl w:val="true"/>
          <w:lang w:bidi="ar-SA"/>
        </w:rPr>
        <w:t>وجمع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ذهب إليه جمعٌ من العامّة كأبي إسحاق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والغزالي</w:t>
      </w:r>
      <w:r>
        <w:rPr>
          <w:rStyle w:val="FootnoteAnchor"/>
          <w:rtl w:val="true"/>
        </w:rPr>
        <w:footnoteReference w:id="107"/>
      </w:r>
      <w:r>
        <w:rPr>
          <w:rFonts w:ascii="Amiri" w:hAnsi="Amiri" w:eastAsia="Amiri" w:cs="Amiri"/>
          <w:color w:val="111111"/>
          <w:sz w:val="28"/>
          <w:sz w:val="28"/>
          <w:szCs w:val="28"/>
          <w:rtl w:val="true"/>
          <w:lang w:bidi="ar-SA"/>
        </w:rPr>
        <w:t>وابن قدامة</w:t>
      </w:r>
      <w:r>
        <w:rPr>
          <w:rStyle w:val="FootnoteAnchor"/>
          <w:rtl w:val="true"/>
        </w:rPr>
        <w:footnoteReference w:id="108"/>
      </w:r>
      <w:r>
        <w:rPr>
          <w:rFonts w:ascii="Amiri" w:hAnsi="Amiri" w:eastAsia="Amiri" w:cs="Amiri"/>
          <w:color w:val="111111"/>
          <w:sz w:val="28"/>
          <w:sz w:val="28"/>
          <w:szCs w:val="28"/>
          <w:rtl w:val="true"/>
          <w:lang w:bidi="ar-SA"/>
        </w:rPr>
        <w:t>وغيرهم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ويختلف هذا التعريف عن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التقليد هناك كان عنواناً لنفس العمل الذي يأتي به المكلَّف على وفق رأي مقلَّده، وأمّا هنا فهو عنوان للقبول والأخذ بقول الغير وإن لم يقترن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بين تلامذة الشيخ الأعظم الأنصاري ومن بعدهم، فعرّفه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حسين البروجردي، والسيّد صدر الدين الصدر في 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أو التطبيق أو الاستناد أو الاعتماد في مقام العمل على رأي الغير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قبالهم ذهب السيّد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الالتزام بالعمل بقول مجتهد معيّن وإن لم يعمل بعدُ، بل ولم يأخذ بفتواه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وأكّد عليه السيّد المرعشي في تعليقته عليها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التقليد هو</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قول الغير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به في الفرعيات، أو للالتزام به في الاعتقاديات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تعبّداً بلا مطالبة دليل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تلميذه أبو الحسن المشكيني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الحقيقة يشترك هذان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القول بالالتزام والقول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تعنون العمل بعنوان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الإشكال فيه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وجود فارق دقيق بينهما، وعلى هذا يمكن أن تُعدّ الآراء في المسألة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بعض الأعلام المعاصرين الجمع بين الرأيين فعرّفه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مع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تعليقة السيّد أحمد الخوانساري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 بالالتزام وحده وبالعمل وحده وبهما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السيّد الشهيد الصدر في تعليقة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المرحلة في الحقيقة تعتبر مرحلة تكامل للأقوال السابقة من دون إحداث قول جديد في المسألة، واختلاف التعابير ليس إلّالتوضيح مرام القدماء، و قد ذهب أكثرهم إلى أنّ التقليد عنوان للعمل، وفي قبالهم ذهب جمعٌ إلى أنّه الالتزام والأخذ بقول الغير ولم يعتبر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المعروف في المقام أنّ اصول الأقوال في حقيقة التقليد ثلاثة؛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الأخذ بفتوى الغير للعمل به في الفرعيات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الالتزام بالعمل على فتواه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نفس العمل مستنداً إلى رأي الغير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ولنأخذ بدراسة هذه الأقوال وتمحيصها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التقليد عبارة عن الأخذ بقول الغير ورأيه للعمل به في الفرعيات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إشكالين على كون التقليد هو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إن كان نفس العمل على طبق فتوى الغير، فأوّل عمل يصدر من المكلّف يصدر من غير تقليد؛ لأنّ ذلك العمل غير مسبوق بالتقليد الذي هو العمل، مع أنّ العمل لابدّ أن يكون مسبوقاً بالتقليد؛ حتّى تكون أعماله عن حجّة واستناد إلى التقليد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التقليد بالعمل يستلزم الدور؛ لأنّ مشروعية عبادة العامّي وصحّتها تتوقّف على تقليده؛ إذ لا يمكن له إتيان العبادة بما هي مأمور بها إلّا بالتقليد، فلو كان تقليده متوقّفاً على إتيانه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التقليد إلّابالعمل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الدور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وانطلاقاً من هذين الإشكالين ذهبا إلى أنّ التقليد هو الأخذ للعمل، دون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عن كلا الإشكالين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التقليد عنوان لنفس العمل ومقارن له؛ ولذا لا يعتبر فيه السبق الزماني، فإذا عمل المكلّف عملًا مستنداً إلى فتوى الغير كان ذلك العمل مقروناً بالتقليد، ولا دليل على اعتبار سبق التقليد على العمل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والتقليد متقابلان، والاجتهاد هو أخذ الحكم عن مدركه، والتقليد هو أخذه لا عن مدرك، فكما أنّ الاجتهاد متقدّم على العمل فكذلك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تقابل بين الاجتهاد والتقليد حتّى يكون سبق الأوّل على العمل موجباً لسبق الثاني عليه، بل التقابل بين عمل المجتهد وعمل المقلِّد، فالعمل المستند إلى ما حصَّله من المدرك عمل المجتهد، والعمل المستند إلى رأي الغير عمل المقلّد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في العمل هو وقوعه على جهة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أي‌مستنداً إلى فتوى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التقليد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اجيب عنه بأنّ مشروعية العمل أو وجوبه يتوقّف على وقوعه على جهة التقليد ليحصل العلم للمقلّد بأنّ ما يأتي به يكون عبادة مقرِّبة، لا على سبق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فالتقليد متوقّف على العمل إلّاأنّه لا يتوقّف على التقليد بوجه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هذا، لا يبقى مانع عن كون التقليد هو العمل، خصوصاً مع اعتراف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نفسه بأنّ إطلاق التقليد على العمل في العرف العامّ شائع، وهو كاشف عن معناه اللغوي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المصحّح للعمل يختلف عن مفهوم التقليد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ما يكون مصحِّحاً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التقليد عبارة عن الالتزام بالعمل برأي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أوفق بالمعنى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اللغة تفيدنا أنّ التقليد هو جعل المقلِّد شيئاً في عنق من يقلّده، وأمّا جعل المقلِّد شيئاً في عنق نفسه فهو التقلُّد، والمستفاد من استعمالات التقليد أيضاً ما ذكرنا، وفي المقام يجعل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بالتزامه وأخذه الأحكام الشرعية من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قلادة الأحكام الشرعية التي يأتي بها في عنق مقلَّده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الآتية التي نقلها عبدالرحمان بن الحجّاج؛ حيث اعتبر فيها الإمام ما أفتى به ربيعة الرأي مضموناً في عنقه، فهو 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 الذي أخذ برأيه مقلِّد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البناء على العمل أو الالتزام أو أخذ الرسالة العملية مثلًا ليس جعلًا لشي‌ء في رقبة المفتي؛ حتّى يصدق جعله ذا قلادة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والأخذ يكون أوفق بمعنى التقليد في عرف المتشرّعة؛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الفلاني وقع عن تقليد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الشائع في عرف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الفلاني وقع على جهة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الشيخ الأعظم الأنصاري</w:t>
      </w:r>
      <w:r>
        <w:rPr>
          <w:rStyle w:val="FootnoteAnchor"/>
          <w:rtl w:val="true"/>
        </w:rPr>
        <w:footnoteReference w:id="125"/>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نقلناه آنفاً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 التقليد على العمل بقول الغير شائع في العرف العامّ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التقليد لم يرد في شي‌ء من النصوص الشرعية، إلّافي الخبر المروي في الاحتجاج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للعوامّ أن يلتزموا بآرائه ويأخذوا الأحكام منه، وهذا يفيد أنّ التقليد حقيقته الالتزام والأخذ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التقليد ورد في أخبار اخر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معنى التقليد حتّى الوارد في نفس هذه الرواية، وحينئذٍ فكيف يمكن إثبات معنى التقليد باستعماله في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أشبه شي‌ء بالمصادرة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كيف يصدق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أي‌جعل الغير ذا 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الالتزام والأخذ؟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سيجي‌ء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يبعِّد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مدخلية للالتزام في شي‌ء من الأحكام الشرعية، بل له دخالة في الاعتقاديات، وقد توجّه المحقّق الخراساني</w:t>
      </w:r>
      <w:r>
        <w:rPr>
          <w:rStyle w:val="FootnoteAnchor"/>
          <w:rtl w:val="true"/>
        </w:rPr>
        <w:footnoteReference w:id="128"/>
      </w:r>
      <w:r>
        <w:rPr>
          <w:rFonts w:ascii="Amiri" w:hAnsi="Amiri" w:eastAsia="Amiri" w:cs="Amiri"/>
          <w:color w:val="111111"/>
          <w:sz w:val="28"/>
          <w:sz w:val="28"/>
          <w:szCs w:val="28"/>
          <w:rtl w:val="true"/>
          <w:lang w:bidi="ar-SA"/>
        </w:rPr>
        <w:t>إلى هذا 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التزاماً في الاعتقاديات فقط،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التقليد هو العمل مستنداً إلى رأي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استشهد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الأوفق بالمعنى اللغوي للتقليد؛ حيث إنّ معناه جعل الغير ذا قلادة، وهو يناسب كونه عنواناً للعمل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 معنى التقليد في الاصطلاح؛ فإنّ كلامهم بين صريح في كونه العمل وبين ما لا ينافي الحمل عليه، بل ربّما عبَّر الشخص الواحد</w:t>
      </w:r>
    </w:p>
    <w:p>
      <w:pPr>
        <w:pStyle w:val="BookText"/>
        <w:rPr/>
      </w:pPr>
      <w:r>
        <w:rPr>
          <w:rFonts w:ascii="Amiri" w:hAnsi="Amiri" w:eastAsia="Amiri" w:cs="Amiri"/>
          <w:color w:val="111111"/>
          <w:sz w:val="28"/>
          <w:sz w:val="28"/>
          <w:szCs w:val="28"/>
          <w:rtl w:val="true"/>
          <w:lang w:bidi="ar-SA"/>
        </w:rPr>
        <w:t>تارةً بالعمل واخرى بغيره؛ ولذا لم ينبّه أحد على وقوع الخلاف بينهم في ذلك، بل نسب بعضهم تفسيره بالعمل إلى علماء الاصول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المستند لوجوب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 العقل بلزوم الامتثال والعمل بالأحكام الشرعية استناداً إلى الحجّة أو إلى من له الحجّة، فاللازم من التقليد هو العمل دون الأخذ للعمل أو الالتزام برأي المجتهد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تقتضيه السيرة العقلائية هو العمل بقول العارف بشي‌ء حفظاً لنظام امورهم، فالانقياد قلباً أو الأخذ بالفتوى بوجودها العلمي أو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مقاصد العقلاء</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بعض الأخبار كمعتبرة عبدالرحمان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عبداللَّه عليه السلام قاعداً في حلقة ربيعة الرأي، فجاء أعرابي فسأل ربيعة الرأي عن مسألة فأجابه، فلمّا سكت 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في عنقك؟ فسكت عنه ربيعة ولم يردّ عليه شيئاً، فأعاد المسألة عليه فأجابه بمثل ذلك، فقال له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 في عنقك؟ فسكت ربيعة، فقال أبوعبداللَّه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عنقه، قال أو لم يقل، وكلّ مفتٍ ضامن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أضاف الإمام العنق والضمان إلى المجتهد المفتي، ومن المعلوم أنّه ضامن بالنسبة إلى العمل دون الأخذ والالتزام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تعيّن ماهية التقليد،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مفتٍ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مع كون التقليد هو الأخذ والالتزام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استدلّ بالأخبار المستفيضة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بغير علم فعليه وزر من عمل به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ولو لم يقع التعبير بالتقليد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فيها على انطباق عنوان التقليد على 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إشعارها بل دلالتها على أنّه ليس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فتوى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سوى عمل المستفتي، ممّا لا مجال للارتياب فيه كما هو ظاهر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ادّعى كون معنى التقليد هو الالتزام والأخذ لا يقول بأ نّه ورد التعريف به في الأخبار، بل هو يرى توقّف صدق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دفع بعض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تعريفه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يدّعي أنّ التقليد هو العمل لا يمكن له أن يستدلّ بالأخبار؛ لعدم ورود تعريف التقليد في شي‌ء من الأدلّة، بل غاية الأمر يمكنه ادّعاء إشعارها والتأييد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فمن التزم العامّي بقوله وعمل، أو عمل بلا التزام، إذا كان مفتياً بغير علم فعليه وزر ما عمله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يظهر الإشكال في الاستدلال ببعض أخبار اخر أيضاً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اللفظية الدالّة على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كآيتي النفر</w:t>
      </w:r>
      <w:r>
        <w:rPr>
          <w:rStyle w:val="FootnoteAnchor"/>
          <w:rtl w:val="true"/>
        </w:rPr>
        <w:footnoteReference w:id="135"/>
      </w:r>
      <w:r>
        <w:rPr>
          <w:rFonts w:ascii="IRNazanin" w:hAnsi="IRNazanin" w:eastAsia="IRNazanin"/>
          <w:color w:val="111111"/>
          <w:sz w:val="28"/>
          <w:sz w:val="28"/>
          <w:szCs w:val="28"/>
          <w:rtl w:val="true"/>
          <w:lang w:bidi="fa-IR"/>
        </w:rPr>
        <w:t>والسؤال</w:t>
      </w:r>
      <w:r>
        <w:rPr>
          <w:rStyle w:val="FootnoteAnchor"/>
          <w:rtl w:val="true"/>
        </w:rPr>
        <w:footnoteReference w:id="136"/>
      </w:r>
      <w:r>
        <w:rPr>
          <w:rFonts w:ascii="Amiri" w:hAnsi="Amiri" w:eastAsia="Amiri" w:cs="Amiri"/>
          <w:color w:val="111111"/>
          <w:sz w:val="28"/>
          <w:sz w:val="28"/>
          <w:szCs w:val="28"/>
          <w:rtl w:val="true"/>
          <w:lang w:bidi="ar-SA"/>
        </w:rPr>
        <w:t>، وإن دلّت على وجوب قبول قول المنذِر أو المجيب، إلّا أنّ القبول الواجب هو القبول بالعمل، دون الالتزام والأخذ بوجودهما العلمي أو الكتبي، وكذا سائر الأدلّة؛ حيث إنّ موردها العمليات المطلوب فيها العمل،</w:t>
      </w:r>
    </w:p>
    <w:p>
      <w:pPr>
        <w:pStyle w:val="BookText"/>
        <w:rPr/>
      </w:pPr>
      <w:r>
        <w:rPr>
          <w:rFonts w:ascii="Amiri" w:hAnsi="Amiri" w:eastAsia="Amiri" w:cs="Amiri"/>
          <w:color w:val="111111"/>
          <w:sz w:val="28"/>
          <w:sz w:val="28"/>
          <w:szCs w:val="28"/>
          <w:rtl w:val="true"/>
          <w:lang w:bidi="ar-SA"/>
        </w:rPr>
        <w:t>دون عقد القلب المطلوب في باب العقائد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يمكن أن يستفاد من هذه الأدلّة هو أنّ للعمل دخالة ولو في متعلَّق التقليد، وهذا يلائم القول بأنّ التقليد هو الأخذ أو الالتزام للعمل، كما يلائم القول بأ نّه نفس العمل، فلا ينهض هذا الوجه لتعيينه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 في وجوه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ينفع في مقام الردّ على القول باعتبار الالتزام في معنى التقليد، وأنّ أفضل ما يمكن أن يصير دليلًا على هذا القول إثباتاً هو العرف العامّ الذي هو المرجع في المفاهيم الشرعية، مؤيَّداً باللغة كما مرّ؛ فإنّ العرف العامّ يرى أنّ التقليد هو التبعية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للالتزام والأخذ فيه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الأعلام في المقام راجع إلى اختلافهم في ماهية التقليد لا إلى مجرّد الاختلاف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يقول بتحقّق التقليد بالأخذ والالتزام يقول بتحقّقه وإن لم يعمل المقلِّد بعدُ، وكذا تفريع بعض الفروع والأحكام على هذا الخلاف، وكذا ما مرّ من استشكال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التقليد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فمحاولة السيّد الحكيم</w:t>
      </w:r>
      <w:r>
        <w:rPr>
          <w:rStyle w:val="FootnoteAnchor"/>
          <w:rtl w:val="true"/>
        </w:rPr>
        <w:footnoteReference w:id="138"/>
      </w:r>
      <w:r>
        <w:rPr>
          <w:rFonts w:ascii="Amiri" w:hAnsi="Amiri" w:eastAsia="Amiri" w:cs="Amiri"/>
          <w:color w:val="111111"/>
          <w:sz w:val="28"/>
          <w:sz w:val="28"/>
          <w:szCs w:val="28"/>
          <w:rtl w:val="true"/>
          <w:lang w:bidi="ar-SA"/>
        </w:rPr>
        <w:t>إرجاع المراد من الأخذ إلى العمل، وكذا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التعابير على مراد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يتعدّد المجتهدون، أو اتّفقوا في الفتوى؛ حيث يجوز العمل بفتوى الجميع وبكلّ واحد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التعدّد واختلافهم في الفتوى، فقد يقال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 نّه لا محيص من أن تكون حجّية خصوص كلّ منها مشروطاً بأخذه والالتزام</w:t>
      </w:r>
    </w:p>
    <w:p>
      <w:pPr>
        <w:pStyle w:val="BookText"/>
        <w:rPr/>
      </w:pPr>
      <w:r>
        <w:rPr>
          <w:rFonts w:ascii="Amiri" w:hAnsi="Amiri" w:eastAsia="Amiri" w:cs="Amiri"/>
          <w:color w:val="111111"/>
          <w:sz w:val="28"/>
          <w:sz w:val="28"/>
          <w:szCs w:val="28"/>
          <w:rtl w:val="true"/>
          <w:lang w:bidi="ar-SA"/>
        </w:rPr>
        <w:t xml:space="preserve">بحجّيته وطريقيّته، كما هو الشأن في الخبرين المتعارضين الراجع إليه مفاد التخيير في الأخذ بواحد منهما، وفي مثله لا يكون الأخذ مقدّمة للعمل، ومثل ذلك المعنى واجب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حكمه وجوب تحصيل الحجّة على الجاهل قبل الفحص، ولا يكاد يساعد على شرعية هذا المعنى دليل</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الحجّية 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بين المجتهدين المتساويين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تتعيّن في كلّ منهم بالاختيار عقلًا، وإن شئت فعبّر عنه بالالتزام، وهذا لا يستلزم القول بأنّ حقيقة التقليد هي الالتزام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التعبير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الالتزام بهذا المعنى مقدّمة للتقليد، لا أنّه عينه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أخذ السيّد الماتن في تعريف التقليد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 فقيه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أخذه انطلاقاً من تحقّق المعنى اللغوي في المفهوم الاصطلاحي؛ حيث إنّ جعل القلادة في عنق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المعنى اللغوي للتقليد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تعيين الغير، فكذلك في الاصطلاح؛ حيث إنّ الاستناد إلى الغير يستلزم تعيّنه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فالقول بأ نّه لا دليل على تعيين الفقيه بقول مطلق وفي كلّ الصور حيث إنّه إذا اتّحد المجتهد فلا يلزم تعيينه، وإذا تعدّد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اتّفقوا فلا دليل على تعيين أحد منهم، بل يجوز تقليد جميعهم كما يجوز تقليد بعضهم؛ بحسب أدلّة حجّية الفتوى الدالّة على حجّيتها على نحو صرف الوجود، فلا تختصّ الحجّية بواحد منها معيّناً أو مردّداً، إلّاأن يراد بالتعيين ما يقابل الترديد فلا بأس به لا يبقى له وجه؛ إذ مفهوم التقليد وتحقّق المصداق له أمرٌ، وتعيين حكم عمل المكلَّفين أمرٌ</w:t>
      </w:r>
      <w:bookmarkStart w:id="88" w:name="pg1790_14669"/>
    </w:p>
    <w:p>
      <w:pPr>
        <w:pStyle w:val="BookText"/>
        <w:rPr/>
      </w:pPr>
      <w:bookmarkEnd w:id="88"/>
      <w:r>
        <w:rPr>
          <w:rFonts w:ascii="Amiri" w:hAnsi="Amiri" w:eastAsia="Amiri" w:cs="Amiri"/>
          <w:color w:val="111111"/>
          <w:sz w:val="28"/>
          <w:sz w:val="28"/>
          <w:szCs w:val="28"/>
          <w:rtl w:val="true"/>
          <w:lang w:bidi="ar-SA"/>
        </w:rPr>
        <w:t>آخر، كما ستعرف وجهه في المقام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بيّن الماتن قدس سره أنّ التقليد بهذا المعنى قد اخذ في موضوع المسألتين الآتيتين، وأراد بهما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تقليد الميّت، والعدول من الحيّ إلى الحيّ، فإنّ المكلّف إذا لم يعمل بعدُ على رأي المجتهد لم يتحقّق التقليد، و حينئذٍ لا موضوع للبقاء ولا للعدول، بل الموضوع لهاتين المسألتين لا يتحقّق إلّابالعمل المستند إلى فتوى فقيه معيّن</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371590_3650668749"/>
      <w:bookmarkStart w:id="90" w:name="_Toc33"/>
      <w:bookmarkEnd w:id="89"/>
      <w:r>
        <w:rPr>
          <w:rtl w:val="true"/>
        </w:rPr>
        <w:t>مناط صحّة عمل العامّي‌</w:t>
      </w:r>
      <w:bookmarkEnd w:id="90"/>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المصحّح لعمل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الماتن قدس سره أنّ صحّة عمل العامّي لا تتوقّف على صدق عنوان التقليد، بل يصحّ عمله إذا صدر عن حجّة كفتوى الفقيه وإن لم يصدق عليه التقليد بأحد المعاني السابقة، بل ذكر أنّه يصحّ عمله إن انطبق على الحجّة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تحتاج صحّة عمله إلى الالتزام والأخذ السابقين على نفس العمل، بل الاستناد أو الانطباق على فتوى الفقيه يكفي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الكلام منه قدس سره يندفع إشكال ربّما يطرح في المقام،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الجمع بين تفسير التقليد وتعريفه بنفس العمل مستنداً إلى فتوى الفقيه، والقول بأنّ المصحّح لعمل العامّي غير المحتاط هو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المقدّمة قبل الشروع في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التقليد إن كان نفس العمل فكيف يكون المصحّح للعمل أيضاً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المصحّح للعمل لابدّ أن يكون مغايراً لنفس العمل، كما عرفت في إشكال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لم يوجد دليل على اعتبار تحقّق</w:t>
      </w:r>
    </w:p>
    <w:p>
      <w:pPr>
        <w:pStyle w:val="BookText"/>
        <w:rPr/>
      </w:pPr>
      <w:r>
        <w:rPr>
          <w:rFonts w:ascii="Amiri" w:hAnsi="Amiri" w:eastAsia="Amiri" w:cs="Amiri"/>
          <w:color w:val="111111"/>
          <w:sz w:val="28"/>
          <w:sz w:val="28"/>
          <w:szCs w:val="28"/>
          <w:rtl w:val="true"/>
          <w:lang w:bidi="ar-SA"/>
        </w:rPr>
        <w:t>عنوان التقليد في صحّة العمل وكونه مصحِّحاً، بل المصحِّح هو صدور العمل عن حجّة واستناده إليها وإن لم يصدق عنوان التقليد، فمسبوقية العمل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انطباق العمل بالفتوى إذا انكشف بعد العمل تكفي في صحّة العمل؛ لأنّ الفتوى طريق لإحراز الأحكام الشرعية والعلم بها ولا موضوعية لها، والاستناد إليها يلزم لتصحيح العمل، ولا دخل له في أصل العمل الذي يتحقّق التقليد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منافاة بين تفسير التقليد بالعمل وبين ما هو المصحّح لعمل العامّي غير المحتاط</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ما في هذا الاستدراك من الجواب عن القول الأوّل الذي عرفته من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تفصيل البحث عن مصحّح العمل بلا تقليد في المسائل الآتية إن شاء اللَّه تعالى</w:t>
      </w:r>
      <w:r>
        <w:rPr>
          <w:rFonts w:eastAsia="Amiri" w:cs="Amiri" w:ascii="Amiri" w:hAnsi="Amiri"/>
          <w:color w:val="111111"/>
          <w:sz w:val="28"/>
          <w:szCs w:val="28"/>
          <w:rtl w:val="true"/>
          <w:lang w:bidi="ar-SA"/>
        </w:rPr>
        <w:t>.</w:t>
      </w:r>
      <w:bookmarkStart w:id="91" w:name="pg1790_14671"/>
    </w:p>
    <w:p>
      <w:pPr>
        <w:pStyle w:val="Heading3"/>
        <w:numPr>
          <w:ilvl w:val="2"/>
          <w:numId w:val="1"/>
        </w:numPr>
        <w:rPr/>
      </w:pPr>
      <w:bookmarkStart w:id="92" w:name="__RefHeading___Toc2371592_3650668749"/>
      <w:bookmarkStart w:id="93" w:name="_Toc34"/>
      <w:bookmarkEnd w:id="91"/>
      <w:bookmarkEnd w:id="92"/>
      <w:r>
        <w:rPr>
          <w:rtl w:val="true"/>
        </w:rPr>
        <w:t>شرائط مرجع التقليد</w:t>
      </w:r>
      <w:bookmarkEnd w:id="93"/>
    </w:p>
    <w:p>
      <w:pPr>
        <w:pStyle w:val="Heading4"/>
        <w:numPr>
          <w:ilvl w:val="3"/>
          <w:numId w:val="1"/>
        </w:numPr>
        <w:rPr/>
      </w:pPr>
      <w:bookmarkStart w:id="94" w:name="__RefHeading___Toc2371594_3650668749"/>
      <w:bookmarkStart w:id="95" w:name="_Toc35"/>
      <w:bookmarkEnd w:id="94"/>
      <w:r>
        <w:rPr>
          <w:rtl w:val="true"/>
        </w:rPr>
        <w:t>اشارة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المرجع للتقليد عالماً مجتهداً عادلًا ورعاً في دين اللَّه، بل غير مكبّ على الدنيا، ولا حريصاً عليها وعلى تحصيلها جاهاً ومالًا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شرائط مرجع التقليد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رحمه الله لشرائط مرجع التقليد، واقتصر على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أي‌الاجتهاد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الفتوى، وعلى بعض الشروط بنحو الاحتياط، ولم يتعرّض لبعض الشروط كالحرّية والبلوغ، ولعلّ عدم تعرّضه كان بتبع ما صنعه المحقّق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صرّح بالشروط الاخر في رسالته الفارسية</w:t>
      </w:r>
      <w:r>
        <w:rPr>
          <w:rStyle w:val="FootnoteAnchor"/>
          <w:rtl w:val="true"/>
        </w:rPr>
        <w:footnoteReference w:id="143"/>
      </w:r>
      <w:r>
        <w:rPr>
          <w:rFonts w:ascii="Amiri" w:hAnsi="Amiri" w:eastAsia="Amiri" w:cs="Amiri"/>
          <w:color w:val="111111"/>
          <w:sz w:val="28"/>
          <w:sz w:val="28"/>
          <w:szCs w:val="28"/>
          <w:rtl w:val="true"/>
          <w:lang w:bidi="ar-SA"/>
        </w:rPr>
        <w:t xml:space="preserve">، ووافق السيّد اليزدي رحمه الله في اعتبار هذه الشرائط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نتعرّض أوّلًا للشرط الأوّل وهو الاجتهاد فنقول</w:t>
      </w:r>
      <w:r>
        <w:rPr>
          <w:rFonts w:eastAsia="IRNazanin" w:cs="IRNazanin"/>
          <w:color w:val="111111"/>
          <w:sz w:val="28"/>
          <w:szCs w:val="28"/>
          <w:rtl w:val="true"/>
          <w:lang w:bidi="fa-IR"/>
        </w:rPr>
        <w:t>:</w:t>
      </w:r>
      <w:bookmarkStart w:id="96" w:name="pg1790_14672"/>
    </w:p>
    <w:p>
      <w:pPr>
        <w:pStyle w:val="Heading4"/>
        <w:numPr>
          <w:ilvl w:val="3"/>
          <w:numId w:val="1"/>
        </w:numPr>
        <w:rPr/>
      </w:pPr>
      <w:bookmarkStart w:id="97" w:name="__RefHeading___Toc2371596_3650668749"/>
      <w:bookmarkStart w:id="98" w:name="_Toc36"/>
      <w:bookmarkEnd w:id="96"/>
      <w:bookmarkEnd w:id="97"/>
      <w:r>
        <w:rPr>
          <w:rtl w:val="true"/>
        </w:rPr>
        <w:t>شرطية الاجتهاد</w:t>
      </w:r>
      <w:bookmarkEnd w:id="98"/>
    </w:p>
    <w:p>
      <w:pPr>
        <w:pStyle w:val="BookText"/>
        <w:rPr/>
      </w:pPr>
      <w:r>
        <w:rPr>
          <w:rFonts w:ascii="Amiri" w:hAnsi="Amiri" w:eastAsia="Amiri" w:cs="Amiri"/>
          <w:color w:val="111111"/>
          <w:sz w:val="28"/>
          <w:sz w:val="28"/>
          <w:szCs w:val="28"/>
          <w:rtl w:val="true"/>
          <w:lang w:bidi="ar-SA"/>
        </w:rPr>
        <w:t xml:space="preserve">لا خلاف ولا إشكال ظاهراً في شرطية الاجتهاد لمرجع التقليد في الجملة؛ لأنّه هو الذي يقدر على استنباط الأحكام عن الأدلّة التفصيلية، ويتوقّف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وأدلّة لزوم تقليد العامّي أو جوازه، لا تجوّز تقليده إلّاعن المجتهد؛ لأنّ أدلّته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غضّ النظر عن استقامتها قد اخذ فيها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 كما في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فِى الدِّينِ وَلِيُنْذِرُوا قَوْمَهُمْ إِذَا رَجَعُوا إِلَيْهِمْ لَعَلَّهُمْ يَحْذَرُونَ</w:t>
      </w:r>
      <w:r>
        <w:rPr>
          <w:rStyle w:val="FootnoteAnchor"/>
          <w:rtl w:val="true"/>
        </w:rPr>
        <w:footnoteReference w:id="145"/>
      </w:r>
      <w:r>
        <w:rPr>
          <w:rFonts w:ascii="Amiri" w:hAnsi="Amiri" w:eastAsia="Amiri" w:cs="Amiri"/>
          <w:color w:val="111111"/>
          <w:sz w:val="28"/>
          <w:sz w:val="28"/>
          <w:szCs w:val="28"/>
          <w:rtl w:val="true"/>
          <w:lang w:bidi="ar-SA"/>
        </w:rPr>
        <w:t>، ورواية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كان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فَاسْأَلُوا أَهْلَ الذِّكْرِ إِنْ كُنْتُمْ لَاتَعْلَمُونَ</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 في الحلال والحرام والعارف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مقبولة عمر بن حنظلة</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العناوين لا تصدق على غير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فالسيرة العقلائية تدلّ على لزوم إرجاع الجاهل إلى العالم،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لم يبلغ درجة الاجتهاد مشكوك، إن لم نقل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العقل يدلّ على لزوم دفع الضرر المحتمل، ولا يدفع إلّابعد التقليد عن المجتهد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المقدار واضح، وإنّما الإشكال في حدّ الاجتهاد، فهل يعتبر في مرجع</w:t>
      </w:r>
    </w:p>
    <w:p>
      <w:pPr>
        <w:pStyle w:val="BookText"/>
        <w:rPr/>
      </w:pPr>
      <w:r>
        <w:rPr>
          <w:rFonts w:ascii="Amiri" w:hAnsi="Amiri" w:eastAsia="Amiri" w:cs="Amiri"/>
          <w:color w:val="111111"/>
          <w:sz w:val="28"/>
          <w:sz w:val="28"/>
          <w:szCs w:val="28"/>
          <w:rtl w:val="true"/>
          <w:lang w:bidi="ar-SA"/>
        </w:rPr>
        <w:t xml:space="preserve">التقليد الاجتهاد المطلق، أو يكفي مطلق الاجتهاد ولو كان متجزّياً؟ وهذا الإشكال لا يرتبط بمسألة وجوب تقليد الأعلم أو عدمه؛ لأنّ النسبة بين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وخصوص من وجه، فيمكن أن يكون المتجزّي أعلم من غيره فيما استنبطه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الإشكال يبتني على الإيمان بإمكان التجزّي في الاجتهاد، والحقّ إمكان التجزّي في الاجتهاد، وتفصيل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المعروف في تعريف المتجزّي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له قدرة الاستنباط بالنسبة إلى بعض الأبواب دون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تعريف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له قدرة استنباط 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تقييد بباب أو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يتمكّن من الاستنباط في بعضها الآخر</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فبالنسبة إلى المعنى الثاني من الواضح إمكان التجزّي؛ لأنّ الأحكام تختلف بحسب المدارك وكيفية الاستنباط منها صعوبةً وسهولةً، فربّ حكم اختلفت فيه الأقوال وتضاربت أدلّته وكثرت النصوص المتعارضة فيه، وفي المقابل ربّما كان هناك حكم لم تختلف فيه الأقوال وليس مستنده إلّادليلًا واحداً من النصوص الظاهرة الدلالة والمعتبرة السند، ومن البديهي أنّ الاستنباط من الأوّل أصعب ومن الثاني أسهل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تعريف المشهور فلا يجري ما قلناه أخيراً؛ لأنّ الأبواب وإن اختلفت بحسب نوع المدارك من جهة كثرة الروايات المتعارضة أو قلّتها ووجود القواعد وعدمها، وبتبع ذلك تختلف صعوبة الاستنباط وسهولته نوعاً، ولكن يوجد</w:t>
      </w:r>
    </w:p>
    <w:p>
      <w:pPr>
        <w:pStyle w:val="BookText"/>
        <w:rPr/>
      </w:pPr>
      <w:r>
        <w:rPr>
          <w:rFonts w:ascii="Amiri" w:hAnsi="Amiri" w:eastAsia="Amiri" w:cs="Amiri"/>
          <w:color w:val="111111"/>
          <w:sz w:val="28"/>
          <w:sz w:val="28"/>
          <w:szCs w:val="28"/>
          <w:rtl w:val="true"/>
          <w:lang w:bidi="ar-SA"/>
        </w:rPr>
        <w:t xml:space="preserve">في كلّ باب بالأخرة ما يرتبط استنباطه بباب التعارض، أو بالاستدلالات العقلية أو بالقواعد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ما قاله بعض من أنّ كيفية الاستنباط في الأبواب الفقهية تكون على نسق واحد، ولا معنى للاجتهاد في باب دون باب</w:t>
      </w:r>
      <w:r>
        <w:rPr>
          <w:rStyle w:val="FootnoteAnchor"/>
          <w:rtl w:val="true"/>
        </w:rPr>
        <w:footnoteReference w:id="150"/>
      </w:r>
      <w:r>
        <w:rPr>
          <w:rFonts w:ascii="Amiri" w:hAnsi="Amiri" w:eastAsia="Amiri" w:cs="Amiri"/>
          <w:color w:val="111111"/>
          <w:sz w:val="28"/>
          <w:sz w:val="28"/>
          <w:szCs w:val="28"/>
          <w:rtl w:val="true"/>
          <w:lang w:bidi="ar-SA"/>
        </w:rPr>
        <w:t>، ولا معنى للتجزّي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الاجتهاد في الأبواب المختلفة يحتاج إلى الدقّة للموضوع وصور المسألة، والتضلّع في مدارك الباب ومواضعها المعهودة لها، خصوصاً في زماننا هذا بسبب كثرة الموضوعات المشابهة وفي ثمَّ صعوبة معرفة ما ينبغي تطبيقه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له ملكة في استنباط العبادات قد لا يستطيع أن يستنبط مسائل مرتبطة بباب الشركة والتجارة مثلًا إلّابعد التضلّع في مباحثها الموضوعية وما يرتبط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إمكان التجزّي ووقوعه خارجاً بهذا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كفاية التجزّي في جواز التقليد هو سيرة العقلاء في الرجوع إلى العالم، حيث إنّهم لايفرّقون بين أن يكون المجتهد مجتهداً مطلقاً أو متجزّياً؛ لوضوح أنّ الجاهل بشي‌ء يرجع إلى العالم به وإن لم يكن له معرفة بغيره من الامور، وأوضح شاهد على ذلك، مراجعة الناس للأطبّاء، بل قد يرجّحون المتخصّص في فنّ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خبرة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يعلم فنوناً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رغم وجود السيرة ادّعى بعض أنّها مردوعة، وما يستدلّ به على الردع امور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على ثبوته، وعلى فرض ذلك فهو مدركي أو محتمل المدركية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الموصول في الرواية من يعلم جميع الأحكام والحلال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المقطوع به عدم إرادة العلم بجميع أحكامهم وحلالهم وحرامهم؛ لأنّ ذلك متعذّر عادةً، فلابدّ أن يكون المراد الجنس الشامل لمن يعلم البعض، وهو يصدق على 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يصدق على من يعلم شيئاً قليلًا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يعلم مسألة أو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مجتهداً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مشهورة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رجل منكم يعلم شيئاً من قضائنا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فاجعلوه بينكم؛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كفاية العلم بشي‌ء قليل من قضائهم أو قضاياهم في القضاء، ولا ريب في صدقه على المتجزّي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بدعوى أنّ أَهْلَ الذِّكْرِ و لِيَتَفَقَّهُوا فِى الدِّينِ المذكورين في الآيات السابقة، يردعان عن جواز تقليد المتجزّي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موردها حيث نزلت في سؤال العوامّ من علماء اليهود حول ما يرتبط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جواز الرجوع إلى المتجزّي؛ فإنّ</w:t>
      </w:r>
      <w:bookmarkStart w:id="99" w:name="pg1790_14676"/>
    </w:p>
    <w:p>
      <w:pPr>
        <w:pStyle w:val="BookText"/>
        <w:rPr/>
      </w:pPr>
      <w:bookmarkEnd w:id="99"/>
      <w:r>
        <w:rPr>
          <w:rFonts w:ascii="Amiri" w:hAnsi="Amiri" w:eastAsia="Amiri" w:cs="Amiri"/>
          <w:color w:val="111111"/>
          <w:sz w:val="28"/>
          <w:sz w:val="28"/>
          <w:szCs w:val="28"/>
          <w:rtl w:val="true"/>
          <w:lang w:bidi="ar-SA"/>
        </w:rPr>
        <w:t xml:space="preserve">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المتجزّي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يجري أيضاً بالنسبة إلى آية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إثبات الشي‌ء لا ينفي ما عداه، فالسؤال من أهل الذكر والحذر عن قول المتفقّه لا ينافيان السؤال والحذر من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ليس الاجتهاد المطلق، بل مطلق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الماتن قدس سره كفاية التجزّي؛ لأنّه لم يقيّد الاجتهاد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صرّح هو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التجزّي في الاجتهاد في التقليد عنه في مسائل استنبطها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أدلّة التقليد نقلية فالقدر المتيقّن منها التقليد عن المجتهد المطلق، ولو كانت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مجتهداً مطلقاً أو تطابق فتوى المتجزّي مع المطلق يجوز تقليد المتجزّي، وإلّا فلا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مدى دلالة الأدلّة اللفظية وشمول ألفاظها للمتجزّي في الجملة، ومع دلالة اللفظ لا وجه للرجوع إلى القدر المتيقّن، وأمّا الأدلّة العقلية فلا دليل على تفصيله إلّاتوهّم أنّ المجتهد المطلق يكون أعلم من المتجزّي دائماً، والحال أنّه يمكن أعلمية المتجزّي فيما استنبطه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شرط الاجتهاد</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371598_3650668749"/>
      <w:bookmarkStart w:id="101" w:name="_Toc37"/>
      <w:bookmarkEnd w:id="100"/>
      <w:r>
        <w:rPr>
          <w:rtl w:val="true"/>
        </w:rPr>
        <w:t>شرطية العدالة</w:t>
      </w:r>
      <w:bookmarkEnd w:id="10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تعرّض قدس سره لشرطية العدالة، وعقّبها بالورع، وأردفها بعدم الكبّ على الدنيا والحرص عليها وعلى تحصيلها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الشروط كلّها كائنة على</w:t>
      </w:r>
    </w:p>
    <w:p>
      <w:pPr>
        <w:pStyle w:val="BookText"/>
        <w:rPr/>
      </w:pPr>
      <w:r>
        <w:rPr>
          <w:rFonts w:ascii="Amiri" w:hAnsi="Amiri" w:eastAsia="Amiri" w:cs="Amiri"/>
          <w:color w:val="111111"/>
          <w:sz w:val="28"/>
          <w:sz w:val="28"/>
          <w:szCs w:val="28"/>
          <w:rtl w:val="true"/>
          <w:lang w:bidi="ar-SA"/>
        </w:rPr>
        <w:t>مستوى تديّن المرجع، وبعد إضافة احتمال كفاية الوثاقة في المفتي تصير الاحتمالات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الوثاقة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كونه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كونه عادلًا وورعاً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 في الدنيا؛ أي‌يلزم كونه ثقةً عادلًا ورعاً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عبارة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ما ذكره قدس سره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يدلّنا على أنّ الورع ليس شرطاً مستقلًاّ بنظره، بل هو موضّح لشرط العدالة ومشير إلى المرتبة العالية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الشروط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المشيرة إلى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شرائط احتياطية بنحو الاحتياط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فذكر المستند للاحتمالات وتقويمها يدلّنا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كفاية الوثاقة فالتزم بها المحقّق الأصفهاني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العدالة من حيث العمل فإنّه لا دليل عليها بالخصوص في مسألة التقليد، إلّاما يتوهّم من الرواية المنسوبة إلى الإمام العسكري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بعد المراجعة إليه يفهم منها أنّ اعتبار العدالة أيضاً للأمن من الكذب والخيانة لا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ذكرنا مراراً من أنّ أدلّة حجّية الخبر والفتوى واحدة، ولا يعتبر في الخبر إلّاالوثوق، وعليه عمل الأصحاب أيضاً، فلا وجه لاعتبار الزيادة في الفتوى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طرح خبر الفاسق وقبول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فبمقتضى مناسبة الحكم والموضوع لا تستدعي أزيد من اعتبار الوثوق؛ فإنّ الفاسق لا مبالاة</w:t>
      </w:r>
    </w:p>
    <w:p>
      <w:pPr>
        <w:pStyle w:val="BookText"/>
        <w:rPr/>
      </w:pPr>
      <w:r>
        <w:rPr>
          <w:rFonts w:ascii="Amiri" w:hAnsi="Amiri" w:eastAsia="Amiri" w:cs="Amiri"/>
          <w:color w:val="111111"/>
          <w:sz w:val="28"/>
          <w:sz w:val="28"/>
          <w:szCs w:val="28"/>
          <w:rtl w:val="true"/>
          <w:lang w:bidi="ar-SA"/>
        </w:rPr>
        <w:t xml:space="preserve">له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عدم جواز العمل بفتوى الفاسق</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المقيّد للإطلاقات وللسيرة العقلائية الدالّة على كفاية الوثوق بالمفتي، وحيث إنّ بحثنا منعقد فعلًا عن شرطية العدالة؛ فإن دلّ دليل عليها فهو بنفسه يكون مقيّداً للسيرة والإطلاقات، وإن لم يدلّ فالقول بكفاية الوثوق هو الصواب،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فالتزم به أكثر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بأدلّة لفظية وغير لفظية، وهذه الدلائل وإن كان في بعضها ضعف دلالةً أو سنداً، ولكن بعضها الآخر متقن يجب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بعضٌ بآية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بناءً على كون فتواه إخباراً عن الواقع</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شرطية العدالة كونها شرطاً في جواز العمل بفتواه، لا في قبول إخباره عن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فيما لو علم صدقه في إخباره بفتواه، أو أخبر بها حال عدالته، أو عُلمت فتواه من غير جهة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تدلّ عليه آية النبأ هو شرطية الوثاقة لا العدالة، كما تقرّر في مباحث الاصول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وتمسّك أيضاً بآية الركون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158"/>
      </w:r>
      <w:r>
        <w:rPr>
          <w:rFonts w:ascii="Amiri" w:hAnsi="Amiri" w:eastAsia="Amiri" w:cs="Amiri"/>
          <w:color w:val="111111"/>
          <w:sz w:val="28"/>
          <w:sz w:val="28"/>
          <w:szCs w:val="28"/>
          <w:rtl w:val="true"/>
          <w:lang w:bidi="ar-SA"/>
        </w:rPr>
        <w:t>حيث إنّ الفاسق ظالم، والاعتماد على فتواه نوع من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غيره لا مطلق من صدرت منه المعصية، وهذا هو المتبادر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دلالة واضحة في الآية في الشمول لكلّ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ردع السيرة بالإطلاق كما قرّر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إشكالان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السند، كما ذكر الماتن قدس سره في رسالته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الدلالة واغتشاش المتن؛ لأنّ مورد الرواية هو اصول الدين، ولا يمكن إخراج المورد عن المدلول، ومع العناية بالمورد لا يصير مدلولها ظاهراً فيما أردناه من التقليد؛ حيث إنّ التقليد في الاصول تعبّداً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بملاحظة صدر الخبر وذيله يعلم بأنّ المراد اعتبار العدالة من جهة الأمن من الكذب في الرواية، والإفتاء بغير ما أنزل اللَّه تعمّداً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الأدلّة غير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بعضهم بالإجماع، إلّاأنّه لم يقم دليل على ثبوته ظاهراً، مضافاً إلى أنّ الظاهر كونه مدركياً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بعضهم استدلّ بارتكاز المتشرّعة وسيرتهم القطعية؛ حيث لا يرجعون إلى الفاسق في الفتوى؛ فإنّ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شرعي لا ينحصر دوره في الإفتاء، بل له نوع زعامة دينية على كافّة الشيعة، ولا أقلّ من التلازم العرفي بين منصب المرجعية بحسب الفتوى ومنصب الزعامة في الجملة، ولا سيّما مع ملاحظة فتوى الفقهاء في زماننا هذا في الإلزام بإرجاع</w:t>
      </w:r>
      <w:bookmarkStart w:id="102" w:name="pg1790_14680"/>
    </w:p>
    <w:p>
      <w:pPr>
        <w:pStyle w:val="BookText"/>
        <w:rPr/>
      </w:pPr>
      <w:bookmarkEnd w:id="102"/>
      <w:r>
        <w:rPr>
          <w:rFonts w:ascii="Amiri" w:hAnsi="Amiri" w:eastAsia="Amiri" w:cs="Amiri"/>
          <w:color w:val="111111"/>
          <w:sz w:val="28"/>
          <w:sz w:val="28"/>
          <w:szCs w:val="28"/>
          <w:rtl w:val="true"/>
          <w:lang w:bidi="ar-SA"/>
        </w:rPr>
        <w:t>سهم الإمام بل السهمين إلى المرجع للتقليد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من الواضح أنّ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في هذه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بعدّة 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الحقوق المالية الشرعية من المسلمين، ومنها إدارة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الحوزات العلمية،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الرأي في المواقف العامّة التي ترتبط بشؤون المسلمين، وكلّ هذا يتطلّب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يرضى الشارع الحكيم أن يتصدّى لمثلها من لا قيمة له لدى العقلاء والشيعة المراجعين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ملاحظة عدم رضا الشارع بإمامة من هو كذلك في الجماعة؛ حيث اشترط في إمام الجماعة العدالة، فما ظنّك بالزعامة العظمى التي هي من أعظم المناصب بعد الولاية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شرطية العدالة، ومع تمامية الأدلّة عليها نتمكّن من تقييد الإطلاقات والسيرة العقلائية الدالّتين على كفاية الوثاقة، وحينئذٍ فلا يكون وجه للقول بكفاية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بجواز التقليد وأخذ بعض المسائل عن المجتهد المتجزّي الثقة، لعدم دلالة ما تقدّم على لزوم عدالته بعد أن لم يكن له منصب الزعامة الكبرى ونظائره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371600_3650668749"/>
      <w:bookmarkStart w:id="104" w:name="_Toc38"/>
      <w:bookmarkEnd w:id="103"/>
      <w:r>
        <w:rPr>
          <w:rtl w:val="true"/>
        </w:rPr>
        <w:t>أمّا شرطية الورع والزهد</w:t>
      </w:r>
      <w:bookmarkEnd w:id="104"/>
    </w:p>
    <w:p>
      <w:pPr>
        <w:pStyle w:val="BookText"/>
        <w:rPr/>
      </w:pPr>
      <w:r>
        <w:rPr>
          <w:rFonts w:ascii="Amiri" w:hAnsi="Amiri" w:eastAsia="Amiri" w:cs="Amiri"/>
          <w:color w:val="111111"/>
          <w:sz w:val="28"/>
          <w:sz w:val="28"/>
          <w:szCs w:val="28"/>
          <w:rtl w:val="true"/>
          <w:lang w:bidi="ar-SA"/>
        </w:rPr>
        <w:t>قبل البحث عن شرطيتهما، نبحث عن معناهما والفرق بينهما؛ كي لا يشتبه الحكم في المسألة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منه التحرّز عن الشبهات مضافاً إلى التحرّز عن المحرّمات،</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المحارم، والتحرّج منه، وتورّع من كذا، ثمّ استعير للكفّ عن المباح والحلال</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 أنّ الورع فوق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ورع كالوقوف عند الشبهة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أورع الناس من وقف عند الشبهات</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من الورع من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يتورّع عن محارم اللَّه ويجتنب هؤلاء، فإذا لم يتّق الشبهات وقع في الحرام وهو لا يعرفه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ورد في بعض الروايات</w:t>
      </w:r>
      <w:r>
        <w:rPr>
          <w:rStyle w:val="FootnoteAnchor"/>
          <w:rtl w:val="true"/>
        </w:rPr>
        <w:footnoteReference w:id="167"/>
      </w:r>
      <w:r>
        <w:rPr>
          <w:rFonts w:ascii="Amiri" w:hAnsi="Amiri" w:eastAsia="Amiri" w:cs="Amiri"/>
          <w:color w:val="111111"/>
          <w:sz w:val="28"/>
          <w:sz w:val="28"/>
          <w:szCs w:val="28"/>
          <w:rtl w:val="true"/>
          <w:lang w:bidi="ar-SA"/>
        </w:rPr>
        <w:t>أنّ الورع هو الاجتناب عن المحرّمات، ولكن إطلاقها مقيّد بما عرفت من المقيّدات، خصوصاً الرواية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فالمراد من الورع ظاهراً هو أمر فوق العدالة،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عالية من العدالة، ويؤيّد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شأن الورعين من الناس؛ مثل ما روي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جلساء اللَّه غداً أهل الورع والزهد في الدنيا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الإعراض عن الدنيا، وعدم الإقبال على مالها وجاهها، وعدم الانكباب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الورع أخصّ من العدالة، والزهد أخصّ منهما؛ لأنّ</w:t>
      </w:r>
    </w:p>
    <w:p>
      <w:pPr>
        <w:pStyle w:val="BookText"/>
        <w:rPr/>
      </w:pPr>
      <w:r>
        <w:rPr>
          <w:rFonts w:ascii="Amiri" w:hAnsi="Amiri" w:eastAsia="Amiri" w:cs="Amiri"/>
          <w:color w:val="111111"/>
          <w:sz w:val="28"/>
          <w:sz w:val="28"/>
          <w:szCs w:val="28"/>
          <w:rtl w:val="true"/>
          <w:lang w:bidi="ar-SA"/>
        </w:rPr>
        <w:t>العادل يجتنب عن الحرام، والورِع عن المشتبه، والزاهد عن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شرطية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قائل به إلّاالماتن قدس سره تبعاً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حيث أضاف قيد الورع عقيب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والزهد، فحيث إنّ مستندهما عقلًا ونقلًا متقارب فاندمج البحث للاختصار،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وجهان للاشتراط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من الرواية لزوم مخالفة المرجع لهواه، ومن تورّط في الشبهات ولم يخالف هواه في المباح لا يصدق عليه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مستند الماتن هذه الرواية؛ ولذا ذكرها في تتمّة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 في التقليد والأخذ عمّن كان في مرتبة عالية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الارتكاز استمرار للارتكاز المتشرّعي في التحرّز عن تقليد من كان فاسقاً، فالمفتي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له من مقام المرجعية والولاية على المسلمين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أن يتّصف بما يتّصف به المعصوم من العصمة، ولكن للعلم بعدم ثبوت العصمة لغير المعصوم عليه السلام ارتكز في أذهانهم لزوم كون المرجع في مرتبة أعلى من العدالة والتقوى، وهذه المرتبة هي الورع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للوجه الأوّل فيشكل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من جهة اعتبار السند، وقد تقدّم من الماتن قبول ضعف الرواية؛ من حيث</w:t>
      </w:r>
    </w:p>
    <w:p>
      <w:pPr>
        <w:pStyle w:val="BookText"/>
        <w:rPr/>
      </w:pPr>
      <w:r>
        <w:rPr>
          <w:rFonts w:ascii="Amiri" w:hAnsi="Amiri" w:eastAsia="Amiri" w:cs="Amiri"/>
          <w:color w:val="111111"/>
          <w:sz w:val="28"/>
          <w:sz w:val="28"/>
          <w:szCs w:val="28"/>
          <w:rtl w:val="true"/>
          <w:lang w:bidi="ar-SA"/>
        </w:rPr>
        <w:t>وجود الضعفاء والمجاهيل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من جهة الدلالة، فقد أشكل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مساغ للأخذ بظاهرها وإطلاقها؛ حيث إنّ لازمه عدم جواز الرجوع إلى من ارتكب أمراً مباحاً شرعياً لهواه، إذ لا يصدق معه أنّه مخالف لهواه؛ لأ نّه لم يخالف هواه في المباح، وعليه لابدّ في المقلّد من اعتبار كونه مخالفاً لهواه حتّى في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المتّصف بذلك غير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بالرواية ظاهرها وإطلاقها لم يوجد لها مصداق كما مرّ، وإن اريد بها المخالفة للهوى فيما نهى عنه الشارع دون المباحات فهو عبارة اخرى عن العدالة وليس أمراً زائداً عليها، وقد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يتورّع عن محارم اللَّه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ومع التأمّل في الرواية يظهر أنّ المتعيّن هو الأخير، فلا يشترط في المقلّد زائداً على العدالة شي‌ء آخر</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ظاهر الرواية أنّ المرجع يجب أن يكون مخالفاً لهواه مطلقاً، ولا يعمل عملًا مباحاً إلّاإذا كان مقدّمة لواجب أو مستحبّ، بل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مطيعاً لهواه كثيراً حتّى في المباح لا يصلح للمرجعية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فإنّ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يخالف هواه في المعصية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يخالف هواه مطلقاً حتّى في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كثيرة، وفي بعضها يوجد من يخالف هواه في المشتبهات وفي أكثر المباحات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هذا هو المراد من مجموع الرواية، وإلّا فلو كان المراد من مخالفة الهوى مخالفته في الحرام وترك الواجب فقط، لزم التكرار في الرواية؛ لأنّه يكون</w:t>
      </w:r>
    </w:p>
    <w:p>
      <w:pPr>
        <w:pStyle w:val="BookText"/>
        <w:rPr/>
      </w:pPr>
      <w:r>
        <w:rPr>
          <w:rFonts w:ascii="Amiri" w:hAnsi="Amiri" w:eastAsia="Amiri" w:cs="Amiri"/>
          <w:color w:val="111111"/>
          <w:sz w:val="28"/>
          <w:sz w:val="28"/>
          <w:szCs w:val="28"/>
          <w:rtl w:val="true"/>
          <w:lang w:bidi="ar-SA"/>
        </w:rPr>
        <w:t xml:space="preserve">عبارة اخرى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مطيعاً لأمر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إشكال آخر ذكره السيّد الحكيم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الإشكال في سنده، وفي كونه فيما نحن فيه من التقليد في الفروع، وفي دلالته على أكثر من اعتبار الأمانة والوثوق كما يظهر من ملاحظة مجموع الفقرات، وإن كان الجمود على الفقرة الأخيرة يقتضي ظهوره في اعتبار العدالة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إشكال السند فقد سبق قبوله من الماتن أيضاً، وأمّا الإشكال من جهة المدلول فيمكن أن يقال بأنّ للتقليد مفهوماً أعمّ يشمل الاصول والفروع، وما يُمنع من التقليد فيه في الاصول هو التوحيد والنبوّة والمعاد، وأمّا التقليد فيما هو مرتبط بالاصول ويكون من الجزئيات أو اللواحق فلا إشكال فيه، فإذن المكلّف مأمور بالتقليد في غير الاصول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كالتوحيد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لواحق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خروج المورد وعدم شمولها للتقليد في الفروع،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تقدّم من الماتن رحمه الله القول باغتشاش المتن، ولذا يبقى في النفس شي‌ء تجاه المدلول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المدلول في هذه الفقرة، فقد تقدّم أنّه أكثر من العدالة وهو مرتبة الزهد، ولا أقلّ من مرتبة الورع، وظهور سياق الرواية في شرطية الوثوق لا ينافي ظهور هذه الفقرة في لزوم عدالة المرجع للتقليد عند الإمامية، ومع فرض التنافي لا يقدّم عليه لما تقرّر في الاصول من تقدّم الظهور اللفظي على الظهور السياقي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الارتكاز المتشرّعي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w:t>
      </w:r>
    </w:p>
    <w:p>
      <w:pPr>
        <w:pStyle w:val="BookText"/>
        <w:rPr/>
      </w:pPr>
      <w:r>
        <w:rPr>
          <w:rFonts w:ascii="Amiri" w:hAnsi="Amiri" w:eastAsia="Amiri" w:cs="Amiri"/>
          <w:color w:val="111111"/>
          <w:sz w:val="28"/>
          <w:sz w:val="28"/>
          <w:szCs w:val="28"/>
          <w:rtl w:val="true"/>
          <w:lang w:bidi="ar-SA"/>
        </w:rPr>
        <w:t>دليل لبّي، والقدر المتيقّن منه الاحتراز عن تقليد الفاسق، لا العادل غير الورع أو غير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يستند إليه في شرطية الورع والزهد ليس بتامّ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النظر إلى خطورة منصب المرجعية، واحتمال الوقوع في المهالك إذا لم يكن المرجع في مرتبة من الورع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بشرطية الورع والزهد ولو احتياطاً كما صنعه الماتن قدس سره بالنسبة إلى الثاني</w:t>
      </w:r>
      <w:r>
        <w:rPr>
          <w:rFonts w:eastAsia="Amiri" w:cs="Amiri" w:ascii="Amiri" w:hAnsi="Amiri"/>
          <w:color w:val="111111"/>
          <w:sz w:val="28"/>
          <w:szCs w:val="28"/>
          <w:rtl w:val="true"/>
          <w:lang w:bidi="ar-SA"/>
        </w:rPr>
        <w:t>.</w:t>
      </w:r>
      <w:bookmarkStart w:id="105" w:name="pg1790_14686"/>
    </w:p>
    <w:p>
      <w:pPr>
        <w:pStyle w:val="Heading3"/>
        <w:numPr>
          <w:ilvl w:val="2"/>
          <w:numId w:val="1"/>
        </w:numPr>
        <w:rPr/>
      </w:pPr>
      <w:bookmarkStart w:id="106" w:name="__RefHeading___Toc2371602_3650668749"/>
      <w:bookmarkStart w:id="107" w:name="_Toc39"/>
      <w:bookmarkEnd w:id="105"/>
      <w:bookmarkEnd w:id="106"/>
      <w:r>
        <w:rPr>
          <w:rtl w:val="true"/>
        </w:rPr>
        <w:t>العدول من مجتهد إلى آخر</w:t>
      </w:r>
      <w:bookmarkEnd w:id="107"/>
    </w:p>
    <w:p>
      <w:pPr>
        <w:pStyle w:val="Heading4"/>
        <w:numPr>
          <w:ilvl w:val="3"/>
          <w:numId w:val="1"/>
        </w:numPr>
        <w:rPr/>
      </w:pPr>
      <w:bookmarkStart w:id="108" w:name="__RefHeading___Toc2371604_3650668749"/>
      <w:bookmarkStart w:id="109" w:name="_Toc40"/>
      <w:bookmarkEnd w:id="108"/>
      <w:r>
        <w:rPr>
          <w:rtl w:val="true"/>
        </w:rPr>
        <w:t>اشارة</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العدول بعد تحقّق التقليد، من الحيّ إلى الحيّ المساوي، ويجب العدول إذا كان الثاني أعلم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العدول من مجتهد إلى آخر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تقليد مجتهد حيّ إلى حيّ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التقليد؛ أي‌العمل مستنداً إلى 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ثلاث صور،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الحيّ إلى الحيّ المساوي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الحيّ إلى الحيّ الأعلم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الحيّ إلى الحيّ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الماتن قدس سره للصورتين الاوليين دون الثالثة كما يظهر وجهه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الورود في المسألة لابدّ من التنبيه على أنّ المكلّف مخيّر بدواً في اختيار تقليد أحد المراجع المتساوين في الفضل، كما سيصرّح به الماتن في المسألة الثامنة، وإنّما الكلام في العدول وثبوت التخيير بعد اختيار تقليد أحد المجتهدين، كما أنّ البحث حول التقليد في الوقائع المستقبلة، دون شخص الواقعة التي عمل بها على رأي المعدول عنه، كما أنّه لا إشكال في‌ثبوت التخيير وجواز العدول في صورة</w:t>
      </w:r>
    </w:p>
    <w:p>
      <w:pPr>
        <w:pStyle w:val="BookText"/>
        <w:rPr/>
      </w:pPr>
      <w:r>
        <w:rPr>
          <w:rFonts w:ascii="Amiri" w:hAnsi="Amiri" w:eastAsia="Amiri" w:cs="Amiri"/>
          <w:color w:val="111111"/>
          <w:sz w:val="28"/>
          <w:sz w:val="28"/>
          <w:szCs w:val="28"/>
          <w:rtl w:val="true"/>
          <w:lang w:bidi="ar-SA"/>
        </w:rPr>
        <w:t>اتّفاق المجتهدين في جميع المسائل، وإنّما الكلام في صورة اختلافهما في الفتوى مع علم المقلّد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الماتن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النجفية الثانية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العدول من الحيّ إلى الحيّ المساوي، كما صرّح به في بعض أجوبة استفتاءاته</w:t>
      </w:r>
      <w:r>
        <w:rPr>
          <w:rStyle w:val="FootnoteAnchor"/>
          <w:rtl w:val="true"/>
        </w:rPr>
        <w:footnoteReference w:id="174"/>
      </w:r>
      <w:r>
        <w:rPr>
          <w:rFonts w:ascii="Amiri" w:hAnsi="Amiri" w:eastAsia="Amiri" w:cs="Amiri"/>
          <w:color w:val="111111"/>
          <w:sz w:val="28"/>
          <w:sz w:val="28"/>
          <w:szCs w:val="28"/>
          <w:rtl w:val="true"/>
          <w:lang w:bidi="ar-SA"/>
        </w:rPr>
        <w:t xml:space="preserve">، خلافاً لما اختاره في الطبعة الاولى النجفية ولتعليقته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علّق على قول السيّد الأصفهاني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 في المساوي</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وقع الخلاف بين أعلام الخاصّة والعامّة في حكم العدول مع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مشهور العامّة إلى القول بجواز العدول في الأعمال المستقبلة؛ استناداً إلى وقوع العدول من غير نكير من الأعلام والصحابة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الخاصّة فقد صارت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بدو ظهورها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قولين، فقد استوجه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بجواز العدول في الأعمال المستقبلة دون شخص الحكم الذي عمل به سابقاً</w:t>
      </w:r>
      <w:r>
        <w:rPr>
          <w:rStyle w:val="FootnoteAnchor"/>
          <w:rtl w:val="true"/>
        </w:rPr>
        <w:footnoteReference w:id="177"/>
      </w:r>
      <w:r>
        <w:rPr>
          <w:rFonts w:ascii="Amiri" w:hAnsi="Amiri" w:eastAsia="Amiri" w:cs="Amiri"/>
          <w:color w:val="111111"/>
          <w:sz w:val="28"/>
          <w:sz w:val="28"/>
          <w:szCs w:val="28"/>
          <w:rtl w:val="true"/>
          <w:lang w:bidi="ar-SA"/>
        </w:rPr>
        <w:t xml:space="preserve">، وتبعه في ذلك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العلّية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والمحقّق الثاني في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واختاره</w:t>
      </w:r>
      <w:bookmarkStart w:id="110" w:name="pg1790_14688"/>
    </w:p>
    <w:p>
      <w:pPr>
        <w:pStyle w:val="BookText"/>
        <w:rPr/>
      </w:pPr>
      <w:bookmarkEnd w:id="110"/>
      <w:r>
        <w:rPr>
          <w:rFonts w:ascii="Amiri" w:hAnsi="Amiri" w:eastAsia="Amiri" w:cs="Amiri"/>
          <w:color w:val="111111"/>
          <w:sz w:val="28"/>
          <w:sz w:val="28"/>
          <w:szCs w:val="28"/>
          <w:rtl w:val="true"/>
          <w:lang w:bidi="ar-SA"/>
        </w:rPr>
        <w:t>المحقّق القمّي حاكياً عليه الإجماع</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عدم جواز العدول</w:t>
      </w:r>
      <w:r>
        <w:rPr>
          <w:rStyle w:val="FootnoteAnchor"/>
          <w:rtl w:val="true"/>
        </w:rPr>
        <w:footnoteReference w:id="181"/>
      </w:r>
      <w:r>
        <w:rPr>
          <w:rFonts w:ascii="Amiri" w:hAnsi="Amiri" w:eastAsia="Amiri" w:cs="Amiri"/>
          <w:color w:val="111111"/>
          <w:sz w:val="28"/>
          <w:sz w:val="28"/>
          <w:szCs w:val="28"/>
          <w:rtl w:val="true"/>
          <w:lang w:bidi="ar-SA"/>
        </w:rPr>
        <w:t>، وتبعه على ذلك السيّد عميد الدين في شرحه</w:t>
      </w:r>
      <w:r>
        <w:rPr>
          <w:rStyle w:val="FootnoteAnchor"/>
          <w:rtl w:val="true"/>
        </w:rPr>
        <w:footnoteReference w:id="182"/>
      </w:r>
      <w:r>
        <w:rPr>
          <w:rFonts w:ascii="Amiri" w:hAnsi="Amiri" w:eastAsia="Amiri" w:cs="Amiri"/>
          <w:color w:val="111111"/>
          <w:sz w:val="28"/>
          <w:sz w:val="28"/>
          <w:szCs w:val="28"/>
          <w:rtl w:val="true"/>
          <w:lang w:bidi="ar-SA"/>
        </w:rPr>
        <w:t xml:space="preserve">، والشهيد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واختاره جمع من المتأخّرين؛ كالشيخ الأعظم الأنصاري</w:t>
      </w:r>
      <w:r>
        <w:rPr>
          <w:rStyle w:val="FootnoteAnchor"/>
          <w:rtl w:val="true"/>
        </w:rPr>
        <w:footnoteReference w:id="184"/>
      </w:r>
      <w:r>
        <w:rPr>
          <w:rFonts w:ascii="Amiri" w:hAnsi="Amiri" w:eastAsia="Amiri" w:cs="Amiri"/>
          <w:color w:val="111111"/>
          <w:sz w:val="28"/>
          <w:sz w:val="28"/>
          <w:szCs w:val="28"/>
          <w:rtl w:val="true"/>
          <w:lang w:bidi="ar-SA"/>
        </w:rPr>
        <w:t xml:space="preserve">، والسيّد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لابدّ من دراسة أدلّة القولين</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371606_3650668749"/>
      <w:bookmarkStart w:id="112" w:name="_Toc41"/>
      <w:bookmarkEnd w:id="111"/>
      <w:r>
        <w:rPr>
          <w:rtl w:val="true"/>
        </w:rPr>
        <w:t>أدلّة القائلين بجواز العدول‌</w:t>
      </w:r>
      <w:bookmarkEnd w:id="112"/>
    </w:p>
    <w:p>
      <w:pPr>
        <w:pStyle w:val="Heading5"/>
        <w:numPr>
          <w:ilvl w:val="4"/>
          <w:numId w:val="1"/>
        </w:numPr>
        <w:rPr/>
      </w:pPr>
      <w:bookmarkStart w:id="113" w:name="__RefHeading___Toc2371608_3650668749"/>
      <w:bookmarkStart w:id="114" w:name="_Toc42"/>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قد استدلّ القائلون بجواز العدول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اللفظية الدالّة على حجّية الفتوى؛ بدعوى عدم تقييدها بما إذا لم يرجع إلى غيره، فمقتضى إطلاقها، الحجّية وإن رجع إلى الغير وأخذ بفتياه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دليل مطلق يمكن الاتّكال عليه؛ لضعف الأدلّة اللفظية المذكورة للتقليد سنداً ودلالةً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وجود الدليل اللفظي، ولكن لا إطلاق له بالنسبة إلى حال</w:t>
      </w:r>
    </w:p>
    <w:p>
      <w:pPr>
        <w:pStyle w:val="BookText"/>
        <w:rPr/>
      </w:pPr>
      <w:r>
        <w:rPr>
          <w:rFonts w:ascii="Amiri" w:hAnsi="Amiri" w:eastAsia="Amiri" w:cs="Amiri"/>
          <w:color w:val="111111"/>
          <w:sz w:val="28"/>
          <w:sz w:val="28"/>
          <w:szCs w:val="28"/>
          <w:rtl w:val="true"/>
          <w:lang w:bidi="ar-SA"/>
        </w:rPr>
        <w:t>التعارض؛ فإنّ غاية ما يمكن أن يستفاد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إعمال التعبّد والإرجاع إلى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لابدّ أن يرجع إلى العالم في تعلّم أحكام الدين، ومن المعلوم أنّ مثل ذلك لا إطلاق له لحال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بتقريب أنّ المكلّف قبل الأخذ بفتوى أحد المجتهدين كان مخيّراً في الأخذ بأيّهما شاء؛ لفرض تساويهما، فيكون من اختاره منهما جامعاً لشرائط الحجّية، فإذا رجع إلى أحدهما وشككنا في أنّ فتوى الآخر باقية على الحجّية التخييرية أو أنّها ساقطة، فالاستصحاب يقتضي الحكم ببقائها على الحجّية 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مخيّر بين البقاء على تقليد المجتهد الأوّل والعدول إلى المجتهد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لوحظ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يعتبر في الاستصحاب إحراز اتّحاد موضوع القضية المشكوكة والمتيقّنة، وهو غير محرز في المقام؛ إذ أنّ موضوع التخيير،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تقم عنده حجّة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ارتفع بالأخذ بإحدى الفتويين؛ لأنّها صارت حجّة فعلية بالأخذ بها، فلا موضوع لاستصحاب التخيير، وإن كان الموضوع للتخيير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تعارض عنده الفتويان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من تعارض عنده الخبران أو جاءه حديثان متعارضان، فهو أمر يرتفع بالرجوع إلى إحدى الفتويين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شككنا بعد ذلك في بقاء الحكم بالتخيير وارتفاعه لم يكن مانع من استصحابه بوجه، ولكنّا لم نحرز أنّ الموضوع أيّهما؛ حيث إنّ مدّعي التخيير في المسألة إنّما يروم إثباته بالإجماع أو السيرة، وهما دليلان لبّيان، وليسا من الأدلّة اللفظية لنستظهر أنّ موضوع الحكم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تعارض عنده الفتويان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فيدور الأمر في الموضوع بين ما هو مقطوع البقاء وما هو مقطوع الارتفاع، وفي مثله لا مجال للاستصحاب بالكلّية لأنّه لا يجري في الموضوع ولا في حكمه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جريانه في الحكم، فلأجل الشكّ في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جريانه في الموضوع، فلأجل أنّ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اخرى عن استصحاب الحكم نفسه، وأمّا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بوصف أنّه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بمورد للاستصحاب، فإنّه لا شكّ فيه، حيث إنّه مقطوع البقاء أو مقطوع الارتفاع</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 بما أفاده المحقّق الأصفهاني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 قضية الفطرة والجبلّة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أنّه لم يرتفع جهله حقيقةً بالرجوع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 الانسداد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يتمكّن من الاستناد إلى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الموضوع للأدلّة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حجّية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ليس له قوّة إعمال النظر، وفي مثل آية السؤال يكون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أوجبت على المكلّف أن يسأل مقدّمةً للتقليد، لا أنّ السؤال عينه، فالعالم بعد السؤال يكون موضوعاً لوجوب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الفقيه، وأوجب عليه الرجوع إلى الفقيه، فحاله حال آية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الموضوع لأدلّة التخيير بين الخبرين المتعارضين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جاءه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العناوين الانتزاعية باجتهاد منّا ببعض المناسبات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الأدلّة اللفظية واللبّية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من رجع إلى المجتهد، كما يصدق على من لم يرجع إليه، فيجوز العدول باستصحاب هذا العنوان بعد تقليد الأوّل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لا يناسب شأن قائله؛ حيث إنّ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سقطت بالتعارض، فلا مجال لاستصحاب موضوعها بعد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التخيير قد ثبت قبل الأخذ بأحدهما، فإذا شككنا في بقائه وارتفاعه، وكان الموضوع للتخيير البدوي ثابتاً، أمكن إحراز وحدة الموضوع للقضية المتيقّنة والمشكوكة، وإلّا فلا مجال لاستصحاب ذلك التخيير الابتدائي بعد الأخذ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يمكن الاستدلال بالدليلين المتعارضين، ولكن وجود موضوعهما قبل التعارض يحقّق ركن الاستصحاب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ولوحظ عليه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فيما إذا كانت الحالة السابقة هي التخيير، دون ما إذا كان المجتهد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يريد العدول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المعدول إليه، إلّاأنّه ترقّى متدرّجاً حتّى بلغ مرتبة المجتهد الأوّل وتساوى معه في الفضيلة، وحينئذٍ فإذا شككنا في تعيّن البقاء على تقليد الأوّل وجواز العدول إلى المجتهد الثاني لم يمكننا استصحاب التخيير؛ لعدم الحالة السابقة له، بل الحالة السابقة هي التعيين؛ لما فرضناه من أنّه أعلم من المعدول إليه، فالاستدلال بالاستصحاب أخصّ من المدّعى</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 إنّما يرد على إطلاق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ولا يرد على ما هو المهمّ المفروض في المقام من تساوي المجتهدين ابتداءً واستدامةً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بناء المقام على تساوي المجتهدين استدامةً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إجراء الاستصحاب التعليقي في هذا الفرض؛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المجتهد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مساوياً للأوّل، بعد أن لم يكن كذلك من بداية تقليد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موجوداً وكان مساوياً للمعدول عنه من أوّل الأمر، لكان الحكم هو التخيير بينهما، فيمكن استصحاب ذلك التخيير؛ حيث إنّه يكفي في اعتبار الاستصحاب اليقين والشكّ الفعليان، وكون المشكوك فيه ذا أثر شرعي أو منتهياً إليه، وكلا الشرطين حاصلان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التعليق ليس شرعياً، مع أنّه يعتبر في جريان هذا النحو من الاستصحاب أن يكون كذلك، وسيأتي من الماتن التصريح بعدم جريان الاستصحاب كذلك،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ولوحظ عليه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التخيير معارض لاستصحاب الحجّية الفعلية للفتوى المأخوذ بها؛ فإنّ المعنى المعقول للحجّية التخييرية هو إيكال أمر الحجّية إلى اختيار المكلّف؛ بأن يتمكّن من أن يجعل ما ليس بحجّة حجّة، بأخذه فتوى أحد المتساويين، وهذا المعنى لا يكون مورداً للاستصحاب؛ لأنّ فتوى أحد المتساويين إذا اتّصفت بالحجّية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المكلّف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جواز الأخذ بفتوى المجتهد الآخر، جرى فيه استصحاب جواز الأخذ بفتوى المجتهد الآخر، واستصحاب حجّية ما اتّصف بالحجّية الفعلية بالأخذ به، وهما متعارضان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استصحاب الحجّية التخييرية حاكم على استصحاب بقاء الحجّية في أحدهما المعيّن</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يمكن المساعدة عليه؛ إذ ليس عدم الحجّية الفعلية من الآثار الشرعية المترتّبة على بقاء الحجّية التخييرية،</w:t>
      </w:r>
    </w:p>
    <w:p>
      <w:pPr>
        <w:pStyle w:val="BookText"/>
        <w:rPr/>
      </w:pPr>
      <w:r>
        <w:rPr>
          <w:rFonts w:ascii="Amiri" w:hAnsi="Amiri" w:eastAsia="Amiri" w:cs="Amiri"/>
          <w:color w:val="111111"/>
          <w:sz w:val="28"/>
          <w:sz w:val="28"/>
          <w:szCs w:val="28"/>
          <w:rtl w:val="true"/>
          <w:lang w:bidi="ar-SA"/>
        </w:rPr>
        <w:t>بل من الآثار العقلية التي لا تترتّب على الاستصحاب</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التخييري في المسألة الاصولية يكون لتحصيل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الإلزام بالاحتياط، فمع الإتيان بأحد شقّي التخيير يبقى للعمل بالآخر مجال واسع، وإن لم يكن المكلّف ملزَماً به تخفيفاً عليه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فقد يقال بجريان استصحاب واحد في المقام، وهو استصحاب الحجّية التخييرية على نحو البدلية؛ فإنّه مع الرجوع إلى أحد المجتهدين لا تتبدّل عن البدلية ولا تتّصف بالفعلية، نظير 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إكرام فرد من طبيعة الرجل على نحو البدلية، فإذا أكرم زيداً مثلًا فلا يصير إكرام زيد واجباً فعلياً، بل هو على ما كان عليه من الوجوب البدلي، وعلى هذا فلا يجري إلّااستصحاب بقاء الحجّية البدلية، ولا معارض 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الكلام مع ذلك غير تامّ؛ لما سيأتي نقله عن الإمام الخميني قدس سره من عدم جريان استصحاب شخص الحكم التخييري السابق ولا الجامع بينهما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جريان كلا الاستصحابين، فاستصحاب التخيير حاكم على استصحاب الحجّية الفعلية للفتوى المأخوذ بها، كما قال الشيخ الأعظم؛ لأنّ التخيير حكم شرعي دلّ عليه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كالإجماع أو السيرة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 جميع الآثار ولو كانت عقلية، ومن جملتها عدم الحجّية الفعلية لخصوص الفتوى المأخوذ بها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القائلين بعدم جواز العدول</w:t>
      </w:r>
    </w:p>
    <w:p>
      <w:pPr>
        <w:pStyle w:val="BookText"/>
        <w:rPr/>
      </w:pPr>
      <w:r>
        <w:rPr>
          <w:rFonts w:ascii="IRNazanin" w:hAnsi="IRNazanin" w:eastAsia="IRNazanin"/>
          <w:color w:val="111111"/>
          <w:sz w:val="28"/>
          <w:sz w:val="28"/>
          <w:szCs w:val="28"/>
          <w:rtl w:val="true"/>
          <w:lang w:bidi="fa-IR"/>
        </w:rPr>
        <w:t>قد استند القائل بالمنع من العدول إلى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المحكي عن غير واحد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لم تُعنون في كلمات القدماء من الأصحاب كما تقدّم، فكيف يستكشف اتّفاقهم؟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قد عرفت ذهاب جمع من الأعلام إلى جواز العدول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استناد المجمعين إلى أحد الوجوه الآتية، فلا يكون كاشفاً عن قول المعصوم عليه السلام على فرض تمامية صغراه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العدول يستلزم العلم بالمخالفة القطعية العملية في بعض الموارد، مثل ما إذا أفتى أحد المجتهدين بوجوب القصر على من سافر أربعة فراسخ ولم يُرد الرجوع ليومه، والآخر بوجوب التمام فيه، فقلّد المكلّف أحدهما فقصّر، ثمّ عدل إلى الآخر فأتمّ، فإنّه يستلزم العلم بتحقّق المخالفة وبطلان صلواته المقصورة أو غيرها إجمالًا في طيلة الوقائع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يتّفق ذلك في الصلاتين المترتّبتين، كما في الظهرين؛ لعلمنا ببطلان الثانية علماً تفصيلياً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لبطلان الصلاة الاولى فالثانية أيضاً باطلة، وإمّا لبطلان الثانية في نفسها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بموارد وجوب العدول، مثل مورد زوال الشرائط عن المجتهد الأوّل، أو كون الثاني أعلم، أو عدول المجتهد عن فتواه بعدما عمل المكلّف على طبقها؛ فإنّ العدول في هذه الموارد واجب،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بأنّ مقتضى القاعدة الأوّلية لزوم إعادة أعماله التي أتى بها على حسب الفتوى المتقدّمة؛ إذ يستكشف بالفتوى الثانية عدم كون الاولى مطابقة للواقع من الابتداء، إلّاأن يقال بإجزاء المأتيّ به بالأمر الظاهري عن الواقعي، فحينئذٍ لا تجب الإعادة حتّى وإن علم تفصيلًا بمخالفة المأتيّ به سابقاً للواقع، وحيث إنّ الحقّ عدم الإجزاء فلا مناص من الإعادة حتّى لا يحصل العلم بالمخالفة من غير 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الإعادة فيما إذا كان الخلل الواقع في الصلاة من غير الخمسة المستثناة في الحديث، كما أنّ مقتضى البراءة عدم وجوب القضاء فيما إذا شككنا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الدليل إنّما يقتضي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مع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يقم دليل على عدمه، ولا دلالة له على عدم جواز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إنّما يتعلّق بالمسألة الواحدة الكلّية؛ لأنّ لها حكماً واحداً شرعياً، والعدول يستلزم أحد الأمرين على سبيل منع الخلوّ، ولا يمكن المساعدة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المسألة الكلّية، كما إذا قلّد أحد المجتهدين اللذين أفتى أحدهما بوجوب القصر على من سافر أربعة فراسخ غير قاصد للرجوع في يومه، وأفتى الآخر بوجوب التمام فيه، فإذا قلّد المكلّف أحدهما فقصّر في صلاته، ثمّ عدل إلى الآخر وأتمّ فيها، فلا يخلو</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نلتزم بصحّة كلتا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المكلّف أتى في واقعةٍ من تلك المسألة برأي أحدهما، وفي الواقعة المستقبلة منها أتى برأي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التبعيض في المسألة الكلّية، ولا دليل على صحّة التقليد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نلتزم ببطلان صلاته الاولى؛ لأنّه قد عدل إلى المجتهد الآخر في كلّي المسألة،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بانتقاض آثار الأعمال السابقة الصادرة على طبق الفتوى السابقة، ومعه يجب على المكلّف إعادة الصلوات السابقة لعدم تطابقها مع الحجّة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الأعظم الأنصاري عن الإشكال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دليل على عدم صحّة تبعيض التقليد؛ فإنّ الجاهل كلّما شكّ في واقعة لم يجب عليه إلّاالرجوع إلى المجتهد في خصوص تلك الواقعة، فيتعيّن عليه الرجوع فيها إلى المجتهد، من دون اعتبار أنّه يقلّده في واقعة اخرى أو لا يقلّده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عدم صحّة التبعيض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نقض آثار الواقعة السابقة؛ إمّا لانعقاد الإجماع على عدم تأثير التقليد الثاني في المسألة الكلّية بالنسبة إلى بعض أفرادها، أو لأنّ التعبّد الشرعي يمنع عن النقض؛ كما في صورة رجوع المجتهد عن اجتهاده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مزيد توضيح لمسألتي التبعيض والإجزاء عند تعرّض الماتن قدس سره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وهو يمكن أن يجري في الحكم الوضعي؛ بأن تستصحب الحجّية الفعلية الثابتة لفتوى المجتهد الأوّل في حقّ المقلّد، كما يمكن إجراؤه بالنسبة إلى الحكم التكليفي الواقعي الذي استكشفه المقلّد من فتواه، أو بالنسبة إلى الحكم التكليفي الظاهري المجعول عقيب كلّ أمارة وطريق، فإذا جرى استصحاب الحكم التكليفي أو الوضعي لزم البقاء على تقليد المجتهد الأوّل، ولم يجز العدول إلى الآخر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بعض أعلام العصر عن الإشكال في استصحاب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w:t>
      </w:r>
    </w:p>
    <w:p>
      <w:pPr>
        <w:pStyle w:val="BookText"/>
        <w:rPr/>
      </w:pPr>
      <w:r>
        <w:rPr>
          <w:rFonts w:ascii="Amiri" w:hAnsi="Amiri" w:eastAsia="Amiri" w:cs="Amiri"/>
          <w:color w:val="111111"/>
          <w:sz w:val="28"/>
          <w:sz w:val="28"/>
          <w:szCs w:val="28"/>
          <w:rtl w:val="true"/>
          <w:lang w:bidi="ar-SA"/>
        </w:rPr>
        <w:t>ليس الثابت في المقام إلّاالحجّية الثابتة على نحو البدلية، واستصحابها ينتج جواز العدول</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الإمام الراحل قدس سره من اختلاف التخيير البدوي والاستمراري، فلا يجري استصحاب شخص الحكم لفقدان أركانه، ولا استصحاب الجامع لكونه أمراً انتزاعياً</w:t>
      </w:r>
      <w:r>
        <w:rPr>
          <w:rStyle w:val="FootnoteAnchor"/>
          <w:rtl w:val="true"/>
        </w:rPr>
        <w:footnoteReference w:id="200"/>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الحكم الواقعي المستكشف من فتوى المجتهد فممنوع؛ لعدم الملازمة بين الأحكام الواقعية وفتوى المجتهدين، ومع عدم إحراز المتيقّن السابق لا مجال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ثابتاً على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عدول المقلّد عن فتوى المجتهد الأوّل لا علم له بحجّية فتواه في حقّه؛ لأنّ اليقين بالحجّية إنّما هو ما دام باقياً على تقليده، ويعتبر في الاستصحاب أن يكون المكلّف حينما يشكّ في البقاء متيقّناً من المستصحب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العقلي، وهو الاشتغال؛ بناءً على أنّ تكليف المقلّد في الواقعة الثانية مردّد بين تعلّقه بالتقليد السابق، وبين تعلّقه بأحد الأمرين منه ومن تقليد المجتهد الثاني، ومن المعلوم وجوب الاحتياط عند دوران الأمر بين التعيين والتخيير والأخذ بالمعيّن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أحسن الوجوه إن لم يثبت دليل خاصّ على التخيير الاستمراري، أو لم يجر استصحاب التخيير</w:t>
      </w:r>
      <w:r>
        <w:rPr>
          <w:rFonts w:eastAsia="Amiri" w:cs="Amiri" w:ascii="Amiri" w:hAnsi="Amiri"/>
          <w:color w:val="111111"/>
          <w:sz w:val="28"/>
          <w:szCs w:val="28"/>
          <w:rtl w:val="true"/>
          <w:lang w:bidi="ar-SA"/>
        </w:rPr>
        <w:t>.</w:t>
      </w:r>
      <w:bookmarkStart w:id="115" w:name="pg1790_14698"/>
    </w:p>
    <w:p>
      <w:pPr>
        <w:pStyle w:val="Heading5"/>
        <w:numPr>
          <w:ilvl w:val="4"/>
          <w:numId w:val="1"/>
        </w:numPr>
        <w:rPr/>
      </w:pPr>
      <w:bookmarkStart w:id="116" w:name="__RefHeading___Toc2371610_3650668749"/>
      <w:bookmarkStart w:id="117" w:name="_Toc43"/>
      <w:bookmarkEnd w:id="115"/>
      <w:bookmarkEnd w:id="116"/>
      <w:r>
        <w:rPr>
          <w:rtl w:val="true"/>
        </w:rPr>
        <w:t>مختار الماتن قدس سره‌</w:t>
      </w:r>
      <w:bookmarkEnd w:id="117"/>
    </w:p>
    <w:p>
      <w:pPr>
        <w:pStyle w:val="BookText"/>
        <w:rPr/>
      </w:pPr>
      <w:r>
        <w:rPr>
          <w:rFonts w:ascii="Amiri" w:hAnsi="Amiri" w:eastAsia="Amiri" w:cs="Amiri"/>
          <w:color w:val="111111"/>
          <w:sz w:val="28"/>
          <w:sz w:val="28"/>
          <w:szCs w:val="28"/>
          <w:rtl w:val="true"/>
          <w:lang w:bidi="ar-SA"/>
        </w:rPr>
        <w:t>قد عرفت أدلّة القولين؛ أي‌جواز العدول من المساوي الحيّ إلى الحيّ وعدمه، وقد صرّح السيّد الإمام قدس سره بأ نّه ليس في المقام دليل لفظي يمكن إثبات التخيير به، بل صرّح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بالتخيير للشهرة والإجماع المنقولين، وهما معتبران في مثل تلك المسألة المخالفة للقواعد، والمتيقّن منهما هو التخيير الابتدائي؛ أي التخيير قبل الالتزام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لازم هذا الرأي هو الحكم بعدم جواز العدول في مفروض المسألة على الأحوط، كما أفتى به السيّد الإمام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كما عرفت، ولكنّه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تأليف تلك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جواز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 ما أشار إليه في طيّ دراسة آراء استاذه العلّامة الحائري حول مسألة العدول؛ من أنّ التخيير في المسألة الفرعية يختلف عن التخيير في المسألة الاصولية؛ لأنّ الإتيان بأحد شقّي الواجب التخييري موجب لسقوط التكليف جزماً، فالإتيان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بداعوية الأمر الأوّل، أو باحتمال داعويّته، أو بداعوية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الحجّية التخييرية في المسألة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نفسية لها، بل هي جعلت لتحصيل الواقع بحسب الإمكان بعد عدم الإلزام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حتّى بعد الأخذ بأحد شقّيها؛ فإنّه يبقى للعمل بالآخر بعد ذلك أيضاً مجال واسع، وإن</w:t>
      </w:r>
      <w:bookmarkStart w:id="118" w:name="pg1790_14699"/>
    </w:p>
    <w:p>
      <w:pPr>
        <w:pStyle w:val="BookText"/>
        <w:rPr/>
      </w:pPr>
      <w:bookmarkEnd w:id="118"/>
      <w:r>
        <w:rPr>
          <w:rFonts w:ascii="Amiri" w:hAnsi="Amiri" w:eastAsia="Amiri" w:cs="Amiri"/>
          <w:color w:val="111111"/>
          <w:sz w:val="28"/>
          <w:sz w:val="28"/>
          <w:szCs w:val="28"/>
          <w:rtl w:val="true"/>
          <w:lang w:bidi="ar-SA"/>
        </w:rPr>
        <w:t>لم يكن المكلّف ملزماً به تخفيفاً عليه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التخيير في المسألة استمرارياً وباقياً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الرأي ممّا نفى الماتن الإشكال الثبوتي عنه، وإن رأى أنّه ممّا لا يساعد عليه الدليل إثباتاً</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371612_3650668749"/>
      <w:bookmarkStart w:id="120" w:name="_Toc44"/>
      <w:bookmarkEnd w:id="119"/>
      <w:r>
        <w:rPr>
          <w:rtl w:val="true"/>
        </w:rPr>
        <w:t>حول العدول إلى الحيّ الأعلم‌</w:t>
      </w:r>
      <w:bookmarkEnd w:id="120"/>
    </w:p>
    <w:p>
      <w:pPr>
        <w:pStyle w:val="BookText"/>
        <w:rPr/>
      </w:pPr>
      <w:r>
        <w:rPr>
          <w:rFonts w:ascii="Amiri" w:hAnsi="Amiri" w:eastAsia="Amiri" w:cs="Amiri"/>
          <w:color w:val="111111"/>
          <w:sz w:val="28"/>
          <w:sz w:val="28"/>
          <w:szCs w:val="28"/>
          <w:rtl w:val="true"/>
          <w:lang w:bidi="ar-SA"/>
        </w:rPr>
        <w:t>هذه الصورة الثانية لمسألة العدول، وهي أن يكون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المقلّد العدول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الأوّل، فقد احتاط الماتن قدس سره وجوباً بالرجوع إلى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على المكلّف هو وجوب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اختاره من بدو التقليد، أو رجع إليه بعد تقليد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والشهرة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جاريتان في المتساويين، وإلّا ففي ذي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المقام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لجريان أدلّة التخيير كما هو واضح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 وجه عدم التعرّض لحكم الصورة الثالثة؛ وهي العدول من الأعلم إلى غيره؛ فإنّه غير جائز قطعاً؛ لأنّ حجّية فتوى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أدلّة وجوب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عن حجّية فتوى غيره، وهذا من الوضوح بمكان لا يحتاج إلى التنبيه</w:t>
      </w:r>
      <w:r>
        <w:rPr>
          <w:rFonts w:eastAsia="Amiri" w:cs="Amiri" w:ascii="Amiri" w:hAnsi="Amiri"/>
          <w:color w:val="111111"/>
          <w:sz w:val="28"/>
          <w:szCs w:val="28"/>
          <w:rtl w:val="true"/>
          <w:lang w:bidi="ar-SA"/>
        </w:rPr>
        <w:t>.</w:t>
      </w:r>
      <w:bookmarkStart w:id="121" w:name="pg1790_14700"/>
    </w:p>
    <w:p>
      <w:pPr>
        <w:pStyle w:val="Heading3"/>
        <w:numPr>
          <w:ilvl w:val="2"/>
          <w:numId w:val="1"/>
        </w:numPr>
        <w:rPr/>
      </w:pPr>
      <w:bookmarkStart w:id="122" w:name="__RefHeading___Toc2371614_3650668749"/>
      <w:bookmarkStart w:id="123" w:name="_Toc45"/>
      <w:bookmarkEnd w:id="121"/>
      <w:bookmarkEnd w:id="122"/>
      <w:r>
        <w:rPr>
          <w:rtl w:val="true"/>
        </w:rPr>
        <w:t>وجوب تقليد الأعلم‌</w:t>
      </w:r>
      <w:bookmarkEnd w:id="123"/>
    </w:p>
    <w:p>
      <w:pPr>
        <w:pStyle w:val="Heading4"/>
        <w:numPr>
          <w:ilvl w:val="3"/>
          <w:numId w:val="1"/>
        </w:numPr>
        <w:rPr/>
      </w:pPr>
      <w:bookmarkStart w:id="124" w:name="__RefHeading___Toc2371616_3650668749"/>
      <w:bookmarkStart w:id="125" w:name="_Toc46"/>
      <w:bookmarkEnd w:id="124"/>
      <w:r>
        <w:rPr>
          <w:rtl w:val="true"/>
        </w:rPr>
        <w:t>اشارة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تقليد الأعلم مع الإمكان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وجوب تقليد الأعلم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سابقة طويلة في كلماتهم، فقد نقل السيّد المرتضى رحمه الله اختلافهم فيها بين قائل بالتخيير، وقائل بوجوب استفتاء المقدّم في العلم والدين، وجعل القول الثاني أولى؛ لأنّ الثقة فيها أقرب وأوكد، والاصول كلّها بذلك شاهدة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العمل على طبق فتوى الأرجح في العلم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كلامه ما إذا اختلف فقيهان في بلد المستفتي</w:t>
      </w:r>
      <w:r>
        <w:rPr>
          <w:rStyle w:val="FootnoteAnchor"/>
          <w:rtl w:val="true"/>
        </w:rPr>
        <w:footnoteReference w:id="206"/>
      </w:r>
      <w:r>
        <w:rPr>
          <w:rFonts w:ascii="Amiri" w:hAnsi="Amiri" w:eastAsia="Amiri" w:cs="Amiri"/>
          <w:color w:val="111111"/>
          <w:sz w:val="28"/>
          <w:sz w:val="28"/>
          <w:szCs w:val="28"/>
          <w:rtl w:val="true"/>
          <w:lang w:bidi="ar-SA"/>
        </w:rPr>
        <w:t>، وهذا بخلاف السيّد رحمه الله؛ فإنّ كلامه مطلق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لم يفرض الاختلاف</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أيضاً القول بوجوب اتّباع الأعلم الأورع</w:t>
      </w:r>
    </w:p>
    <w:p>
      <w:pPr>
        <w:pStyle w:val="BookText"/>
        <w:rPr/>
      </w:pPr>
      <w:r>
        <w:rPr>
          <w:rFonts w:ascii="Amiri" w:hAnsi="Amiri" w:eastAsia="Amiri" w:cs="Amiri"/>
          <w:color w:val="111111"/>
          <w:sz w:val="28"/>
          <w:sz w:val="28"/>
          <w:szCs w:val="28"/>
          <w:rtl w:val="true"/>
          <w:lang w:bidi="ar-SA"/>
        </w:rPr>
        <w:t>إذا تعدّد المفتي؛ مستدلًاّ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مقبولة عمر بن حنظلة الآتية لاحقاً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وبزيادة الثقة بقول الأعلم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الأصحاب في المسألة، وجعل القول بتعيّن الأعلم أشهر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عدم شذوذ القول بالتخيير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الأدلّة للطرفين</w:t>
      </w:r>
      <w:r>
        <w:rPr>
          <w:rStyle w:val="FootnoteAnchor"/>
          <w:rtl w:val="true"/>
        </w:rPr>
        <w:footnoteReference w:id="209"/>
      </w:r>
      <w:r>
        <w:rPr>
          <w:rFonts w:ascii="Amiri" w:hAnsi="Amiri" w:eastAsia="Amiri" w:cs="Amiri"/>
          <w:color w:val="111111"/>
          <w:sz w:val="28"/>
          <w:sz w:val="28"/>
          <w:szCs w:val="28"/>
          <w:rtl w:val="true"/>
          <w:lang w:bidi="ar-SA"/>
        </w:rPr>
        <w:t>سننقلها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ذلك كلّه حكي عن الشيخ الأنصاري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بالتخيير حدث من زمن الشهيد الثاني رحمه الله، وقد نقل فيه عن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الشهيد الثاني رحمه الله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بتعيّن الأعلم، مستظهراً اتّفاقهم عليه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اختلاف العالم مع الأعلم</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المسألة في شقوقها وفروعها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سنذكرها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 السنّة فالمسألة كانت بينهم أيضاً محلّاً للخلاف، يظهر ذلك من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وقد فصّل بين العامّي الذي يرجع ابتداءً إلى جماعة من العلماء يعلم الأعلم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للسؤال عن مسألة لا يعلم اختلافهم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عليه حينئذٍ مراجعة الأعلم، وبين ما اختلف عليه مفتيان في حكم وكان أحدهما أفضل وأعلم في اعتقاده، فقال في الصورة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عندي أنّه يلزمه اتّباع الأفضل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بعض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آراء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في المسألة أيضاً،</w:t>
      </w:r>
    </w:p>
    <w:p>
      <w:pPr>
        <w:pStyle w:val="BookText"/>
        <w:rPr/>
      </w:pPr>
      <w:r>
        <w:rPr>
          <w:rFonts w:ascii="Amiri" w:hAnsi="Amiri" w:eastAsia="Amiri" w:cs="Amiri"/>
          <w:color w:val="111111"/>
          <w:sz w:val="28"/>
          <w:sz w:val="28"/>
          <w:szCs w:val="28"/>
          <w:rtl w:val="true"/>
          <w:lang w:bidi="ar-SA"/>
        </w:rPr>
        <w:t>وعبارتهم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تقليد المفضول مع وجود الأفضل في العلم</w:t>
      </w:r>
      <w:r>
        <w:rPr>
          <w:rStyle w:val="FootnoteAnchor"/>
          <w:rtl w:val="true"/>
        </w:rPr>
        <w:footnoteReference w:id="21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بيان أدلّة الطرفين في المسألة، يجب الالتفات إلى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إلى مسألة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جهة العامّي ومعرفته بما هو عامّي، واخرى من جهة المجتهد الناظر في الأدلّة التفصيلية الاجتهادية والفقاهتية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من الجهة الثانية، وأمّا الكلام من الجهة الاولى فيأتي في المسألة السابعة مع مزيد توضيح لهذا التفكيك بين الجهتين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شقوق المسألة ومحلّ الاختلاف فيها،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تعدّد المجتهدين والتفاضل بينهم في العلم، تارةً لا يعلم اختلافهم في المسائل لا تفصيلًا ولا إجمالًا، واخرى يعلم ذلك إمّا إجمالًا أو تفصيلًا في خصوص مسألة أو أكثر معيّناً، وثالثةً يعلم اتّفاقهم، وإذا علم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قول المفضول موافقاً للاحتياط، واخرى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هذه الصور تارةً 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العرفي المنافي للعسر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إلى الأعلم والوصول إلى فتاواه، واخرى لا يمكنه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يمكنه فلا كلام بينهم في حجّية قول المفضول، وإليه نظر قول الماتن قدس سره في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سننقلها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تأتي في صورة الإمكان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قوله موافقاً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جواز تقليده مع وجود الأعلم وإمكان الوصول إلى فتواه، ومثله إذا علم اتّفاقهما؛ وذلك لأنّ التقليد طريق عقلائي وحجّة شرعاً لغرض الوصول إلى الحكم الشرعي وامتثاله، ومع الاحتياط أو موافقة غير الأعلم للأعلم فهذا الغرض حاصل</w:t>
      </w:r>
    </w:p>
    <w:p>
      <w:pPr>
        <w:pStyle w:val="BookText"/>
        <w:rPr/>
      </w:pPr>
      <w:r>
        <w:rPr>
          <w:rFonts w:ascii="Amiri" w:hAnsi="Amiri" w:eastAsia="Amiri" w:cs="Amiri"/>
          <w:color w:val="111111"/>
          <w:sz w:val="28"/>
          <w:sz w:val="28"/>
          <w:szCs w:val="28"/>
          <w:rtl w:val="true"/>
          <w:lang w:bidi="ar-SA"/>
        </w:rPr>
        <w:t>وإن فرضنا وجوب تقليد الأعلم في الواقع</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من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الخلاف في وجوب تعيّن الأعلم ما إذا أمكن الوصول إلى رأي الأعلم أوّلًا، واحتمل أو علم اختلاف الأعلم مع غيره إجمالًا أو تفصيلًا ثانياً، ولم يكن قول غيره موافقاً للاحتياط</w:t>
      </w:r>
      <w:r>
        <w:rPr>
          <w:rStyle w:val="FootnoteAnchor"/>
          <w:rtl w:val="true"/>
        </w:rPr>
        <w:footnoteReference w:id="215"/>
      </w:r>
      <w:r>
        <w:rPr>
          <w:rFonts w:ascii="Amiri" w:hAnsi="Amiri" w:eastAsia="Amiri" w:cs="Amiri"/>
          <w:color w:val="111111"/>
          <w:sz w:val="28"/>
          <w:sz w:val="28"/>
          <w:szCs w:val="28"/>
          <w:rtl w:val="true"/>
          <w:lang w:bidi="ar-SA"/>
        </w:rPr>
        <w:t>ثالثاً؛ وإلّا فلاشكّ في عدم وجوب تعيّن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ظاهر كلام الماتن قدس سره في هذه المسألة وإن كان مطلقاً بالنسبة إلى الثاني والثالث من هذه القيود</w:t>
      </w:r>
      <w:r>
        <w:rPr>
          <w:rStyle w:val="FootnoteAnchor"/>
          <w:rtl w:val="true"/>
        </w:rPr>
        <w:footnoteReference w:id="216"/>
      </w:r>
      <w:r>
        <w:rPr>
          <w:rFonts w:ascii="Amiri" w:hAnsi="Amiri" w:eastAsia="Amiri" w:cs="Amiri"/>
          <w:color w:val="111111"/>
          <w:sz w:val="28"/>
          <w:sz w:val="28"/>
          <w:szCs w:val="28"/>
          <w:rtl w:val="true"/>
          <w:lang w:bidi="ar-SA"/>
        </w:rPr>
        <w:t xml:space="preserve">إلّاأنّهما مرادان له، وذلك يتّضح في النظر إلى كلماته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يرتبط منها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 في المسائل السابقة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علم عدم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مسائله المبتلى بها التي فيها يتنجّز عليه وجوب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يأخذ مثلًا رسالة غير الأعلم ويعمل بها؛ لأنّ مجرّد تطابق الفتاوى مع فتوى الأعلم يكفيه</w:t>
      </w:r>
      <w:r>
        <w:rPr>
          <w:rStyle w:val="FootnoteAnchor"/>
          <w:rtl w:val="true"/>
        </w:rPr>
        <w:footnoteReference w:id="217"/>
      </w:r>
      <w:r>
        <w:rPr>
          <w:rFonts w:ascii="Amiri" w:hAnsi="Amiri" w:eastAsia="Amiri" w:cs="Amiri"/>
          <w:color w:val="111111"/>
          <w:sz w:val="28"/>
          <w:sz w:val="28"/>
          <w:szCs w:val="28"/>
          <w:rtl w:val="true"/>
          <w:lang w:bidi="ar-SA"/>
        </w:rPr>
        <w:t>، والفرض أنّه يعلم اتّفاقه مع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قول غير الأعلم موافقاً للاحتياط، فجواز تقليده مستفاد ممّا أفتى به في المسألة الاولى من جواز العمل بالاحتياط مطلقاً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كلامه رحمه الله في هذه المسألة يقيّد بما قاله قبل هذه المسألة في</w:t>
      </w:r>
    </w:p>
    <w:p>
      <w:pPr>
        <w:pStyle w:val="BookText"/>
        <w:rPr/>
      </w:pPr>
      <w:r>
        <w:rPr>
          <w:rFonts w:ascii="Amiri" w:hAnsi="Amiri" w:eastAsia="Amiri" w:cs="Amiri"/>
          <w:color w:val="111111"/>
          <w:sz w:val="28"/>
          <w:sz w:val="28"/>
          <w:szCs w:val="28"/>
          <w:rtl w:val="true"/>
          <w:lang w:bidi="ar-SA"/>
        </w:rPr>
        <w:t>المسألة الاولى وبما بعدها في المسألة العاشرة، وحاصله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تقليد الأعلم مع الإمكان، إذا احتمل اختلافه مع غيره، ولم تكن فتوى غير الأعلم موافقة للاحتياط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في محلّ الخلاف قبل النظر إلى الأدلّة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الثانوية على حدّ تعبير بعضهم</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اتّفاقهم على أنّ الأصل في مورد الشكّ في وجوب تعيين الرجوع إلى الأعلم أو التخيير بينه وبين غيره هو الأوّل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قرّر الأصل للتعيين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التعيين؛ لوجه ذكره نقرّره هنا ونحصّله بشكل لا يبتلي بإشكال، ونبيّن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أصالة التخيير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أصالة التعيين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لها بأصالة التعيين والتخيير في البحث المعروف بدوران الأمر بين التعيين والتخيير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تقرير أصل الوجه لأصالة التعيين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يتشكّل 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هو حرمة العمل بغير العلم عقلًا ونقلًا وهذا نفترض ثبوته في محلّه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الأخذ بقول الغير ومتابعة رأيه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بغير العلم، سواء كان دليله بناء العقلاء، أو التعبّد الشرعي من إجماع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الأصل تقليد الأعلم إمّا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 كما هو قول جمع منهم، أو تخييراً كما هو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ضرورةً؛ لوضوح عدم كون الناس كلّهم مكلّفين بتحصيل العلم والاجتهاد، وبطلانِ وجوب العمل بالاحتياط أو التجزّي فيه</w:t>
      </w:r>
      <w:r>
        <w:rPr>
          <w:rStyle w:val="FootnoteAnchor"/>
          <w:rtl w:val="true"/>
        </w:rPr>
        <w:footnoteReference w:id="221"/>
      </w:r>
      <w:r>
        <w:rPr>
          <w:rFonts w:ascii="Amiri" w:hAnsi="Amiri" w:eastAsia="Amiri" w:cs="Amiri"/>
          <w:color w:val="111111"/>
          <w:sz w:val="28"/>
          <w:sz w:val="28"/>
          <w:szCs w:val="28"/>
          <w:rtl w:val="true"/>
          <w:lang w:bidi="ar-SA"/>
        </w:rPr>
        <w:t>فيجوز الاكتفاء بتقليده لخروجه عن حرمة العمل بغير العلم، وأمّا الرجوع إلى غير الأعلم فهو باقٍ تحت أصل حرمة العمل بغير العلم، ولابدّ لإثبات خروجه عنه من التماس دليل</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الأصل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أصالة عدم حجّية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تعيين تقليد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ولتعقيب هذا الوجه وتحقيقه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دليلين على خروج تقليد الأعلم عن عموم حرمة العمل بغير العلم، كلاهما مشتركان في إثبات كون تقليد الأعلم قدراً متيقّناً للخروج عن 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الإجماع هنا وجود اتّفاق لهم على قول في المسألة من التعيين أو التخيير،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الإجماع كذلك فهو دليل مستقلّ في المسألة، ولا ينبغي التمسّك به في مقام بيان الأصل الأوّلي قبل النظر إلى الأدلّة الاجتهادية، مع أنّه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الإجماع كذلك في المقام منه رحمه الله ومن غيره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المراد من الإجماع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التسالم الحاصل من الجمع بين الأقوال الموجودة في المسألة، كما اشير إليه فيما بين الهلالين في صدر المقدّمة الثالثة، وهو المناسب</w:t>
      </w:r>
    </w:p>
    <w:p>
      <w:pPr>
        <w:pStyle w:val="BookText"/>
        <w:rPr/>
      </w:pPr>
      <w:r>
        <w:rPr>
          <w:rFonts w:ascii="Amiri" w:hAnsi="Amiri" w:eastAsia="Amiri" w:cs="Amiri"/>
          <w:color w:val="111111"/>
          <w:sz w:val="28"/>
          <w:sz w:val="28"/>
          <w:szCs w:val="28"/>
          <w:rtl w:val="true"/>
          <w:lang w:bidi="ar-SA"/>
        </w:rPr>
        <w:t>للقدر المتيقّن الذي رام الدليل إثباته في جواز تقليد الأعلم، فالقدر المتيقّن من أقوالهم في المسألة هو جواز تقليد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لوضوح عدم كون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الثاني لإثبات المقدّمة الثالثة غير تامّ، ولكنّه لا يضرّ بعد تمامية الدليل الأوّل، ولتوضيح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تمامية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 مشروعية تقليد الأعلم متسالم عليها عندهم، إلّاأنّ الاختلاف في تعيينه أو التخيير بينه وبين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عدم تمامية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عند التحليل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دفع ما ربّما يقال على ظاهره بتكميله وتعميقه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ذكره الماتن قدس سره بعنوان دليل الانسداد وردّه</w:t>
      </w:r>
      <w:r>
        <w:rPr>
          <w:rStyle w:val="FootnoteAnchor"/>
          <w:rtl w:val="true"/>
        </w:rPr>
        <w:footnoteReference w:id="223"/>
      </w:r>
      <w:r>
        <w:rPr>
          <w:rFonts w:ascii="IRNazanin" w:hAnsi="IRNazanin" w:eastAsia="IRNazanin"/>
          <w:color w:val="111111"/>
          <w:sz w:val="28"/>
          <w:sz w:val="28"/>
          <w:szCs w:val="28"/>
          <w:rtl w:val="true"/>
          <w:lang w:bidi="fa-IR"/>
        </w:rPr>
        <w:t>، فراجع وتأمّل</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تتمّة الكلام عند نقد أدلّة تعيّن الرجوع إلى الأعلم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الاعتماد على التسالم لإثبات المقدّمة الثالثة نحصّل نكتة اخرى؛ وهي عمومية النتيجة الحاصلة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قول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لمقام التنجيز كما هي ثابتة لمقام التعذير بلا إشكال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الأعاظم قد فصّل بين مقام التنجيز من الحجّية ومقام التعذير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إذا دار أمرها بين التعيين والتخيير، فإن كان المراد منها تنجيز ما لم ينجّز على المكلّف لولا الحجّة الواصلة فالأصل هو التخيير، وإن كان المراد منها التعذير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الواقع منجّزاً على المكلّف مع قطع النظر عن</w:t>
      </w:r>
    </w:p>
    <w:p>
      <w:pPr>
        <w:pStyle w:val="BookText"/>
        <w:rPr/>
      </w:pPr>
      <w:r>
        <w:rPr>
          <w:rFonts w:ascii="Amiri" w:hAnsi="Amiri" w:eastAsia="Amiri" w:cs="Amiri"/>
          <w:color w:val="111111"/>
          <w:sz w:val="28"/>
          <w:sz w:val="28"/>
          <w:szCs w:val="28"/>
          <w:rtl w:val="true"/>
          <w:lang w:bidi="ar-SA"/>
        </w:rPr>
        <w:t>قيام الحجّة عنده بالعلم الإجمالي الكبير أو غيره 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هو التعيين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صحّتها أو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على ما يقتضيه العقل الحاكم في مقام امتثال أوامر المولى؛ فإن لم تحرز له التكليف وكان يتوقّع من الحجّة تنجيز التكاليف غير المعلومة قبل وصول الحجّة، فقاعدة قبح العقاب بلا بيان تؤمّنه بالنسبة إلى الكلفة الزائدة عمّا في التخيير بين العالم والأعلم، ومعنى هذا التأمين عدم وجوب الرجوع إلى الأعلم معيّناً، وهذا بخلاف ما إذا كان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والمتوقّع من الحجّة المفروضة هو التعذير بالنسبة إليه فقط، فإنّ العقل يحكم بلزوم سعي المكلّف إلى أن يحرز أنّه معذور في أعماله، وهذا يقتضي تعيين الرجوع إلى الأعلم،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أدخلنا التسالم في حساب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الماتن قدس سره في المقدّمة الثالثة من هذا الوجه بقوله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مقام التعذير والتنجيز كما لا يخفى؛ فإنّ التسالم على القدر المتيقّن من أقوالهم قد حصل على حجّية قول الأعلم في كلا المقامين، فإنّهم لم يفصّلوا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تسالمهم على جواز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مقام التعذير والتنجيز، مع أنّ المبتلى به للمقلّد في رجوعه إلى المجتهد لا ينحصر في مقام التعذير فقط، بل يرجع إلى المجتهد في مقام تنجيز تكاليف لا يعلم بها؛ حتّى في أطراف علمه الإجمالي بتكاليف في الشريعة المقدّسة، فليتأمّل فإنّه جدير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أصالة التعيين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ثبتت بهذا الوجه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الاحتياط عند فقد الدليل على طرفي النزاع، والتمسّك بالتسالم في طيّ الاستدلال لا يخرجه عمّا يقتضيه العقل الحاكم في مقام الامتثال؛ فإنّ العقل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التقليد عن الأعلم حجّة له قطعاً، بخلاف التقليد عن العالم؛ فإنّه يشكّ في حجّيته من دون النظر إلى الأدلّة الثانوية أو الاجتهادية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وجه الاحتياط في كلام الماتن قدس سره في المسألة؛ فإنّ الظاهر منه أنّه لم يتمّ عنده شي‌ء من أدلّة الطرفين في محلّ النزاع، وبعد عدم تماميتها تصل النوبة إلى الأصل الأوّلي الذي لوحظ فيه التسالم في المقام، وهو الاحتياط بوجوب الرجوع إلى الأعلم في صورة معلومية الاختلاف بين الأعلم وغيره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المقام مقام الشكّ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مقام الشكّ في التكليف، أو الاشتراط الزائد في المكلّف به؛ حيث إنّ وجوب الرجوع إلى الأعلم تعييناً، أو اشتراط الأفضلية في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أصل التكليف بالرجوع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والأصل الحاكم في هذا المقام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الاحتياط</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بفساد هذا القول؛ فإنّ الشاكّ في المقام لا يكون شاكّاً في تكليف، أو قل 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موضع الكلام من جهة شكّه في تكليف،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طريقية الحجج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صدد إحراز طريق متّصف بالحجّية إلى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المقدّمات الكلامية الاعتقادية تهديه وتلزمه بالحركة بهذا الصدد، وهذا غير مقام المكلّف الشاكّ في التكاليف الشرعية، فالعقل يحكم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بأصالة التخيير في مفروض الكلام؛ تمسّكاً بالاستصحاب بضميمة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فرضنا مجتهدين متساويين في زمان فالعقل يحكم بالتخيير بينهما قطعاً، ويُستكشف من هذا الحكم العقلي حكم شرعي يقيني بالتخيير بناءً على قاعدة الملازمة بين حكم العقل والشرع، فإذا صار أحدهما أعلم فلنا أن نستصحب الحكم الشرعي اليقيني الثابت في الزمان الأوّل إلى الزمان الثاني، ونثبت التخيير بين الأعلم وغيره في هذا الفرض، ثمّ بضميمة عدم القول بالفصل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الفرض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المطلوب؛ وهو جواز التخيير بين الأعلم وغيره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لو تمّ هذا الاستدلال على أصالة التخيير في المقام، كان وارداً على الوجه الذي نقلناه لأصالة التعيين؛ لأنّه إذا أجاز الشارع تقليد غير الأعلم في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بمدد أدلّة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لحكم العقل بلزوم الرجوع إلى الأعلم تعييناً كما لا يخفى، فعلى صاحب هذا الوجه أن يجيب عن هذا الاستدلال حتّى يتمّ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 السيّد الإمام قدس سره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وقد أمر بالتأمّل فيه</w:t>
      </w:r>
      <w:r>
        <w:rPr>
          <w:rStyle w:val="FootnoteAnchor"/>
          <w:rtl w:val="true"/>
        </w:rPr>
        <w:footnoteReference w:id="229"/>
      </w:r>
      <w:r>
        <w:rPr>
          <w:rFonts w:ascii="Amiri" w:hAnsi="Amiri" w:eastAsia="Amiri" w:cs="Amiri"/>
          <w:color w:val="111111"/>
          <w:sz w:val="28"/>
          <w:sz w:val="28"/>
          <w:szCs w:val="28"/>
          <w:rtl w:val="true"/>
          <w:lang w:bidi="ar-SA"/>
        </w:rPr>
        <w:t>لا نطيل بذكره وما يمكن أن يقال فيه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 حلي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في الزمان الأوّل لا يكون إلّابمناط تساوي المجتهدين، والحكم الشرعي المستكشف منه أيضاً</w:t>
      </w:r>
    </w:p>
    <w:p>
      <w:pPr>
        <w:pStyle w:val="BookText"/>
        <w:rPr/>
      </w:pPr>
      <w:r>
        <w:rPr>
          <w:rFonts w:ascii="Amiri" w:hAnsi="Amiri" w:eastAsia="Amiri" w:cs="Amiri"/>
          <w:color w:val="111111"/>
          <w:sz w:val="28"/>
          <w:sz w:val="28"/>
          <w:szCs w:val="28"/>
          <w:rtl w:val="true"/>
          <w:lang w:bidi="ar-SA"/>
        </w:rPr>
        <w:t>متعلّق بالموضوع لأجل هذا المناط، وإذا زال المناط في الزمان الثاني لا يعقل بقاء الحكم العقلي والشرعي المستكشف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الحكم الشرعي بمدد حكم العقل في الزمان الأوّل، فبقاؤه في الزمان الثاني لا يحتاج إلى بقاء حكم العقل أيضاً؛ لأنّ البقاء يكون بمدد أدلّة الاستصحاب، فالحدوث اليقيني في الزمان الأوّل بمدد حكم العقل، والبقاء التنزيلي في الزمان الثاني بمدد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جريان الاستصحاب يحتاج إلى احتمال البقاء، وهو موجود؛ لأنّه يحتمل في الواقع بقاء الحكم بالتخيير في الزمان الثاني شرعاً بمناط آخر غير مناط التساوي الذي توصّل إليه العقل في الزمان الأوّل وحكم عليه، والعقل لا يحكم بانحصار مناط التخيير في التساوي؛ وإلّا لم يشكّ أحد في تعيين الرجوع إلى الأعلم في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شخص الحكم الشرعي المستكشف من الحكم العقلي في الزمان الأوّل قد زال بزوال حكم العقل في الزمان الثاني، وأمّا احتمال وجود التخيير في الزمان الثاني فلا يكون إلّاباحتمال مناط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موجوداً في الزمان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شخصاً آخر من التخيير غير الشخص الأوّل، فلا يكون لهذا الشخص يقين في الزمان الأوّل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لا يتوهّم في المقام إلّااستصحاب الكلّي،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أن يكون الكلّي أو الجامع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شرعياً، أو موضوعاً ذا حكم، أو له تأثير شرعي، وفيما نحن فيه ليس كذلك؛ لأنّ الجامع بين التخيير في حالة التساوي والتخيير في حالة التفاضل، من المخترعات العقلية غير</w:t>
      </w:r>
    </w:p>
    <w:p>
      <w:pPr>
        <w:pStyle w:val="BookText"/>
        <w:rPr/>
      </w:pPr>
      <w:r>
        <w:rPr>
          <w:rFonts w:ascii="Amiri" w:hAnsi="Amiri" w:eastAsia="Amiri" w:cs="Amiri"/>
          <w:color w:val="111111"/>
          <w:sz w:val="28"/>
          <w:sz w:val="28"/>
          <w:szCs w:val="28"/>
          <w:rtl w:val="true"/>
          <w:lang w:bidi="ar-SA"/>
        </w:rPr>
        <w:t>المجعولة؛ لتعلّق الجعل بكلّ من التخييرين، لا الجامع بينهما القابل للصدق عليهما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مع إمكان جواب ثالث عن هذا الاستدلال على أصالة التخيير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حالة التساوي وحالة التفاضل بين المجتهدين حالتان، لا يبعد أن يراهما العرف موضوعين متفاوتين، وهذا كافٍ للمنع عن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قبل النظر إلى أدلّة الطرفين هو الاحتياط بوجوب الرجوع إلى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بيان محلّ الخلاف في المقدّمة الاولى، وله صور كما اشير إليه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اختلاف الأعلم مع غيره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اختلافهما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يعلم اختلافهما بل يحتمل ذلك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صوّر الماتن قدس سره هذه الصور مع زيادة صورة العلم بعدم الاختلاف</w:t>
      </w:r>
      <w:r>
        <w:rPr>
          <w:rStyle w:val="FootnoteAnchor"/>
          <w:rtl w:val="true"/>
        </w:rPr>
        <w:footnoteReference w:id="231"/>
      </w:r>
      <w:r>
        <w:rPr>
          <w:rFonts w:ascii="Amiri" w:hAnsi="Amiri" w:eastAsia="Amiri" w:cs="Amiri"/>
          <w:color w:val="111111"/>
          <w:sz w:val="28"/>
          <w:sz w:val="28"/>
          <w:szCs w:val="28"/>
          <w:rtl w:val="true"/>
          <w:lang w:bidi="ar-SA"/>
        </w:rPr>
        <w:t>، إلّاأنّه لم يذكر شيئاً حول هذه الصورة في طيّ كلامه، والظاهر أنّه لأجل وضوح حكمها بالنظر إلى ما تقدّم في المقدّمة الاولى</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فنحن نتعرّض لأدلّة الطرفين في كلّ صورة مع رعاية الاختصار، و قبل عرضها نشير إلى أنّ غالب الأدلّة ذكرت للصورتين الاوليين بعنوان صورة</w:t>
      </w:r>
      <w:bookmarkStart w:id="126" w:name="pg1790_14712"/>
    </w:p>
    <w:p>
      <w:pPr>
        <w:pStyle w:val="BookText"/>
        <w:rPr/>
      </w:pPr>
      <w:bookmarkEnd w:id="126"/>
      <w:r>
        <w:rPr>
          <w:rFonts w:ascii="Amiri" w:hAnsi="Amiri" w:eastAsia="Amiri" w:cs="Amiri"/>
          <w:color w:val="111111"/>
          <w:sz w:val="28"/>
          <w:sz w:val="28"/>
          <w:szCs w:val="28"/>
          <w:rtl w:val="true"/>
          <w:lang w:bidi="ar-SA"/>
        </w:rPr>
        <w:t xml:space="preserve">واحدة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علم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بما أنّ في تطبيق الأدلّة عليهما نحو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فنذكرها في الصورة الاولى ثمّ نطبّقها على الصورة الثانية، بل نطبّقها على الصورة الثالثة أيضاً، فنقول</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371618_3650668749"/>
      <w:bookmarkStart w:id="128" w:name="_Toc47"/>
      <w:bookmarkEnd w:id="127"/>
      <w:r>
        <w:rPr>
          <w:rtl w:val="true"/>
        </w:rPr>
        <w:t>الصورة الاولى</w:t>
      </w:r>
      <w:r>
        <w:rPr>
          <w:rtl w:val="true"/>
        </w:rPr>
        <w:t xml:space="preserve">: </w:t>
      </w:r>
      <w:r>
        <w:rPr>
          <w:rtl w:val="true"/>
        </w:rPr>
        <w:t>أدلّة وجوب الرجوع إلى الأعلم‌</w:t>
      </w:r>
      <w:bookmarkEnd w:id="1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حكي عن المحقّق الثاني</w:t>
      </w:r>
      <w:r>
        <w:rPr>
          <w:rStyle w:val="FootnoteAnchor"/>
          <w:rtl w:val="true"/>
        </w:rPr>
        <w:footnoteReference w:id="233"/>
      </w:r>
      <w:r>
        <w:rPr>
          <w:rFonts w:ascii="Amiri" w:hAnsi="Amiri" w:eastAsia="Amiri" w:cs="Amiri"/>
          <w:color w:val="111111"/>
          <w:sz w:val="28"/>
          <w:sz w:val="28"/>
          <w:szCs w:val="28"/>
          <w:rtl w:val="true"/>
          <w:lang w:bidi="ar-SA"/>
        </w:rPr>
        <w:t>، وقد عرفت في صدر المسألة اختلاف كلماتهم، مع كفاية احتمال مدركيّته في عدم جواز الاستدلال به؛ فإنّ المدارك والأدلّة كثيرة في المقام كما سيأتي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وقد قرّر في مورد الكلام بمثال مريض نطمئنّ بأنّ عدم مراجعة الطبيب لعلاجه يجعله مشرفاً على الموت، وفي الأطبّاء من هو أعلم من غيره، فلا خفاء في بنائهم على مراجعته لزوماً؛ بحيث لو لم يراجعه ومات المريض بسبب مرضه لم يكن معذوراً عندهم، وإن راجع غير الأعلم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الشكّ في استقراره واستمراره في زمن المعصوم عليه السلام أيضاً؛ لأنّ حاجة الرجوع إلى العالم وأهل الخبرة كانت موجودة في تلك الأزمنة أيضاً؛ كما أنّ هذا البناء لوجده لا يكفي، بل لابدّ من ضمّ مقدّمة اخرى إليه نحتاج إليها لإثبات حجّيته؛ وهي عدم ثبوت ردع من الشارع المقدّس بالنسبة إليه؛ كي يستكشف بذلك رضاه به وإمضاءه 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وناقش السيّد الإمام قدس سره في هذا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كونه على نحو اللزوم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الكلام أوّلًا في إثبات أنّ مناط العمل بقول العالم ورجوع الجاهل إليه هو إلغاء احتمال الخلاف والخطأ في رأي العالم عند العقلاء</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المناط ليس أمراً نسبياً يتفاوت بالنسبة إلى فرض الأعلم مع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اختلف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لعدم تعقّل تحقّق المناط في العالم مع عدم الأعلم وعدم تحقّقه مع وجود الأعلم، فلو فرض تقديم العقلاء لقول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اختلافه مع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من باب ترجيح إحدى الحجّتين على الاخرى، لا من باب عدم المناط في قول العالم، فهو ترجيح غير لزومي من باب 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أقربية قول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بمثابة يرى العقلاء ترجيحه عليه لزومياً؛ ولهذا تراهم يتركون الرجوع إلى الأعلم بمجرّد أعذار غير وجيهة، كبُعد الطريق وكثرة المراجعين ومشقّة الرجوع إليه ولو كانت قليلة؛ ممّا يعلم أنّه لو كان ترجيحاً لزومياً لما كانت تلك الأعذار وجيهة عندهم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تردّد في بناء العقلاء على العمل بقول العالم في صورة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الإجمالي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 مع الأعلم</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احتمال وجود مناط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مناط إلغاء احتمال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الأعلم يرجّحه لزوماً على قول العالم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نقاشاً آخر في هذا البناء يرجع إلى النقاش في تطبيق أصل التقليد في دائرة الشرع على بناء العقلاء في رجوع الجاهل إلى العالم؛ جرياً على ما أثبته من مناط لذلك الرجوع، وهو إلغاء 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الاختلافات الكثيرة المشاهدة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فقيه واحد في كتبه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عن إلغاء احتمال الخطأ والخلاف</w:t>
      </w:r>
      <w:r>
        <w:rPr>
          <w:rStyle w:val="FootnoteAnchor"/>
          <w:rtl w:val="true"/>
        </w:rPr>
        <w:footnoteReference w:id="240"/>
      </w:r>
      <w:r>
        <w:rPr>
          <w:rFonts w:ascii="Amiri" w:hAnsi="Amiri" w:eastAsia="Amiri" w:cs="Amiri"/>
          <w:color w:val="111111"/>
          <w:sz w:val="28"/>
          <w:sz w:val="28"/>
          <w:szCs w:val="28"/>
          <w:rtl w:val="true"/>
          <w:lang w:bidi="ar-SA"/>
        </w:rPr>
        <w:t>، وقد تقدّم الكلام في ذلك في مشروعية أصل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أيضاً بعض أهل النظر في تحقّق بناء العقلاء في المقام، وذلك من خلال التنبيه إلى مثالين، ثمّ استنتاج أنّ الملاك في عمل العقلاء هو اتّباع الوثوق أو الاطمئنان الحاصل من تجميع القرائن وخصوصيات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أفتى الطبيب الأفضل بلزوم علاجٍ للمريض لو تُرك يشرف على الموت، والفاضل أفتى بأنّ هذا العلاج فيه خطر عظيم على نفس المريض، فلم يعمل العقلاء على رأي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رأى المقوّم الأفضل قيمة للدار، ورأى الفاضل قيمة أكثر بتفاوت عظيم، فلم يعملوا بقول الأفضل فيها أيضاً، فالملاك في المثالين هو اتّباع الوثوق أو الاطمئنان العقلائي كما في سائر الموارد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القطع أو الاطمئنان بالبناء العقلائي كما قرّر في الدليل في غير محلّه، وهو السرّ في تردّد الماتن قدس سره في هذا الدليل الذي هو العمدة في المقام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وهي كثيرة،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يتراءى من الظهور البدوي لها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الإرجاع إلى الأعلم، ولكنّ التأمّل يوضّح أنّها واردة إمّا في مورد</w:t>
      </w:r>
    </w:p>
    <w:p>
      <w:pPr>
        <w:pStyle w:val="BookText"/>
        <w:rPr/>
      </w:pPr>
      <w:r>
        <w:rPr>
          <w:rFonts w:ascii="Amiri" w:hAnsi="Amiri" w:eastAsia="Amiri" w:cs="Amiri"/>
          <w:color w:val="111111"/>
          <w:sz w:val="28"/>
          <w:sz w:val="28"/>
          <w:szCs w:val="28"/>
          <w:rtl w:val="true"/>
          <w:lang w:bidi="ar-SA"/>
        </w:rPr>
        <w:t>القضاء وفصل الخصومة، أو الولاية والرئاسة بين الناس كلًاّ أو في بلد خاصّ مثلًا، فراجع وتأمّل</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وعمدتها مقبولة عمر بن حنظلة، وقد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صراحتها في شرطية الأعلمية فيمن يرجع إليه المقلّد،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هي مستند القائل بذلك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أنّه ناقش في طريقها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فيها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من أصحابنا بينهما منازعة في دين أو ميراث، فتحاكما إلى السلطان وإلى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على الظاهر أوّلًا، والنهي الشديد عن التحاكم إليهم ثانياً، والإرجاع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ممّن قد روى حديثنا ونظر في حلالنا وحرامنا وعرف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وفرض اختيار كلّ رجل من المتنازعين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أصحابنا، فرضيا أن يكونا الناظرين في حقّهما، واختلفا فيما حكما، و كلاهما اختلفا في 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والمحكي عن المحقّق الرشتي في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دلّت على تقديم قول الأفقه والأصدق في الحديث على قول غيرهما عند الاختلاف في حكم اللَّه تعالى</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بعمر بن حنظلة؛ لعدم دليل على وثاقته</w:t>
      </w:r>
      <w:r>
        <w:rPr>
          <w:rStyle w:val="FootnoteAnchor"/>
          <w:rtl w:val="true"/>
        </w:rPr>
        <w:footnoteReference w:id="246"/>
      </w:r>
      <w:r>
        <w:rPr>
          <w:rFonts w:ascii="Amiri" w:hAnsi="Amiri" w:eastAsia="Amiri" w:cs="Amiri"/>
          <w:color w:val="111111"/>
          <w:sz w:val="28"/>
          <w:sz w:val="28"/>
          <w:szCs w:val="28"/>
          <w:rtl w:val="true"/>
          <w:lang w:bidi="ar-SA"/>
        </w:rPr>
        <w:t>، خلافاً للماتن رحمه الله في الرواية والراوي؛ لأنّ الرواية من المقبولات عند الأصحاب، ولوثاقة عمر بن حنظلة أو حسنه على الأقلّ، وعلى ذلك قرائن كثيرة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المقبولة أنّ الأوصاف الأربعة مجتمعةً توجب التقديم؛ بمقتضى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وفرض الراوي صورة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الفقرة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عن كون المراد وجود أحدها</w:t>
      </w:r>
      <w:r>
        <w:rPr>
          <w:rStyle w:val="FootnoteAnchor"/>
          <w:rtl w:val="true"/>
        </w:rPr>
        <w:footnoteReference w:id="248"/>
      </w:r>
      <w:r>
        <w:rPr>
          <w:rFonts w:ascii="Amiri" w:hAnsi="Amiri" w:eastAsia="Amiri" w:cs="Amiri"/>
          <w:color w:val="111111"/>
          <w:sz w:val="28"/>
          <w:sz w:val="28"/>
          <w:szCs w:val="28"/>
          <w:rtl w:val="true"/>
          <w:lang w:bidi="ar-SA"/>
        </w:rPr>
        <w:t>، وهو لا ينطبق على المدّعى من كون المزيد مجرّد الأفقهية والأعلمية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أجنبية عن المقام؛ لأنّها في مورد النزاع والخصومة التي لا مناص من فصلها، ولا معنى للتخيير فيها، بخلاف المقام من أخذ الفتوى</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فرضت حكمية في المقبولة، فنفوذ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 ملازم لنفوذ فتواه كذلك في تلك المسألة، فنتعدّى إلى غيرها بإلغاء الخصوصية أو القطع بالملاك، سيّما مع تناسب الأفقهية والأصدقية في الحديث لذلك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التلازم هاهنا؛ لأنّ الملازمة إنّما تكون في صورة إثبات النفوذ لا سلبه؛ لأنّ سلب المركّب أو ما بحكمه بسلب أحد أجزائه، فسلب نفوذ حكم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تعيينية نفوذ حكم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لسلب حجّية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المقدّمات أو الأجزاء اللازمة لمشروعية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لسلب</w:t>
      </w:r>
    </w:p>
    <w:p>
      <w:pPr>
        <w:pStyle w:val="BookText"/>
        <w:rPr/>
      </w:pPr>
      <w:r>
        <w:rPr>
          <w:rFonts w:ascii="Amiri" w:hAnsi="Amiri" w:eastAsia="Amiri" w:cs="Amiri"/>
          <w:color w:val="111111"/>
          <w:sz w:val="28"/>
          <w:sz w:val="28"/>
          <w:szCs w:val="28"/>
          <w:rtl w:val="true"/>
          <w:lang w:bidi="ar-SA"/>
        </w:rPr>
        <w:t>صلاحية حكمه للفصل لانتفاء مقدّمات أو أجزاء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احتمال عقلائي يردّ ادّعاء إلغاء الخصوصية أو القطع بملاك واحد في مقام التنازع ومقام الاستفتاء، فلعلّ الشارع لاحظ جانب الاحتياط في حقوق الناس في المقام الأوّل فجعل حكم الأعلم فاصلًا تعييناً، لأقربيّته إلى الواقع ولو في نظر غالبي إلى الموارد، ولم يلاحظه في مقام الاستفتاء توسعةً على الناس، فدعوى إلغاء الخصوصية أو القطع بملاك واحد في المقامين أيضاً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تناسب الأفقهية والأصدقية فلم يصل إلى حدّ كشف العلّية التامّة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قيل بعدم القول بالفصل بين المقامين، فكلّ من قال بتقديم حكم الأعلم في مقام التنازع قال بتقديم فتواه أيضاً</w:t>
      </w:r>
      <w:r>
        <w:rPr>
          <w:rStyle w:val="FootnoteAnchor"/>
          <w:rtl w:val="true"/>
        </w:rPr>
        <w:footnoteReference w:id="252"/>
      </w:r>
      <w:r>
        <w:rPr>
          <w:rFonts w:ascii="IRNazanin" w:hAnsi="IRNazanin" w:eastAsia="IRNazanin"/>
          <w:color w:val="111111"/>
          <w:sz w:val="28"/>
          <w:sz w:val="28"/>
          <w:szCs w:val="28"/>
          <w:rtl w:val="true"/>
          <w:lang w:bidi="fa-IR"/>
        </w:rPr>
        <w:t>، ولم نتحقّقه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أقربية قول الأعلم إلى الواقع، بتقاريب لعلّ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فتوى المجتهد للمقلّد من باب الطريقية إلى الواقع، لا الموضوعية والسببية كما قرّر في محلّه، وقول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بتناسب أعلميته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الواقع من قول العالم، والأقربية في الطرق هي المتعيّنة في مقام الإسقاط والإعذار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مردود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فتوى غير الأعلم قد تكون أقرب إلى الواقع من غيره؛ بالنظر إلى مجموع القرائن الداخلية والخارجية، كما أنّه قد يكون قوله موافقاً للأعلم من الأموات، أو عدّة من كبار العلماء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الأنصاري رحمهما الله مثلًا، أو موافقاً للمشهور أو المجمع عليه بين الأحياء</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الأعلمية متناسبة بنفسها مع الأقربية، كما ربّما يتراءى من التقريب المذكور، ومن دفاع بعض المحقّقين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الأقربية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من النظر إلى نفس فتوى الصادر من المجتهد وخصوصياته من دون تطبيق على فتوى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والخارجية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الأقربية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في كلمات بعضهم بالأقربية الطبعية والاقتضائية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ملاكاً للتقليد ولا لوجوبه، بل الملاك هو الأقربية الفعلية الواقعة، على فرض تسليم كونها ملاكاً كبروياً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ردّ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القرب إلى الواقع وإن كان ملاكاً بمقتضى الطريقية بلا شبهة، إلّاأنّا لا نعلم أنّه تمام الملاك في تبعية المقلّد للمجتهد في جميع فروض المسألة، فلعلّ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التضييق على المكلّفين في إيجاب تقليد الأعلم تعييناً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جزء الملاك في مفروض الكلام، وهذا احتمالٌ معه لا يستقيم محاسبة المسألة بالنظر إلى ملاك القرب إلى الواقع فقط،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الأقربية دليل على التعيين؛ فإ نّ ملاك التوسعة يقتضي التخيير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القرب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حالة كونه جزءاً للملاك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في إيجاب تقليد الأعلم تعييناً؛ لأنّ المفروض أنّ العالم والأعلم سيّان في سائر الجهات من الملاك</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 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احتملناه وبه أبطلنا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w:t>
      </w:r>
    </w:p>
    <w:p>
      <w:pPr>
        <w:pStyle w:val="BookText"/>
        <w:rPr/>
      </w:pPr>
      <w:r>
        <w:rPr>
          <w:rFonts w:ascii="Amiri" w:hAnsi="Amiri" w:eastAsia="Amiri" w:cs="Amiri"/>
          <w:color w:val="111111"/>
          <w:sz w:val="28"/>
          <w:sz w:val="28"/>
          <w:szCs w:val="28"/>
          <w:rtl w:val="true"/>
          <w:lang w:bidi="ar-SA"/>
        </w:rPr>
        <w:t>على التعيين وينفيه، فلا معنى لفرض وجوده مع فرض وجوب التعيين، فهذا خلف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الأعلم إلى العالم،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الأعلم من كان أحسن استنباطاً من غيره؛ لكونه أقوى وأدقّ نظراً في تحصيل الحكم من مداركه الشرعية والعقلية، وأمتن استنباطاً لها عن مبادئ تحصيله، وأكثر معرفةً بكيفية تطبيقها على المصاديق، لأ نّه أوسع اطّلاعاً وإحاطةً بالجهات الموجبة للاستنباط، والتي هي مغفولة لدى غيره لقصور نظره، وإن كان نظره القاصر حجّة عليه وعلى مقلّده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ففتوى الأعلم أوفق بمقتضيات الحجج الشرعية والعقلية؛ لبلوغ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يبلغ إليه نظر غيره، فيكون بالإضافة إلى غيره كالعالم بالإضافة إلى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الرجوع إليه في مقام إبراء الذمّة عقلًا؛ لأنّ العقل يذعن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فرض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رأيه أوفق بمقتضيات الحجج، وأنّ التسوية بينه وبين غيره تؤول إلى التسوية بين العالم والجاهل</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الأعلم أقوى نظراً في تحصيل الحكم من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اخرى عن أقربية رأيه إلى الواقع</w:t>
      </w:r>
      <w:r>
        <w:rPr>
          <w:rStyle w:val="FootnoteAnchor"/>
          <w:rtl w:val="true"/>
        </w:rPr>
        <w:footnoteReference w:id="260"/>
      </w:r>
      <w:r>
        <w:rPr>
          <w:rFonts w:ascii="Amiri" w:hAnsi="Amiri" w:eastAsia="Amiri" w:cs="Amiri"/>
          <w:color w:val="111111"/>
          <w:sz w:val="28"/>
          <w:sz w:val="28"/>
          <w:szCs w:val="28"/>
          <w:rtl w:val="true"/>
          <w:lang w:bidi="ar-SA"/>
        </w:rPr>
        <w:t>، وقد تقدّم أنّها لا تدلّ على وجوب تقليده تعييناً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إذعان العقل بما ذكره مستلزم لامتناع تجويز العمل على طبق رأي غير الأعلم؛ لقبح التسوية بين العالم والجاهل بل امتناعها، وهو كما ترى، ولا أظنّ التزام أحد به</w:t>
      </w:r>
      <w:r>
        <w:rPr>
          <w:rStyle w:val="FootnoteAnchor"/>
          <w:rtl w:val="true"/>
        </w:rPr>
        <w:footnoteReference w:id="261"/>
      </w:r>
      <w:r>
        <w:rPr>
          <w:rFonts w:ascii="Amiri" w:hAnsi="Amiri" w:eastAsia="Amiri" w:cs="Amiri"/>
          <w:color w:val="111111"/>
          <w:sz w:val="28"/>
          <w:sz w:val="28"/>
          <w:szCs w:val="28"/>
          <w:rtl w:val="true"/>
          <w:lang w:bidi="ar-SA"/>
        </w:rPr>
        <w:t>، بل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ذكره قدس سره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رجوع العالم</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الأعلم، وعدم حجّية نظره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الأدلّة ودليل الانسداد،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حجّية قول المجتهد للمقلّد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شمولها للعالم كشمولها للأعلم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تتعارض في مفروض الكلام من مخالفة قول العالم للأعلم، وبعد المعارضة والسقوط عن الحجّية تصل النوبة إلى دليل الانسداد، ودليل الانسداد لا يمكن أن يستنتج منه جواز تقليد غير الأعلم؛ فإنّ النتيجة ليست كلّية، بل إنّما يستنتج منه حجّية فتوى عالم ما؛ فإنّ العقل بعد المقدّمات قد استقلّ أنّ الشارع نصب طريقاً للعامّي لا محالة، وليس ذلك هو الاحتياط لأنّه غير ميسور في حقّه، ولا أنّه الظنّ لأنّه لا ظنّ للمقلد أو لا أثر له، فيتعيّن أن يكون الطريق فتوى عالم ما، والقدر المتيقّن فتوى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العقلائية فهي غير جارية على الرجوع إلى غير الأعلم مع وجود الأعلم، بل قد جرت على الرجوع إلى الأعلم عند العلم بالمخالفة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السيرة فقد تقدّم الكلام فيها، وأمّا دليل الانسداد فلا يقتضي الرجوع إلى الأعلم تعييناً، وقد ذكره الإمام قدس سره في مقام تأسيس الأصل في المسألة، وردّه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الإجمالي منحلّ بما في فتاوى الأحياء من العلماء، وليس للعامّي زائداً على فتاويهم علم، فيكون تكليفه الاحتياط في فتاويهم؛ أي‌العمل بأحوط الأقوال، ولزوم العسر والحرج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فللعامّي أن يتعلّم أحوط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مسألة مبتلى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العالِمين بفتاوى العلماء الدارجة في كلّ عصر ومصر، ثمّ يعمل به، وبعد ذلك لا يبقى عنده علم</w:t>
      </w:r>
    </w:p>
    <w:p>
      <w:pPr>
        <w:pStyle w:val="BookText"/>
        <w:rPr/>
      </w:pPr>
      <w:r>
        <w:rPr>
          <w:rFonts w:ascii="Amiri" w:hAnsi="Amiri" w:eastAsia="Amiri" w:cs="Amiri"/>
          <w:color w:val="111111"/>
          <w:sz w:val="28"/>
          <w:sz w:val="28"/>
          <w:szCs w:val="28"/>
          <w:rtl w:val="true"/>
          <w:lang w:bidi="ar-SA"/>
        </w:rPr>
        <w:t>إجمالي بتكاليف في الشريعة، فلا يمكن التمسّك بدليل الانسداد لإثبات وجوب الرجوع إلى الأعلم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التعارض في كلام المستدلّ، فقد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حجّية قول الفقيه في الأدلّة إنّما اخذت بنحو البدلية؛ ضرورة أنّه لا يعقل أن يجعل قول كلّ فقيه حجّة بنحو الطبيعة السارية والوجوب التعييني؛ حتّى يكون المكلّف في كلّ واقعة مأموراً بأخذ قول جميع الفقهاء وترتيب الأثر عليه، بل من الواضح أنّه إذا أخذ بقول واحد منهم فقد 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مانع من دعوى إطلاق دليل الحجّية وشموله لحال التعارض، وهذا بخلاف الخبرين المتعارضين؛ حيث لا يعقل شمول الإطلاقات لهما، لأنّ كلّ فرد من أفراد طبيعة الخبر مشمول لدليل الحجّية تعييناً، ويجب على المجتهد الأخذ به وتصديق مخبره وترتيب الأثر عليه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الفكرة تجدها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وقد نقل ذلك السيّد الماتن قدس سره أيضاً وارتضاه ظاهراً، وجعله بياناً لإمكان الإطلاق في المقام بخلاف مقام الخبرين المتعارضين، غير أنّه قدس سره أنكر وجود دليل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دلالةً وسنداً في الأدلّة التعبّدية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لحالة التعارض</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الكلام إن شاء اللَّه في مستند المسألة الثامنة من مسائل المتن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دليل يركن إليه لإثبات وجوب الرجوع إلى الأعلم تعييناً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التخيير بين الأعلم وغيره</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من الآيات والروايات التي استدلّ بها على جواز التقليد ومشروعيّته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والمناقشة في دلالتها على أصل تشريع التقليد كحكم تعبّدي تأسيسي، فكيف يمكن التمسّك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الإرجاع، وهي روايات دلّت على إرجاع الأئمّة عليهم السلام لجماعة من الشيعة إلى أمثال زرارة، ويونس بن عبدالرحمان، ومحمّد بن مسلم، وأبي بصير، وزكريّا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قرّر دلالتها على حجّية قول غير الأعلم مع الأعلم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الإرجاع إلى غيرهم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أنفسهم عليهم السلام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تعيّن تقليد الأعلم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ظهورها في أنّ الرجوع إليهم كان متعارفاً، ومع وجود الأفقه كانوا يراجعون غيره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إرجاعهم عليهم السلام إلى متعدّدين، مع ثبوت الاختلاف بينهم من حيث الفضيلة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بين أصحابهم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أرجعوا الناس إلى السؤال</w:t>
      </w:r>
    </w:p>
    <w:p>
      <w:pPr>
        <w:pStyle w:val="BookText"/>
        <w:rPr/>
      </w:pPr>
      <w:r>
        <w:rPr>
          <w:rFonts w:ascii="Amiri" w:hAnsi="Amiri" w:eastAsia="Amiri" w:cs="Amiri"/>
          <w:color w:val="111111"/>
          <w:sz w:val="28"/>
          <w:sz w:val="28"/>
          <w:szCs w:val="28"/>
          <w:rtl w:val="true"/>
          <w:lang w:bidi="ar-SA"/>
        </w:rPr>
        <w:t>منهم في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المخالفة في الفتوى؛ لندرة التوافق بين جمع كثير</w:t>
      </w:r>
      <w:r>
        <w:rPr>
          <w:rStyle w:val="FootnoteAnchor"/>
          <w:rtl w:val="true"/>
        </w:rPr>
        <w:footnoteReference w:id="271"/>
      </w:r>
      <w:r>
        <w:rPr>
          <w:rFonts w:ascii="Amiri" w:hAnsi="Amiri" w:eastAsia="Amiri" w:cs="Amiri"/>
          <w:color w:val="111111"/>
          <w:sz w:val="28"/>
          <w:sz w:val="28"/>
          <w:szCs w:val="28"/>
          <w:rtl w:val="true"/>
          <w:lang w:bidi="ar-SA"/>
        </w:rPr>
        <w:t>، وكيف كان لو اعتبرت الأعلمية لم يُرجعوا عليهم السلام الناس إليهم من دون تقييد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استدلال سيّدنا الإمام قدس سره بأخبار كثيرة على إثبات تعارف الاجتهاد من الأصحاب في زمن الأئمّة عليهم السلام، وأنّ الإرجاع إليهم لا يكون لصرف نقل الروايات</w:t>
      </w:r>
      <w:r>
        <w:rPr>
          <w:rStyle w:val="FootnoteAnchor"/>
          <w:rtl w:val="true"/>
        </w:rPr>
        <w:footnoteReference w:id="27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مع ذلك كلّه لا يمكن الاعتماد على شي‌ء من هذه الوجوه لإثبات جواز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الاعتماد على الوجه الأوّل فواضح بالنسبة إلى مفروض كلامنا، وهو ما إذا علم مخالفة الأعلم مع غيره تفصيلًا، فلا يحتمل إرجاع الأئمّة عليهم السلام للناس إلى غيرهم عليهم السلام في صورة علمهم بمخالفة الغير لهم عليهم السلام في مسألة أو مسائل تفصيلًا، بل الإرجاع لا يكون إلّامن جهة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إلى علوم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والثالث فيردّهما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انعقاد الإطلاق لهذه الروايات لصورة العلم بمخالفة الأعلم مع غيره مشكل؛ لعدم العلم بذلك في تلك الأعصار، خصوصاً من مثل اولئك الفقهاء والمحدّثين الذين كانوا من بطانة الأئمّة عليهم السلام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تكون المدارك في ذلك الزمان معلومة غالباً؛ لعدم ثبوت الواسطة بينهم وبين أئمّتهم عليهم السلام، فالاختلاف لا يكاد يتحقّق إلّانادراً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النقاش فيما نقلناه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غلبة الاختلاف بين أصحابهم عليهم السلام الذين أرجعوا الناس إلى السؤال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يرجعون إلى المجتهد الواجد للشرائط فيما يبتلون به من المسائل، ولا يفحصون عن شرط الأعلمية فلو كان تقليد الأعلم واجباً عندهم لزم عليهم الفحص عن وجوده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اريد بذلك صورة عدم العلم بالمخالفة فلا يبعد دعوى قيام السيرة فيها على عدم الفحص عن فتوى الأعلم، وأمّا لو اريد بذلك صورة العلم بالمخالفة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لدعوى السيرة فيها بوجهٍ، بل السيرة في هذه الصورة جارية على الرجوع إلى الأعلم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لو سلّم وجود أصل السيرة، وعدم كونها ناشئة عمّا بأيدينا من الأدلّة التي لنا الاجتهاد في فهم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في تشخيص الأعلم مفهوماً أو مصداقاً أوّلًا، وفي تعلّم فتاواه خصوصاً لمن يسكن في البلاد النائية عن بلد الأعلم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الحرج لو فرض بمقدار يعتذر معه شرعاً، فهو خلاف مفروض الكلام من إمكان وصول المكلّف إلى فتوى الأعلم، وقد تقدّم الكلام في صدر هذه المسألة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اعتبرت الأعلمية فحالها كحال سائر الشرائط لمرجع التقليد، من حيث الطرق التي يمكن بها تشخيصها مفهوماً ومصداقاً، ولزوم الرجوع إلى مستجمعها</w:t>
      </w:r>
      <w:r>
        <w:rPr>
          <w:rFonts w:eastAsia="Amiri" w:cs="Amiri" w:ascii="Amiri" w:hAnsi="Amiri"/>
          <w:color w:val="111111"/>
          <w:sz w:val="28"/>
          <w:szCs w:val="28"/>
          <w:rtl w:val="true"/>
          <w:lang w:bidi="ar-SA"/>
        </w:rPr>
        <w:t>.</w:t>
      </w:r>
      <w:bookmarkStart w:id="129" w:name="pg1790_14725"/>
    </w:p>
    <w:p>
      <w:pPr>
        <w:pStyle w:val="BookText"/>
        <w:rPr/>
      </w:pPr>
      <w:bookmarkEnd w:id="129"/>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الفتاوى في زماننا هذا ليس معسوراً؛ لتيسّر أخذ الرسالة والتعلّم منها، مع أنّ تكثير نسخها ونشرها 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أدلّة الطرفين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بالمخالفة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فتصل النوبة إلى الأصل الأوّلي في المقام والذي قرّرناه نقلًا عن الماتن قدس سره؛ وهو الاحتياط بتعيّن الرجوع إلى الأعلم كما في المتن</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371620_3650668749"/>
      <w:bookmarkStart w:id="131" w:name="_Toc48"/>
      <w:bookmarkEnd w:id="130"/>
      <w:r>
        <w:rPr>
          <w:rtl w:val="true"/>
        </w:rPr>
        <w:t>الصورة الثانية</w:t>
      </w:r>
      <w:r>
        <w:rPr>
          <w:rtl w:val="true"/>
        </w:rPr>
        <w:t xml:space="preserve">: </w:t>
      </w:r>
      <w:r>
        <w:rPr>
          <w:rtl w:val="true"/>
        </w:rPr>
        <w:t>العلم بالمخالفة إجمالًا</w:t>
      </w:r>
      <w:bookmarkEnd w:id="131"/>
    </w:p>
    <w:p>
      <w:pPr>
        <w:pStyle w:val="BookText"/>
        <w:rPr/>
      </w:pPr>
      <w:r>
        <w:rPr>
          <w:rFonts w:ascii="Amiri" w:hAnsi="Amiri" w:eastAsia="Amiri" w:cs="Amiri"/>
          <w:color w:val="111111"/>
          <w:sz w:val="28"/>
          <w:sz w:val="28"/>
          <w:szCs w:val="28"/>
          <w:rtl w:val="true"/>
          <w:lang w:bidi="ar-SA"/>
        </w:rPr>
        <w:t>و هذا العلم تارةً يكون منجّزاً كما لو كانت أطرافه شبهة محصورة داخلة في محلّ ابتلاء المكلّف، واخرى لا يكون كذلك كما لو كانت الشبهة غير محصورة، ولا يخفى أنّ الأدلّة لطرفي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الصور والأقسام المتصوّرة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 عمّا ذكر في الصورة الاولى، والفرق يمكن في كيفية انطباق تلك الأدلّة، فنقول</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371622_3650668749"/>
      <w:bookmarkStart w:id="133" w:name="_Toc49"/>
      <w:bookmarkEnd w:id="132"/>
      <w:r>
        <w:rPr>
          <w:rtl w:val="true"/>
        </w:rPr>
        <w:t>أمّا أدلّة وجوب الرجوع إلى الأعلم‌</w:t>
      </w:r>
      <w:bookmarkEnd w:id="133"/>
    </w:p>
    <w:p>
      <w:pPr>
        <w:pStyle w:val="Heading5"/>
        <w:numPr>
          <w:ilvl w:val="4"/>
          <w:numId w:val="1"/>
        </w:numPr>
        <w:rPr/>
      </w:pPr>
      <w:bookmarkStart w:id="134" w:name="__RefHeading___Toc2371624_3650668749"/>
      <w:bookmarkStart w:id="135" w:name="_Toc50"/>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فالإجماع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منه ما إذا علم الاختلاف تفصيلًا، ولا إطلاق له يشمل صورة العلم الإجمالي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هو العلم الإجمالي بالاختلاف دون التفصيلي، فحمل كلماتهم على صورة العلم بالاختلاف تفصيلًا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عدم إحرازه في الصورة الاولى، فكيف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القسم الثاني منها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ما تقدّم في أصل دلالتها،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الأقلّ ظاهر عمدتها وهي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 التفصيلي بالمخالفة كما لا يخفى، فإسراء حكمها إلى</w:t>
      </w:r>
      <w:bookmarkStart w:id="136" w:name="pg1790_14726"/>
    </w:p>
    <w:p>
      <w:pPr>
        <w:pStyle w:val="BookText"/>
        <w:rPr/>
      </w:pPr>
      <w:bookmarkEnd w:id="136"/>
      <w:r>
        <w:rPr>
          <w:rFonts w:ascii="Amiri" w:hAnsi="Amiri" w:eastAsia="Amiri" w:cs="Amiri"/>
          <w:color w:val="111111"/>
          <w:sz w:val="28"/>
          <w:sz w:val="28"/>
          <w:szCs w:val="28"/>
          <w:rtl w:val="true"/>
          <w:lang w:bidi="ar-SA"/>
        </w:rPr>
        <w:t>صورة العلم الإجمالي بالاختلاف يحتاج إلى دليل مفقود، مع إمكان الفرق بين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الأقربية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يفرّق بين الصورة الاولى والثانية من جهة الاستدلال به، وردّه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الدليل الرابع استدلالًا 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استدلالًا وردّاً في 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تصوير 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يجري أيضاً في هذه الصورة بالنسبة إلى القسم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تنجّز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القسم الثاني منها؛ فإنّ التعارض في المدّعى لا يحرز إلّافي صورة العلم الإجمالي المنجّز، وأمّا إذا علم الاختلاف ولكن في دائرة غير محصورة، أو كان بعض أطرافها خارجاً عن ابتلائه، فلم يحرز التعارض في دائرة محصورة مبتلى بها، كي ينجّز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يحرز في الصورة الثانية أيضاً دليل على وجوب الرجوع إلى الأعلم تعييناً</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2371626_3650668749"/>
      <w:bookmarkStart w:id="138" w:name="_Toc51"/>
      <w:bookmarkEnd w:id="137"/>
      <w:r>
        <w:rPr>
          <w:rtl w:val="true"/>
        </w:rPr>
        <w:t>وأمّا أدلّة التخيير</w:t>
      </w:r>
      <w:bookmarkEnd w:id="138"/>
    </w:p>
    <w:p>
      <w:pPr>
        <w:pStyle w:val="BookText"/>
        <w:rPr/>
      </w:pPr>
      <w:r>
        <w:rPr>
          <w:rFonts w:ascii="Amiri" w:hAnsi="Amiri" w:eastAsia="Amiri" w:cs="Amiri"/>
          <w:color w:val="111111"/>
          <w:sz w:val="28"/>
          <w:sz w:val="28"/>
          <w:szCs w:val="28"/>
          <w:rtl w:val="true"/>
          <w:lang w:bidi="ar-SA"/>
        </w:rPr>
        <w:t>فالأوّل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عبارة عن ادّعاء إطلاق الآيات والروايات التي استدلّ بها على جواز التقليد ومشروعيّته</w:t>
      </w:r>
      <w:r>
        <w:rPr>
          <w:rStyle w:val="FootnoteAnchor"/>
          <w:rtl w:val="true"/>
        </w:rPr>
        <w:footnoteReference w:id="277"/>
      </w:r>
      <w:r>
        <w:rPr>
          <w:rFonts w:ascii="Amiri" w:hAnsi="Amiri" w:eastAsia="Amiri" w:cs="Amiri"/>
          <w:color w:val="111111"/>
          <w:sz w:val="28"/>
          <w:sz w:val="28"/>
          <w:szCs w:val="28"/>
          <w:rtl w:val="true"/>
          <w:lang w:bidi="ar-SA"/>
        </w:rPr>
        <w:t>، وشمول هذا الادّعاء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القسم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منه للصورة الاولى، غير أنّ الكلام في أصل دلالة هذه الآيات والروايات على جواز التقليد كما تقدّم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روايات الإرجاع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فيها بين صورة العلم الإجمالي</w:t>
      </w:r>
      <w:bookmarkStart w:id="139" w:name="pg1790_14727"/>
    </w:p>
    <w:p>
      <w:pPr>
        <w:pStyle w:val="BookText"/>
        <w:rPr/>
      </w:pPr>
      <w:bookmarkEnd w:id="139"/>
      <w:r>
        <w:rPr>
          <w:rFonts w:ascii="Amiri" w:hAnsi="Amiri" w:eastAsia="Amiri" w:cs="Amiri"/>
          <w:color w:val="111111"/>
          <w:sz w:val="28"/>
          <w:sz w:val="28"/>
          <w:szCs w:val="28"/>
          <w:rtl w:val="true"/>
          <w:lang w:bidi="ar-SA"/>
        </w:rPr>
        <w:t>المنجّز بالاختلاف وصورة العلم التفصيلي به من حيث الاستدلال بهذه الروايات بوجوهه المتقدّمة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صورة العلم الإجمالي غير المنجّز فلا يبعد إلحاقها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هذا الدليل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الثالثة الآتية؛ أعني صورة عدم العلم بالاختلاف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سيرة المتشرّعة، فقد فرّق فيها بعض الأعاظم بين صورة العلم التفصيلي وصورة العلم الإجمالي بالاختلاف، فالكلام في الصورة الاولى نفس ما تقدّم ممّا قيل من جريان السيرة على الرجوع إلى الأعلم،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بكلتا صورتيها أعني وجود علم إجمالي منجّز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فيها بقيام السيرة على التخيير</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تقدّم الكلام في وجود هذه السيرة واعتبارها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لزوم العسر والحرج، فلا فرق في الكلام فيه بين الصورة الاولى وهذه الصورة استدلالًا وردّاً،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الأوّل من هذه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علم الاختلاف إجمالًا بعلم إجمالي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بالصورة الاولى، ولا يتمّ فيه شي‌ء من أدلّة الطرفين، وتصل النوبة فيه أيضاً إلى التمسّك بالأصل الأوّلي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صورة العلم الإجمالي غير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ملحق بالصورة الثالثة الآتية فيما يلي</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2371628_3650668749"/>
      <w:bookmarkStart w:id="141" w:name="_Toc52"/>
      <w:bookmarkEnd w:id="140"/>
      <w:r>
        <w:rPr>
          <w:rtl w:val="true"/>
        </w:rPr>
        <w:t>الصورة الثالثة</w:t>
      </w:r>
      <w:r>
        <w:rPr>
          <w:rtl w:val="true"/>
        </w:rPr>
        <w:t xml:space="preserve">: </w:t>
      </w:r>
      <w:r>
        <w:rPr>
          <w:rtl w:val="true"/>
        </w:rPr>
        <w:t>ما إذا كان لا يعلم اختلاف الأعلم مع غيره‌</w:t>
      </w:r>
      <w:bookmarkEnd w:id="14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أدلّة تعيّن الرجوع إلى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النقاش في جميعها في الصورة الاولى، فكيف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لم يتمّ الاستدلال بها فيما إذا علم</w:t>
      </w:r>
    </w:p>
    <w:p>
      <w:pPr>
        <w:pStyle w:val="BookText"/>
        <w:rPr/>
      </w:pPr>
      <w:r>
        <w:rPr>
          <w:rFonts w:ascii="Amiri" w:hAnsi="Amiri" w:eastAsia="Amiri" w:cs="Amiri"/>
          <w:color w:val="111111"/>
          <w:sz w:val="28"/>
          <w:sz w:val="28"/>
          <w:szCs w:val="28"/>
          <w:rtl w:val="true"/>
          <w:lang w:bidi="ar-SA"/>
        </w:rPr>
        <w:t>اختلاف الأعلم مع غيره لم يتمّ فيما لا يعلم بطريق أولى</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أدلّة جواز الرجوع إلى غير الأعلم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تمامية دلالة السيرة العقلائية عليه، بعد قبول أصل تطبيقها على ما نحن فيه، وعدم كونها من باب الاطمئنان أو الوثوق بالقرائن الكلّية والجزئية في كلّ مورد بحسبه، كما أنّ دلالة روايات الإرجاع المتقدّمة</w:t>
      </w:r>
      <w:r>
        <w:rPr>
          <w:rStyle w:val="FootnoteAnchor"/>
          <w:rtl w:val="true"/>
        </w:rPr>
        <w:footnoteReference w:id="280"/>
      </w:r>
      <w:r>
        <w:rPr>
          <w:rFonts w:ascii="Amiri" w:hAnsi="Amiri" w:eastAsia="Amiri" w:cs="Amiri"/>
          <w:color w:val="111111"/>
          <w:sz w:val="28"/>
          <w:sz w:val="28"/>
          <w:szCs w:val="28"/>
          <w:rtl w:val="true"/>
          <w:lang w:bidi="ar-SA"/>
        </w:rPr>
        <w:t>تامّة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تمامية هذين الدليلين في هذه الصورة من الماتن قدس سره في طيّ كلامه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فيما إذا علم اختلافهما تفصيلًا، بل أو إجمالًا أيضاً بنحو ما مرّ، وأمّا مع احتماله فلا يبعد القول بجواز الأخذ من غيره أيضاً؛ لإمكان استفادة ذلك من الأخبار، بل لا تبعد دعوى السيرة عليه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من الأخبار هو أخبار الإرجاع المتقدّمة؛ لأنّه قدس سره قال بالنسبة إلى تلك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إرجاع مثل ابن أبي يعفور إنّما هو في سماع الحديث ثمّ استنباطه منه حسب اجتهاده، ولا إشكال في استفادة جواز الرجوع إلى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الفقيه مع 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الروايات، لكن استفادة ذلك مع العلم الإجمالي أو التفصيلي بمخالفة آرائهما مشكلة</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صورة الاحتمال داخلة في الاستدلال، هذا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اوضح دلالة هذين الدليلين على المطلوب في كلام بعض الأعاظم أيضاً، فراجع</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وضوح دلالتهما على المطلوب فلا نطيل الكلام بما قد</w:t>
      </w:r>
      <w:bookmarkStart w:id="142" w:name="pg1790_14729"/>
    </w:p>
    <w:p>
      <w:pPr>
        <w:pStyle w:val="BookText"/>
        <w:rPr/>
      </w:pPr>
      <w:bookmarkEnd w:id="142"/>
      <w:r>
        <w:rPr>
          <w:rFonts w:ascii="Amiri" w:hAnsi="Amiri" w:eastAsia="Amiri" w:cs="Amiri"/>
          <w:color w:val="111111"/>
          <w:sz w:val="28"/>
          <w:sz w:val="28"/>
          <w:szCs w:val="28"/>
          <w:rtl w:val="true"/>
          <w:lang w:bidi="ar-SA"/>
        </w:rPr>
        <w:t xml:space="preserve">ويجب الفحص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فيهما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القسم الثاني من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علم إجمالًا بالاختلاف بعلم غير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بهذه الصورة؛ فإنّ العلم الإجمالي إذا لم يكن منجّزاً يلحق في الحكم بالاحتمال وعدم العلم، وفي المقام أيضاً يدخل هذا القسم في روايات الإرجاع والسيرة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الثالثة والقسم الثاني من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جواز الرجوع إلى غير الأعلم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الرجوع إلى الأعلم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شموله لهذين الصورتين كشموله لصورة العلم بالاختلاف بعلم تفصيلي أو علم إجمالي منجّز، وهذا مخالف لما اختاره في كتابه الاستدلالي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المسألة الثانية عشرة صرّح بأنّ الاحتياط في تعيّن الرجوع إلى الأعلم يكون في المسائل التي يعلم تفصيلًا مخالفة الأعلم مع غيره فيها، والكلام في تلك المسألة وإن كان في العدول إلّاأنّه لا فرق بالنسبة إلى ما هو المراد في المقام</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371630_3650668749"/>
      <w:bookmarkStart w:id="144" w:name="_Toc53"/>
      <w:bookmarkEnd w:id="143"/>
      <w:r>
        <w:rPr>
          <w:rtl w:val="true"/>
        </w:rPr>
        <w:t>وجوب الفحص عن الأعلم‌</w:t>
      </w:r>
      <w:bookmarkEnd w:id="14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بوجوب تقليد الأعلم تعييناً، فالأعلمية تكون من شرائط المجتهد الذي يجب تقليده، ووجوب الفحص على المقلّد عن المجتهد الجامع للشرائط</w:t>
      </w:r>
      <w:bookmarkStart w:id="145" w:name="pg1790_14730"/>
    </w:p>
    <w:p>
      <w:pPr>
        <w:pStyle w:val="BookText"/>
        <w:rPr/>
      </w:pPr>
      <w:bookmarkEnd w:id="145"/>
      <w:r>
        <w:rPr>
          <w:rFonts w:ascii="Amiri" w:hAnsi="Amiri" w:eastAsia="Amiri" w:cs="Amiri"/>
          <w:color w:val="111111"/>
          <w:sz w:val="28"/>
          <w:sz w:val="28"/>
          <w:szCs w:val="28"/>
          <w:rtl w:val="true"/>
          <w:lang w:bidi="ar-SA"/>
        </w:rPr>
        <w:t xml:space="preserve">وإذا تساوى المجتهدان في العلم أو لم يعلم الأعلم منهما، تخيّر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إن شاء اللَّه تعالى في المسائل الآتية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وجوب إرشادي عقلي تعلّق بالتحقيق والبحث عن الحجّة على الأحكام الشرعية الفرعية، وقد تقدّم الكلام فيه في مستند المقدّمة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عرفت أنّ شرطية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باختلاف الأعلم مع غيره في الفتوى تفصيلًا أو إجمالًا بعلم إجمالي منجّز، دون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اجتهادي عليها، والمعوّل عليه هو الاحتياط المطابق للأصل الأوّلي، وإذا كان أصل وجوب تقليد الأعلم احتياطياً فوجوب الفحص عنه أيضاً ينبغي أن يكون احتياطياً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الوجوب بما أنّه عقلي إرشادي، والاحتياط المتقدّم في الأصل الأوّلي أيضاً حكم عقلي، فلا محلّ لتقييد هذا الوجوب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وجه عدم تقييد الماتن قدس سره لوجوب الفحص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ذهابه إلى أصل وجوب تقليد الأعلم على الأحوط</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371632_3650668749"/>
      <w:bookmarkStart w:id="147" w:name="_Toc54"/>
      <w:bookmarkEnd w:id="146"/>
      <w:r>
        <w:rPr>
          <w:rtl w:val="true"/>
        </w:rPr>
        <w:t>التخيير بين المتساويين‌</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المتساويين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الثامنة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يعلم الأعلم في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يحتمل تساويهما واخرى لا يحتمل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الثاني فمعناه انحصار الأعلم فيهما، وهو موضوع الكلام في 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الأوّل فهو ملحق بصورة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ألحقه الماتن قدس سره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لجريان أدلّة تلك الصورة فيه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الإلحاق هو الزائد عمّا في المسألة الثامنة من مسائل المتن، ولعلّ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التوطئة لمسألة الأورعية أو الأعدلية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لذكر مسألة التساوي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الأورعية أو الأعدلية كما يمكن فرضهما عند التساوي في العلم، يمكن فرضهما مع التفاضل في العلم أيضاً، ولكنّ الماتن قدس سره فرضهما في الصورة الاولى فقط،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تساوى المجتهدان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فرض الأورعية أو الأعدلية، وهو الصحيح؛ لأنّ الأورعية أو الأعدلية في جنب الأعلمية لا أثر لهما في الحجّية؛ أمّا في صورة وجودهما في طرف الأعلم فواضح، وأمّا إذا كان أحد المجتهدين أعلم والآخر أورع، فالظاهر أنّ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تماميتها، وهي العمدة في إثبات وجوب الرجوع إلى الأعلم تعييناً عند القائلين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على تقدّم الأعلم</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ويكتفى في الورع والعدالة بمقدار يحصّل له الوثوق عند حكايته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ترجّح بعضهم بالعلم والبعض بالورع، يقدّم الأعلم؛ لأنّ الفتوى تستفاد من العلم لا من الورع، والقدر الذي عنده من الورع يحجزه عن الفتوى بما لا يعلم، فلا اعتبار برجحان ورع الآخر</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رحمه الله</w:t>
      </w:r>
      <w:r>
        <w:rPr>
          <w:rStyle w:val="FootnoteAnchor"/>
          <w:rtl w:val="true"/>
        </w:rPr>
        <w:footnoteReference w:id="289"/>
      </w:r>
      <w:r>
        <w:rPr>
          <w:rFonts w:ascii="IRNazanin" w:hAnsi="IRNazanin" w:eastAsia="IRNazanin"/>
          <w:color w:val="111111"/>
          <w:sz w:val="28"/>
          <w:sz w:val="28"/>
          <w:szCs w:val="28"/>
          <w:rtl w:val="true"/>
          <w:lang w:bidi="fa-IR"/>
        </w:rPr>
        <w:t xml:space="preserve">، وقد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واستحسنه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 الأورعية في صورة التساوي أيضاً لا يوجد دليل على</w:t>
      </w:r>
      <w:bookmarkStart w:id="148" w:name="pg1790_14732"/>
    </w:p>
    <w:p>
      <w:pPr>
        <w:pStyle w:val="BookText"/>
        <w:rPr/>
      </w:pPr>
      <w:bookmarkEnd w:id="148"/>
      <w:r>
        <w:rPr>
          <w:rFonts w:ascii="Amiri" w:hAnsi="Amiri" w:eastAsia="Amiri" w:cs="Amiri"/>
          <w:color w:val="111111"/>
          <w:sz w:val="28"/>
          <w:sz w:val="28"/>
          <w:szCs w:val="28"/>
          <w:rtl w:val="true"/>
          <w:lang w:bidi="ar-SA"/>
        </w:rPr>
        <w:t xml:space="preserve">وإذا كان أحدهما المعيّن أورع أو أعدل فالأولى الأحوط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الترجيح بها كما سيأتي، وكما يأتي بيان وجه الاحتياط الاستحبابي في الترجيح بها عند الماتن قدس سره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371634_3650668749"/>
      <w:bookmarkStart w:id="150" w:name="_Toc55"/>
      <w:bookmarkEnd w:id="149"/>
      <w:r>
        <w:rPr>
          <w:rtl w:val="true"/>
        </w:rPr>
        <w:t>تقديم الأورع‌</w:t>
      </w:r>
      <w:bookmarkEnd w:id="150"/>
    </w:p>
    <w:p>
      <w:pPr>
        <w:pStyle w:val="Heading5"/>
        <w:numPr>
          <w:ilvl w:val="4"/>
          <w:numId w:val="1"/>
        </w:numPr>
        <w:rPr/>
      </w:pPr>
      <w:bookmarkStart w:id="151" w:name="__RefHeading___Toc2371636_3650668749"/>
      <w:bookmarkStart w:id="152" w:name="_Toc56"/>
      <w:bookmarkEnd w:id="151"/>
      <w:r>
        <w:rPr>
          <w:rtl w:val="true"/>
        </w:rPr>
        <w:t>اشارة</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بالأورعية له سابقة في كلماتهم،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تساويهما في العلم يقدّم الأعدل؛ نظراً إلى ثبوت الرجحان المقتضي لقبح تقديم المرجوح عليه، ويتحصّل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يترجّح أعلم الورعين وأورع العالمين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ذلك في نصب الإمام للقضاة، ثمّ أجراه في الفقيهين حال الغيبة بالنسبة إلى الاستفتاء</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فالكلام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بالنسبة إلى الأصل الأوّلي قبل النظر إلى الأدلّة الاجتهادية، واخرى مع ملاحظة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محلّ النزاع هنا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بالنسبة إلى الترجيح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الوصول إلى فتوى الأورع، واحتمال اختلافه في الفتوى مع غيره، وعدم موافقة فتوى غيره للاحتياط؛ لعين ما تقدّم في تنقيح محلّ النزاع في مسألة الأعلمية، فنقول</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2371638_3650668749"/>
      <w:bookmarkStart w:id="154" w:name="_Toc57"/>
      <w:bookmarkEnd w:id="153"/>
      <w:r>
        <w:rPr>
          <w:rtl w:val="true"/>
        </w:rPr>
        <w:t>أمّا الكلام بالنسبة إلى الأصل الأوّلي‌</w:t>
      </w:r>
      <w:bookmarkEnd w:id="15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قيل بعدم الفرق بينه وبين ما سبق بالنسبة إلى مسألة الأعلم؛ لأنّ مقتضى حكم العقل من باب الاحتياط بلزوم الأخذ بالمعيّن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أمر الحجّية بين التعيين</w:t>
      </w:r>
    </w:p>
    <w:p>
      <w:pPr>
        <w:pStyle w:val="BookText"/>
        <w:rPr/>
      </w:pPr>
      <w:r>
        <w:rPr>
          <w:rFonts w:ascii="Amiri" w:hAnsi="Amiri" w:eastAsia="Amiri" w:cs="Amiri"/>
          <w:color w:val="111111"/>
          <w:sz w:val="28"/>
          <w:sz w:val="28"/>
          <w:szCs w:val="28"/>
          <w:rtl w:val="true"/>
          <w:lang w:bidi="ar-SA"/>
        </w:rPr>
        <w:t>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الأخذ بخصوص فتوى الأورع، كلزوم الأخذ بخصوص فتوى الأعلم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استشكل على الماتن قدس سره في هذه المسألة؛ حيث احتاط وجوباً بالرجوع إلى الأعلم تعييناً، وقال بالنسبة إلى الأورع أو الأعدل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الرجوع إليه تعييناً هو الأولى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حكم العقل بالاحتياط في مسألة الأعلم، يجري بعينه في هذه المسألة من دون فرق بينهما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أعدنا النظر في تقرير الماتن قدس سره للأصل الأوّلي في مسألة الأعلم، يتّضح الفرق ويندفع الإشكال، أو يندفع التناقض في كلامه على الأقلّ، فإنّ تقريره قدس سره للأصل هو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أفاده في المتن، لا التقرير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أخذ 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الإجماع على حدّ تعبيره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الأصل عنده قدس سره وهو تسالم الفقهاء على خروج فتوى الأعلم عن عموم حرمة العمل بالظنّ، دون فتوى غير الأعلم، وهذا التسالم لم يحرز بالنسبة إلى الأورع بالقياس إلى غير الأورع، ومع عدم هذا الإحراز لا يمكن لنا دعوى إجزاء قول الأورع يقيناً في جنب قول غير الأورع؛ حتّى ندّعي خروج قول الأورع عن عموم حرمة العمل بالظنّ يقيناً، دون قول غير الأورع فنحتمل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عنه، كما نحتمل خروج غير الأورع أيضاً بلا ترجيح للأورع على غيره في هذا الخروج</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بمقتضى ضرورة مشروعية التقليد نعلم بخروج عالم ما، وهو لا ينتج أكثر من التخيير</w:t>
      </w:r>
      <w:r>
        <w:rPr>
          <w:rFonts w:eastAsia="Amiri" w:cs="Amiri" w:ascii="Amiri" w:hAnsi="Amiri"/>
          <w:color w:val="111111"/>
          <w:sz w:val="28"/>
          <w:szCs w:val="28"/>
          <w:rtl w:val="true"/>
          <w:lang w:bidi="ar-SA"/>
        </w:rPr>
        <w:t>.</w:t>
      </w:r>
      <w:bookmarkStart w:id="155" w:name="pg1790_14734"/>
    </w:p>
    <w:p>
      <w:pPr>
        <w:pStyle w:val="BookText"/>
        <w:rPr/>
      </w:pPr>
      <w:bookmarkEnd w:id="155"/>
      <w:r>
        <w:rPr>
          <w:rFonts w:ascii="Amiri" w:hAnsi="Amiri" w:eastAsia="Amiri" w:cs="Amiri"/>
          <w:color w:val="111111"/>
          <w:sz w:val="28"/>
          <w:sz w:val="28"/>
          <w:szCs w:val="28"/>
          <w:rtl w:val="true"/>
          <w:lang w:bidi="ar-SA"/>
        </w:rPr>
        <w:t>ومنه يعلم أنّ الماتن قدس سره لم يتمسّك بنفس احتمال التعيين في الأعلم في قبال غير الأعلم،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موجود بالنسبة إلى الأورع في قبال غير الأورع أيضاً، كما هو مفروض الكلام في المقام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المعيار في تقرير الأصل في مقام الحجّية عنده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جريان عموم حرمة العمل بالظنّ أو عدمه الذي هو الملاك في مقام الحجّية، ولا يخفى أنّ نفس احتمال التعيين لا يوجب الخروج عن 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العموم على الأورع وغير الأورع على حدّ سواء، والرجوع إلى أدلّة التخيير في المتساويين، كما أنّه لو لم يكن لنا حجّة قطعية على خروج الأعلم عن عموم حرمة العمل بالظنّ، لقلنا بمثل ذلك في الأعلم وغير الأعلم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الأصل الأوّلي بالنسبة إلى الأورع وغير الأورع هو أنّ حالهما حال المتساويين؛ أعني عدم دليل على ترجيح أحدهما على الآخر، ومعناه التخيير عقلًا كما يأتي في المتساويين</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2371640_3650668749"/>
      <w:bookmarkStart w:id="157" w:name="_Toc58"/>
      <w:bookmarkEnd w:id="156"/>
      <w:r>
        <w:rPr>
          <w:rtl w:val="true"/>
        </w:rPr>
        <w:t>وأمّا الكلام في الأدلّة الاجتهادية</w:t>
      </w:r>
      <w:bookmarkEnd w:id="157"/>
    </w:p>
    <w:p>
      <w:pPr>
        <w:pStyle w:val="BookText"/>
        <w:rPr/>
      </w:pPr>
      <w:r>
        <w:rPr>
          <w:rFonts w:ascii="Amiri" w:hAnsi="Amiri" w:eastAsia="Amiri" w:cs="Amiri"/>
          <w:color w:val="111111"/>
          <w:sz w:val="28"/>
          <w:sz w:val="28"/>
          <w:szCs w:val="28"/>
          <w:rtl w:val="true"/>
          <w:lang w:bidi="ar-SA"/>
        </w:rPr>
        <w:t>فقد استدلّ على مرجّحية الأورعية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تقليده في قبال غير الأورع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 المتقدّمة في أدلّة الترجيح بالأعلمية، وما يشابهها من الروايات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الكلام في ورودها في موضع القضاء، ولا دليل على إسراء ما فيها إلى</w:t>
      </w:r>
    </w:p>
    <w:p>
      <w:pPr>
        <w:pStyle w:val="BookText"/>
        <w:rPr/>
      </w:pPr>
      <w:r>
        <w:rPr>
          <w:rFonts w:ascii="Amiri" w:hAnsi="Amiri" w:eastAsia="Amiri" w:cs="Amiri"/>
          <w:color w:val="111111"/>
          <w:sz w:val="28"/>
          <w:sz w:val="28"/>
          <w:szCs w:val="28"/>
          <w:rtl w:val="true"/>
          <w:lang w:bidi="ar-SA"/>
        </w:rPr>
        <w:t>باب الاجتهاد والتقليد أيضاً، مع أنّ الظاهر منها اجتماع الأورعية مع الأفقهية والأصدقية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الترجيح بالأورعية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استناد المجمعين إلى الروايات المتقدّمة، مع أنّ الظاهر من التتبّع في كلماتهم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معنونة في كلماتهم في القرون الماضية المقاربة لعصر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عدم وجوب الاحتياط للعامّي، بل يجوز له أن يستند في أعماله مطلقاً إلى فتوى من يجوز تقليده من المجتهدين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بظاهره لا يكون دليلًا على الترجيح بالأورعية أو شي‌ء آخر،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مفروض لأصالة التعيين عند بعضهم</w:t>
      </w:r>
      <w:r>
        <w:rPr>
          <w:rStyle w:val="FootnoteAnchor"/>
          <w:rtl w:val="true"/>
        </w:rPr>
        <w:footnoteReference w:id="300"/>
      </w:r>
      <w:r>
        <w:rPr>
          <w:rFonts w:ascii="Amiri" w:hAnsi="Amiri" w:eastAsia="Amiri" w:cs="Amiri"/>
          <w:color w:val="111111"/>
          <w:sz w:val="28"/>
          <w:sz w:val="28"/>
          <w:szCs w:val="28"/>
          <w:rtl w:val="true"/>
          <w:lang w:bidi="ar-SA"/>
        </w:rPr>
        <w:t>، وهو الأمر الرابع الآتي من الامور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التعيين فيما إذا دار أمر الحجّية بين التعيين والتخيير، وتقريبها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المجتهدين المتساويين في الفضيلة إذا كان أحدهما أورع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الأمر بين أن تكون فتوى كلّ منهما حجّة تخييرية، وأن تكون فتوى الأورع حجّة تعيينية، وإذا دار الأمر في الحجّية بين التعيين والتخيير وجب الأخذ بما يحتمل تعيّنه؛ للقطع بحجّيته والشكّ في حجّية الآخر، والشكّ في الحجّية يساوق القطع بعدمها، فالأورعية مرجّحة لا محالة</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تقريب آخر للأصل</w:t>
      </w:r>
      <w:bookmarkStart w:id="158" w:name="pg1790_14736"/>
    </w:p>
    <w:p>
      <w:pPr>
        <w:pStyle w:val="BookText"/>
        <w:rPr/>
      </w:pPr>
      <w:bookmarkEnd w:id="158"/>
      <w:r>
        <w:rPr>
          <w:rFonts w:ascii="Amiri" w:hAnsi="Amiri" w:eastAsia="Amiri" w:cs="Amiri"/>
          <w:color w:val="111111"/>
          <w:sz w:val="28"/>
          <w:sz w:val="28"/>
          <w:szCs w:val="28"/>
          <w:rtl w:val="true"/>
          <w:lang w:bidi="ar-SA"/>
        </w:rPr>
        <w:t xml:space="preserve">وإذا تردّد بين شخصين يحتمل أعلمية أحدهما المعيّن دون الآخر، تعيّن تقليده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 يخالف ما قدّمناه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القطع بحجّية ما يحتمل تعيّنه مجازفة؛ فإنّ أدلّة حرمة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حجّية الظنّ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له، وصِرف احتمال تعيّن تقليده في الواقع ونفس الأمر لا يخرجه عن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حجّية تخييرية عقلًا بعد التسالم على عدم وجوب الاحتياط على العامّي</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نسبة هذه الحجّية إلى كلّ من الأورع وغيره على حدّ سواء، ولا يتحصّل منها حجّية فتوى الأورع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هذا، عدم وجود دليل على مرجّحية قول الأورع أصلًا، وفي هذا لا فرق بين صور المسألة، من احتمال اختلاف الأورع مع غيره في الفتوى، أو العلم بالاختلاف تفصيلًا أو إجمالًا؛ فإ نّ هذه الصور لا تختلف في تطبيق هذه الأدلّة وعدمها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رعايةً لاحتمال دليل تعبّدي على الترجيح بالأورعية يستحسن الاحتياط بالرجوع إلى الأورع،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لأولوية الاحتياط في كلام الماتن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الأحوط اختياره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371642_3650668749"/>
      <w:bookmarkStart w:id="160" w:name="_Toc59"/>
      <w:bookmarkEnd w:id="159"/>
      <w:r>
        <w:rPr>
          <w:rtl w:val="true"/>
        </w:rPr>
        <w:t>تقديم محتمل الأعلمية</w:t>
      </w:r>
      <w:bookmarkEnd w:id="16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شبهة موضوعية لما تقدّم في صدر المسألة من وجوب تقليد الأعلم</w:t>
      </w:r>
    </w:p>
    <w:p>
      <w:pPr>
        <w:pStyle w:val="BookText"/>
        <w:rPr/>
      </w:pPr>
      <w:r>
        <w:rPr>
          <w:rFonts w:ascii="Amiri" w:hAnsi="Amiri" w:eastAsia="Amiri" w:cs="Amiri"/>
          <w:color w:val="111111"/>
          <w:sz w:val="28"/>
          <w:sz w:val="28"/>
          <w:szCs w:val="28"/>
          <w:rtl w:val="true"/>
          <w:lang w:bidi="ar-SA"/>
        </w:rPr>
        <w:t>على الأحوط، وقد احتاط وجوباً في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بإحراز التسالم على إجزاء قول الأعلم المحتمل المعيّن أيضاً كما في الأعلم المعلوم، فتقرير الأصل الأوّلي الذي مفاده الاحتياط بوجوب الرجوع إلى الأعلم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بالتقرير الذي تقدّم من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الأعلم المحتمل المعيّن أيضاً، ويكون هذا هو المستند للاحتياط هنا كالذي في صدر المسألة من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إحراز التسالم في هذا الفرض، فالصناعة وإن اقتضت الإفتاء بجواز الرجوع إلى غير محتمل الأعلمية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صِرف احتمال التعيين لا يوجب الاحتياط في الطرف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الإفتاء لا يجب إن لم يستلزم تركه وقوع المكلّف في خلاف الواقع أو احتمال وقوعه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الاحتياط الوجوبي بالرجوع إلى محتمل الأعلمية، وعدم الإفتاء بجواز الرجوع إلى غيره أيضاً، لا يوجب ذلك بعد العلم بأنّ الرجوع إلى غير محتمل الأعلمية لا يجب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عدم إحراز التسالم المذكور في هذا الفرض،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الاحتياط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الإفتاء بجواز الرجوع إلى غير محتمل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والإفتاء بالجواز في الرجوع إلى غير الأورع في الفقرة السابقة من المسألة مع الاحتياط الاستحبابي في الرجوع إلى الأورع أو الأعدل فيها، مع أنّ الأصل الأوّلي في كلتا الفقرتين هو التخيير؟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الإفتاء لا يؤخذ به المفتي، إن لم يكن ملازماً لاحتمال وقوع المكلّف في خلاف الواقع،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احتمال تعيّن الرجوع إلى محتمل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بينه وبين غير محتملها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بمراتب من احتمال تعيّن الرجوع إلى الأورع إذا دار الأمر بينه وبين غيره مع التساوي في العلم</w:t>
      </w:r>
      <w:r>
        <w:rPr>
          <w:rFonts w:eastAsia="Amiri" w:cs="Amiri" w:ascii="Amiri" w:hAnsi="Amiri"/>
          <w:color w:val="111111"/>
          <w:sz w:val="28"/>
          <w:szCs w:val="28"/>
          <w:rtl w:val="true"/>
          <w:lang w:bidi="ar-SA"/>
        </w:rPr>
        <w:t>.</w:t>
      </w:r>
      <w:bookmarkStart w:id="161" w:name="pg1790_14738"/>
    </w:p>
    <w:p>
      <w:pPr>
        <w:pStyle w:val="Heading3"/>
        <w:numPr>
          <w:ilvl w:val="2"/>
          <w:numId w:val="1"/>
        </w:numPr>
        <w:rPr/>
      </w:pPr>
      <w:bookmarkStart w:id="162" w:name="__RefHeading___Toc2371644_3650668749"/>
      <w:bookmarkStart w:id="163" w:name="_Toc60"/>
      <w:bookmarkEnd w:id="161"/>
      <w:bookmarkEnd w:id="162"/>
      <w:r>
        <w:rPr>
          <w:rtl w:val="true"/>
        </w:rPr>
        <w:t>إذا كان الأعلم منحصراً في شخصين‌</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الأعلم منحصراً في شخصين ولم يتمكّن من تعيينه، تعيّن الأخذ بالاحتياط، أو العمل بأحوط القولين منهما، على الأحوط مع التمكّن، ومع عدمه يكون مخيّراً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الأعلم منحصراً في شخصين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شبهة موضوعية اخرى لمسألة وجوب الرجوع إلى الأعلم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 علماً إجمالياً بوجود الأعلم بين من دار التقليد فيه، بخلاف ما تقدّم من الشبهة الموضوعية في الفقرة الأخيرة من المسألة السابقة، ومع هذا العلم يجب الاحتياط بمقتضى أدلّة تنجيز العلم الإجمالي، رعايةً لوجوب الاحتياط في الشبهة الحكمية في صدر المسألة السابقة، ولا نحتاج حينئذٍ إلى ما ذكرناه في تلك الشبهة الموضوعية لتوجيه وجوب الاحتياط في كلام الماتن قدس سره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طريق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تلك الشبهة هو الرجوع إلى من يحتمل أعلميته كما تقدّم، وفي هذه الشبهة بما أنّ كلّاً منهما محتمل للأعلمية فالاحتياط يقتضي رعاية فتوى كليهما، وذلك بعدم مخالفة شي‌ء منهما، وهذا لا يتحقّق إلّابالأخذ بالاحتياط</w:t>
      </w:r>
    </w:p>
    <w:p>
      <w:pPr>
        <w:pStyle w:val="BookText"/>
        <w:rPr/>
      </w:pPr>
      <w:r>
        <w:rPr>
          <w:rFonts w:ascii="Amiri" w:hAnsi="Amiri" w:eastAsia="Amiri" w:cs="Amiri"/>
          <w:color w:val="111111"/>
          <w:sz w:val="28"/>
          <w:sz w:val="28"/>
          <w:szCs w:val="28"/>
          <w:rtl w:val="true"/>
          <w:lang w:bidi="ar-SA"/>
        </w:rPr>
        <w:t>في جميع المسائل الذي لا يخالف مع فتواهما طبعاً، أو العمل بأحوط القولين منهما حتّى لايخالفهما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التمكّن من أحد الاحتياطين، وأمّا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إمكانه في نفسه كما في دوران الأمر بين المحذورين، أو لضيق الوقت مثلًا، أو 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لا يرشد إلّاإلى التخيير بين الفتويين؛ لعدم ثبوت ترجيحٍ لأحدهما على الآخر</w:t>
      </w:r>
      <w:r>
        <w:rPr>
          <w:rFonts w:eastAsia="Amiri" w:cs="Amiri" w:ascii="Amiri" w:hAnsi="Amiri"/>
          <w:color w:val="111111"/>
          <w:sz w:val="28"/>
          <w:szCs w:val="28"/>
          <w:rtl w:val="true"/>
          <w:lang w:bidi="ar-SA"/>
        </w:rPr>
        <w:t>.</w:t>
      </w:r>
      <w:bookmarkStart w:id="164" w:name="pg1790_14740"/>
    </w:p>
    <w:p>
      <w:pPr>
        <w:pStyle w:val="Heading3"/>
        <w:numPr>
          <w:ilvl w:val="2"/>
          <w:numId w:val="1"/>
        </w:numPr>
        <w:rPr/>
      </w:pPr>
      <w:bookmarkStart w:id="165" w:name="__RefHeading___Toc2371646_3650668749"/>
      <w:bookmarkStart w:id="166" w:name="_Toc61"/>
      <w:bookmarkEnd w:id="164"/>
      <w:bookmarkEnd w:id="165"/>
      <w:r>
        <w:rPr>
          <w:rtl w:val="true"/>
        </w:rPr>
        <w:t>لزوم التقليد في مسألة تقليد الأعلم‌</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العامّي أن يقلّد الأعلم في مسألة وجوب تقليد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لزوم التقليد في مسألة تقليد الأعلم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كجملة اخرى من مسائل كتاب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يُنظر بنظر المجتهد الذي يرى مقتضى الأدلّة التفصيلية في المسألة، واخرى يُنظر بنظر العامّي الذي يحاول مراجعة من كان قوله في الفروع الدينية حجّة له بينه وبين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هذين النظرين منهم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من حيث النظر الأوّل قد تقدّمت في مستند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النظر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بعضهم عدم معقولية الخلاف في تعيّن الرجوع إلى الأعلم في هذه المسألة</w:t>
      </w:r>
      <w:r>
        <w:rPr>
          <w:rStyle w:val="FootnoteAnchor"/>
          <w:rtl w:val="true"/>
        </w:rPr>
        <w:footnoteReference w:id="304"/>
      </w:r>
      <w:r>
        <w:rPr>
          <w:rFonts w:ascii="Amiri" w:hAnsi="Amiri" w:eastAsia="Amiri" w:cs="Amiri"/>
          <w:color w:val="111111"/>
          <w:sz w:val="28"/>
          <w:sz w:val="28"/>
          <w:szCs w:val="28"/>
          <w:rtl w:val="true"/>
          <w:lang w:bidi="ar-SA"/>
        </w:rPr>
        <w:t>، وكأ نّه يرى عدم وصول عقل العامّي في هذه المسألة إلّالتعيّن الرجوع إلى الأعلم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أوجب الماتن قدس سره على العامّي أن يقلّد الأعلم في مسألة وجوب</w:t>
      </w:r>
    </w:p>
    <w:p>
      <w:pPr>
        <w:pStyle w:val="BookText"/>
        <w:rPr/>
      </w:pPr>
      <w:r>
        <w:rPr>
          <w:rFonts w:ascii="Amiri" w:hAnsi="Amiri" w:eastAsia="Amiri" w:cs="Amiri"/>
          <w:color w:val="111111"/>
          <w:sz w:val="28"/>
          <w:sz w:val="28"/>
          <w:szCs w:val="28"/>
          <w:rtl w:val="true"/>
          <w:lang w:bidi="ar-SA"/>
        </w:rPr>
        <w:t>تقليد الأعلم،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العامّي حيث لا ينظر إلى الأدلّة التفصيلية فله وعليه ما حكم به عقله، وهو حجّته الباطنة عقلًا ونقلًا، والعقل في هذه الوضعية لا يحكم إلّابوجوب تقليد الأعلم؛ لأنّه المتيقّن حجّيته إذا دار الأمر بينه وبين غير الأعلم، فإ نّ الأعلم محتمل تعيّنه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فعقل العامّي 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المتحذّر عن احتمال الوقوع فيما لا يرضى الشارع به من دون مؤ 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بالاحتياط؛ برعاية احتمال التعيين إذا دار أمره بين التعيين والتخيير</w:t>
      </w:r>
      <w:r>
        <w:rPr>
          <w:rStyle w:val="FootnoteAnchor"/>
          <w:rtl w:val="true"/>
        </w:rPr>
        <w:footnoteReference w:id="30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الوجه المذكور لا يخلو عن نظرٍ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وأوضحه بعض الأعلام، فقد علّق تعيّن الرجوع إلى الأعلم على ما إذا احتمل تعيّنه، أمّا إذا لم يحتمل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استقلّ عقله بالتساوي من حيث الحجّية بين قول الأعلم وغيره، وجواز الرجوع إلى غير الأعلم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برجوعه إليه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والمبنى في هذا النظر هو عدم تقليدية الرجوع إلى الأعلم، كأصل التقليد ورجوع الجاهل العامّي إلى العالم الجامع للشرائط؛ بمعنى أنّ الذي يحمل العامّي على الرجوع إلى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يريد التقليد والرجوع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إلّاحكم عقله وإدراكه؛ وإلّا فالحامل له عليه لا يكاد يمكن أن يكون فتوى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الرجوع إلى الأعلم؛ للزوم الدور</w:t>
      </w:r>
      <w:r>
        <w:rPr>
          <w:rStyle w:val="FootnoteAnchor"/>
          <w:rtl w:val="true"/>
        </w:rPr>
        <w:footnoteReference w:id="307"/>
      </w:r>
      <w:r>
        <w:rPr>
          <w:rFonts w:ascii="Amiri" w:hAnsi="Amiri" w:eastAsia="Amiri" w:cs="Amiri"/>
          <w:color w:val="111111"/>
          <w:sz w:val="28"/>
          <w:sz w:val="28"/>
          <w:szCs w:val="28"/>
          <w:rtl w:val="true"/>
          <w:lang w:bidi="ar-SA"/>
        </w:rPr>
        <w:t>، فإن لم يحكم عقله وإدراكه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باب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بتعيّن الرجوع إلى الأعلم، فكيف يمكن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أفتى بوجوبه لا يجوز له تقليد غيره في المسائل الفرعية، وإن أفتى بجواز تقليد غير الأعلم تخيّر بين تقليده وتقليد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تقليد غير الأعلم إذا أفتى بعدم وجوب تقليد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أفتى بوجوب تقليد الأعلم يجوز الأخذ بقوله، لكن لا من جهة حجّية قوله، بل لكونه موافقاً للاحتياط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العامّي إذا حمله عقله على وجوب الرجوع إلى الأعلم في مسألة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سلّم أمره إليه في الفروع الدينية التي يحتاج فقهه وفهمه إلى النظر في الأدلّة التفصيلية، ذلك النظر الذي يكون العامّي عاجزاً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يطرح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تقليد الأعلم، لكن من حيث حجّية قول مقلَّده، كسائر المسائل الفقهية الفرعية في صلاته وصومه وجميع أعماله، لا من حيث حكم عقله في ابتداء رجوعه إلى المجتهد، فإن أفتى مقلَّده الأعلم بوجوب الرجوع إلى الأعلم في مسألة تقليد الأعلم، فلا يجوز له تقليد غيره، وإن أفتى فيها بجواز تقليد غيره أيضاً تخيّر بين تقليده وتقليد غيره،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الأعلم له، فلا تنافي بين حكم عقله ابتداءً ومن باب الاحتياط إلى لزوم الرجوع إلى الأعلم، وبين حجّية قول الأعلم له في جواز الرجوع إلى غيره؛ لأنّه في رجوعه إلى غير الأعلم يستند إلى قول الأعلم أيضاً، فلا تنافي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العامّي إذا رجع في مسألة تقليد الأعلم إلى غير الأعلم، رجوعاً لا يستند إلى قول الأعلم، فظاهر الماتن قدس سره أنّ رجوعه وتقليده هذا باطل مطلقاً، فلا يمكن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أرجعه غير الأعلم هذا إلى الأعلم فيجوز له الأخذ بقول الأعلم، لكن لا من حيث الاعتماد على قول غير الأعلم وإرجاعه إليه، بل من حيث</w:t>
      </w:r>
    </w:p>
    <w:p>
      <w:pPr>
        <w:pStyle w:val="BookText"/>
        <w:rPr/>
      </w:pPr>
      <w:r>
        <w:rPr>
          <w:rFonts w:ascii="Amiri" w:hAnsi="Amiri" w:eastAsia="Amiri" w:cs="Amiri"/>
          <w:color w:val="111111"/>
          <w:sz w:val="28"/>
          <w:sz w:val="28"/>
          <w:szCs w:val="28"/>
          <w:rtl w:val="true"/>
          <w:lang w:bidi="ar-SA"/>
        </w:rPr>
        <w:t>حجّية قول الأعلم له واقعاً سواء أرجع إليه غير الأعلم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نظره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العامّي بما هو عامّي لا يكون له حجّة إلّاقول الأعلم؛ لأنّه مقتضى الاحتياط الذي لا يصل عقل العامّي بما هو عامّي إلّاإليه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العامّي يمكن في الواقع أن يحكم عليه عقله بتّاً بالتساوي بين الأعلم وغيره من حيث الحجّية، وأن لا يحتمل تعيّن الرجوع إلى الأعلم أصلًا أو لزوماً، ولا دليل على نفي هذا الإمكان في حقّ العامّي ومعرفته، فعليه لا يمكن المساعدة على إطلاق كلام الماتن قدس سره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هو التفصيل بين الصورة التي كان مستند العامّي في الرجوع إلى غير الأعلم هو حكم عقله بالتساوي وعدم المزية للأعلم لزوماً، فيجوز له تقليده؛ لأنّه يكون مستنداً إلى حجّته الباطنة وهي عقله ومعرفته، وبين الصورة التي يرجع العامّي فيها إلى غير الأعلم مع احتماله تعيّن الرجوع إلى الأعلم، فلا يجوز له تقليده، وحكمه ما في المتن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167" w:name="pg1790_14744"/>
    </w:p>
    <w:p>
      <w:pPr>
        <w:pStyle w:val="Heading3"/>
        <w:numPr>
          <w:ilvl w:val="2"/>
          <w:numId w:val="1"/>
        </w:numPr>
        <w:rPr/>
      </w:pPr>
      <w:bookmarkStart w:id="168" w:name="__RefHeading___Toc2371648_3650668749"/>
      <w:bookmarkStart w:id="169" w:name="_Toc62"/>
      <w:bookmarkEnd w:id="167"/>
      <w:bookmarkEnd w:id="168"/>
      <w:r>
        <w:rPr>
          <w:rtl w:val="true"/>
        </w:rPr>
        <w:t>التقليد بين المتساويين‌</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المجتهدان متساويين في العلم، يتخيّر العامّي في الرجوع إلى أيّهما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الماتن في هذه المسألة لفرعين،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المجتهدين المتساويين،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التبعيض في التقليد</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371650_3650668749"/>
      <w:bookmarkStart w:id="171" w:name="_Toc63"/>
      <w:bookmarkEnd w:id="170"/>
      <w:r>
        <w:rPr>
          <w:rtl w:val="true"/>
        </w:rPr>
        <w:t>التخيير في التقليد</w:t>
      </w:r>
      <w:bookmarkEnd w:id="171"/>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به الأصحاب منذ أقدم عصور تدوين اصول فقه الإمامية؛ كالسيّد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الوصول</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والشهيدين في كتبهما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نسب القول بالتخيير إلى إجماع القائلين بجواز التقليد، من غير تفصيل بين الاتّفاق في الفتوى والاختلاف، وموافقة فتوى أحدهما للاحتياط المطلق وعدمها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فالبحث عن جواز التخيير يجري في صورتين،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عدم علم المقلّد باختلاف المجتهدين في الفتوى، 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علم المقلّد بالاختلاف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إطلاقات أدلّة حجّية الفتوى تشمل كلًاّ من المجتهدين المتساويين فالمكلّف مخيّر بينهما، وله أن يرجع إلى من شاء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السيرة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وقعت محلّ البحث والكلام، ولتحقيق المرام لابدّ أن نبحث عنها في مقامي الثبوت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صور في معنى الحجّية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الحجّية لكلا الرأيين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معقولة؛ لأنّ معنى الحجّية هو جعل ما ليس بعلمٍ علماً تعبّداً، أي‌جعل الطريق إلى الواقع، وأثرها تنجيز الواقع على تقدير المصادفة، والتعذير عنه على تقدير الخطأ، ومع العلم بتخالف رأي المجتهدين فمرجعه إلى أنّ الشارع اعتبر المكلّف عالماً بالحرمة وعالماً بعدمها، أو عالماً بوجوب شي‌ء وعالماً بحرمته، فتستلزم حجّيتهما معاً الجمع بين النقيضين أو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الحجّية للجامع بين الفتويين؛ أي‌عنوان إحداهما الذي هو عنوان 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غير معقولة؛ لأنّ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الفتويين على نحو التناقض أو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 على أحدهما، مضافاً إلى أنّ كلّاً من المتعارضين ينفي معارضه بالالتزام، وجعل الحجّية على الجامع بين النفي والإثبات بالنسبة إلى كلّ من الفتويين أيضاً غير معقول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قد جعلت على كلّ من الفتويين مشروطاً بعدم الأخذ</w:t>
      </w:r>
    </w:p>
    <w:p>
      <w:pPr>
        <w:pStyle w:val="BookText"/>
        <w:rPr/>
      </w:pPr>
      <w:r>
        <w:rPr>
          <w:rFonts w:ascii="Amiri" w:hAnsi="Amiri" w:eastAsia="Amiri" w:cs="Amiri"/>
          <w:color w:val="111111"/>
          <w:sz w:val="28"/>
          <w:sz w:val="28"/>
          <w:szCs w:val="28"/>
          <w:rtl w:val="true"/>
          <w:lang w:bidi="ar-SA"/>
        </w:rPr>
        <w:t>بالاخرى، فكلّ منهما حجّة تعيينية مشروطة بعدم الأخذ بالاخرى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أيضاً غير معقولة؛ لأنّ لازمها أن يتّصف كلّ منهما بالحجّية الفعلية إذا ترك المكلّف الأخذ بهما معاً؛ لحصول شرط الحجّية في كليهما وهو عدم الأخذ بالاخرى، فيؤول الأمر إلى الصورة الاولى غير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الحجّية على كلّ من الفتويين مشروطاً بالأخذ بها، فالحجّية في كلّ منهما تعيينية مقيّدة بالأخذ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الحجّية التخييرية أمر معقول من دون أن يترتّب عليها المحاذير السابقة</w:t>
      </w:r>
      <w:r>
        <w:rPr>
          <w:rStyle w:val="FootnoteAnchor"/>
          <w:rtl w:val="true"/>
        </w:rPr>
        <w:footnoteReference w:id="314"/>
      </w:r>
      <w:r>
        <w:rPr>
          <w:rFonts w:ascii="Amiri" w:hAnsi="Amiri" w:eastAsia="Amiri" w:cs="Amiri"/>
          <w:color w:val="111111"/>
          <w:sz w:val="28"/>
          <w:sz w:val="28"/>
          <w:szCs w:val="28"/>
          <w:rtl w:val="true"/>
          <w:lang w:bidi="ar-SA"/>
        </w:rPr>
        <w:t xml:space="preserve">لأنّ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المحاذير المترتّبة على الصورة الاولى والثانية، كما لا يترتّب المحذور المذكور في الصورة الثالثة أيضاً؛ لأنّه إذا لم يأخذ بهذا ولا ذاك لم يتّصف شي‌ء منهما بالحجّية؛ لأنّها مشروطة بالأخذ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ثبوت الحجّية التخييرية أراد ثبوتها بهذا المعنى</w:t>
      </w:r>
      <w:r>
        <w:rPr>
          <w:rStyle w:val="FootnoteAnchor"/>
          <w:rtl w:val="true"/>
        </w:rPr>
        <w:footnoteReference w:id="315"/>
      </w:r>
      <w:r>
        <w:rPr>
          <w:rFonts w:ascii="Amiri" w:hAnsi="Amiri" w:eastAsia="Amiri" w:cs="Amiri"/>
          <w:color w:val="111111"/>
          <w:sz w:val="28"/>
          <w:sz w:val="28"/>
          <w:szCs w:val="28"/>
          <w:rtl w:val="true"/>
          <w:lang w:bidi="ar-SA"/>
        </w:rPr>
        <w:t>، فلايترتّب عليها محذور 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استدلّ به على التخيير في صورة تساوي المجتهدين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إطلاقات أدلّة التقليد وحجّية فتوى المجتهد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أنحائها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المجتهدين؛ فإنّها كما تشمل فتوى هذا المجتهد كذلك تشمل فتوى المجتهد الآخر، والنتيجة التخيير بينهما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فساد هذا الوجه مستغنٍ عن البيان؛ لأنّ إطلاق أدلّة الاعتبار</w:t>
      </w:r>
    </w:p>
    <w:p>
      <w:pPr>
        <w:pStyle w:val="BookText"/>
        <w:rPr/>
      </w:pPr>
      <w:r>
        <w:rPr>
          <w:rFonts w:ascii="Amiri" w:hAnsi="Amiri" w:eastAsia="Amiri" w:cs="Amiri"/>
          <w:color w:val="111111"/>
          <w:sz w:val="28"/>
          <w:sz w:val="28"/>
          <w:szCs w:val="28"/>
          <w:rtl w:val="true"/>
          <w:lang w:bidi="ar-SA"/>
        </w:rPr>
        <w:t>لا يمكن أن يشمل المتعارضين؛ لأنّ شمولها لأحدهما من غير مرجّح، وشمولها لهما معاً يستلزم الجمع بين الضدّين أو النقيضين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الفرق بين حجّية قول الفقهاء وحجّية الأخبار المتعارضة في المقام؛ حيث إنّ أدلّة حجّية الأخبار لا تشمل صورة تعارضها، دون أدلّة حجّية قول الفقهاء؛ حيث إنّها تدلّ على حجّيته على نحو صرف الوجود من الطبيعة، لا الطبيعة السارية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عبارة عمّن يعلم كلّ مسألة ويعرف حكم كلّ واقعة، فعند تعدّد أفراد هذا العنوان لا معنى للحجّية التعيينية لكلّ فرد بعد كفاية واحد منها للمرجعية، فمدلول الأدلّة هنا حجّية الواحد على البدل، وهذا المعنى يمكن حفظ إطلاقه بالنسبة إلى حال التعارض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لجعل حجّية قول كلّ عالم بنحو الطبيعة السارية والوجوب التعييني؛ حتّى يكون المكلّف في كلّ واقعة مأموراً بأخذ قول جميع العلماء؛ فإنّه واضح البطلان، فالمأمور به هو الوجود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إلى رواة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حجّية قول العالم على نحو البدلية أو صرف الوجود، كان مخالفاً لقول غيره أو لا، يعلم تفصيلًا مخالفته له أو لا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المقام يمكن الأخذ بكلّ من الرأيين مشروطاً بالأخذ به، من دون محذور ثبوتي أو إثباتي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الفرق يوجّه إمكان شمول الإطلاق للمتعارضين في باب الفتاوى،</w:t>
      </w:r>
    </w:p>
    <w:p>
      <w:pPr>
        <w:pStyle w:val="BookText"/>
        <w:rPr/>
      </w:pPr>
      <w:r>
        <w:rPr>
          <w:rFonts w:ascii="Amiri" w:hAnsi="Amiri" w:eastAsia="Amiri" w:cs="Amiri"/>
          <w:color w:val="111111"/>
          <w:sz w:val="28"/>
          <w:sz w:val="28"/>
          <w:szCs w:val="28"/>
          <w:rtl w:val="true"/>
          <w:lang w:bidi="ar-SA"/>
        </w:rPr>
        <w:t>ولكنّه لا يوجد دليل لفظي مطلق حتّى يمكن شموله لمورد تعارض الفتاوى بناءً على مبنى الماتن قدس سره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المستمرّة على التخيير في هذه الصورة، ومن هنا لم يسمع توقّفهم في العمل برأي واحد من أهل الخبرة إذا خالفه منهم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السيرة المتشرّعية جارية على ذلك؛ لأنّهم يعتمدون على فتوى أحد المجتهدين المتساويين، ولا يتوقّفون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استقرار السيرة العقلائية عند العلم بالمخالفة على التخيير بين المتساويين دعوى باطلة؛ فإنّها خلاف ما هو المشاهد منهم خارجاً، لأنّهم لا يعتمدون على قول مثل الطبيب عند العلم بمخالفته لقول طبيب آخر عند المعالجة، بل يحتاطون في أمثالها إن أمكنهم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المتشرّعية أيضاً لم تثبت ولم يحرز اتّصالها بزمان المعصومين عليهم السلام، بل من المحتمل أن تكون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من فتوى أصحابنا بالتخيير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مجال لهذا الإيراد؛ إذ بعد ما ثبت من أنّ التقليد كان أمراً ثابتاً في زمن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إرجاع الأئمّة عليهم السلام إلى أشخاص متعدّدين، مع العلم بتساوي جمع منهم في الفضيلة، ولا أقلّ من عدم إحراز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لدعوى اختصاصه بما إذا كان المفتي من الأصحاب محرز الأعلمية، أو لم تعلم المخالفة بينه وبين غيره في الرأي، فالسيرة المتشرّعية ثابتة على التخيير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يحرز استقرار السيرة على التخيير في صورة العلم بالمخالفة، بل القدر المتيقّن منها هو صورة عدم العلم بالمخالفة بين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التخيير بين المجتهدين المتساويين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إجماع منقول بالخبر الواحد، ولا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الاتّفاق غير مسلّم في المسألة؛ لأنّها من المسائل المستحدثة، ولم يتعرّض لها الفقهاء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العلم باتّفاقهم أيضاً فليس هذا إجماعاً تعبّدياً يستكشف به قول المعصوم، بل هو مستند إلى أحد الوجوه المذكورة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أورده أوّلًا فلا مجال له؛ إذ قد عرفت في تأريخ المسألة أنّ القول بالتخيير بين المجتهدين المتساويين يستند إلى كلّ من قال بجواز التقليد في جميع الصور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فساد ما أورده ثانياً أيضاً بالرجوع إلى ما حرّرناه في مقدّمة شرح هذه المسألة، وهذا واضح لمن تتّبع كلمات القوم، وإن لم يكن لنا مجال لذكر أقوالهم حذراً من التطويل، فراجع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أورده ثالثاً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الاتّفاق يكشف عن وجود الارتكاز الذهني لأصحابنا؛ بحيث قد يتعدّى عن حدّ الاتّفاق، فأرسلوا مسألة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المسلّمات؛ ولذا تسالموا على عدم وجوب الاحتياط أو الأخذ بأحوط القولين في المقام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 ليس في الأخبار ما يستفاد منه التخيير في الأخذ بأحد المتساويين</w:t>
      </w:r>
      <w:r>
        <w:rPr>
          <w:rStyle w:val="FootnoteAnchor"/>
          <w:rtl w:val="true"/>
        </w:rPr>
        <w:footnoteReference w:id="324"/>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انضمّ إلى هذا التسالم استقرار السيرة المتشرّعية في عصر المعصومين عليهم السلام، يستكشف رضا المعصوم عليه السلام بما ارتكز في أذهان المتشرّعة بالبرهان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حجّية قول العلماء؛ فإنّها بإطلاقها شاملة لحال التعارض، كرواية أحمد بن حاتم بن ماهويه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عمّن آخذ معالم ديني؟ وكتب أخوه أيضاً بذلك، فكتب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ما ذكرتما، فاصمدا في دينكما على كلّ مسنّ في حبّنا، وكلّ كثير القدم في أمرنا، فإنّهما كافوكما إن شاء اللَّه تعالى</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صدر مقبولة عمر بن حنظلة</w:t>
      </w:r>
      <w:r>
        <w:rPr>
          <w:rStyle w:val="FootnoteAnchor"/>
          <w:rtl w:val="true"/>
        </w:rPr>
        <w:footnoteReference w:id="326"/>
      </w:r>
      <w:r>
        <w:rPr>
          <w:rFonts w:ascii="Amiri" w:hAnsi="Amiri" w:eastAsia="Amiri" w:cs="Amiri"/>
          <w:color w:val="111111"/>
          <w:sz w:val="28"/>
          <w:sz w:val="28"/>
          <w:szCs w:val="28"/>
          <w:rtl w:val="true"/>
          <w:lang w:bidi="ar-SA"/>
        </w:rPr>
        <w:t>، ومشهورة أبي خديجة</w:t>
      </w:r>
      <w:r>
        <w:rPr>
          <w:rStyle w:val="FootnoteAnchor"/>
          <w:rtl w:val="true"/>
        </w:rPr>
        <w:footnoteReference w:id="327"/>
      </w:r>
      <w:r>
        <w:rPr>
          <w:rFonts w:ascii="Amiri" w:hAnsi="Amiri" w:eastAsia="Amiri" w:cs="Amiri"/>
          <w:color w:val="111111"/>
          <w:sz w:val="28"/>
          <w:sz w:val="28"/>
          <w:szCs w:val="28"/>
          <w:rtl w:val="true"/>
          <w:lang w:bidi="ar-SA"/>
        </w:rPr>
        <w:t>، والتوقيع الشريف</w:t>
      </w:r>
      <w:r>
        <w:rPr>
          <w:rStyle w:val="FootnoteAnchor"/>
          <w:rtl w:val="true"/>
        </w:rPr>
        <w:footnoteReference w:id="328"/>
      </w:r>
      <w:r>
        <w:rPr>
          <w:rFonts w:ascii="Amiri" w:hAnsi="Amiri" w:eastAsia="Amiri" w:cs="Amiri"/>
          <w:color w:val="111111"/>
          <w:sz w:val="28"/>
          <w:sz w:val="28"/>
          <w:szCs w:val="28"/>
          <w:rtl w:val="true"/>
          <w:lang w:bidi="ar-SA"/>
        </w:rPr>
        <w:t xml:space="preserve">،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العسكري</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فإنّ إطلاقها شامل لحال التعارض أيضاً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إطلاق هذه الأدلّة لحال التعارض ممنوع؛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الإرجاع إلى الأمر الارتكازي، والشاهد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نّه لم يذكر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إنّها كانت معلومة، فأشار الإمام إلى صفات اخر موجبة للوثوق والاطمئنان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فلا إطلاق لها لحال التعارض، بل هذا القول يشبه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لابدّ أن يرجع إلى الطبيب ويشرب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عدم الإطلاق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السند؛ لعدم ثبوت وثاقة غير الكشّي من رواتها، وكذا لم يوثّق إسحاق بن يعقوب الراوي للتوقيع الشريف</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العلاجية التي تدلّ على التخيير والسعة؛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فإنّ الاختلاف بين الرجلين كان في الفتوى؛ حيث إنّ التخالف لا يتحقّق إلّامع الجزم بمضمون الرواية، وهو مساوق للفتوى، 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السائل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يأمرنا أحدهما وينهانا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أخبار التخيير في الحديثين المختلفين بإلغاء الخصوصية؛ فإنّ اختلاف الفتوى يرجع إلى اختلاف الرواية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بالموثّقة ممنوع؛ إذ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w:t>
      </w:r>
      <w:bookmarkStart w:id="172" w:name="pg1790_14752"/>
    </w:p>
    <w:p>
      <w:pPr>
        <w:pStyle w:val="BookText"/>
        <w:rPr/>
      </w:pPr>
      <w:bookmarkEnd w:id="172"/>
      <w:r>
        <w:rPr>
          <w:rFonts w:ascii="Amiri" w:hAnsi="Amiri" w:eastAsia="Amiri" w:cs="Amiri"/>
          <w:color w:val="111111"/>
          <w:sz w:val="28"/>
          <w:sz w:val="28"/>
          <w:szCs w:val="28"/>
          <w:rtl w:val="true"/>
          <w:lang w:bidi="ar-SA"/>
        </w:rPr>
        <w:t xml:space="preserve">كما يجوز له التبعيض في المسائل بأخذ بعضها من أحدهما وبعضها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أن يؤخّره ولا يعمل بواحد منهما، فقوله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في سعة بالنسبة إلى نفس الواقعة، لا أنّه في سعة في الأخذ بأيّهما شاء، فله العمل على طبق الاصول، فتكون الرواية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أخبار التخيير بين الحديثين المختلفين للمقام بإلغاء الخصوصية ممنوع عرفاً؛ ضرورة تحقّق الفرق الواضح بين اختلاف الأخبار واختلاف الآراء الاجتهادية، مع أنّ لازمه إعمال مرجّحات باب التعارض فيهما، وهو كما ترى</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مع عدم توفّر رواية دالّة على التخيير جامعة لشرائط الحجّية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مستند التخيير بين المتساويين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تسالمهم على التخيير في الأخذ بفتوى أحدهما، وعدم وجوب الاحتياط أو الأخذ بأحوط القولين، فلابدّ من الأخذ بأحدهما والقول بحجّية التخييرية</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371652_3650668749"/>
      <w:bookmarkStart w:id="174" w:name="_Toc64"/>
      <w:bookmarkEnd w:id="173"/>
      <w:r>
        <w:rPr>
          <w:rtl w:val="true"/>
        </w:rPr>
        <w:t>التبعيض في التقليد</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فالتبعيض في تقليد المجتهدين المتساويين يكون على صور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التبعيض في التقليد بالنسبة إلى المسائل المختلفة والأبواب المتعدّدة، مع عدم العلم بالاختلاف في الفتوى أو مع العلم بالاتّفاق فيها؛ بأن قلّد أحدهما في الصلاة والآخر في الحجّ، أو أحدهما في العبادات والآخر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إشكال في جواز التبعيض في التقليد؛ لشمول أدلّة حجّية الفتوى لكلّ منهما، من دون مانع من التضادّ أو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مع العلم باختلافهما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بناءً على القول بالتخيير وحجّية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الماتن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أيضاً التبعيض،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الاختلاف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الإجماع، والقدر المتيقّن منه هو التخيير بالنسبة إلى جميع المسائل، وأمّا التبعيض فلم يحرز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ومحاولة بعض الأعيان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في ذبّ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التخيير ليس منحصراً بالإجماع، بل السيرة أيضاً قائمة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ناجحة؛ لأنّ السيرة كالإجماع دليل لبّي لا إطلاق ولا عموم لها، فيقتصر على القدر المتيقّن؛ وهو التخيير في التقليد بالنسبة إلى جميع الأحكام، دون التبعيض فيه،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التبعيض في التقليد بحسب الأجزاء والشرائط لعمل واحد مركّب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صورة العلم بالاتّفاق في الفتوى فمقتضى القاعدة جوازه فيها أيضاً؛ لأنّ العمل المأتي به كذلك صحيح عند كلّ من المجتهدين، فلا بأس في الاجتزاء بالتسبيحات مرّة واحدة استناداً إلى فتوى أحدهما مع كون الآخر أيضاً يفتي بذلك، كما لا بأس في إتيان الصلاة من دون سورة استناداً إلى فتوى الآخر مع كون صاحبه أيضاً يفتي بعدم جزئيّتها لها، فالصلاة مع التسبيحات مرّة واحدة ومع ترك السورة صحيحة عند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عدم العلم بالاختلاف والاتّفاق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يجوز التبعيض لحجّية فتوى كلّ منهما، فيجوز الاستناد في أعماله إلى أيّهما شاء من دون مانع وهو العلم بالاختلاف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نفى الصورة السابقة مع العلم بالاختلاف في الفتوى؛ بأن قلّد أحدهما في الاكتفاء بالتسبيحات مرّة واحدة مع أنّ الآخر يفتي بوجوبها ثلاثاً، وقلّد في عدم جزئية السورة أحدهما فلم يأتِ بها في الصلاة مع كون الآخر يقول بجزئيّتها، فصلّى صلاة فاقدة للسورة مع الاكتفاء بالتسبيحات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 السادة الأجلّاء توجيه الحكم بعدم جواز التبعيض فيها؛ لبطلان هذه الصلاة عند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أحدهما فلترك الجزء، وأمّا عند الآخر فلعدم الإتيان بالتسبيحات ثلاث مرّات، وللحكم بصحّة هذه الصلاة لابدّ للمكلّف العامّي من الاستناد إلى فتوى أحدهما، والمفروض أنّ كليهما يراها فاسدة؛ لأنّ صحّة الأجزاء الارتباطية ارتباطية، فمع فقدان بعض الأجزاء بمقتضى فتوى أحدهما، أو بعضها الآخر عند الآخر، لا محالة يحكم بالفساد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الصحّة إنّما هو الاستناد إلى الحجّة ولاشكّ أنّ المكلّف استند في الصلاة بلا سورة إلى حجّة، وفي ترك التسبيحات ثلاثاً إلى حجّة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إنّما هو من ناحية عدم الحجّة؛ إذ الدليل في الصورة هو الإجماع، والقدر المتيقّن منه هو التخيير في جميع المسائل دون التبعيض</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السيّد الماتن قدس سره عدم الجواز؛ حيث اقتصر في الجواز على ذكر المسائل، مع التصريح بأخذ بعضها من أحدهما وبعضها من آخر</w:t>
      </w:r>
      <w:r>
        <w:rPr>
          <w:rFonts w:eastAsia="Amiri" w:cs="Amiri" w:ascii="Amiri" w:hAnsi="Amiri"/>
          <w:color w:val="111111"/>
          <w:sz w:val="28"/>
          <w:szCs w:val="28"/>
          <w:rtl w:val="true"/>
          <w:lang w:bidi="ar-SA"/>
        </w:rPr>
        <w:t>.</w:t>
      </w:r>
      <w:bookmarkStart w:id="175" w:name="pg1790_14755"/>
    </w:p>
    <w:p>
      <w:pPr>
        <w:pStyle w:val="Heading3"/>
        <w:numPr>
          <w:ilvl w:val="2"/>
          <w:numId w:val="1"/>
        </w:numPr>
        <w:rPr/>
      </w:pPr>
      <w:bookmarkStart w:id="176" w:name="__RefHeading___Toc2371654_3650668749"/>
      <w:bookmarkStart w:id="177" w:name="_Toc65"/>
      <w:bookmarkEnd w:id="175"/>
      <w:bookmarkEnd w:id="176"/>
      <w:r>
        <w:rPr>
          <w:rtl w:val="true"/>
        </w:rPr>
        <w:t>وجوب الاحتياط في زمان الفحص‌</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العامّي في زمان الفحص عن المجتهد أو الأعلم، أن يعمل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الفرض الثاني الاحتياط في فتوى الذين يحتمل أعلميتهم؛ بأن يأخذ بأحوط أقوالهم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الاحتياط في زمان الفحص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في مستند المقدّمة، فالعامّي في زمان الفحص عن المجتهد أو الأعلم لابدّ له من الاحتياط؛ لأنّ طريق الاجتهاد منسدّ عليه حسب الفرض لأنّه عامّي، وطريق التقليد أيضاً لم يصل إليه بعد، فلابدّ له من الاحتياط؛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أحكام إلزامية في الشريعة المقدّسة، لا يمكن له الخروج عن عهدتها إلّابالعمل بما هو مقتضى الاحتياط في كلّ حادثة يبتلي بها، وعليه أن يتعلّم موارد الاحتياط في تلك الحوادث، وكلّ ذلك يستقلّ به العقل الفطري وإن كان عامّياً، بلا شبهة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فحص عن المجتهد ووصل إلى جمع من المجتهدين الجامعين للشرائط وفتاويهم، غير أنّه يحتمل أنّ أحدهم هو الأعلم من بينهم، فيفحص عن الأعلم بمقتضى وجوب تقليد الأعلم ولو احتياطاً وجوبياً؛ كما</w:t>
      </w:r>
    </w:p>
    <w:p>
      <w:pPr>
        <w:pStyle w:val="BookText"/>
        <w:rPr/>
      </w:pPr>
      <w:r>
        <w:rPr>
          <w:rFonts w:ascii="Amiri" w:hAnsi="Amiri" w:eastAsia="Amiri" w:cs="Amiri"/>
          <w:color w:val="111111"/>
          <w:sz w:val="28"/>
          <w:sz w:val="28"/>
          <w:szCs w:val="28"/>
          <w:rtl w:val="true"/>
          <w:lang w:bidi="ar-SA"/>
        </w:rPr>
        <w:t>هو مختار الماتن قدس سره على ما تقدّم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الفرض يعلم أنّ وظيفته هي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بفتوى أحد المجتهدين الذين وصل إليهم في المرحلة الاولى من فحصه عن المجتهدين، وبهذا ينحلّ علمه الإجمالي الأوّل في المرحلة الاولى من الفحص، ويتبدّل إلى العلم الإجمالي بالعمل بفتوى أحد المجتهدين، ومقتضى هذا العلم كفاية الأخذ بأحوط أقوالهم، وبهذا الأخذ يخرج عن عهدة ما تنجّز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الأخذ بالاحتياط المطلق أيضاً كما في الفرض الأوّل، وهو واضح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الفرض الأوّل أيضاً له الأخذ بأحوط الأقوال المحتملة، إذا علم بوجود من يجوز تقليده فيها، كما نبّه عليه بعض الأعاظم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وذلك لعين ما قلناه من الانحلال في الفرض الثاني</w:t>
      </w:r>
      <w:r>
        <w:rPr>
          <w:rFonts w:eastAsia="Amiri" w:cs="Amiri" w:ascii="Amiri" w:hAnsi="Amiri"/>
          <w:color w:val="111111"/>
          <w:sz w:val="28"/>
          <w:szCs w:val="28"/>
          <w:rtl w:val="true"/>
          <w:lang w:bidi="ar-SA"/>
        </w:rPr>
        <w:t>.</w:t>
      </w:r>
      <w:bookmarkStart w:id="178" w:name="pg1790_14757"/>
    </w:p>
    <w:p>
      <w:pPr>
        <w:pStyle w:val="Heading3"/>
        <w:numPr>
          <w:ilvl w:val="2"/>
          <w:numId w:val="1"/>
        </w:numPr>
        <w:rPr/>
      </w:pPr>
      <w:bookmarkStart w:id="179" w:name="__RefHeading___Toc2371656_3650668749"/>
      <w:bookmarkStart w:id="180" w:name="_Toc66"/>
      <w:bookmarkEnd w:id="178"/>
      <w:bookmarkEnd w:id="179"/>
      <w:r>
        <w:rPr>
          <w:rtl w:val="true"/>
        </w:rPr>
        <w:t>تقليد المفضول‌</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تقليد المفضول في المسائل التي توافق فتواه فتوى الأفضل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تقليد المفضول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ثمرة عملية على تعيّن وجوب تقليد الأعلم إذا وافقت فتواه فتوى غير الأعلم</w:t>
      </w:r>
      <w:r>
        <w:rPr>
          <w:rStyle w:val="FootnoteAnchor"/>
          <w:rtl w:val="true"/>
        </w:rPr>
        <w:footnoteReference w:id="341"/>
      </w:r>
      <w:r>
        <w:rPr>
          <w:rFonts w:ascii="Amiri" w:hAnsi="Amiri" w:eastAsia="Amiri" w:cs="Amiri"/>
          <w:color w:val="111111"/>
          <w:sz w:val="28"/>
          <w:sz w:val="28"/>
          <w:szCs w:val="28"/>
          <w:rtl w:val="true"/>
          <w:lang w:bidi="ar-SA"/>
        </w:rPr>
        <w:t>بناءً على المسلك الصحيح من طريقية الأمارات والحجج؛ لأنّ الغرض من تعيّن تقليد الأعلم حجّةً وأمارةً هو الاحتراز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وصول المقلّد إلى ما ربّما يصل إليه الأعلم من الأحكام الشرعية ولم يصل إليه غير الأعلم، فإذا توافقت الفتويان يتأمّن الغرض ويحصل الاحتراز</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اخذ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بفتوى المجتهد الذي يجب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اتّصاف التقليد بالحجّية، وبالتالي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وجوب تقليد الأعلم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الالتزام بخصوص فتاوى الأعلم أو الاستناد إليه أو الأخذ منه، دون غير الأعلم حتّى ولو وافقت فتواه فتوى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فيما لا يعلم تخالفهما في الفتوى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 هذه المباني غير صحيحة بالنظر إلى ما هو معنى التقليد أوّلًا، وأدلّة حجّيته ثانياً، وقد تقدّم ذلك في المباحث الماضية،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تقليد المفضول ثابت على جميع المباني في معنى التقليد إذا علم توافق فتواه مع فتوى الأفضل؛ وذلك لأنّ أدلّة حجّية قول الأعلم تعييناً تقصر عن إثبات التعيين حتّى في صورة العلم بالتوافق؛ فإنّها بين إجماعٍ وسيرةٍ، وصورة التوافق خارجة عن متيقّنهما؛ وأخبارٍ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 إثبات تعيين الأعلم حتّى في صورة العلم بالتوافق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السيرة العقلائية الممضاة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العمدة في حجّية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على حجّية قول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كما أنّه هو المتيقّن من روايات الإرجاع إلى الأصحاب لأخذ معالم الدين، من دون ترجيح الأعلم منهم للإرجاع،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على وجوب تقليد الأعلم في فرض عدم تمامية أدلّة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بجميع تقاريره لا يدلّ على وجوب تقليد الأعلم في صورة التوافق؛ لأنّ المعيار في ذلك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معيار الاحتياط واليقين بالخروج عن عهدة التكاليف تنجيزاً أو تعذيراً، وفي فرض التوافق بين الفتويين لا يقتضي هذا المعيار تعيّن وجوب تقليد الأعلم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قيام الدليل الاجتهادي على عدم وجوب تعيّن تقليد الأعلم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التمسّك بهذا الأصل أيضاً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مناسب مع ما تقدّم في مستند المسألة الخامسة، وهي الصورة الثالثة من</w:t>
      </w:r>
    </w:p>
    <w:p>
      <w:pPr>
        <w:pStyle w:val="BookText"/>
        <w:rPr/>
      </w:pPr>
      <w:r>
        <w:rPr>
          <w:rFonts w:ascii="Amiri" w:hAnsi="Amiri" w:eastAsia="Amiri" w:cs="Amiri"/>
          <w:color w:val="111111"/>
          <w:sz w:val="28"/>
          <w:sz w:val="28"/>
          <w:szCs w:val="28"/>
          <w:rtl w:val="true"/>
          <w:lang w:bidi="ar-SA"/>
        </w:rPr>
        <w:t>الصور المفصّلة هناك، وقد نقلنا دليل الماتن قدس سره أيضاً على مشروعية تقليد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وجوب تقليد الأعلم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يعلم مخالفته مع الأفضل في الفتوى، وقد قال الماتن قدس سره بهذا الصدد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لإمكان استفادة ذلك من الأخبار، بل لا تبعد دعوى السيرة عليه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الأصل العقلي على فرض عدم تمامية الدليل الاجتهادي،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العلم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ورعاية جانب فتوى الأعلم، ولكنّه محكوم للدليل الاجتهادي</w:t>
      </w:r>
      <w:r>
        <w:rPr>
          <w:rFonts w:eastAsia="Amiri" w:cs="Amiri" w:ascii="Amiri" w:hAnsi="Amiri"/>
          <w:color w:val="111111"/>
          <w:sz w:val="28"/>
          <w:szCs w:val="28"/>
          <w:rtl w:val="true"/>
          <w:lang w:bidi="ar-SA"/>
        </w:rPr>
        <w:t>.</w:t>
      </w:r>
      <w:bookmarkStart w:id="181" w:name="pg1790_14760"/>
    </w:p>
    <w:p>
      <w:pPr>
        <w:pStyle w:val="Heading3"/>
        <w:numPr>
          <w:ilvl w:val="2"/>
          <w:numId w:val="1"/>
        </w:numPr>
        <w:rPr/>
      </w:pPr>
      <w:bookmarkStart w:id="182" w:name="__RefHeading___Toc2371658_3650668749"/>
      <w:bookmarkStart w:id="183" w:name="_Toc67"/>
      <w:bookmarkEnd w:id="181"/>
      <w:bookmarkEnd w:id="182"/>
      <w:r>
        <w:rPr>
          <w:rtl w:val="true"/>
        </w:rPr>
        <w:t>إن لم يكن للأعلم فتوى‌</w:t>
      </w:r>
      <w:bookmarkEnd w:id="183"/>
    </w:p>
    <w:p>
      <w:pPr>
        <w:pStyle w:val="Heading4"/>
        <w:numPr>
          <w:ilvl w:val="3"/>
          <w:numId w:val="1"/>
        </w:numPr>
        <w:rPr/>
      </w:pPr>
      <w:bookmarkStart w:id="184" w:name="__RefHeading___Toc2371660_3650668749"/>
      <w:bookmarkStart w:id="185" w:name="_Toc68"/>
      <w:bookmarkEnd w:id="184"/>
      <w:r>
        <w:rPr>
          <w:rtl w:val="true"/>
        </w:rPr>
        <w:t>اشارة</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للأعلم فتوى في مسألة من المسائل، يجوز الرجوع في تلك المسألة إلى غيره؛ مع رعاية الأعلم فالأعلم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للأعلم فتوى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 فتوى للأعلم يتصوّر بثلاثة 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له فتوى لا بالحكم الواقعي ولا بالحكم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لا يفتي بوجوب شي‌ء ولا يفتي بوجوب الاحتياط تجاهد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هذا المورد يكون الحكم لزوم الرجوع إلى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المورد من أبرز مصاديق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للأعلم فتوى بالحكم الواقعي، لكنّه يفتي بالاحتياط في المسألة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يرى الأعلم أنّ غير الأعلم كان على خطأ في فتواه؛ لأنّه يرى أنّ الأدلّة الموجودة في المسألة بكلا طرفيها غير ناهضة على إثبات شي‌ء من الطرفين، أو يرى تساقط الأدلّة، فيرجع على هذا الأساس إلى أصل يكون مقتضاه الاحتياط في المسألة، فإيجاب الأعلم للاحتياط حينئذٍ يكون حاصلًا على أساس عدم صحّة ما تبنّاه غيره في ذهابه إلى طرف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هذا المورد لا يجوز الرجوع إلى غيره، بل يتعيّن الرجوع إليه وإن كان قد أفتى بالحكم الظاهري لا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يمكن أن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تمامية الأدلّة لدى المستنبط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بطلان الحكم الذي لغير الأعلم عند الأعلم</w:t>
      </w:r>
      <w:r>
        <w:rPr>
          <w:rStyle w:val="FootnoteAnchor"/>
          <w:rtl w:val="true"/>
        </w:rPr>
        <w:footnoteReference w:id="343"/>
      </w:r>
      <w:r>
        <w:rPr>
          <w:rFonts w:ascii="Amiri" w:hAnsi="Amiri" w:eastAsia="Amiri" w:cs="Amiri"/>
          <w:color w:val="111111"/>
          <w:sz w:val="28"/>
          <w:sz w:val="28"/>
          <w:szCs w:val="28"/>
          <w:rtl w:val="true"/>
          <w:lang w:bidi="ar-SA"/>
        </w:rPr>
        <w:t>، بل الثابت لديه هو بطلان الاستناد</w:t>
      </w:r>
      <w:r>
        <w:rPr>
          <w:rStyle w:val="FootnoteAnchor"/>
          <w:rtl w:val="true"/>
        </w:rPr>
        <w:footnoteReference w:id="344"/>
      </w:r>
      <w:r>
        <w:rPr>
          <w:rFonts w:ascii="Amiri" w:hAnsi="Amiri" w:eastAsia="Amiri" w:cs="Amiri"/>
          <w:color w:val="111111"/>
          <w:sz w:val="28"/>
          <w:sz w:val="28"/>
          <w:szCs w:val="28"/>
          <w:rtl w:val="true"/>
          <w:lang w:bidi="ar-SA"/>
        </w:rPr>
        <w:t>إلى دليل من الدليلين القائمين على طرفي المسألة؛ وإلّا لو كان الثابت لديه بطلان حكم غير الأعلم لما كان للاحتياط مجال، وهذا يلزم احتمال صحّة رأي غير الأعلم، فإذن كيف يقال بأنّ الأعلم يخطّئ رأي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فيجوز الرجوع إلى غير الأعلم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تمامية الأدلّة لدى الأعلم وإن كان لا يستلزم بطلان الحكم الذي أفتى به غير الأعلم، غير أنّه يستلزم بطلان إجزائه، والمكلّف إنّما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عمله مجزئاً ومبرئاً للذمّة بالنسبة إلى ما هو عليه من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مقامين بالنسبة إلى تلك الأدلّة الحاصلة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يصحّ القول بأنّ أدلّة أحد الطرفين تكون صحيحة، وإنّ أدلّة الطرف الآخر غير صحيحة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ندري ما هو الطريق إلى الحكم الواقعي؟ هل هو الدليل في هذا الطرف، أو هو الدليل في ذاك الطرف؟ واحتمال أنّ هذا هو الطريق أو ذاك لا يكفي للاستناد إليه؛ فإنّه في مقام تحصيل الحجّة لا يصحّ الاستناد إلى كلّ من هذين الطرفين من الأدلّة، ومادام لم يكن العمل مستنداً إلى الحجّة فلا يكون</w:t>
      </w:r>
    </w:p>
    <w:p>
      <w:pPr>
        <w:pStyle w:val="BookText"/>
        <w:rPr/>
      </w:pPr>
      <w:r>
        <w:rPr>
          <w:rFonts w:ascii="Amiri" w:hAnsi="Amiri" w:eastAsia="Amiri" w:cs="Amiri"/>
          <w:color w:val="111111"/>
          <w:sz w:val="28"/>
          <w:sz w:val="28"/>
          <w:szCs w:val="28"/>
          <w:rtl w:val="true"/>
          <w:lang w:bidi="ar-SA"/>
        </w:rPr>
        <w:t>حينذاك مجزئاً، فالأعلم انطلاقاً من هذا يفتي بالاحتياط طريقاً لتحصيل الواقع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اعترف به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 عدم تمامية الأدلّة إنّما هو عدم صحّة الاستناد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للقول بعدم جواز الرجوع إلى غير الأعلم؛ حيث إنّ الإفتاء الحاصل من قبل غير الأعلم إنّما تمّ في نظر الأعلم على أساس الاستناد إلى غير الحجّة، وبالتالي فلايصحّ التقليد عنه؛ لأنّه يعني العمل غير المستند إلى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يفتِ الأعلم بالحكم الواقعي، غير أنّه أفتى بالحكم الظاهري وهو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أساس عدم انتهاء الاستنباط لديه؛ بمعنى أنّ الأعلم يقوم بعملية الاستنباط ولكنّه لا يُنهيها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الشقّ وسابقه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الشقّ السابق يستنبط استنباطاً تامّاً، وكانت نتيجته عدم تمامية الأدلّة القائمة على الطرفين لديه، بينما هو في هذا الشقّ يحاول الاستنباط ثمّ يتركه لسبب خاصّ</w:t>
      </w:r>
      <w:r>
        <w:rPr>
          <w:rStyle w:val="FootnoteAnchor"/>
          <w:rtl w:val="true"/>
        </w:rPr>
        <w:footnoteReference w:id="345"/>
      </w:r>
      <w:r>
        <w:rPr>
          <w:rFonts w:ascii="Amiri" w:hAnsi="Amiri" w:eastAsia="Amiri" w:cs="Amiri"/>
          <w:color w:val="111111"/>
          <w:sz w:val="28"/>
          <w:sz w:val="28"/>
          <w:szCs w:val="28"/>
          <w:rtl w:val="true"/>
          <w:lang w:bidi="ar-SA"/>
        </w:rPr>
        <w:t>، ويعترف في نفس الوقت بأ نّه لم يتمّ استنباطه، فيحكم بوجوب الاحتياط حسب ما يراه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فإنّه في الشقّ السابق يكون لازم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تمامية الأدلّة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اعتقاده بخطأ رأي غيره الذي قد تمّ على أساس تلك الأدلّة، بينما لا يكون لازم عدم تمامية استنباطه في هذا الشقّ أن يكون معتقداً بخطأ غيره في رأيه، بل لو سئل عمّا لدى غيره لأجاب باحتمال صحّة ما عند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نفهم أنّ حكم هذا الشقّ هو جواز الرجوع إلى الغير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تبيّن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قد قيل من أنّه يجوز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الاحتياطات الوجوبية للأعلم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الأعلم في غير محلّه؛ فإنّه يجوز هذا الرجوع في</w:t>
      </w:r>
      <w:bookmarkStart w:id="186" w:name="pg1790_14763"/>
    </w:p>
    <w:p>
      <w:pPr>
        <w:pStyle w:val="BookText"/>
        <w:rPr/>
      </w:pPr>
      <w:bookmarkEnd w:id="186"/>
      <w:r>
        <w:rPr>
          <w:rFonts w:ascii="Amiri" w:hAnsi="Amiri" w:eastAsia="Amiri" w:cs="Amiri"/>
          <w:color w:val="111111"/>
          <w:sz w:val="28"/>
          <w:sz w:val="28"/>
          <w:szCs w:val="28"/>
          <w:rtl w:val="true"/>
          <w:lang w:bidi="ar-SA"/>
        </w:rPr>
        <w:t>خصوص هذا الشقّ ولا يجوز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الاحتياطات الوجوبية التي يجوز الرجوع فيها إلى غير الأعلم لابدّ من رعاية الأعلم فالأعلم؛ بمعنى أنّه لو وجد فقهاء لم يكونوا على حدّ سواء بل كان أحدهم أعلم من الباقين فلابدّ من الرجوع إليه، فإن لم تكن له فتوى في ذلك المورد فلابدّ من الرجوع إلى الأعلم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ما ذكر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كوجوهٍ على تعيّن الرجوع إلى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هذا المقام أيضاً</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371662_3650668749"/>
      <w:bookmarkStart w:id="188" w:name="_Toc69"/>
      <w:bookmarkEnd w:id="187"/>
      <w:r>
        <w:rPr>
          <w:rtl w:val="true"/>
        </w:rPr>
        <w:t>رأي السيّد الإمام قدس سره‌</w:t>
      </w:r>
      <w:bookmarkEnd w:id="188"/>
    </w:p>
    <w:p>
      <w:pPr>
        <w:pStyle w:val="BookText"/>
        <w:rPr/>
      </w:pPr>
      <w:r>
        <w:rPr>
          <w:rFonts w:ascii="Amiri" w:hAnsi="Amiri" w:eastAsia="Amiri" w:cs="Amiri"/>
          <w:color w:val="111111"/>
          <w:sz w:val="28"/>
          <w:sz w:val="28"/>
          <w:szCs w:val="28"/>
          <w:rtl w:val="true"/>
          <w:lang w:bidi="ar-SA"/>
        </w:rPr>
        <w:t>هذا، ولكنّ السيّد الماتن قدس سره رأى أنّ هذه الرعاية</w:t>
      </w:r>
      <w:r>
        <w:rPr>
          <w:rStyle w:val="FootnoteAnchor"/>
          <w:rtl w:val="true"/>
        </w:rPr>
        <w:footnoteReference w:id="346"/>
      </w:r>
      <w:r>
        <w:rPr>
          <w:rFonts w:ascii="Amiri" w:hAnsi="Amiri" w:eastAsia="Amiri" w:cs="Amiri"/>
          <w:color w:val="111111"/>
          <w:sz w:val="28"/>
          <w:sz w:val="28"/>
          <w:szCs w:val="28"/>
          <w:rtl w:val="true"/>
          <w:lang w:bidi="ar-SA"/>
        </w:rPr>
        <w:t>أمر احتياطي ولم يفتِ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قبلنا قيامها على لزوم الرجوع إلى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للاستناد إليها بالنسبة إلى الموارد العادية والأوّلية، أمّا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نريد أن نرجع فيه إلى غير الأعلم بلحاظ عدم فتوى للأعلم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إثبات لزوم الرجوع إلى الأعلم بعده بالسيرة يكون من سنخ الرجوع إلى الأدلّة اللبّية في الزائد على المتيقّن منها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يحكم العقل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قاعدة الشغل، فيقال بالاحتياط هنا</w:t>
      </w:r>
      <w:r>
        <w:rPr>
          <w:rFonts w:eastAsia="Amiri" w:cs="Amiri" w:ascii="Amiri" w:hAnsi="Amiri"/>
          <w:color w:val="111111"/>
          <w:sz w:val="28"/>
          <w:szCs w:val="28"/>
          <w:rtl w:val="true"/>
          <w:lang w:bidi="ar-SA"/>
        </w:rPr>
        <w:t>.</w:t>
      </w:r>
      <w:bookmarkStart w:id="189" w:name="pg1790_14764"/>
    </w:p>
    <w:p>
      <w:pPr>
        <w:pStyle w:val="Heading3"/>
        <w:numPr>
          <w:ilvl w:val="2"/>
          <w:numId w:val="1"/>
        </w:numPr>
        <w:rPr/>
      </w:pPr>
      <w:bookmarkStart w:id="190" w:name="__RefHeading___Toc2371664_3650668749"/>
      <w:bookmarkStart w:id="191" w:name="_Toc70"/>
      <w:bookmarkEnd w:id="189"/>
      <w:bookmarkEnd w:id="190"/>
      <w:r>
        <w:rPr>
          <w:rtl w:val="true"/>
        </w:rPr>
        <w:t>فتوى من لا أهلية له‌</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من ليس له أهلية الفتوى ثمّ التفت وجب عليه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قلّد غير الأعلم وجب العدول إلى الأعلم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فتوى من لا أهلية 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تقليد من ليس له أهلية الفتوى كلا تقليد، فيجب عليه الرجوع إلى من له الأهلية والشرائط لمرجعية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بالعدول في المتن بحسب ظاهر حاله سابقاً من تقليده الباطل، ومنه يظهر أنّ وجوب العدول هنا لا يبتني على ما تقدّم في مستند المسألة الرابعة، بل الواجب هنا واقعاً هو الرجوع الابتدائي إلى جامع الشرائط، كما أنّ حكم أعماله قبل الرجوع إلى جامع الشرائط حكم أعمال من عمل بلا تقليد، وسيأتي ذلك في المسألة العشرين إن شاء اللَّه تعالى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بعينه ما تقدّم في الفقرة الثانية من المسألة الرابعة، وتقدّم مستنده أيضاً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توجيه الاحتياط فيه عند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قدس سره إذا أوجب تقليد الأعلم ابتداءً بشكل احتياطي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الخامسة، فالعدول إليه من غير الأعلم أيضاً يكون احتياطياً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قلّد الأعلم ثمّ صار غيره أعلم منه؛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التي يعلم تفصيلًا مخالفتهما فيها في الفرضين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العدول من المساوي إلى المساوي عنده جائز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احتياط وجوبياً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مسألة العدول من غير الأعلم إلى الأعلم لا يكون عنده احتياط إلّا في وجوب الرجوع إلى الأعلم، ولا يكون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أصل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احتياطي في تركه يجب 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وجه النظر فيما قاله بعض الأعلام مستشكلًا على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اللازم عليه في مسألة العدول من غير الأعلم إلى الأعلم رعاية جانب احتياطين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احتياط من جانب العدول وهو يقتضي ترك العدول، واحتياط من جانب الرجوع إلى الأعلم وهو يقتضي العدول إليه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الإشكال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 على متن سابق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احتاط فيه الماتن في المسألة الرابعة منه بعدم جواز العدول من الحيّ إلى الحيّ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اختاره في المتن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فتواه بجواز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نظره قدس سره احتياط وجوبي إلّامن ناحية تعيين الرجوع إلى الأعلم، فراجع مستند المسألة الرابعة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الفرض مصداق آخر للعدول من غير الأعلم إلى الأعلم، وصيرورته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في مستند المسألة كما لا يخفى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مبتنٍ على ما تقدّم منه قدس سره في مستند المسألة الخامسة، فقد نقلنا</w:t>
      </w:r>
    </w:p>
    <w:p>
      <w:pPr>
        <w:pStyle w:val="BookText"/>
        <w:rPr/>
      </w:pPr>
      <w:r>
        <w:rPr>
          <w:rFonts w:ascii="Amiri" w:hAnsi="Amiri" w:eastAsia="Amiri" w:cs="Amiri"/>
          <w:color w:val="111111"/>
          <w:sz w:val="28"/>
          <w:sz w:val="28"/>
          <w:szCs w:val="28"/>
          <w:rtl w:val="true"/>
          <w:lang w:bidi="ar-SA"/>
        </w:rPr>
        <w:t>عنه قدس سره أنّ الصورة التي يجب الاحتياط فيها بالرجوع إلى الأعلم هي الصورة التي يعلم مخالفة فتوى الأعلم مع فتوى غير الأعلم تفصيلًا، وقد ذكر أنّه يلحق بها الصورة التي يعلم المخالفة إجمالًا بعلم إجمالي منجّز عليه في أطراف مبتلى بها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هذه الصورة وما يلحق بها فالسيرة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على رجوع الجاهل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فبما أنّ الفرضين المشار إليهما في المتن من مصاديق وجوب الرجوع إلى الأعلم احتياطاً في الحقيقة، فيجب رعاية قيده من العلم تفصيلًا بالمخالفة، وينبغي الالتفات إلى ما الحق به أيضاً وهو العلم الإجمالي المنجّز بالمخالفة</w:t>
      </w:r>
      <w:r>
        <w:rPr>
          <w:rFonts w:eastAsia="Amiri" w:cs="Amiri" w:ascii="Amiri" w:hAnsi="Amiri"/>
          <w:color w:val="111111"/>
          <w:sz w:val="28"/>
          <w:szCs w:val="28"/>
          <w:rtl w:val="true"/>
          <w:lang w:bidi="ar-SA"/>
        </w:rPr>
        <w:t>.</w:t>
      </w:r>
      <w:bookmarkStart w:id="192" w:name="pg1790_14767"/>
    </w:p>
    <w:p>
      <w:pPr>
        <w:pStyle w:val="Heading3"/>
        <w:numPr>
          <w:ilvl w:val="2"/>
          <w:numId w:val="1"/>
        </w:numPr>
        <w:rPr/>
      </w:pPr>
      <w:bookmarkStart w:id="193" w:name="__RefHeading___Toc2371666_3650668749"/>
      <w:bookmarkStart w:id="194" w:name="_Toc71"/>
      <w:bookmarkEnd w:id="192"/>
      <w:bookmarkEnd w:id="193"/>
      <w:r>
        <w:rPr>
          <w:rtl w:val="true"/>
        </w:rPr>
        <w:t>تقليد الميّت‌</w:t>
      </w:r>
      <w:bookmarkEnd w:id="194"/>
    </w:p>
    <w:p>
      <w:pPr>
        <w:pStyle w:val="Heading4"/>
        <w:numPr>
          <w:ilvl w:val="3"/>
          <w:numId w:val="1"/>
        </w:numPr>
        <w:rPr/>
      </w:pPr>
      <w:bookmarkStart w:id="195" w:name="__RefHeading___Toc2371668_3650668749"/>
      <w:bookmarkStart w:id="196" w:name="_Toc72"/>
      <w:bookmarkEnd w:id="195"/>
      <w:r>
        <w:rPr>
          <w:rtl w:val="true"/>
        </w:rPr>
        <w:t>اشارة</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تقليد الميّت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تقليد الميّت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جوازاً، ومنعاً مطلقاً، أو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اهتمّ بها الأصحاب، وقد وقع بينهم بل وبين غيرهم من العامّة فيها خلاف عظيم؛ ولذلك قد اختصّت بالدراسة والبحث بشكل مستقلّ ومستوعب؛ حتّى عملوا فيها كتباً ورسائل عديدة، فبعضٌ حاول إثبات الحكم بالمنع والحرمة مطلقاً، وآخر إثبات الجواز مطلقاً، وثالث إثبات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على المسألة مراحل، أهمّها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كفكرة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جواز التقليد للميّت قد حصلت لأوّل مرّة في القرن الثاني؛ حيث طرح أهل السنّة مسألة جواز تقليد الصحابة،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الأولى بالتقليد، وقد استبطنت هذه المسألة فكرة تقليد الميّت كما هو معلوم، وقد ترسّخت هذه الفكرة بموت أئمّة المذاهب السنّية؛ حيث أخذوا في تقليدهم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 على طاولة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استمرّ تقليد الميّت كسيرة عملية لدى</w:t>
      </w:r>
    </w:p>
    <w:p>
      <w:pPr>
        <w:pStyle w:val="BookText"/>
        <w:rPr/>
      </w:pPr>
      <w:r>
        <w:rPr>
          <w:rFonts w:ascii="Amiri" w:hAnsi="Amiri" w:eastAsia="Amiri" w:cs="Amiri"/>
          <w:color w:val="111111"/>
          <w:sz w:val="28"/>
          <w:sz w:val="28"/>
          <w:szCs w:val="28"/>
          <w:rtl w:val="true"/>
          <w:lang w:bidi="ar-SA"/>
        </w:rPr>
        <w:t>أهل السنّة طوال قرون، حتّى حلّ القرن الرابع وما حصل فيه من سدّهم لباب الاجتهاد، فانتقلت مسألة تقليد الميّت من حالة كونها فكرة غير مدروسة إلى ساحة البحث والدراسة؛ نتيجةً للحاجة التي كان يتطلّبها عهد التقليد، وأوّل من طرحها في هذا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يبدو من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القصّار المالكي، فقد عقد باباً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تقليد من مات من العلماء</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علماء الإمامية إلى دراسة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المسألة لأوّل مرّة في بحوث الإمامية في القرن السابع، وأوّل من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رحمه الله، ثمّ تبعه من جاء بعده، وكلّما مرّ الزمن تطوّر وتعمّق البحث حولها أكثر فأكثر؛ حتّى احتلّت المسألة مكانة مرموقة في البحث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أقدم من خاض في الكلام عنها، وأثار البحث حولها، وأكّد على الحرمة مطلقاً، هو المحقّق الكركي</w:t>
      </w:r>
      <w:r>
        <w:rPr>
          <w:rStyle w:val="FootnoteAnchor"/>
          <w:rtl w:val="true"/>
        </w:rPr>
        <w:footnoteReference w:id="349"/>
      </w:r>
      <w:r>
        <w:rPr>
          <w:rFonts w:ascii="Amiri" w:hAnsi="Amiri" w:eastAsia="Amiri" w:cs="Amiri"/>
          <w:color w:val="111111"/>
          <w:sz w:val="28"/>
          <w:sz w:val="28"/>
          <w:szCs w:val="28"/>
          <w:rtl w:val="true"/>
          <w:lang w:bidi="ar-SA"/>
        </w:rPr>
        <w:t>من أعاظم فقهاء أهل البيت عليهم السلام، ثمّ الشهيد الثاني</w:t>
      </w:r>
      <w:r>
        <w:rPr>
          <w:rStyle w:val="FootnoteAnchor"/>
          <w:rtl w:val="true"/>
        </w:rPr>
        <w:footnoteReference w:id="350"/>
      </w:r>
      <w:r>
        <w:rPr>
          <w:rFonts w:ascii="IRNazanin" w:hAnsi="IRNazanin" w:eastAsia="IRNazanin"/>
          <w:color w:val="111111"/>
          <w:sz w:val="28"/>
          <w:sz w:val="28"/>
          <w:szCs w:val="28"/>
          <w:rtl w:val="true"/>
          <w:lang w:bidi="fa-IR"/>
        </w:rPr>
        <w:t xml:space="preserve">وابنه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 وقد تبعا المحقّق الثاني في القول بالمنع مطلقاً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مسألة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تلاحظ بالقياس إلى العامّي حسب ما يستقلّ به عقله، واخرى تلاحظ بالنسبة إلى المجتهد من حيث ما يستفيده من الأدلّة الاجتهادية لفظية ولبّية، أو من الأدلّة الفقاهتية شرعية وعقلية</w:t>
      </w:r>
      <w:r>
        <w:rPr>
          <w:rFonts w:eastAsia="Amiri" w:cs="Amiri" w:ascii="Amiri" w:hAnsi="Amiri"/>
          <w:color w:val="111111"/>
          <w:sz w:val="28"/>
          <w:szCs w:val="28"/>
          <w:rtl w:val="true"/>
          <w:lang w:bidi="ar-SA"/>
        </w:rPr>
        <w:t>.</w:t>
      </w:r>
      <w:bookmarkStart w:id="197" w:name="pg1790_14769"/>
    </w:p>
    <w:p>
      <w:pPr>
        <w:pStyle w:val="Heading4"/>
        <w:numPr>
          <w:ilvl w:val="3"/>
          <w:numId w:val="1"/>
        </w:numPr>
        <w:rPr/>
      </w:pPr>
      <w:bookmarkStart w:id="198" w:name="__RefHeading___Toc2371670_3650668749"/>
      <w:bookmarkStart w:id="199" w:name="_Toc73"/>
      <w:bookmarkEnd w:id="197"/>
      <w:bookmarkEnd w:id="198"/>
      <w:r>
        <w:rPr>
          <w:rtl w:val="true"/>
        </w:rPr>
        <w:t>حكم المسألة بالقياس إلى العامّي‌</w:t>
      </w:r>
      <w:bookmarkEnd w:id="199"/>
    </w:p>
    <w:p>
      <w:pPr>
        <w:pStyle w:val="BookText"/>
        <w:rPr/>
      </w:pPr>
      <w:r>
        <w:rPr>
          <w:rFonts w:ascii="Amiri" w:hAnsi="Amiri" w:eastAsia="Amiri" w:cs="Amiri"/>
          <w:color w:val="111111"/>
          <w:sz w:val="28"/>
          <w:sz w:val="28"/>
          <w:szCs w:val="28"/>
          <w:rtl w:val="true"/>
          <w:lang w:bidi="ar-SA"/>
        </w:rPr>
        <w:t>لاشكّ أنّ أصل جواز التقليد أمر عقلي ارتكازي، لا يحتاج إلى الاجتهاد بمعنى الاستنباط من الأدلّة، ولا إلى التقليد، وإلّا لزم سدّ باب العلم به على العامّي؛ فإنّه لا يقدر على الاستنباط من الأدلّة، ولا على تحصيل الإجماع، ولا مقدّمات دليل الانسداد، وتقليده في أصل التقليد دوري أو تسلسلي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ارتكازه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 سؤال العالم والرجوع إليه في أصل التقليد، بل بطبعه وجبلّته وارتكازه يصير إلى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إلى العالم ويأخذ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وضح لديه في خصوصية مساواة الحيّ مع الميّت فلا يحتاج إلى سؤال العالم والرجوع إليه،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عدم التفاوت بينهما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لمنع العالم إيّاه عنه، فيكون في أصل التقليد والبقاء عليه مستغنياً عن الرجوع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التفت إلى المسألة وتحيّر وحصل له الشكّ من هذه الجهة بأ نّه هل يجوز له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أو استمراراً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فلا محالة يحتاج حينئذٍ للرجوع إلى الحيّ؛ إذ المفروض أنّ عقله وارتكازه لم يُجب بشي‌ء، والاستدلال بالرجوع إلى الأدلّة غير ممكن، والرجوع إلى الميّت دوري، فيتعيّن الرجوع إلى الحيّ، فما أفتى به الحيّ الجامع للشرائط هو حكمه ووظيفته</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371672_3650668749"/>
      <w:bookmarkStart w:id="201" w:name="_Toc74"/>
      <w:bookmarkEnd w:id="200"/>
      <w:r>
        <w:rPr>
          <w:rtl w:val="true"/>
        </w:rPr>
        <w:t>حكم المسألة بالقياس إلى المجتهد</w:t>
      </w:r>
      <w:bookmarkEnd w:id="20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رجع إليه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وقاعدة أو دليل على الحكم بجواز الرجوع إلى الميّت أو البقاء عليه، أم لابدّ من العدول عنه</w:t>
      </w:r>
      <w:r>
        <w:rPr>
          <w:rStyle w:val="FootnoteAnchor"/>
          <w:rtl w:val="true"/>
        </w:rPr>
        <w:footnoteReference w:id="3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فمصبّ البحث ومحلّ الكلام في المسألة جوازاً ومنعاً إنّما هو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الأقوال في اعتبار الحياة فيمن يجوز تقليده وعدم اعتبارها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الأصحاب وهو اعتبارها حدوثاً وبقاءً، فلا يجوز تقليد الميّت لا ابتداءً ولا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 مطلقاً، فيجوز تقليده ابتداءً واستدامةً، وهذا منسوب إلى العامّة، ولكن لا يخفى أنّهم أيضاً مختلفون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على الجواز، وبعض على العدم، وجماعة على الوجوب، والقول بوجوب تقليد أئمّتهم الأربعة وحصر المذاهب الفقهية فيها ليس رأياً فقهياً علمياً، بل هو أمر سياسي أقدم عليه بعض الخلفاء وأيّدهم في ذلك بعض العلماء، وللكلام في هذا المقام مجال واسع يُحال إلى محلّه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نسبته إلى الأخباريّين من علمائنا ففي غير محلّه؛ فإنّهم منكرون لأصل الاجتهاد والتقليد بالمعنى المصطلح، والبقاء على الأموات عندهم ليس من باب تقليدهم، بل من باب الرواية، ومن المعلوم عدم اعتبار الحياة في الراوي لأجل الرجوع إلى روايته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فخلافهم ليس رأياً وقولًا في المسألة، بل هو خارج عنها يؤول إلى إنكار أصل التقليد بالمعنى المصطلح حتّى بالقياس إلى الأحياء، وأمّا الجائز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بالنسبة إلى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الرجوع إلى الراوي في الرواية أو نقلها بالمعنى، وهو شي‌ء يغاير الإفتاء والتقليد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القول بجواز تقليد الميّت مطلقاً ينسب إلى المحقّق القمّي</w:t>
      </w:r>
      <w:r>
        <w:rPr>
          <w:rStyle w:val="FootnoteAnchor"/>
          <w:rtl w:val="true"/>
        </w:rPr>
        <w:footnoteReference w:id="356"/>
      </w:r>
      <w:r>
        <w:rPr>
          <w:rFonts w:ascii="Amiri" w:hAnsi="Amiri" w:eastAsia="Amiri" w:cs="Amiri"/>
          <w:color w:val="111111"/>
          <w:sz w:val="28"/>
          <w:sz w:val="28"/>
          <w:szCs w:val="28"/>
          <w:rtl w:val="true"/>
          <w:lang w:bidi="ar-SA"/>
        </w:rPr>
        <w:t>، ويستفاد من ظاهر بعض الأجلّاء من أهل العصر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الابتداء به والاستدامة عليه، وهو قول حادث من بعض من عاصر السيّد الصدر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جماعة من متأخّري المتأخّرين من محقّقي الأصحاب منهم السيّد الإمام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وجود الحيّ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العلّامة والأردبيلي</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ليس تفصيلًا في المسألة؛ إذ موضوعها ومحلّها وجود الحيّ، وأمّا فرض عدمه فمسألة اخرى تغاير مسألتنا موضوعاً ومحمولًا، قد تعرّض لها الأصحاب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بين من يفتي بمنطوقات الأدلّة، ومن يعمل بالأفراد الخفية للعمومات واللوازم الغير الظاهرة للملزومات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تفصيلًا في المسألة، بل هو تفصيل بين من يجوز الرجوع إليه ولو كان ميّتاً، ومن لا يجوز ولو كان حيّاً، وهو أمر لا يرتبط بالتقليد المصطلح؛ ولذلك 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عدّ الفاضل التوني في عداد نظرائه من الأخباريّين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ممّن يجوز الرجوع إليه في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وتمييزه عمّن</w:t>
      </w:r>
      <w:bookmarkStart w:id="202" w:name="pg1790_14772"/>
    </w:p>
    <w:p>
      <w:pPr>
        <w:pStyle w:val="BookText"/>
        <w:rPr/>
      </w:pPr>
      <w:bookmarkEnd w:id="202"/>
      <w:r>
        <w:rPr>
          <w:rFonts w:ascii="Amiri" w:hAnsi="Amiri" w:eastAsia="Amiri" w:cs="Amiri"/>
          <w:color w:val="111111"/>
          <w:sz w:val="28"/>
          <w:sz w:val="28"/>
          <w:szCs w:val="28"/>
          <w:rtl w:val="true"/>
          <w:lang w:bidi="ar-SA"/>
        </w:rPr>
        <w:t>لايجوز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إليه بما هو راوٍ وناقل لما هو المأثور عن المعصومين عليهم السلام، لا بما هو مفتٍ ومرجع للتقليد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عند الدقّة تكون ثلاثية الأقوال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فالمهمّ إنّما هو بيان ما استدلّ به لكلّ من الأقوال من الوجوه، فنقول</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371674_3650668749"/>
      <w:bookmarkStart w:id="204" w:name="_Toc75"/>
      <w:bookmarkEnd w:id="203"/>
      <w:r>
        <w:rPr>
          <w:rtl w:val="true"/>
        </w:rPr>
        <w:t>الوجوه المستدلّ بها لعدم جواز تقليد الميّت مطلقاً</w:t>
      </w:r>
      <w:bookmarkEnd w:id="204"/>
    </w:p>
    <w:p>
      <w:pPr>
        <w:pStyle w:val="BookText"/>
        <w:rPr/>
      </w:pPr>
      <w:r>
        <w:rPr>
          <w:rFonts w:ascii="Amiri" w:hAnsi="Amiri" w:eastAsia="Amiri" w:cs="Amiri"/>
          <w:color w:val="111111"/>
          <w:sz w:val="28"/>
          <w:sz w:val="28"/>
          <w:szCs w:val="28"/>
          <w:rtl w:val="true"/>
          <w:lang w:bidi="ar-SA"/>
        </w:rPr>
        <w:t>قد استدلّ على قول المشهور بوجوه، قد أنهاها بعض إلى ستّة وبعض إلى سبعة، ولكنّا نتعرّض للأهمّ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العمدة بل الوحيد لمّا كان هو الأصل، فلابدّ من بيانه وتقريره مع ما اورد 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المستفاد من الأدلّة القطعية كتاباً وسنّةً وإجماعاً وعقلًا هو عدم حجّية غير العلم وحرمة العمل بما وراءه، إلّاما خرج بدليل معتبر قطعي؛ كحجّية فتوى المجتهد الحيّ الجامع لسائر شرائط الإفتاء بالإجماع القطعي والسيرة العقلائية الممضاة عند الشارع، بل وبالجبلّة والفطرة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يقم على اعتباره دليل معتبر، وشكّ في حجّيته واعتباره، فمقتضى الأصل عدم الحجّية؛ ومن هنا اشتهر أنّ الشكّ في الحجّية يساوق القطع بعدمها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الأصل في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اتّفاقي بين الأصحاب، ولم يوجد له بينهم نكير؛ ولذا أرسلوه إرسال المسلّمات، وجعلوا الشكّ في الحجّية مساوقاً للقطع بعدمها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في هذا الأصل؛ حيث إنّ الأوّل منع من عموم النهي عن التقليد واتّباع الظنّ وخصّصه باصول الدين</w:t>
      </w:r>
      <w:r>
        <w:rPr>
          <w:rStyle w:val="FootnoteAnchor"/>
          <w:rtl w:val="true"/>
        </w:rPr>
        <w:footnoteReference w:id="362"/>
      </w:r>
      <w:r>
        <w:rPr>
          <w:rFonts w:ascii="Amiri" w:hAnsi="Amiri" w:eastAsia="Amiri" w:cs="Amiri"/>
          <w:color w:val="111111"/>
          <w:sz w:val="28"/>
          <w:sz w:val="28"/>
          <w:szCs w:val="28"/>
          <w:rtl w:val="true"/>
          <w:lang w:bidi="ar-SA"/>
        </w:rPr>
        <w:t>، والثاني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أمثال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باب العلم منسدّاً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الظنّ وجواز العمل به، إلّاما خرج بالدليل كالظنّ القياسي، والاستدلال بالآيات على حرمة العمل بالظنّ مستلزم للدور لأنّه استدلال بالظنّ</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اجيب عن الأوّل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ممّا لا ينبغي الإصغاء إليه،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الامور الضرورية، وقد دلّ على حرمته الأدلّة الأربعة؛ فإنّ القول بغير علم تقوُّل وافتراء على اللَّه، وهو ظلمٌ قبيح ومن أظلم ممّن افترى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فساد المبنى من القول بالانسداد وحجّية مطلق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ذلك الأصل لا ينحصر في الكتاب في آية منه، بل ذلك يستفاد من الكتاب علماً بواسطة تعاضد الظواهر، بل الأخبار في ذلك متواترة؛ حتّى أنّ بعض المتأخّرين قد تصدّى لجمعها،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خمسمئة رواية، بل ادّعي عليها الضرورة الدينية كالضرورة العقلية، وعن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صبيان الإمامية ونسائهم على عدم جواز العمل بالظنّ</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عدم حجّية غير العلم وحرمة العمل بما وراءه إلّاما خرج بالدليل، فيمكن أن يقرّر الأصل في محلّ النزاع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المجتهد لا يفيد إلّاالظنّ، واتّباعه اتّباع للظنّ، وهو لا يغني من الحقّ شيئاً إلّاما ثبتت حجّيته بالدليل القطعي، والمقدار الخارج بالقطع من رأي المجتهد بأدلّة التقليد هو رأيه حيّاً، فيكون تقليد</w:t>
      </w:r>
    </w:p>
    <w:p>
      <w:pPr>
        <w:pStyle w:val="BookText"/>
        <w:rPr/>
      </w:pPr>
      <w:r>
        <w:rPr>
          <w:rFonts w:ascii="Amiri" w:hAnsi="Amiri" w:eastAsia="Amiri" w:cs="Amiri"/>
          <w:color w:val="111111"/>
          <w:sz w:val="28"/>
          <w:sz w:val="28"/>
          <w:szCs w:val="28"/>
          <w:rtl w:val="true"/>
          <w:lang w:bidi="ar-SA"/>
        </w:rPr>
        <w:t>الميّت مشكوك الجواز والحجّية، فيبقى تحت الأصل، فعلى القائد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هدم الأصل، وإمّا من إثبات المخرج</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يقرّر هذا الأصل بتقرير ثانٍ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فتوى المجتهد وجواز العمل برأيه، طريق جعلي يحتاج إلى الدليل؛ وإلّا لما جاز اتّباعه، ومع دوران الأمر بين العمل برأي الحيّ والأخذ برأي الميّت، فالعمل بالأوّل متسالم عليه عند الكلّ، وأمّا الثاني فمشكوك، والأصل العقلي عند دوران الأمر بين التعيين والتخيير هو التعيين؛ إذ الحيّ رأيه حجّة على كلّ حال، وأمّا الميّت فمشكوك حجّيته، والأصل عند الشكّ في الحجّية هو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التقرير مستفاد من التقريرات</w:t>
      </w:r>
      <w:r>
        <w:rPr>
          <w:rStyle w:val="FootnoteAnchor"/>
          <w:rtl w:val="true"/>
        </w:rPr>
        <w:footnoteReference w:id="3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والاجتهاد والتقليد للمحقّق الأصفهاني</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تقرير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اشتغال الذمّة يقيناً يقتضي عقلًا فراغها اليقيني، ولا يحصل إلّابالأخذ بقول الحيّ، فيتعيّن تقليده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الإجماع المحقَّق من الطائفة المحقّة، ويمكن الاطّلاع عليه واستعلامه من كلمات أصحابنا الإمامية في المسألة؛ فإنّ نقل الاتّفاق والإجماع فوق حدّ الاستفاضة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كلام المحقّق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والشهيد الثاني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ورسالته المعمولة في المسألة</w:t>
      </w:r>
      <w:r>
        <w:rPr>
          <w:rStyle w:val="FootnoteAnchor"/>
          <w:rtl w:val="true"/>
        </w:rPr>
        <w:footnoteReference w:id="372"/>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والمحقّق الداماد</w:t>
      </w:r>
      <w:r>
        <w:rPr>
          <w:rStyle w:val="FootnoteAnchor"/>
          <w:rtl w:val="true"/>
        </w:rPr>
        <w:footnoteReference w:id="374"/>
      </w:r>
      <w:r>
        <w:rPr>
          <w:rFonts w:ascii="Amiri" w:hAnsi="Amiri" w:eastAsia="Amiri" w:cs="Amiri"/>
          <w:color w:val="111111"/>
          <w:sz w:val="28"/>
          <w:sz w:val="28"/>
          <w:szCs w:val="28"/>
          <w:rtl w:val="true"/>
          <w:lang w:bidi="ar-SA"/>
        </w:rPr>
        <w:t>، والوحيد البهبهاني</w:t>
      </w:r>
      <w:r>
        <w:rPr>
          <w:rStyle w:val="FootnoteAnchor"/>
          <w:rtl w:val="true"/>
        </w:rPr>
        <w:footnoteReference w:id="375"/>
      </w:r>
      <w:r>
        <w:rPr>
          <w:rFonts w:ascii="Amiri" w:hAnsi="Amiri" w:eastAsia="Amiri" w:cs="Amiri"/>
          <w:color w:val="111111"/>
          <w:sz w:val="28"/>
          <w:sz w:val="28"/>
          <w:szCs w:val="28"/>
          <w:rtl w:val="true"/>
          <w:lang w:bidi="ar-SA"/>
        </w:rPr>
        <w:t xml:space="preserve">، في دعوى الإجماع وضرورة المذهب على عدم جواز تقليد الميّت، وأشار إلى ما يوهم الخلاف من مخالفة الأخباريّين وكلام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والمحقّق القمّي</w:t>
      </w:r>
      <w:r>
        <w:rPr>
          <w:rStyle w:val="FootnoteAnchor"/>
          <w:rtl w:val="true"/>
        </w:rPr>
        <w:footnoteReference w:id="377"/>
      </w:r>
      <w:r>
        <w:rPr>
          <w:rFonts w:ascii="IRNazanin" w:hAnsi="IRNazanin" w:eastAsia="IRNazanin"/>
          <w:color w:val="111111"/>
          <w:sz w:val="28"/>
          <w:sz w:val="28"/>
          <w:szCs w:val="28"/>
          <w:rtl w:val="true"/>
          <w:lang w:bidi="fa-IR"/>
        </w:rPr>
        <w:t>، وأجاب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الإجماعات يستكشف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ينبغي الارتياب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 المجمعين دليلًا معتبراً يدلّ على ذلك، وذلك يكفي في المقام؛ إذ لا يلزم أن يكون الدليل معلوماً على وجه التفصيل، بل يكفي وجوده ولو إجمالًا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كلمات الشيخ هو تلقّيه الإجماع بالقبول، ووافقه في ذلك جماعة منهم السيّد الحكيم</w:t>
      </w:r>
      <w:r>
        <w:rPr>
          <w:rStyle w:val="FootnoteAnchor"/>
          <w:rtl w:val="true"/>
        </w:rPr>
        <w:footnoteReference w:id="379"/>
      </w:r>
      <w:r>
        <w:rPr>
          <w:rFonts w:ascii="Amiri" w:hAnsi="Amiri" w:eastAsia="Amiri" w:cs="Amiri"/>
          <w:color w:val="111111"/>
          <w:sz w:val="28"/>
          <w:sz w:val="28"/>
          <w:szCs w:val="28"/>
          <w:rtl w:val="true"/>
          <w:lang w:bidi="ar-SA"/>
        </w:rPr>
        <w:t xml:space="preserve">، والسيّد الخوئي في الجملة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الاصول</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والمحقّق اللنكراني</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الأجلّة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لايقدح بتحقّق الإجماع في المسألة ما نسب إلى الأخباريّين والمحقّق القمّي من القول بجواز تقليد الميّت؛ حيث إنّه ليس مخالفة في المسألة؛ إذ الكلام</w:t>
      </w:r>
    </w:p>
    <w:p>
      <w:pPr>
        <w:pStyle w:val="BookText"/>
        <w:rPr/>
      </w:pPr>
      <w:r>
        <w:rPr>
          <w:rFonts w:ascii="Amiri" w:hAnsi="Amiri" w:eastAsia="Amiri" w:cs="Amiri"/>
          <w:color w:val="111111"/>
          <w:sz w:val="28"/>
          <w:sz w:val="28"/>
          <w:szCs w:val="28"/>
          <w:rtl w:val="true"/>
          <w:lang w:bidi="ar-SA"/>
        </w:rPr>
        <w:t>إنّما هو بناءً على الانفتاح وشرعية التقليد، والمحقّق القمّي</w:t>
      </w:r>
      <w:r>
        <w:rPr>
          <w:rStyle w:val="FootnoteAnchor"/>
          <w:rtl w:val="true"/>
        </w:rPr>
        <w:footnoteReference w:id="382"/>
      </w:r>
      <w:r>
        <w:rPr>
          <w:rFonts w:ascii="Amiri" w:hAnsi="Amiri" w:eastAsia="Amiri" w:cs="Amiri"/>
          <w:color w:val="111111"/>
          <w:sz w:val="28"/>
          <w:sz w:val="28"/>
          <w:szCs w:val="28"/>
          <w:rtl w:val="true"/>
          <w:lang w:bidi="ar-SA"/>
        </w:rPr>
        <w:t>قائل بالانسداد، والأخباري قائل بعدم جواز التقليد، فمخالفتهم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المباني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قادحة في الإجماع، ولو أنّهم قالوا بالانفتاح وشرعية التقليد وسلكوا مسلكنا فلا علم لنا بأ نّهم كانوا يجوّزون تقليد الميّت ابتداءً حتّى يكون قولًا مخالفاً للإجماع،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يمكن المناقشة في الاستدلال بالإجماع في المقام؛ لأنّ الإجماع هنا ليس من الإجماع المعتبر،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المعتبر لا يخلو حاله عن أحد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الإجماع حاكياً عن سيرة المتشرّعة ومن قبيلها،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العلماء قد يعبّرون عن السيرة بلفظة الإجماع، وموارد ذلك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في المقام ليس من هذا السنخ؛ وذلك لأنّ المعتبر من سيرة المتشرّعة ما إذا كانت السيرة موجودة في زمن الأئمّة عليهم السلام، ومن المعلوم أنّ قضية التقليد والأخذ عن الميّت لم تكن من المسائل المطروحة في مدرسة أهل البيت عليهم السلام، وحتّى لو تنزّلنا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واحتملنا كون المسألة مطروحة لدى أصحاب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أ نّه لم يكن طرحها لديهم بالغاً إلى مرتبة أوجبت تشكّل سيرة على وفقها، فإنّ الذي يحتاج إليه في تحقّق السيرة ليس صرف كون المسألة مطروحة لدى المتشرّعين، بل اللازم في تحقّقها كون المسألة مبتلى بها عندهم، وكونها كذلك أوّل الكلام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من المتشرّعة ليست هي سيرتهم فحسب، بل تكون ارتكازاتهم أيضاً حجّة، ومن المعلوم أنّ الارتكاز ليس من اللازم أن يكون مرتبطاً</w:t>
      </w:r>
    </w:p>
    <w:p>
      <w:pPr>
        <w:pStyle w:val="BookText"/>
        <w:rPr/>
      </w:pPr>
      <w:r>
        <w:rPr>
          <w:rFonts w:ascii="Amiri" w:hAnsi="Amiri" w:eastAsia="Amiri" w:cs="Amiri"/>
          <w:color w:val="111111"/>
          <w:sz w:val="28"/>
          <w:sz w:val="28"/>
          <w:szCs w:val="28"/>
          <w:rtl w:val="true"/>
          <w:lang w:bidi="ar-SA"/>
        </w:rPr>
        <w:t>بمقام العمل ومتحقّقاً في ساحته؛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الابتلاء بالمسألة لابدّ من توفّره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أمامنا طريق إلى إثبات وجود مثل هذا الارتكاز لأصحاب الأئمّة عليهم السلام، إلّااعتبار ما هو قائم في الأذهان في هذه الأزمان من ارتكازٍ على عدم جواز تقليد الميّت، ومن المعلوم أنّ هذا يواجه إشكالين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وجود هذا الارتكاز لنا، ولا سيما إنّ هناك ارتكازاً عقلائياً على أنّ العالم الميّت يكون قوله طريقاً إلى الواقع بمثل العالم الحيّ، ومعلوم أنّ تحقّق ارتكاز متشرّعي على خلاف مقتضى الارتكاز العقلائي لايتمّ إلّافيما إذا توفّرت وتحقّقت أسباب وعوامل قوية صرفت المتشرّعين عن الارتكاز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كون جذور هذا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ممتدّةً إلى زمن الأئمّة عليهم السلام، ومأخوذةً من ارتكاز قائم آنذاك، محلّ منع جدّاً؛ فإنّ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الارتكاز الفعلي قد نجم وحصل على أساس فتاوى الفقهاء طوال قرون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الإجماع حاصلًا على أساس أصل متلقّى عن المعصوم عليه السلام،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المدّعى في المقام ليس من هذا السنخ أيضاً؛ حيث إنّ الاصول المتلقّاة المجمع عليها هي التي انتقلت من جيل إلى جيل حتّى وصلت إلى قدمائنا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الصدوق والمفيد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فكتبوها في كتبهم ودوّنوها في مؤلّفاتهم، مع أنّ هذه المسألة لم تطرح في كتب هؤلاء كما هو معلوم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الصحيح أن نتصوّر أنّه ما من أصل متلقّى إلّاوقد دوّن في الكتب القدمائية، بل من الممكن أن تكون هناك اصول متلقّاة لم يتسنّ للقدماء</w:t>
      </w:r>
    </w:p>
    <w:p>
      <w:pPr>
        <w:pStyle w:val="BookText"/>
        <w:rPr/>
      </w:pPr>
      <w:r>
        <w:rPr>
          <w:rFonts w:ascii="Amiri" w:hAnsi="Amiri" w:eastAsia="Amiri" w:cs="Amiri"/>
          <w:color w:val="111111"/>
          <w:sz w:val="28"/>
          <w:sz w:val="28"/>
          <w:szCs w:val="28"/>
          <w:rtl w:val="true"/>
          <w:lang w:bidi="ar-SA"/>
        </w:rPr>
        <w:t>المجال لإبرازها، بل برزت بعد فترات زمنية حصلت بعدهم، فإذا شاهدنا إجماعاً قامت قرينة على كون المجمع عليه فيه من تلك الاصول أخذنا به، وهذه القرينة متوفّرة في المقام؛ وهي أنّ تقليد الميّت كان من الأفكار المطروحة لدى أهل السنّة في القرن الثاني، وبما أنّ أهل البيت عليهم السلام وتلاميذهم كانوا ينظرون إلى الأفكار السنّية بعين الحسّاسية، فنظنّ أنّ فكرة تقليد الميّت لم تبق في إطار المدرسة السنّية، بل قد انتقلت إلى مدرسة أهل البيت عليهم السلام وطرحت لديهم، وأنّ الأئمّة عليهم السلام اتّخذوا إزاءها موقفاً سلبياً، فتلقّى الأصحاب هذا الموقف السلبي كأصل، وانتقل هذا الأصل من جيل إلى جيل؛ حتّى انتهى الدور إلى العلّامة ومن جاء بعده فأبرزوه في قالب إجماعهم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الصحيح تصوّر أنّه ما من فكرة لدى أهل السنّة إلّا وقد انتقلت إلى مدرسة أهل البيت عليهم السلام، بل كانت تنتقل إليها تلك الأفكار التي كان أهل السنّة يدرسونها ويبحثون عنها بشكل بارز فحسب، ومن المعلوم أنّ فكرة جواز تقليد الميّت لو كانت موجودة لدى أهل السنّة فهي لم تكن من تلك الأفكار المطروحة على طاولة البحث؛ وإلّا لوجد منها أثر في كتبهم، فالمسألة كانت مطروحة على مستوىً ضعيف لديهم؛ بمعنى أنّهم بعد موت مالك أو أبي حنيفة كانوا يقلّدونهم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ذلك العصر كانت مسألة تقليد الصحابة مطروحة لدى أهل السنّة، غير أنّ بحثهم لم يكن بحثاً مركّزاً على جنبة تقليد الميّت، ولم يكونوا يبحثون مسألة تقليد الصحابة من هذه الزاوية، فإذا كانت هذه الجنبة مغفولًا عنها في أبحاثهم فعدم تعرّف أصحاب الأئمّة عليهم السلام عليها وعدم سرايتها إليهم كان أمراً طبيعياً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الإجماع حاكياً عن أمر ضروري، والإجماع في المقام ليس من</w:t>
      </w:r>
    </w:p>
    <w:p>
      <w:pPr>
        <w:pStyle w:val="BookText"/>
        <w:rPr/>
      </w:pPr>
      <w:r>
        <w:rPr>
          <w:rFonts w:ascii="Amiri" w:hAnsi="Amiri" w:eastAsia="Amiri" w:cs="Amiri"/>
          <w:color w:val="111111"/>
          <w:sz w:val="28"/>
          <w:sz w:val="28"/>
          <w:szCs w:val="28"/>
          <w:rtl w:val="true"/>
          <w:lang w:bidi="ar-SA"/>
        </w:rPr>
        <w:t>هذا السنخ أيضاً كما هو واضح؛ لأنّ جواز تقليد الميّت وعدمه من المسائل التي أصبحت عند العلماء محلّاً للنظر والبحث، فليست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في المقام غير معتبر، بل يبدو أنّه من تلك الإجماعات التي لها منشأ اجتهادي، والمنشأ الاجتهادي في المقام استظهار عدم الجواز من أدلّة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اللفظية للتقليد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نرجع إلى أدلّة التقليد نجد أنّها ظاهرة في الدلالة على اعتبار الحياة في المفتي، فآية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وَلِيُنْذِرُوا قَوْمَهُمْ إِذَا رَجَعُوا إِلَيْهِمْ</w:t>
      </w:r>
      <w:r>
        <w:rPr>
          <w:rStyle w:val="FootnoteAnchor"/>
          <w:rtl w:val="true"/>
        </w:rPr>
        <w:footnoteReference w:id="384"/>
      </w:r>
      <w:r>
        <w:rPr>
          <w:rFonts w:ascii="Amiri" w:hAnsi="Amiri" w:eastAsia="Amiri" w:cs="Amiri"/>
          <w:color w:val="111111"/>
          <w:sz w:val="28"/>
          <w:sz w:val="28"/>
          <w:szCs w:val="28"/>
          <w:rtl w:val="true"/>
          <w:lang w:bidi="ar-SA"/>
        </w:rPr>
        <w:t xml:space="preserve">يوجد لها مثل هذا الظهور؛ حيث إنّ في الآية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ظاهرتان في اعتبار الحياة في المفتي؛ فإنّ المنذر هو شخص من القوم، فالإنذار يتحقّق من قبل الحيّ فقط، كما أنّ الرجوع يتصوّر تحقّقه بالإضافة إلى الحيّ فقط؛ فإنّه الذي يرجع، لا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آية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فإنّ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ظاهرتان في كون الشارع ناظراً إلى إيجاب تقليد الحيّ؛ حيث إنّ السؤال لا يتحقّق بالإضافة إلى الميّت،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فيمن هو متّصف بالذكر فعلًا، لا الميّت الذي كان له الذكر سابقاً وقبل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وشبيه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الظهور للآيتين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كان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أيضاً في الدلالة على اعتبار الحياة؛ حيث إنّ المقصود هو من يتّصف بالفقاهة فعلًا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الأدلّة وإن كانت ناظرة إلى تقليد الحيّ بحسب ما لها من الظهور،</w:t>
      </w:r>
      <w:bookmarkStart w:id="205" w:name="pg1790_14780"/>
    </w:p>
    <w:p>
      <w:pPr>
        <w:pStyle w:val="BookText"/>
        <w:rPr/>
      </w:pPr>
      <w:bookmarkEnd w:id="205"/>
      <w:r>
        <w:rPr>
          <w:rFonts w:ascii="Amiri" w:hAnsi="Amiri" w:eastAsia="Amiri" w:cs="Amiri"/>
          <w:color w:val="111111"/>
          <w:sz w:val="28"/>
          <w:sz w:val="28"/>
          <w:szCs w:val="28"/>
          <w:rtl w:val="true"/>
          <w:lang w:bidi="ar-SA"/>
        </w:rPr>
        <w:t>غير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تسرية حكم التقليد من الحيّ إلى الميّت؛ حيث إنّ المناط في الرجوع إلى الحيّ هو التعرّف على أحكام الشرع، وهذا حاصل أيضاً بالرجوع إلى فتاوى الفقيه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تصحّ المبادرة إلى عملية تنقيح المناط في المقام؛ حيث يحتمل أن تكون للخصوصيات الموجودة في الرجوع إلى الأحياء دخالة في الحكم، ومعه لا مجال لتنقيح المناط، والخصوصيات الموجودة في الأحياء ليست خصوصيات وهمية، بل هي واقعية يتعقّل أخذها؛ مثل خصوصية رعاية الأحياء لمسائل الزمن في فتاويهم، ولا سيّما أنّه قد يمرّ على فتاوى الفقيه الميّت زمن طويل؛ بحيث لا تتناسب فتاواه مع الأوضاع المستجدّة، أو مثل خصوصية كون الأحياء قادرين على طرح المسائل بلغة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الخصوصيات،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الاستدلال بظهور هذه الأدلّة اللفظية على المدّعى يتمّ فيما إذا قلنا بورودها في مقام تأسيس حكم شرعي، أمّا إذا قلنا بأنّ الظاهر منها كونها في مقام تنفيذ الأمر الارتكازي العقلائي، فلا مجال للتمسّك بها في المقام، بل لابدّ من الرجوع حينئذٍ إلى ذلك الارتكاز وما يقتضيه في المقام، وقد اختار السيّد الماتن أنّها في مقام التنفيذ لا التأسيس؛ ولذا اعتبر أنّ التمسّك بها غير صحيح</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2371676_3650668749"/>
      <w:bookmarkStart w:id="207" w:name="_Toc76"/>
      <w:bookmarkEnd w:id="206"/>
      <w:r>
        <w:rPr>
          <w:rtl w:val="true"/>
        </w:rPr>
        <w:t>الوجوه المستدلّ بها لجواز تقليد الميّت مطلقاً</w:t>
      </w:r>
      <w:bookmarkEnd w:id="20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للجواب عن الأصل المتقدّم، وإثباتٌ للمخرج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وقد قرّر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استصحاب الحكم الوضعي وهو الحجّية؛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المجتهد كان حجّة حين حياته، فإذا شكّ في بقائه عليها بعد وفاته يستصحب بقاؤه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استصحاب الحكم التكليفي الواقعي؛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ثابتاً في الواقع حسب فتوى ذلك المجتهد حين حياته، فيشكّ في بقائه بعد موته،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استصحاب الحكم الظاهري،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الجمعة كانت واجبة ظاهراً بمقتضى رأي المجتهد حين حياته، فإذا شكّ في بقاء حكمها بسبب موته يستصحب ويحكم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التقارير المتقاربة التي يؤول بعضها إلى بعض، وما ذكر أحسن التقارير وأجمعها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فحاصل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المفتي كان رأيه حجّة قبل موته، فإذا شكّ في بقائها بعد الموت يستصحب، وأنّ العامّي إذا كان بالغاً عاقلًا جاز له تقليد المجتهد في زمان حياته، فإذا شكّ في جوازه بعد موته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لتمامية أركانه من اليقين السابق، والشكّ اللاحق، واتّحاد القضية المتيقّنة والمشكوكة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تنقطع أصالة عدم الحجّية، ولا يبقى لها مع الاستصحاب موضوع؛ إذ إنّ موضوعها هو الشكّ فيها، ومع الاستصحاب تحرز الحجّية تعبّداً، فلا يبقى شكّ حتّى يجري الاستصحاب ثمّ يحكم بعدمها؛ فإنّ الاستصحاب أصل سببي وموضوعي، ومعه لا مجال للأصل المسبّبي والحكمي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في التمسّك بالاستصحاب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المستصحبة تتصوّر على ثلاثة أوجه كلّها ممنوعة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أن تكون بنحو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يقين بالحجّية وجواز الرجوع للموجودين بعد حياته، فلا يجري الاستصحاب لعدم اليقين بالحدوث، بل وعدم الشكّ في البقاء؛ فإنّه فرع اليقين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للاستصحاب مجال للموجودين في زمانه؛ لتحقّق اليقين بالحجّية وجواز الرجوع في زمان حياته والشكّ بعد موته، فيجري الاستصحاب كما سيأتي بيانه في التفصيل بين البقاء والابتداء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أن تكون بنحو القضية الحقيقية ولكن يكون الاستصحاب بنحو التنجيز؛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وجواز الرجوع بالنسبة إلى رأي المجتهد ثابتة على نحو القضايا الحقيقية التنجيزية لكلّ مكلّف عامّي سواء كان محقّق الوجود أو مقدّره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المُدرك لزمان حياة المجتهد لا يقين له بثبوت الحجّية وجواز الرجوع بالقياس إليه؛ حتّى يستصحبها عند الشكّ بعد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للاستصحاب وجه في حقّ المُدرك لزمان حياته، سوف يأتي بيانه عند ذكر القول بالتفصيل بين الابتدائي والاستدامي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أن تكون بنحو القضية الحقيقية ولكنّ الاستصحاب بنحو التعليق؛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الحجّية لرأي المجتهد وجواز الرجوع إليه انشأت لكلّ مكلّف عامّي، وحينئذٍ فهي متيقّنة في زمان حياته، فإذا شكّ في بقائها بعد موته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التعليقي محلّ منع؛ لأنّ المتيقّن إنّما هو إنشاء الحجّية وجعل جواز الرجوع إلى المجتهد بالقياس إلى المُدرك لحياته، وأمّا بالنسبة إلى المعدومين حال حياته الموجودين بعده فمشكوك الجعل والثبوت، لا أنّه مشكوك البقاء والزوال، فبالنسبة إلى الموجودين بعد حياته يشكّ في أصل الحجّية، فيكون مجرى أصالة عدم الحجّية لا استصحابها كما لايخفى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المخرِج عن أصالة عدم الحجّية بالنسبة إلى رأي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السيّد الإمام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اختار من الصور الثلاث صورة كون المسألة على نهج القضايا الحقيقية وإجراء الاستصحاب على نحو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أن يجيب عن الإشكال حسبما أسّسه في الاصول من التحقيق في حقيقة التشريع في محيط الشريعة، وأ نّه ليس إلّاكحقيقة التقنين في محيط العقلاء، فذكر أنّ الإشكال نشأ عن عدم معرفة حقيقة الجعل في الأحكام الشرعية على نحو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جعل الحكم بنحو القضية الحقيقية ليس معناه أنّ لكلّ فرد من أفراد الكلّي الذي جعل له الحكم جعلًا وحكماً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تعدّد الجعولات والأحكام بتعدّد المصاديق والأفراد، ويؤولَ الشكّ في جعل الحكم لبعض الأفراد إلى أصل الجعل والثبوت، ولا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واحد لعنوان واحد كلّي ذي أفراد كثيرة من الأفراد الموجودة محقّقاً ومقدّراً، كما في جعل وجوب الحجّ بنحو القضية الحقيقية لكلّ من صدق عليه أنّه مستطيع، من غير فرق بين المستطيع الموجود بالفعل أو الموجود المقدّر في أمد الزمان، فإذا شكّ في بقاء وجوب الحجّ المجعول لكلّ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عروض عارض ومزيل كالنسخ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بالاستصحاب للحكم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 إذ جعلت الحجّية لرأي المجتهد وجواز الرجوع إليه لكلّ مكلّف عامّي بنحو القضية الحقيقية، فإذا شكّ في بقاء هذا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وقوع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بإجراء استصحاب بقائه، من غير فرق في ذلك بين الموجودين في زمان حياته والموجودين بعد مماته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هذا الإيراد غير وارد على الاستصحاب عند السيّد الماتن قدس سره، فإذا</w:t>
      </w:r>
    </w:p>
    <w:p>
      <w:pPr>
        <w:pStyle w:val="BookText"/>
        <w:rPr/>
      </w:pPr>
      <w:r>
        <w:rPr>
          <w:rFonts w:ascii="Amiri" w:hAnsi="Amiri" w:eastAsia="Amiri" w:cs="Amiri"/>
          <w:color w:val="111111"/>
          <w:sz w:val="28"/>
          <w:sz w:val="28"/>
          <w:szCs w:val="28"/>
          <w:rtl w:val="true"/>
          <w:lang w:bidi="ar-SA"/>
        </w:rPr>
        <w:t>تمّ الاستصحاب فنتيجته هي جواز تقليد الميّت مطلقاً، ولكنّه قدس سره قد أعرض عن هذا في آخر البحث، وجعله مجرّد فرض لا واقع له، وسيأتي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بالاستصحاب في المقام غير تامّ لعدم بقاء الموضوع عرفاً، فإنّ الموضوع في القضية المتيقّنة هو رأي المجتهد وظنّه، وهو متقوّم بالحياة عرفاً، وبعد الموت لا يتّصف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بالرأي والظنّ، ولا أقلّ من الشكّ في اتّصافه بذلك، وهو كافٍ لعدم جريان الاستصحاب؛ لأنّ إحراز الموضوع شرط في جريانه، وهذا هو الإشكال المعروف على الاستصحاب الذي اعتمد عليه في التقريرات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اجيب عن هذه المناقشة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الإمام قدس سره تبعاً لما في تقريرات شيخه الاستاذ،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العمل برأي كلّ خبير في كلّ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المجتهد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أمارية رأيه وطريقيّته إلى ما هو حكمه الفعلي من الواقعي والظاهري، سواء كان دليل اعتباره بناء العقلاء الممضى أو الأدلّة اللفظية، ففتوى المجتهد على نحو الجزم بوجوب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الحدوثي، طريق إلى الحكم الفعلي أبداً إلّا أن يتجدّد رأيه أو يتردّد فيه، فإذا شككنا في جواز العمل به وفي طريقيّته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احتمال دخالة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ذلك بعد الممات أيضاً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هذه المحاولة دفعاً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التمسّك بالاستصحاب، وتكون نتيجتها جواز تقليد الميّت مطلقاً كما لا يخفى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بعض الأجلّاء من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نّا لو</w:t>
      </w:r>
    </w:p>
    <w:p>
      <w:pPr>
        <w:pStyle w:val="BookText"/>
        <w:rPr/>
      </w:pPr>
      <w:r>
        <w:rPr>
          <w:rFonts w:ascii="Amiri" w:hAnsi="Amiri" w:eastAsia="Amiri" w:cs="Amiri"/>
          <w:color w:val="111111"/>
          <w:sz w:val="28"/>
          <w:sz w:val="28"/>
          <w:szCs w:val="28"/>
          <w:rtl w:val="true"/>
          <w:lang w:bidi="ar-SA"/>
        </w:rPr>
        <w:t>استندنا في المقام إلى عمل العقلاء في الرجوع إلى الخبير في كلّ فنّ، واستكشفنا أنّ المناط في عملهم هو أمارية رأيه إلى الواقع بوجوده الحدوثي، فلا يحصل الشكّ في جواز العمل برأيه بعد موته حتّى نحتاج إلى الاستصحاب؛ إذ الرأي بوجوده الحدوثي معلوم ومتيقّن لا شكّ فيه، واحتمال ردع الشارع منفيّ بعدم الوصول، من غير حاجة إلى استصحاب عدم الردع</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شي‌ء تعرّض له شيخ الإمام واستاذه العلّامة، وأجاب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نحتاج إلى الاستصحاب من جهة هذا الشكّ، بل لمّا رأينا دخل بعض القيود في موضوع هذا الأمر الارتكازي، ممّا لا يكون للارتكاز إليه سبيل، وثبت ذلك بالتعبّد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كقيد الذكورة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فنحتمل أن يكون قيد الحياة أيضاً كذلك، فالحاجة إلى الاستصحاب إنّما هي لدفع احتمال هذا القيد</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أفاده قدس سره يقتضي حجّية رأي الميّت وجواز العمل به مطلقاً، وهو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دخل قيد الحياة في حجّية الرأي وجواز العمل به، شكٌّ في تحقّق الموضوع وأصل ثبوت الحجّية، فلا مجال بعدُ لاستصحاب الحجّية، وليس شكّاً في تحقّق المزيل والرافع بعد اليقين بالحدوث والثبوت؛ حتّى يستصحب البقاء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شي‌ء صرّح به العلّامة الحائري في آخر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الحاجة إلى الاستصحاب إنّما هو لدفع احتمال هذا القيد في الحجّية</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ومن المعلوم أنّ الشكّ في ذلك يؤول إلى الشكّ في الحدوث لا في البقاء، فيكون مجرى لأصالة عدم</w:t>
      </w:r>
    </w:p>
    <w:p>
      <w:pPr>
        <w:pStyle w:val="BookText"/>
        <w:rPr/>
      </w:pPr>
      <w:r>
        <w:rPr>
          <w:rFonts w:ascii="Amiri" w:hAnsi="Amiri" w:eastAsia="Amiri" w:cs="Amiri"/>
          <w:color w:val="111111"/>
          <w:sz w:val="28"/>
          <w:sz w:val="28"/>
          <w:szCs w:val="28"/>
          <w:rtl w:val="true"/>
          <w:lang w:bidi="ar-SA"/>
        </w:rPr>
        <w:t>الحجّية، لا مورداً لأصل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عدم دخل القيد في الموضوع فأصل مثبت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الموضوع والحدوث غير متيقّن، فلا وجه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السيّد الحكيم في الجواب عن الأصل وجريان الاستصحاب، فهو أيضاً لايرجع إلى معنى محصّل، بل اعتراف بعدم اليقين بالحدوث، ومعه لامجال للاستصحاب؛ فإنّه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المحاولات العديدة في تصحيح الاستصحاب وردّ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حجّية الرأي بحدوثه إلى الأبد لا رافع له، فلا مانع من الاستصحاب</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ذلك بقوله في موضعين آخرين من كلامه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 الاستصحاب هو إلغاء احتمال دخل خصوصية الزمان السابق في الحكم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احتمال حجّية الرأي بحدوثه إلى الأبد لا رافع له فلا مانع من الاستصحاب، ولكن احتمال الحجّية، ثمّ استصحاب بقاء ذلك المحتمل لا يجدي فيما هو المقصود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نسلّم أنّ شأن الاستصحاب هو إلغاء الاحتمال، ولكنّ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ممّا له دخل في الموضوع والثبوت، واخرى يكون له دخل في الإزالة والرفع، والمجرى للاستصحاب إنّما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عدم قيدية شي‌ء في الموضوع بنحو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عدم جريان الاستصحاب في الأعدام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مثبت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 يجري أصالة عدم الحجّية بلا معارض، وهذا مخّ ما أفاده الشيخ</w:t>
      </w:r>
    </w:p>
    <w:p>
      <w:pPr>
        <w:pStyle w:val="BookText"/>
        <w:rPr/>
      </w:pPr>
      <w:r>
        <w:rPr>
          <w:rFonts w:ascii="Amiri" w:hAnsi="Amiri" w:eastAsia="Amiri" w:cs="Amiri"/>
          <w:color w:val="111111"/>
          <w:sz w:val="28"/>
          <w:sz w:val="28"/>
          <w:szCs w:val="28"/>
          <w:rtl w:val="true"/>
          <w:lang w:bidi="ar-SA"/>
        </w:rPr>
        <w:t>العلّامة والإمام المؤسّس الشيخ الأعظم الأنصاري من عدم جريان الأصل وكون أصالة عدم الحجّية محكّمة بلا معارض</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جريان الاستصحاب هو أن يكون المستصحب حكماً شرعياً، أو موضوعاً ذا حكم شرعي؛ حتّى يصحّ النهي عن النقض ولا يلزم اللغوية، والمستصحب في المقام لا يكون شيئاً منهما؛ فإنّ المستصحب في المقام لا يخلو عن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العقلائية، وهي ليست حكماً شرعياً ولا موضوع حكم شرعي كما لايخفى، فلا معنى لاستصحابها؛ إذ لا يعقل التعبّد بالقياس إلى الأحكام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الشرعية وجواز العمل برأي المجتهد شرعاً، والمفروض عدم ثبوتها؛ إذ لا يوجد دليل شرعي يدلّ على جعل الشارع الحجّية التأسيسية وجواز العمل بالنسبة إلى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فتوى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بل الأدلّة في المقام كلّها إمضائية وإرشادية إلى الارتكاز العقلائي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الواقعية، وفيها أيضاً لا مجال للاستصحاب؛ فإنّها إمّا غير ثابتة فلا يقين بثبوتها فلا معنى لجريان الاستصحاب فيها، وإمّا متحقّقة فلا شكّ في بقائها؛ لأنّ الشكّ في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للشكّ في النسخ، أو فقدان شرط، أو حدوث مانع، والمفروض عدم الشكّ من هذه الجهات، ففي صورةٍ لا يقين بالثبوت، وفي صورةٍ لا شكّ في البقاء، وأيّاً كان فلا معنى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الظاهرية، بناءً على كون حجّية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مستتبعةً لجعل الحكم المماثل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أدلّة اعتبار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هو إمضاء</w:t>
      </w:r>
    </w:p>
    <w:p>
      <w:pPr>
        <w:pStyle w:val="BookText"/>
        <w:rPr/>
      </w:pPr>
      <w:r>
        <w:rPr>
          <w:rFonts w:ascii="Amiri" w:hAnsi="Amiri" w:eastAsia="Amiri" w:cs="Amiri"/>
          <w:color w:val="111111"/>
          <w:sz w:val="28"/>
          <w:sz w:val="28"/>
          <w:szCs w:val="28"/>
          <w:rtl w:val="true"/>
          <w:lang w:bidi="ar-SA"/>
        </w:rPr>
        <w:t>المرتكز عند العقلاء؛ من أمارية رأي كلّ خبير في كلّ فن إلى الواقع من دون استتباعه لجعل الحكم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في المقام ليس حكماً شرعياً ولا موضوعاً ذا حكم شرعي؛ إذ ليس للشارع في باب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وتأسيس، بل كلّ ما ورد من الأدلّة فهي إرشاد إلى ما هو المرتكز عند العقلاء وإمضاء له، فحجّية رأي كلّ ذي صنعة خبير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كالمجتهد بالنسبة إلى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عقلائي، وأثرها التنجيز والتعذير، فلا مجال لجريان الاستصحاب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الإشكال الذي عدّه السيّد الإمام قويّاً وأصعب حلّاً من سائر الإشكالات</w:t>
      </w:r>
      <w:r>
        <w:rPr>
          <w:rStyle w:val="FootnoteAnchor"/>
          <w:rtl w:val="true"/>
        </w:rPr>
        <w:footnoteReference w:id="396"/>
      </w:r>
      <w:r>
        <w:rPr>
          <w:rFonts w:ascii="Amiri" w:hAnsi="Amiri" w:eastAsia="Amiri" w:cs="Amiri"/>
          <w:color w:val="111111"/>
          <w:sz w:val="28"/>
          <w:sz w:val="28"/>
          <w:szCs w:val="28"/>
          <w:rtl w:val="true"/>
          <w:lang w:bidi="ar-SA"/>
        </w:rPr>
        <w:t xml:space="preserve">، ولكنّه قدس سره قد أجاب عنه بما 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العمدة على جواز أصل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بناء العقلاء واستقرار سيرتهم العملية على رجوع الجاهل إلى العالم في كلّ صنعة وحرفة، وهم لا يفرّقون في ذلك بين العالم الحيّ والميّت؛ وذلك لأنّ مناط بناء العقلاء في الرجوع إلى العالم إنّما هو أمارية رأيه وطريقيّته إلى الواقع، من غير تفاوت في ذلك بين أن يكون العالم حيّاً أو ميّتاً، وحيث لم يثبت الردع عنها في الشريعة فتكون حجّة ممضاة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ببناء العقلاء على ذلك محلّ إشكال صغرى وكبرى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رجوع العقلاء إلى الخبراء من الأموات، مع وجود الأحياء والتمكّن من الرجوع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الاختلاف بينهم، وكون المورد من الامور الهامّة التي لها شأن كبير وخطر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لو لم ندّعِ أنّه معلوم عدمه،</w:t>
      </w:r>
    </w:p>
    <w:p>
      <w:pPr>
        <w:pStyle w:val="BookText"/>
        <w:rPr/>
      </w:pPr>
      <w:r>
        <w:rPr>
          <w:rFonts w:ascii="Amiri" w:hAnsi="Amiri" w:eastAsia="Amiri" w:cs="Amiri"/>
          <w:color w:val="111111"/>
          <w:sz w:val="28"/>
          <w:sz w:val="28"/>
          <w:szCs w:val="28"/>
          <w:rtl w:val="true"/>
          <w:lang w:bidi="ar-SA"/>
        </w:rPr>
        <w:t>وأنت من العقلاء فارجع إلى نفسك، فهل ترى أنّك لو مرضت بمرض ذا أهمّية، ووجدت عندك طبيباً حيّاً يمكنك الرجوع إليه، مع كونه مخالفاً للميّت في تشخيص الداء وكيفية علاجه وبيان الدواء، فهل ترى نفسك مخيّرة بين الرجوع إليه أو إلى الميّت، فماذا ترى وتحكم أيّها العاقل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إذا اتّفقا في الرأي، أو لم يحصل الشكّ والترديد بالنسبة إلى استدامة التقليد عن الميّت، أو حصل العلم من قول الميّت وكتابه، أو جزم بأعلمية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ذلك من الوجوه، فإنّهم يرجعون إلى الميّت، ولكن كلّ هذا خارج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ببنائهم على عدم الرجوع إلى الميّت مع التمكّن من الحيّ المخالف له في الرأي والفتوى، فلا أقلّ من الشكّ في تحقّق البناء، ومعه لا وجه للتمسّك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العوامّ بعد العلم بموت من كانوا يقلّدونه، يتحيّرون ويتساءلون عمّن يصلح للمرجعية والتقليد؛ حتّى يراجعوه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أصل التقليد أو في مسألة البناء وعدمه، فلو كان البناء كما ادّعي لما كان لهذا التحيّر والتساؤل وجه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الاعتداد بأقوال الأموات من العلماء والفقهاء، والاهتمام بضبط آرائهم ومصنّفاتهم والمراجعة إلى كتبهم، فليس شي‌ء من ذلك دليلًا على تحقّق البناء من العقلاء على العمل بآراء الأموات وأقوالهم؛ حيث لا يعدّ ذلك تقليداً، بل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العلماء والأخصّائيّين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الفحص والتفتيش عن الآراء والأقوال وما أفاده الأقدمون والسابقون من المطالب العلمية حول المسائل؛ ليحصل لهم الاطمئنان بما فهموه من الأدلّة ولا يقعوا في مخالفة الإجماع أو الشهرة، ولا يتسرّعوا إلى رأي شاذّ متفرّد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بنفسه من مبادئ الاجتهاد ومقدّماته؛ ولذا ذكر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ما يعتبر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إلى كتب الأصحاب ومعرفة آراء المتقدّمين، فإذا حقّقوا وتوصّلوا إلى نفس ما حقّقه عالم خبير حاذق بصير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تقليداً له، بل هو تحقيق وافق تحقيق من كان قبله، ولذا قد يخطّئه بعد المراجعة إلى آرائه وقد يؤيّده ويصوّبه به، فأين هذا من التقليد</w:t>
      </w:r>
      <w:r>
        <w:rPr>
          <w:rStyle w:val="FootnoteAnchor"/>
          <w:rtl w:val="true"/>
        </w:rPr>
        <w:footnoteReference w:id="3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بناء في المقام، فلم تتحقّق صغرى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المتسالم عليه أنّ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ليس من الحجج الشرعية، بل لابدّ من إحراز إمضاء الشارع ورضاه بالنسبة إليه ولو بعدم الردع، ومع إمكان دعوى ظهور أدلّة حجّية الفتوى في خصوص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الأعمّ منهم ومن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الأدلّة رادعة، فإحراز الإمضاء والرضاء من الشارع بالنسبة إلى هذا البناء مشكل جدّاً،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الإمام الماتن قدس سره بيان في الإشكال على الاستدلال بالسيرة العقلائية في المقام صغروياً وكبروياً،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كان موجوداً في زمن التشريع لم يكن إلّا ارتكازاً للعقلاء فحسب؛ أي‌كانوا يرون أنّه لا فرق في الكلام الذي للميّت والذي للحيّ من حيث الطريقية، وهذا الارتكاز لم يبرز إلى ساحة العمل ولم يجر على أساسه سيرة وبناء عملي؛ وذلك لعدم تدوين الكتب الفقهية آنذاك، فإنّ الذي كان موجوداً في ذلك الزمن كان لايعدو عن تدوين كتب حديثية، أمّا تدوين الكتب الفتوائية فكان في زمن الغيبة وبيد أمثال الشيخ الصدوق والمفيد وأضرابهما، وعليه فلم يكن هناك مجال لكي تتحقّق ظاهرة التقليد عن الميّت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ضممنا إلى هذه النكتة نكتة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سكوت</w:t>
      </w:r>
    </w:p>
    <w:p>
      <w:pPr>
        <w:pStyle w:val="BookText"/>
        <w:rPr/>
      </w:pPr>
      <w:r>
        <w:rPr>
          <w:rFonts w:ascii="Amiri" w:hAnsi="Amiri" w:eastAsia="Amiri" w:cs="Amiri"/>
          <w:color w:val="111111"/>
          <w:sz w:val="28"/>
          <w:sz w:val="28"/>
          <w:szCs w:val="28"/>
          <w:rtl w:val="true"/>
          <w:lang w:bidi="ar-SA"/>
        </w:rPr>
        <w:t>الشارع بمعنى عدم الردع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فيما إذا كانت في زمن الشارع سيرة لا ارتكاز فإنّ سكوت الشارع إزاء السيرة يمثّل عدم الردع منه، أمّا الارتكاز الذي لم ينتقل بعدُ إلى ساحة العمل فليس سكوت الشارع إزاءه بمعنى عدم الردع عنه، ومن المعلوم أنّ الحكم لابدّ وأن يستند إلى الشارع، وهذا الاستناد يتحقّق إمّا بلفظ صادر منه يدلّ على ذلك الحكم، أو بتحقّق عدم الردع من جانبه، وتقليد الميّت لم يتحقّق بالنسبة إليه هذان الطريقان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الآيات والروايات</w:t>
      </w:r>
    </w:p>
    <w:p>
      <w:pPr>
        <w:pStyle w:val="BookText"/>
        <w:rPr/>
      </w:pPr>
      <w:r>
        <w:rPr>
          <w:rFonts w:ascii="Amiri" w:hAnsi="Amiri" w:eastAsia="Amiri" w:cs="Amiri"/>
          <w:color w:val="111111"/>
          <w:sz w:val="28"/>
          <w:sz w:val="28"/>
          <w:szCs w:val="28"/>
          <w:rtl w:val="true"/>
          <w:lang w:bidi="ar-SA"/>
        </w:rPr>
        <w:t>إنّ آيتي التفقّه والسؤال، والروايات الواردة في إرجاع الأئمّة عليهم السلام إلى أشخاص معيّنين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كزكريّا بن آدم ويونس بن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وجوب التحذّر عقيب إنذار الفقيه، والعمل بعد سؤال أهل الذكر، وأخذ معالم الدين بالرجوع إلى هؤلاء الأجلّاء، من غير تقييد بحياة الفقيه المنذر والمسؤول والمرجع، ومن غير إشارة إلى اعتبار الحياة في الأخذ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الحياة معتبرة في حجّية رأيهم وجواز الأخذ منهم لُاشير إلى اعتبارها في هذه النصوص، وحيث لم يثبت اعتبارها فيؤخذ بهذه الإطلاقات، ويكون المكلّف العامّي مخيّراً بين الرجوع إلى الحيّ أو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اورد على التمسّك بهذه الإطلاقات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سلّم دلالتها على حجّية الفتوى لكانت إرشادية إلى ما يقتضيه الارتكاز والسيرة العقلائية، فلابدّ من ملاحظة مدى دلالة السيرة، وقد حقّقنا أنّه لا إطلاق لها فلا تشمل المقام، ولا داعي للتكرار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دلالتها وكذا كونها تأسيسية، فلا تدلّ على أزيد من أصل جواز</w:t>
      </w:r>
    </w:p>
    <w:p>
      <w:pPr>
        <w:pStyle w:val="BookText"/>
        <w:rPr/>
      </w:pPr>
      <w:r>
        <w:rPr>
          <w:rFonts w:ascii="Amiri" w:hAnsi="Amiri" w:eastAsia="Amiri" w:cs="Amiri"/>
          <w:color w:val="111111"/>
          <w:sz w:val="28"/>
          <w:sz w:val="28"/>
          <w:szCs w:val="28"/>
          <w:rtl w:val="true"/>
          <w:lang w:bidi="ar-SA"/>
        </w:rPr>
        <w:t>التقليد والرجوع إلى الفقيه، فهي مسوقة لبيان أصل تشريع التقليد من دون تعرّض لبيان الخصوصيات، فلا وجه للتمسّك بها بالنسبة إلى هذه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رفعنا اليد عن الإشكالين المتقدّمين، فيمكن أن يقال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المأخوذة في لسان هذه النصوص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الفعلية،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المتّصف بها فعلًا، لا الأعمّ من المتّصف بها بالفعل ومن المنقضي عنه هذه العناوين؛ فإنّ الميّت لا يتّصف فعلًا بوصف الإنذار والفقاهة والعلم، وإن كان متّصفاً بها حين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بالسؤال والرجوع والأخذ ظاهرٌ في الإرجاع إلى الحيّ وسؤاله والأخذ منه؛ إذ لا معنى للإرجاع إلى الميّت وسؤاله والأخذ منه، وذلك لأنّ الإرجاع إنّما هو إلى هؤلاء الأشخاص بأنفسهم، والمفروض أنّهم ميّتون، لا إلى أقوالهم وآرائهم كي يقاس بالرواية؛ من حيث عدم سقوطها عن الاعتبار بموت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بالتفصيل</w:t>
      </w:r>
    </w:p>
    <w:p>
      <w:pPr>
        <w:pStyle w:val="BookText"/>
        <w:rPr/>
      </w:pPr>
      <w:r>
        <w:rPr>
          <w:rFonts w:ascii="Amiri" w:hAnsi="Amiri" w:eastAsia="Amiri" w:cs="Amiri"/>
          <w:color w:val="111111"/>
          <w:sz w:val="28"/>
          <w:sz w:val="28"/>
          <w:szCs w:val="28"/>
          <w:rtl w:val="true"/>
          <w:lang w:bidi="ar-SA"/>
        </w:rPr>
        <w:t xml:space="preserve">قد عرفت أنّ القول بالتفصيل في تقليد الميّت بين الابتدائي والاستدامي قولٌ مستحدث بين المتأخّرين كما عن السيّد الصدر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استقرّ رأي جماعة من أساطين العصر ومن قاربهم، بعد أن كانت المسألة ذات قولين لدى المتقدّمين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القائلين بجواز البقاء على تقليد الميّت قد أخذوا بالتفصيل في المسألة من وجوه، فلابدّ من بيان صورها، ثمّ بيان حكم كلّ واحدة منها على حدة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البقاء ثلاث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بموافقة الحيّ الذي يجوز تقليده للميّت الذي كان يقلّده، في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بتخالفهما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للبحث والنزاع فيها؛ إذ بناءً على مسلك الطريقية في حجّية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المأتيّ به الموافق للرأيين اللذين أحدهما حجّة له لا محالة يكون صحيحاً، سواء كان رأي الميّت حجّة أم لا، وسواء كانا متفاضلين في العلم أم متساويين، وقد تقدّم تفصيل الكلام في ذلك في مستند المسألة العاشرة،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تارةً يكون أحدهما أعلم، وحينئذٍ فمقتضى بناء العقلاء هو الأخذ بقوله سواء كان حيّاً أم ميّتاً، فأمر التقليد بقاءً واستئنافاً يدور مدار الأعلمية حيث ما 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كون الدليل على تعيّن الأخذ بقول الأعلم بناء العقلاء؛ فإنّهم لا يفرّقون في الرجوع إلى الأعلم بين الحيّ والميّت، ومعه لا مجال للرجوع إلى الاصول العملية مطلقاً، وأمّا بناءً على كون الدليل هو حكم العقل بتعيين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الاحتياط عند دوران الأمر بينه وبين التخيير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يقتضي تعيين الأعلم، ولكن مقتضى الاستصحاب حجّية رأي الميّت وإن كان مفضولًا، ومعه لا مجال للاحتياط؛ إذ الأصل الشرعي وارد على العقلي</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بينهما تفاضل، ولكن تكون فتوى أحدهما أوفق بالاحتياط؛ بأن كانت فتوى أحدهما وجوب شي‌ء وفتوى الآخر إباحته، وهنا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بالأوفق بالاحتياط منهما؛ حيث إنّه موجب للقطع بأداء التكليف وبراءة الذمّة</w:t>
      </w:r>
    </w:p>
    <w:p>
      <w:pPr>
        <w:pStyle w:val="BookText"/>
        <w:rPr/>
      </w:pPr>
      <w:r>
        <w:rPr>
          <w:rFonts w:ascii="Amiri" w:hAnsi="Amiri" w:eastAsia="Amiri" w:cs="Amiri"/>
          <w:color w:val="111111"/>
          <w:sz w:val="28"/>
          <w:sz w:val="28"/>
          <w:szCs w:val="28"/>
          <w:rtl w:val="true"/>
          <w:lang w:bidi="ar-SA"/>
        </w:rPr>
        <w:t>ومؤمّن من العقاب سواء كان ذلك هو فتوى الميّت أو الحيّ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محلّ النزاع؛ فإنّ العمل بأحوط الرأيين كما لا يكون اجتهاداً لا يعدّ تقليداً، بل هو احتياط يغايرهما، والفرق بينها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العمل بالاحتياط ليس بواجب إلّافي موارد ليس المقام منها، فلابدّ من البحث عن حكم مسألة البقاء حتّى يثبت ما هو الحجّة من رأي الميّت أو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التفاضل بينهما معلوماً بل ولا محتملًا، ولا يكون رأي أحدهما أوفق بالاحتياط، بل يكون كلّ منهما مخالفاً وموافقاً للاحتياط باختلاف الجهات،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هنا في باب تعارض الطرق والأمارات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التساقط، والرجوع إلى الأصل الملائم مع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فأدلّة اعتبار الفتوى وإطلاقها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المتعارضين معاً لاستلزامه التكاذب والتناقض، ولا أحدهما المعيّن لاستلزام الترجيح من غير مرجّح كما هو المفروض، ولا أحدهما لا على التعيين إذ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البراءة توجب القطع بالمخالفة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العلم الإجمالي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يتعيّن الاحتياط بالجمع مع الإمكان، ومع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لدوران الأمر بين المحذورين، أو لعدم وفاء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العمل على وفق أحدهما تخييراً بحكم العقل؛ إذ بعد عدم التمكّن من الامتثال الجزمي التفصيلي يحكم العقل بالاجتزاء بالامتثال الاحتمالي، والتخيير هذا عقلي في مقام الامتثال، لا أن يكون من التخيير في المسألة الاصولية لأجل حجّية أحدهما شرعاً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التسالم المسلّم بين الأصحاب على الحكم بالتخيير بين المجتهدين</w:t>
      </w:r>
    </w:p>
    <w:p>
      <w:pPr>
        <w:pStyle w:val="BookText"/>
        <w:rPr/>
      </w:pPr>
      <w:r>
        <w:rPr>
          <w:rFonts w:ascii="Amiri" w:hAnsi="Amiri" w:eastAsia="Amiri" w:cs="Amiri"/>
          <w:color w:val="111111"/>
          <w:sz w:val="28"/>
          <w:sz w:val="28"/>
          <w:szCs w:val="28"/>
          <w:rtl w:val="true"/>
          <w:lang w:bidi="ar-SA"/>
        </w:rPr>
        <w:t>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المختلفين في الفتوى، المتساويين 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التخيير هاهنا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مخالف للقاعدة والأصل، خرج بالدليل وهو التسالم، فيقتصر فيه على المتيقّن وهو مورد الاختلاف بين الحيّين، فلا عموم ولا إطلاق يشمل المقام، وقياس ما نحن فيه بما ثبت هناك مع الفارق وإسراء لحكم من موضوع إلى آخر من غير دليل، وهو كما ترى،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التساقط والرجوع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القول بشمول أدلّة التقليد لقول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نفسها ولولا التعارض، مع أنّه لا يخفى ما في ذلك من المصادرة على المطلوب؛ فإنّ حجّية رأي الميّت أوّل الكلام ومشكوك فيها، والمنصرف أو الظاهر من الأدلّة هو تقليد الحيّ، فلا وجه لفرض تحقّق التعارض ثمّ الحكم بالتساقط أو التخيير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ممّن لا يرى دليلًا لفظياً يدلّ على جواز التقليد شرعاً فضلًا عن إطلاقه، ومع ذلك يرى التعارض بين شمول الأدلّة لرأي الحيّ والميّت مستقرّاً</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ما تقدّم من الكلام حول وقوع هذا التعارض في المقام كوقوعه في الخبرين المتعارضين، فراجع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لم يعلم الموافقة ولا المخالفة بين الحيّ والميّت في الفتوى، ولعلّ هذه الصورة هي مصبّ البحث والنزاع بين المشهور والمتأخّرين منعاً وجوازاً، فالآن نذكر أهمّ ما استدلّ به للقول بجواز البقاء في هذه الصورة، وهو الأصل، والمراد به في المقام هو الاستصحاب، وحيث كان هذا الدليل هو العمدة</w:t>
      </w:r>
    </w:p>
    <w:p>
      <w:pPr>
        <w:pStyle w:val="BookText"/>
        <w:rPr/>
      </w:pPr>
      <w:r>
        <w:rPr>
          <w:rFonts w:ascii="Amiri" w:hAnsi="Amiri" w:eastAsia="Amiri" w:cs="Amiri"/>
          <w:color w:val="111111"/>
          <w:sz w:val="28"/>
          <w:sz w:val="28"/>
          <w:szCs w:val="28"/>
          <w:rtl w:val="true"/>
          <w:lang w:bidi="ar-SA"/>
        </w:rPr>
        <w:t>عندهم فقرّروه بأشكال عديدة، لا بأس بذكر بعضها على سبيل الإشارة لمكان تقدّم البحث عنها في القول بجواز تقليد الميّت مطلقاً، ونذكر بعضها الآخر على وجه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الحجّية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الحجّية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جواز العمل على طبق قول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تقرير الاستصحاب بالوجوه المذكورة مشترك بين صورتي التقليد الابتدائي والاستدامي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تعرّضنا لأكثر ذلك نقلًا ونقداً، ولا طائل في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في المقام هو التركيز على تقرير الاستصحاب من حيث كون المستصحب هو الحجّية؛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المجتهد قبل موته كانت حجّة فعلية في حقّ من يقلّده، فإذا شكّ فيها بعد موته فيستصحب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التقرير لا يرد عليه ما تقدّم في الاستدلال به لجواز التقليد الابتدائي من أنّه إن كان بنحو التنجيز كان الدليل أخصّ من المدّعى؛ إذ لا يقين لغير الموجودين في زمان حياته، وإن كان بنحو التعليق ففي صحّته إشكال؛ إذ المفروض في المقام اتّصاف فتوى المجتهد زمان حياته بالحجّية الفعلية بالنسبة إلى من قلّده، بل بالنسبة إلى كلّ من أدرك حياته مكلّفاً، فالحجّية الفعلية في حقّه متيقّنة التحقّق، فإذا شكّ بعد الموت في زوالها يحكم بالبقاء بمقتضى الاستصحاب، فيتمّ المطلوب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عقلائية فلا مجال لجريان الاستصحاب</w:t>
      </w:r>
    </w:p>
    <w:p>
      <w:pPr>
        <w:pStyle w:val="BookText"/>
        <w:rPr/>
      </w:pPr>
      <w:r>
        <w:rPr>
          <w:rFonts w:ascii="Amiri" w:hAnsi="Amiri" w:eastAsia="Amiri" w:cs="Amiri"/>
          <w:color w:val="111111"/>
          <w:sz w:val="28"/>
          <w:sz w:val="28"/>
          <w:szCs w:val="28"/>
          <w:rtl w:val="true"/>
          <w:lang w:bidi="ar-SA"/>
        </w:rPr>
        <w:t>فيها؛ إذ هي ليست حكماً شرعياً مجعولًا حتّى يشمله دليل الاستصحاب، كما أنّها ليست موضوعاً لحكم شرعي، بل إنّها موضوع لأثر عقلي؛ وهو التعذير والتنجيز ونحو ذلك من وجوب الموافقة وحرمة المخالفة واستحقاق الثواب والعقاب، ومن المعلوم أنّ من شرائط جريان الاستصحاب كون المستصحب حكماً شرعياً أو موضوعاً لأثر وحكم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الحجّية المتيقّنة هي الحجّية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جواز الأخذ والعمل بفتوى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يوجد دليل معتبر شرعي يدلّ على تأسيس الشارع وجعله الحجّية وجواز العمل عقيب فتوى المجتهد بأدلّة اعتبار رأيه، بل الأدلّة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إرشادية إلى المرتكز عند العقلاء، وإمضاء لما استقرّ عليه بناؤهم من رجوع الجاهل إلى العالم، من غير استتباع جعل وتأسيس</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الحجّية أمراً مجعولًا شرعياً متأصّلًا، وقلنا بجريان الاستصحاب في الأحكام الشرعية الكلّية، لم يجر في المقام؛ لعدم العلم بكون الموضوع هو مجرّد الرأي حدوثاً، بل يحتمل أن يكون الموضوع للحجّية هو الرأي حدوثاً وبقاءً، ومن المعلوم عرفاً عدم بقاء الموضوع بعد الموت وإن كان باقياً عقلًا، ولا أقلّ من الشكّ فيه وهو كافٍ للعدم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بأنّ اليقين بالحجّية بوجوده الحدوثي هو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فيها بعد الموت فتستصحب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إنّما هو حجّية رأي المجتهد الحيّ، وأمّا</w:t>
      </w:r>
    </w:p>
    <w:p>
      <w:pPr>
        <w:pStyle w:val="BookText"/>
        <w:rPr/>
      </w:pPr>
      <w:r>
        <w:rPr>
          <w:rFonts w:ascii="Amiri" w:hAnsi="Amiri" w:eastAsia="Amiri" w:cs="Amiri"/>
          <w:color w:val="111111"/>
          <w:sz w:val="28"/>
          <w:sz w:val="28"/>
          <w:szCs w:val="28"/>
          <w:rtl w:val="true"/>
          <w:lang w:bidi="ar-SA"/>
        </w:rPr>
        <w:t>كون الحياة من الحالات أو من المقوّمات فهو مشكوك على الأقلّ لو لم ندّع الثاني، ولا ريب أنّ المعتبر في صحّة جريان الاستصحاب هو إحراز بقاء الموضوع، وأمّا الشكّ في بقائه وزواله فهو كالعلم بزواله في عدم جريانه؛ إذ بدون العلم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النقض حتّى يكون منهياً عنه، فإنّ عدم ترتيب أحكام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أنّه نفس السابق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نقضاً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العلم باختلاف الموضوع يضرّ بجريان الاستصحاب، كذلك عدم العلم بوجوده أيضاً يضرّ به وإن احتمل وجوده؛ إذ كما أنّ نفي الوجوب مثلًا عن غير الصلاة ليس نقضاً لوجوبها، فكذلك نفي الوجوب عمّا لا يعلم أنّه صلاة أم لا، ليس نقضاً، فإذا شككنا أنّ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لرأي الحيّ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ثابتة للميّت أيضاً فأصالة عدم الحجّية محكّمة، ولا تصل النوبة إلى إجراء الاستصحاب لعدم إحراز الموضوع؛ إذ لم يثبت لنا بدليل قطعي أنّ الموضوع إنّما هو حدوث الحجّية؛ إذ لعلّ للحياة دخالة فيها، ولا رافع لهذا الاحتمال، ومقتضى الشكّ في الحجّية عدمها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أفاده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احتمال حجّية الرأي بحدوثه إلى الأبد لا رافع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الاستصحاب</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يجدي شيئاً؛ إذ غايته استصحاب احتمال الحجّية، والحجّية المحتملة ليست بشي‌ء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يزيد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لنا أنّ الموضوع للحجّية وجواز العمل برأي المجتهد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والقول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شككنا في زوالها بعد</w:t>
      </w:r>
    </w:p>
    <w:p>
      <w:pPr>
        <w:pStyle w:val="BookText"/>
        <w:rPr/>
      </w:pPr>
      <w:r>
        <w:rPr>
          <w:rFonts w:ascii="Amiri" w:hAnsi="Amiri" w:eastAsia="Amiri" w:cs="Amiri"/>
          <w:color w:val="111111"/>
          <w:sz w:val="28"/>
          <w:sz w:val="28"/>
          <w:szCs w:val="28"/>
          <w:rtl w:val="true"/>
          <w:lang w:bidi="ar-SA"/>
        </w:rPr>
        <w:t>الموت نتمسّك بالاستصحاب،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الحجّية بوجودها الحدوثي ثابتة إلى الأبد، فعند الشكّ في زوالها بالموت نستصحب بقاءها، أو إذا شككنا في زوال الرأي والقول والظنّ بعد الموت فنستصحب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الشكّ إنّما هو في أنّ الثابت من الحجّية وجواز العمل هل هو الثابت لخصوص زمان الحياة أم لما بعدها أيضاً، فالشكّ يؤول إلى أصل الحجّية فيما بعد الموت، فمقتضى الأصل هو عدمها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في التقريرات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نتحاشي من القول بإمكان بقاء الظنّ والرأي بعد الموت،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المقلّد متعبّد بظنّ المجتهد الحيّ دون الميّت، ومن ادّعى أكثر من ذلك طولب بالدليل، وأ نّى له بذلك بعد عدم قيام دليل معتبر على مشروعية أصل التقليد سوى الإجماع والسيرة والضرورة؛ التي لا يحصل منها أمر يرتفع منه الاشتباه</w:t>
      </w:r>
      <w:r>
        <w:rPr>
          <w:rStyle w:val="FootnoteAnchor"/>
          <w:rtl w:val="true"/>
        </w:rPr>
        <w:footnoteReference w:id="4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فاتّضح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لما قيل من أنّ رأي المجتهد كان حجّة فعلية لمن قلّده في زمان حياته، فمع الشكّ فيها بعد موته يستصحب؛ لما بيّنّا من أنّ الشكّ ليس في بقائها، بل في حدوثها بالقياس إلى زمان الموت، فالمقدار المتيقّن من الحجّية هو حال الحياة، وأمّا بالنسبة إلى زمن الموت فهي مشكوكة الحدوث، ومقتضى الأصل هو العدم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استصحاب جواز العمل على وفق قوله، فقد تقدّم أنّه لا دليل معتبر شرعي يدلّ على تأسيس الشرع الحجّية لرأي المجتهد أو جواز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رأيه، بل الأدلّة بأسرها تنفيذٌ لما ارتكز لدى العقلاء وإرشادٌ إلى بنائهم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استصحاب الأحكام الواقعية غير تامّ؛ لعدم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بالوجدان كما هو ظاهر، ولا بالتعبّد؛ إذ المفروض عدم وجود دليل معتبر شرعي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العلم بها فلا وجه للشكّ في بقائها؛ إذ الشكّ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ناشئ عن النسخ أو فقدان شرط أو حدوث مانع، والمفروض عدم الشكّ من هذه الجهات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المناقشة حول استصحاب الحجّية الشرعية وجواز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المنع في استصحاب الأحكام الظاهرية؛ فإنّ ظاهر أدلّة اعتبار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إمضاء ارتكاز العقلاء في معاملتهم مع آراء الخبراء معاملة الأمارة والحكاية من دون استتباع جعل</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التخيير؛ إنّ للسيّد الإمام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المحاولات العديدة له في ذكر تقريرات للاستصحاب والنقاش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ذكر فيه حصيلة البحث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غير جارٍ لفقدان المستصحب؛ أي‌الحكم أو الموضوع الذي له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وغاية ما يمكن أن يقال في التفصّي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عدّه أقوى من سائر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احتياج الفقيه للفتوى بجواز البقاء على تقليد الميّت إلى الاستصحاب إنّما يكون في مورد اختلاف رأيه مع رأي الميّت، وأمّا مع توافقهما فيجوز له الافتاء بالأخذ برأي الميّت من غير احتياج إلى الاستصحاب، فما يحتاج في الحكم بجواز البقاء إلى الاستصحاب هو موارد اختلافهما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بين مجتهدين حيّين متساويين في العلم مع</w:t>
      </w:r>
    </w:p>
    <w:p>
      <w:pPr>
        <w:pStyle w:val="BookText"/>
        <w:rPr/>
      </w:pPr>
      <w:r>
        <w:rPr>
          <w:rFonts w:ascii="Amiri" w:hAnsi="Amiri" w:eastAsia="Amiri" w:cs="Amiri"/>
          <w:color w:val="111111"/>
          <w:sz w:val="28"/>
          <w:sz w:val="28"/>
          <w:szCs w:val="28"/>
          <w:rtl w:val="true"/>
          <w:lang w:bidi="ar-SA"/>
        </w:rPr>
        <w:t>اختلافهما في الفتوى، حكمٌ مسلَّم بين الفقهاء وأرسلوه إرسال المسلّمات، مع كونه خلاف القاعدة المقتضية للتساقط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فالمُدرك لهما زمن بلوغه وتكليفه مخيّر في الأخذ بأيّهما شاء، فإذا مات أحدهما يستصحب هذا الحكم التخييري، ومقتضى الاستصحاب هو عدم الفرق بين الابتدائي والاستمراري فيمن أدرك المجتهدين مكلّفاً، قلّده أحدهما زمان حياته أم لم يقلّده، فلو قام إجماع على عدم جواز الابتدائي مطلقاً فيثبت جواز الاستمراري من دون إشكال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لمقتضى القاعدة في تعارض الطرق، إلّاأنّ التسالم المسلّم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بين الحيّين المتساويين علماً المختلفين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دليل شرعي وصل إليهم دوننا، أو للسيرة المستمرّة كما هي ليست ببعيدة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يصل ذلك الدليل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نلاحظه ومدى دلالته وقيمة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السيرة دليل لبّي لا إطلاق لها، فالمتيقّن من التسالم المسلّم على خلاف القاعدة هو التخيير بين الحيّين، وأمّا بين الميّتين أو حيّ وميّت فلم يقم عليه دليل، فلا وجه لاستصحاب ذلك التخيير الثابت بين الأحياء في مورد الأموات أو الأموات والأحياء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وجدير بالذكر أنّه قدس سره قد نصّ على مثل ذلك في بعض المواضع</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قد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بعدم اشتراط الحياة في المرجع للتقليد وجواز تقليد الميّت ابتداءً، ممّا لا يمكن المساعدة عليه، والوجوه المستدلّ بها غير ناهضة، بل جميعها مدحوضة عند المحقّقين ومنهم السيّد الإمام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البقاء على تقليد الميّت وعدم اشتراط الحياة استدامةً، ففيه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الموافقة في الفتوى بين الحيّ الذي يجوز تقليده والميّت الذي كان يقلّده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ثمرة للنزاع فيها؛ لأنّ العمل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مطلقاً سواء كان رأي الميّت حجّة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المخالفة بينهما في الفتوى ولم تكن أعلمية أحدهما معلومة بل ولا محتملة، وكذا لم يكن رأي أحدهما أوفق بالاحتياط بل كانا 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قيل بالتساقط والرجوع إلى الأصل الموجود في المقام، وقد ناقشنا في ذلك القول بأ نّه تعسّف وتكلّف؛ حيث إنّ رأي الميّت مشكوك الحجّية فكيف يعارض رأي الحيّ الذي هو متيقّن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بالموافقة والمخالفة، والمتأخّرون من الفقهاء قد استدلّوا على الجواز في هذه الصورة بوجوه أهمّها الاستصحاب بتقريراته العديدة، والسيّد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لتقريرات عديدة لدليل الاستصحاب، والمناقشة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استصحاب التخيير، وعلى هذا الأساس أفتى بجواز البقاء على تقليد الميّت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ما فيه من الإشكال، وعدم تمامية ذلك حتّى عنده قدس سره؛ لأنّه خلاف ما أسّسه</w:t>
      </w:r>
      <w:r>
        <w:rPr>
          <w:rFonts w:eastAsia="Amiri" w:cs="Amiri" w:ascii="Amiri" w:hAnsi="Amiri"/>
          <w:color w:val="111111"/>
          <w:sz w:val="28"/>
          <w:szCs w:val="28"/>
          <w:rtl w:val="true"/>
          <w:lang w:bidi="ar-SA"/>
        </w:rPr>
        <w:t>.</w:t>
      </w:r>
      <w:bookmarkStart w:id="208" w:name="pg1790_14803"/>
    </w:p>
    <w:p>
      <w:pPr>
        <w:pStyle w:val="BookText"/>
        <w:rPr/>
      </w:pPr>
      <w:bookmarkEnd w:id="208"/>
      <w:r>
        <w:rPr>
          <w:rFonts w:ascii="Amiri" w:hAnsi="Amiri" w:eastAsia="Amiri" w:cs="Amiri"/>
          <w:color w:val="111111"/>
          <w:sz w:val="28"/>
          <w:sz w:val="28"/>
          <w:szCs w:val="28"/>
          <w:rtl w:val="true"/>
          <w:lang w:bidi="ar-SA"/>
        </w:rPr>
        <w:t>نعم، يجوز البقاء على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تحقّقه بالعمل ببعض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ولو في المسائل التي لم يعمل بها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209" w:name="__RefHeading___Toc2371678_3650668749"/>
      <w:bookmarkStart w:id="210" w:name="_Toc77"/>
      <w:bookmarkEnd w:id="209"/>
      <w:r>
        <w:rPr>
          <w:rtl w:val="true"/>
        </w:rPr>
        <w:t>البقاء على تقليد الميّت‌</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اشتراط تحقّق التقليد بالعمل ببعض المسائل في جواز البقاء عليه؛ فلأجل أنّه قدس سره فسّر التقليد في المسألة الثانية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مستنداً إلى فتوى فقيه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هناك بأنّ التقليد بهذا المعنى موضوع للمسألتين، أي‌مسألة جواز البقاء على تقليد الميّت وعدمه، ومسألة جواز العدول من الحيّ إلى الحيّ المساوي وعدم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يتحقّق العمل لم يتحقّق التقليد، ومع عدم تحقّقه يكون التقليد عن الميّت ابتدائياً، فيكون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كفاية تحقّق التقليد بالعمل ببعض المسائل في جواز البقاء في جميع المسائل حتّى التي لم يعمل بها، فلعلّ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مشروعية التقليد ثابتة بالبناء العقلائي، وهذا البناء لا يفرّق بين تقليد الحيّ والميّت، وفي الميّت بين التقليد الاستدامي منه والابتدائي، غير أنّ التقليد الابتدائي للميّت قد خرج من حجّية هذا البناء العقلائي بالإجماع المسلَّم بينهم، وحيث إنّه دليل مخصّص لبّي فيؤخذ بالقدر المتيقّن منه؛ وهو الابتدائي الذي لم يقلّد فيه المرجع الميّت في حياته أصلًا ولو في بعض المسائل، فيبقى غيره داخلًا في مفاد هذا البناء العقلائي؛ ومنه الابتدائي الذي قلّد فيه الميّت في حياته ولو في بعض المسائل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التقليد ولو في بعض المسائل، يخرج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المسائل التي لم يتحقّق تقليده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التقليد الابتدائي</w:t>
      </w:r>
    </w:p>
    <w:p>
      <w:pPr>
        <w:pStyle w:val="BookText"/>
        <w:rPr/>
      </w:pPr>
      <w:r>
        <w:rPr>
          <w:rFonts w:ascii="Amiri" w:hAnsi="Amiri" w:eastAsia="Amiri" w:cs="Amiri"/>
          <w:color w:val="111111"/>
          <w:sz w:val="28"/>
          <w:sz w:val="28"/>
          <w:szCs w:val="28"/>
          <w:rtl w:val="true"/>
          <w:lang w:bidi="ar-SA"/>
        </w:rPr>
        <w:t xml:space="preserve">ويجوز الرجوع إلى الحيّ الأعلم، والرجوع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عرفاً، فلا يشمله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يلائم مذهب الماتن قدس سره؛ إذ كلّ باب من الأبواب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مسألة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مستقلّ، له حكم مستقلّ في نظره رحمه الله؛ ولذا أفتى كغيره من الأعلام بجواز التبعيض في التقليد باختلاف الأبواب بل المسائل، فكلّ مسألة لم يتحقّق العمل بها لا يصدق التقليد بالنسبة إليها كي يكون من مسألة البقاء، بل يكون من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الفقهية ومسائلها ليست من قبيل العامّ المجموعي حتّى لا يصحّ التفكيك بينها من حيث التقليد، بل من قبيل العموم الانحلالي والأفرادي؛ ولذلك يجوز تبعيض التقليد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أو التعلّم والأخذ للعمل وإن لم يتحقّق العمل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بالجواز وعدمه دائراً مدار ما يستفاد من أدلّة حجّية الفتوى من الاستصحاب وغيره؛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الحيّ كان في زمن حياته متّصفاً بالحجّية الفعلية في حقّ المقلّد، ومع الشكّ في بقائها بعد الموت يستصحب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لما ذكره في المتن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عليه الماتن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التقليد هو العمل مستنداً إلى فتوى فقيه معيّن، وأنّ التقليد بهذا المعنى موضوع للمسألتين، ومن القول بجواز التبعيض في التقليد حسب اختلاف الأبواب والمسائل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العمل ببعض المسائل يكفي في جواز البقاء على تقليده في جميعها، غير وجيه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يجوز البقاء على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المقلّد مخيّر بين البقاء على تقليد الميّت وبين الرجوع إلى الحيّ،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الحيّ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الأحياء، لا الحيّ الأعلم من الميّت؛ وذلك لأنّ الماتن قدس سره ممّن يفتي بوجوب الرجوع إلى الأعلم على الأحوط، ولذا صرّح في المسألة الرابعة بوجوب العدول إذا كان المعدول إليه أعلم على الأحوط، وكذا فيما سيأتي في مسألتنا المبحوث عنها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إلى أعلم منه فإنّه يجب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الفرق بين العدول عن الميّت إلى الحيّ الأعلم، وبين العدول عن الحيّ إلى الحيّ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في الأوّل جائزاً، وفي الثاني واجباً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 مع ما فيه من الحزازة وكون الحيّ أدون مرتبةً من الميّت من دون أيّ وجه ومزية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المعدول إليه أعلم من المعدول عنه، فالعدول واجب عند من يرى تعيّن الأخذ بقول الأعلم، إمّا على نحو الفتوى أو الاحتياط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يخفى ما في شرح بعض الأعلام</w:t>
      </w:r>
      <w:r>
        <w:rPr>
          <w:rStyle w:val="FootnoteAnchor"/>
          <w:rtl w:val="true"/>
        </w:rPr>
        <w:footnoteReference w:id="414"/>
      </w:r>
      <w:r>
        <w:rPr>
          <w:rFonts w:ascii="Amiri" w:hAnsi="Amiri" w:eastAsia="Amiri" w:cs="Amiri"/>
          <w:color w:val="111111"/>
          <w:sz w:val="28"/>
          <w:sz w:val="28"/>
          <w:szCs w:val="28"/>
          <w:rtl w:val="true"/>
          <w:lang w:bidi="ar-SA"/>
        </w:rPr>
        <w:t>من الإشكال فيما استظهره من المتن؛ إذ قد تبيّن بما ذكرنا أنّ المراد من المتن ليس ما استفاده هذا الشارح الفاضل وتبعه عليه بعض آخر حتّى يرد ما أورده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أوضح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بحيث لا يبقى معها مجال لهذا التوهّم والاشتباه، فليلاحظ</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الاحتياط الاستحبابي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والرجوع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فللخروج عن شبهة الخلاف مع القول بعدم جواز البقاء على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بعد ذلك الرجوع إلى فتوى الميّت ثانياً على الأحوط، ولا إلى حيّ آخر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إلى حيّ 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العدول من الحيّ إلى الحيّ المساوي على الأحوط، وهذا مخالف لما تقدّم منه قدس سره في المسألة الرابعة طبقاً لفتواه الأخيرة أو المصحّحة في تلك المسألة، فإنّ النسخة القديمة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نبّه عليه الناشر في هامش النسخة المطبوعة أخيراً في مؤسّسة تنظيم ونشر آثار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العدول بعد تحقّق التقليد من الحيّ إلى الحيّ المساوي 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ما في مسألتنا هذه كان مطابقاً لما في النسخة القديمة، ولم يُغيّر طبقاً للنسخة الجديدة المصحّحة في حياة المؤلّف وتحت نظره الشريف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تفطّن بعض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لعدم تناسب هذه الفقرة من مسألتنا مع ما في المسألة الرابعة في نسختها الأخيرة 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بيده النسخة القديمة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فبالطبع لم يبدُ له عدم التناسب بين ما في المسألتين</w:t>
      </w:r>
      <w:r>
        <w:rPr>
          <w:rStyle w:val="FootnoteAnchor"/>
          <w:rtl w:val="true"/>
        </w:rPr>
        <w:footnoteReference w:id="416"/>
      </w:r>
      <w:r>
        <w:rPr>
          <w:rFonts w:ascii="Amiri" w:hAnsi="Amiri" w:eastAsia="Amiri" w:cs="Amiri"/>
          <w:color w:val="111111"/>
          <w:sz w:val="28"/>
          <w:sz w:val="28"/>
          <w:szCs w:val="28"/>
          <w:rtl w:val="true"/>
          <w:lang w:bidi="ar-SA"/>
        </w:rPr>
        <w:t>لأنّ النسخة القديمة من المسألة الرابعة متناسبة مع ما في هذه الفقرة من مسألتنا كما لا يخفى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فرعاية التناسب بين النسخة الجديدة المصحّحة في المسألة الرابعة وبين مسألتنا تقتضي حذف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إلى حيّ آخر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أو تبديله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جاز الرجوع إلى حيّ آخر إذا كان مساوياً له في</w:t>
      </w:r>
    </w:p>
    <w:p>
      <w:pPr>
        <w:pStyle w:val="BookText"/>
        <w:rPr/>
      </w:pPr>
      <w:r>
        <w:rPr>
          <w:rFonts w:ascii="Amiri" w:hAnsi="Amiri" w:eastAsia="Amiri" w:cs="Amiri"/>
          <w:color w:val="111111"/>
          <w:sz w:val="28"/>
          <w:sz w:val="28"/>
          <w:szCs w:val="28"/>
          <w:rtl w:val="true"/>
          <w:lang w:bidi="ar-SA"/>
        </w:rPr>
        <w:t>الفضل، ويجب على الأحوط إذا كان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مستند جواز العدول من الحيّ إلى الحيّ المساوي في ذيل كلام الماتن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مستند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بعد ذلك الرجوع إلى فتوى الميّت ثانياً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شبهة صِدق الرجوع الابتدائي إلى الميّت؛ فإنّه إذا عدل عن الميّت إلى الحيّ الأعلم فيحتمل قويّاً انقطاع تقليده للميّت، وعدم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على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إليه ثانياً؛ بل من المحتمل قويّاً حينئذٍ صدق التقليد الابتدائي للميّت؛ وهو من التقليد الممنوع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المراد من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الأحياء، لا الأعلم من الميّت أيضاً، وأمّا إذا كان المراد الأعلم من الميّت فعدم جواز العدول إلى الميّت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بالاحتياط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لأنّه من قبيل العدول عن الأعلم إلى غيره، هذا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كلامه المذكور هنا طبقاً للنسخة القديمة في المسألة الرابعة،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جانب ما ذكر من الاستدلال على التخيير الابتدائي دون الاستمراري فيما تقدّم في مستند المسألة الرابعة، مع ما أسّسه في رسالة الاجتهاد والتقليد من الأخذ بالقدر المتيقّن، والجري على قاعدة الاشتغال والتعيين العقلي عند دوران الأمر بين التعيين والتخيير في مثل هذه المسألة</w:t>
      </w:r>
      <w:r>
        <w:rPr>
          <w:rStyle w:val="FootnoteAnchor"/>
          <w:rtl w:val="true"/>
        </w:rPr>
        <w:footnoteReference w:id="417"/>
      </w:r>
      <w:r>
        <w:rPr>
          <w:rFonts w:ascii="Amiri" w:hAnsi="Amiri" w:eastAsia="Amiri" w:cs="Amiri"/>
          <w:color w:val="111111"/>
          <w:sz w:val="28"/>
          <w:sz w:val="28"/>
          <w:szCs w:val="28"/>
          <w:rtl w:val="true"/>
          <w:lang w:bidi="ar-SA"/>
        </w:rPr>
        <w:t>، فهذا ينتج الاحتياط الوجوبي؛ تقديماً لجانب التعيين فيما نحن فيه، وهو تعيين البقاء على تقليد الحيّ المرجوع إليه عن الميّت، وعدم التخيير في الرجوع إلى حيّ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 له في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الميّت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التعيين الاحتياطي بالنسبة إلى الرجوع إلى الميّت ثانياً أوضح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إلى أعلم منه، فإنّه يجب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أن يكون البقاء بتقليد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بقي على تقليد الميّت من دون الرجوع إلى الحيّ الذي يفتي بجواز ذلك، كان كمن عمل من غير 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الحيّ الثاني أعلم من الحيّ الأوّل، فمقتضى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الرجوع إلى الأعلم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العدول إليه احتياطاً فيما نحن فيه، كما تقدّم في المسألة الرابعة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المفروض سقوط فتوى الميّت عن الاعتبار بالموت؛ فإنّ الشكّ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يساوق القطع بعدمها، ولا مجال للعامّي لإثبات حجّيتها أن يتمسّك بالاستصحاب وغيره كما لايخفى، والبقاء على تقليده اعتماداً وأخذاً بفتوى الميّت في ذلك دور بيّن، فلابدّ للحكم بجواز البقاء من تحصيل الحجّة، وليست في المقام إلّارأي الحيّ الجامع للشرائط، فيتعيّن الرجوع إليه في ذلك، فالمتّبع في المقام إنّما هو رأيه وجوباً وجوازاً ومنعاً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يحصل الشكّ للمقلّد في ذلك لأجل عدم الالتفات والجهل، بل كان قاطعاً بحجّية فتوى مقلّده والبقاء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محالة يعمل على وفق علمه ما لم يزل بالالتفات وعروض الشكّ، وما لم يتفطّن إلى ما هو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الفرض لا وجه ولا ملزم للحكم برجوعه إلى الحيّ؛ حيث إنّه يرى نفسه ذا حجّة وعالماً بالعلم التعبّدي الحاصل من قول مقلّده، فلا موضوع ولا مجال للرجوع إلى الحيّ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على تقليده مع كونه شاكّاً في ذلك، ولم يرجع إلى الحيّ، فيعامل معه معاملة الجاهل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ملتفت إلى عدم اعتبار فتوى الميّت، وغير محتمل لعدم جواز البقاء عليه، 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جازماً بجواز البقاء، فيعامل معه معاملة الجاهل القاصر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البحث عن حكم الأعمال المأتيّ بها استناداً إلى ذلك التقليد الذي لم تثبت حجّيته بحجّة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الصحّة والفساد، والإجزاء وعدمه فيما إذا وافقت الواقع أو وافقت رأي من يجب عليه الأخذ به، ومن حيث التفصيل بين العبادات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 من موضعه في سائر مسائل الاجتهاد والتقليد</w:t>
      </w:r>
      <w:r>
        <w:rPr>
          <w:rFonts w:eastAsia="Amiri" w:cs="Amiri" w:ascii="Amiri" w:hAnsi="Amiri"/>
          <w:color w:val="111111"/>
          <w:sz w:val="28"/>
          <w:szCs w:val="28"/>
          <w:rtl w:val="true"/>
          <w:lang w:bidi="ar-SA"/>
        </w:rPr>
        <w:t>.</w:t>
      </w:r>
      <w:bookmarkStart w:id="211" w:name="pg1790_14810"/>
    </w:p>
    <w:p>
      <w:pPr>
        <w:pStyle w:val="Heading3"/>
        <w:numPr>
          <w:ilvl w:val="2"/>
          <w:numId w:val="1"/>
        </w:numPr>
        <w:rPr/>
      </w:pPr>
      <w:bookmarkStart w:id="212" w:name="__RefHeading___Toc2371680_3650668749"/>
      <w:bookmarkStart w:id="213" w:name="_Toc78"/>
      <w:bookmarkEnd w:id="211"/>
      <w:bookmarkEnd w:id="212"/>
      <w:r>
        <w:rPr>
          <w:rtl w:val="true"/>
        </w:rPr>
        <w:t>تعاقب تقليد الأموات‌</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مجتهداً ثمّ مات، فقلّد غيره ثمّ مات، فقلّد في مسألة البقاء على تقليد الميّت من يقول بوجوب البقاء أو جوازه، فهل يبقى على تقليد المجتهد الأوّل أو الثاني؟ الأظهر البقاء على تقليد الأوّل إن كان الثالث قائلًا بوجوب البقاء، ويتخيّر بين البقاء على تقليد الثاني والرجوع إلى الحيّ إن كان قائلًا بجوازه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تعاقب تقليد الأموات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فروضاً كثيرة قد أطلق السيّد الماتن قدس سره الكلام فيها، ولم يتعرّض إلّالبيان حكم فرضين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المجتهد الثالث قائلًا بوجوب البقاء،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قائلًا بجوازه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التفاضل والتساوي بين المجتهدين في العلم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الأوّل أو الثاني أعلم، أو كان الثالث أعلم، أو كانوا متساوين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مطلق من هذه الجهة، وهو قدس سره وإن استدلّ على عدم تعيّن تقديم الأعلم في دراساته العالية</w:t>
      </w:r>
      <w:r>
        <w:rPr>
          <w:rStyle w:val="FootnoteAnchor"/>
          <w:rtl w:val="true"/>
        </w:rPr>
        <w:footnoteReference w:id="418"/>
      </w:r>
      <w:r>
        <w:rPr>
          <w:rFonts w:ascii="Amiri" w:hAnsi="Amiri" w:eastAsia="Amiri" w:cs="Amiri"/>
          <w:color w:val="111111"/>
          <w:sz w:val="28"/>
          <w:sz w:val="28"/>
          <w:szCs w:val="28"/>
          <w:rtl w:val="true"/>
          <w:lang w:bidi="ar-SA"/>
        </w:rPr>
        <w:t>، ولكنّه اختار وجوب تقليد الأعلم على الأحوط</w:t>
      </w:r>
      <w:r>
        <w:rPr>
          <w:rStyle w:val="FootnoteAnchor"/>
          <w:rtl w:val="true"/>
        </w:rPr>
        <w:footnoteReference w:id="419"/>
      </w:r>
      <w:r>
        <w:rPr>
          <w:rFonts w:ascii="Amiri" w:hAnsi="Amiri" w:eastAsia="Amiri" w:cs="Amiri"/>
          <w:color w:val="111111"/>
          <w:sz w:val="28"/>
          <w:sz w:val="28"/>
          <w:szCs w:val="28"/>
          <w:rtl w:val="true"/>
          <w:lang w:bidi="ar-SA"/>
        </w:rPr>
        <w:t>، فكان عليه أن يفصّل بين الصور</w:t>
      </w:r>
    </w:p>
    <w:p>
      <w:pPr>
        <w:pStyle w:val="BookText"/>
        <w:rPr/>
      </w:pPr>
      <w:r>
        <w:rPr>
          <w:rFonts w:ascii="Amiri" w:hAnsi="Amiri" w:eastAsia="Amiri" w:cs="Amiri"/>
          <w:color w:val="111111"/>
          <w:sz w:val="28"/>
          <w:sz w:val="28"/>
          <w:szCs w:val="28"/>
          <w:rtl w:val="true"/>
          <w:lang w:bidi="ar-SA"/>
        </w:rPr>
        <w:t>المحتملة من هذه الجهة كما صنعه بعض الأعلام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 الأوّل والثاني متوافقي الفتوى من حيث وجوب البقاء وحرمته وجوازه، أو مختلفي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أيضاً، ومن المعلوم أنّ الفروض المحتملة من هذه الحيثية تكون تسعة يختلف الحكم بحسبها، والسيّد الإمام قدس سره أطلق الحكم بوجوب البقاء على الأوّل من غير فرق بين أن يكون الأوّل قائلًا بجواز البقاء أو وجوبه أو حرمته، وكذا بالنسبة إلى المجتهد الثاني،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يستفاد من كلماته في مواضع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يستظهر من نفس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القيود والفروض، كما استظهره بعض شرّاح كلامه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فكلام الماتن هنا غير منقّح ولا مبوّب؛ ولذا يحتاج إلى مزيد تأمّل، ونحن نبيّن أوّلًا ما هو المصرّح به، ثمّ نعقّبه ببعض ما يمكن أن يستفاد ويستظهر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فالمصرّح به في المتن هو ما كان المجتهد الثالث الحيّ قائلًا بوجوب البقاء أو جوازه، وهذا احتراز عمّا لو كان قائلًا بحرمة البقاء إذ لو كان الثالث قائلًا بحرمة البقاء ووجوب العدول لتعيّن الأخذ بقوله، ولا يعبأ بفتوى الأوّل ولا الثاني، سواء كان رأيهما حرمة البقاء أو وجوبه أو جوازه؛ إذ الحجّة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عليها المدار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فتوى الثالث، وحيث كانت فتواه حرمة البقاء فلا أثر لفتوى الأوّل والثاني أيّ شي‌ء كانت فتواهما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فالسيّد الماتن قدس سره تعرّض في المسألة لبيان حكم صورتين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الثالث قائلًا بوجوب البقاء،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البقاء على تقليد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يتوقّف على ذكر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مصبّ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الثاني قائلًا بجواز الرجوع بالمعنى الأعمّ؛ ليصحّ رجوع العامّي من الأوّل إلى الثاني، وهذا شي‌ء يساعده الاعتبار، كما استظهره بعض الأعلام</w:t>
      </w:r>
      <w:r>
        <w:rPr>
          <w:rStyle w:val="FootnoteAnchor"/>
          <w:rtl w:val="true"/>
        </w:rPr>
        <w:footnoteReference w:id="422"/>
      </w:r>
      <w:r>
        <w:rPr>
          <w:rFonts w:ascii="Amiri" w:hAnsi="Amiri" w:eastAsia="Amiri" w:cs="Amiri"/>
          <w:color w:val="111111"/>
          <w:sz w:val="28"/>
          <w:sz w:val="28"/>
          <w:szCs w:val="28"/>
          <w:rtl w:val="true"/>
          <w:lang w:bidi="ar-SA"/>
        </w:rPr>
        <w:t xml:space="preserve">، وصرّح به نفس الماتن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قلّد مجتهداً في الفروع فمات، فقلّد مجتهداً يرى وجوب الرجوع، فرجع إليه فمات، فقلّد مجتهداً يرى وجوب البقاء</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الأمارة الفعلية التي عليها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فتوى الثالث بوجوب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على بطلان فتوى الثاني بوجوب الرجوع، فيكون رجوع العامّي عن الأوّل استناداً إلى فتوى الثاني فاسداً من رأسه، ولا معنى للبقاء على الثاني بفتوى الثالث؛ لأنّه يخطّئ الثاني في قوله بحرمة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فتوى الثاني بوجوب الرجوع كانت باطلة عند الثالث، فلا معنى ولا مجرى لاستصحاب حجّية رأيه أيضاً؛ لا في حقّ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ذو حجّة فعلية وهي رأي الثالث، ومعها لا شكّ حتّى يتمسّك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بالنسبة إلى المجتهد الثالث؛ لأنّ رأي الثاني باطل عنده من غير شكّ، فلا موضوع للاستصحاب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رجوعه عن الأوّل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معذوراً بمقتضى فتوى الثاني بوجوب الرجوع، إلّاأنّه بعد سقوط رأيه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الحجّة الفعلية فساده، فلا محالة تكون وظيفة العامّي البقاء على الأوّل حسب ما تقتضيه الحجّة الفعلية وهي 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يستفاد ممّا أفاده السيّد الماتن قدس سره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بأس بالتنبيه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لِمَ لَمْ يحكم الماتن على نحو البتّ والقطع،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لعلّ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يستفاد من بعض الأعلام</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تقليد العامّي للثاني الذي أفتى بالرجوع عن الأوّل وقع صحيحاً في وعائه، إذ الحجّة التي يلزم عليه اتّباعها آنذاك هي فتوى الثاني بوجوب الرجوع، وبعد أن رجع عن الأوّل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العدول من الميّت الأوّل، فالرجوع إليه استناداً إلى فتوى الثالث بوجوب البقاء يكون من التقليد الابتدائي الممنوع، فيقوى البقاء على الثاني؛ ولذلك قال السيّد الجليل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البقاء على الثاني</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الفرق بين فتوى السيّدين الجليلين في مفروض الكلام نشأ من ذلك، فليتأمّل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حيث إنّ مبنى السيّدين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اضمحلال الاجتهاد، وتبدّل الرأي، وموارد العدول من رأي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انتقاض التقليد الصحيح الواقع في زمانٍ بسبب تقليد مجتهد آخر</w:t>
      </w:r>
      <w:r>
        <w:rPr>
          <w:rStyle w:val="FootnoteAnchor"/>
          <w:rtl w:val="true"/>
        </w:rPr>
        <w:footnoteReference w:id="427"/>
      </w:r>
      <w:r>
        <w:rPr>
          <w:rFonts w:ascii="Amiri" w:hAnsi="Amiri" w:eastAsia="Amiri" w:cs="Amiri"/>
          <w:color w:val="111111"/>
          <w:sz w:val="28"/>
          <w:sz w:val="28"/>
          <w:szCs w:val="28"/>
          <w:rtl w:val="true"/>
          <w:lang w:bidi="ar-SA"/>
        </w:rPr>
        <w:t>، فيمكن أن يكون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بحسب اختلاف مفروض كلام كلّ منهما؛ فإنّ المفروض في كلام السيّد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كان الثاني قائلًا بحرمة البقاء والثالث بوجوبه كما فصّلناه، وأمّا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فرضه فيما إذا كان الثاني قائلًا بجواز البقاء، فحينئذٍ فتوى الثالث بوجوب البقاء تقتضي البقاء على الثاني؛ حيث إنّ تقليد العامّي عنه كان صحيحاً</w:t>
      </w:r>
    </w:p>
    <w:p>
      <w:pPr>
        <w:pStyle w:val="BookText"/>
        <w:rPr/>
      </w:pPr>
      <w:r>
        <w:rPr>
          <w:rFonts w:ascii="Amiri" w:hAnsi="Amiri" w:eastAsia="Amiri" w:cs="Amiri"/>
          <w:color w:val="111111"/>
          <w:sz w:val="28"/>
          <w:sz w:val="28"/>
          <w:szCs w:val="28"/>
          <w:rtl w:val="true"/>
          <w:lang w:bidi="ar-SA"/>
        </w:rPr>
        <w:t>عند الثالث، وهو يفتي بوجوب البقاء على التقليد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تقليد الأوّل فقد انقطع بالرجوع إلى الثاني، فلا وجه لشمول فتوى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للتقليد عن الأوّل؛ لأنّه من التقليد الابتدائي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هذا هو الفارق بين فتوى السيّدين، فالاختلاف بينهما في الإفتاء بالبقاء على الأوّل أو الثاني إنّما هو لأجل الاختلاف فيما هو المفروض في كلام كلّ منهما، لا لأجل الاختلاف في المبنى؛ من حيث انتقاض التقليد وعدم انتقاضه، واللَّه العالم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الثالث قائلًا بجواز البقاء،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ويتخيّر بين البقاء على الثاني والرجوع إلى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مخيّراً بين البقاء على الأوّل والرجوع إلى الثاني، وحيث اختار الرجوع إلى الثاني فقد وقع تقليده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فلا يجوز للعامّي الرجوع إلى الأوّل بعد رجوعه عنه إلى الثاني على وجه صحيح لأنّه بالنسبة إلى الأوّل يكون من التقليد الابتدائي للميّت وهو الممنوع، فلا محالة يدور الأمر حسب الفرض بين البقاء على الثاني والرجوع إلى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هذا الفرض بين كون الثاني قائلًا بحرمة البقاء أو جوازه؛ لأنّ فتوى الثالث بجواز البقاء توجب البقاء على الثاني في المسائل الفرعية، وأمّا المسألة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أصل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الثاني قائلًا بحرمة البقاء فلا تشملها فتوى الثالث بجواز البقاء؛ حتّى يحصل التهافت والتناقض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الوجه في الحكم بالتخيير بين البقاء على الثاني والرجوع إلى الثالث،</w:t>
      </w:r>
    </w:p>
    <w:p>
      <w:pPr>
        <w:pStyle w:val="BookText"/>
        <w:rPr/>
      </w:pPr>
      <w:r>
        <w:rPr>
          <w:rFonts w:ascii="Amiri" w:hAnsi="Amiri" w:eastAsia="Amiri" w:cs="Amiri"/>
          <w:color w:val="111111"/>
          <w:sz w:val="28"/>
          <w:sz w:val="28"/>
          <w:szCs w:val="28"/>
          <w:rtl w:val="true"/>
          <w:lang w:bidi="ar-SA"/>
        </w:rPr>
        <w:t>الذي مقتضاه عدم جواز الرجوع على الأوّل؛ فإنّه من التقليد الابتدائي الممنوع، لا ما أفاده بعض الشرّاح وأطال الكلام حوله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ما يتعلّق بتبيين المسألة، فلا بأس بالإشارة إلى مسألة اخرى لها ارتباط وثيق بالمقام، قد عنونها الماتن المعظّم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وذكرها غيره من الأعلام في كتبهم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 وهي أنّه إذا قلّد مجتهداً كان قائلًا بوجوب الرجوع إلى الحيّ، فمات ورجع إلى من هو قائل بوجوب البقاء، يجب عليه البقاء في سائر المسائل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حكمان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البقاء على الميّت بفتوى الحيّ في المسائل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فتوى الحيّ بوجوب البقاء للمسألة الأصلية التي هي فتوى الميّت بحرمة البقاء، فلابدّ من بيان وجه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البقاء على الميّت في جميع المسائل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فتواه كذلك؛ بأن لم يشترط العمل أو التعلّم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لأجل أنّ فتوى الميّت سقطت عن الحجّية بموته، فلابدّ من الرجوع إلى الحيّ، وحيث إنّه قائل بوجوب البقاء فتصير فتوى الميّت بذلك حجّة معتبرة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فتوى الحيّ بوجوب البقاء في نفس مسألة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أفتى الميّت فيها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تشملها؛ للتناقض كما في كلام الشيخ الأعظم</w:t>
      </w:r>
      <w:r>
        <w:rPr>
          <w:rStyle w:val="FootnoteAnchor"/>
          <w:rtl w:val="true"/>
        </w:rPr>
        <w:footnoteReference w:id="431"/>
      </w:r>
      <w:r>
        <w:rPr>
          <w:rFonts w:ascii="Amiri" w:hAnsi="Amiri" w:eastAsia="Amiri" w:cs="Amiri"/>
          <w:color w:val="111111"/>
          <w:sz w:val="28"/>
          <w:sz w:val="28"/>
          <w:szCs w:val="28"/>
          <w:rtl w:val="true"/>
          <w:lang w:bidi="ar-SA"/>
        </w:rPr>
        <w:t>، ولأنّ المسألة الواحدة لا تتحمّل التقليدين؛ إذ بعد أن قلّد العامّي فيها الحيّ فلا تحيّر له حتّى يقلّد</w:t>
      </w:r>
    </w:p>
    <w:p>
      <w:pPr>
        <w:pStyle w:val="BookText"/>
        <w:rPr/>
      </w:pPr>
      <w:r>
        <w:rPr>
          <w:rFonts w:ascii="Amiri" w:hAnsi="Amiri" w:eastAsia="Amiri" w:cs="Amiri"/>
          <w:color w:val="111111"/>
          <w:sz w:val="28"/>
          <w:sz w:val="28"/>
          <w:szCs w:val="28"/>
          <w:rtl w:val="true"/>
          <w:lang w:bidi="ar-SA"/>
        </w:rPr>
        <w:t>الميّت، ولعدم جواز إفتاء الحيّ بالبقاء عليه فيها؛ لأنّه يرى الميّت في ذلك على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المجتهد الحيّ يرى الميّت على الخطأ فلا يشكّ حتّى يجري الاستصحاب، كما أنّ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كونه ذا حجّة معتبرة فعلية وهي فتوى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له، فلا مجرى للاستصحاب بالنسبة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ممّا أفاده السيّد الماتن قدس سره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ففتوى الحيّ بوجوب البقاء لا يعقل أن تشمل فتوى الميّت بحرمته؛ لاستلزام التناقض، فالتخلّص عن المحذور العقلي يقتضي القول بعدم شمول فتوى الحيّ بالبقاء لهذه المسألة الاصولية، وأمّا القول بشمولها لها دون المسائل الفرعية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تخصيص الأكثر</w:t>
      </w:r>
      <w:r>
        <w:rPr>
          <w:rFonts w:eastAsia="Amiri" w:cs="Amiri" w:ascii="Amiri" w:hAnsi="Amiri"/>
          <w:color w:val="111111"/>
          <w:sz w:val="28"/>
          <w:szCs w:val="28"/>
          <w:rtl w:val="true"/>
          <w:lang w:bidi="ar-SA"/>
        </w:rPr>
        <w:t>.</w:t>
      </w:r>
      <w:bookmarkStart w:id="214" w:name="pg1790_14817"/>
    </w:p>
    <w:p>
      <w:pPr>
        <w:pStyle w:val="Heading3"/>
        <w:numPr>
          <w:ilvl w:val="2"/>
          <w:numId w:val="1"/>
        </w:numPr>
        <w:rPr/>
      </w:pPr>
      <w:bookmarkStart w:id="215" w:name="__RefHeading___Toc2371682_3650668749"/>
      <w:bookmarkStart w:id="216" w:name="_Toc79"/>
      <w:bookmarkEnd w:id="214"/>
      <w:bookmarkEnd w:id="215"/>
      <w:r>
        <w:rPr>
          <w:rtl w:val="true"/>
        </w:rPr>
        <w:t>المأذون والوكيل عن المجتهد</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والوكيل عن المجتهد في التصرّف في الأوقاف أو الوصايا أو في أموال القُصّر ينعزل بموت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المنصوب من قبله؛ بأن نصبه متولّياً للوقف، أو قيّماً على القصّر، فلا يبعد عدم انعزاله، لكن لا ينبغي ترك الاحتياط؛ بتحصيل الإجازة أو النصب الجديد للمنصوب من المجتهد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المأذون والوكيل عن المجتهد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الماتن في هذه المسألة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المأذون والوكيل عن المجتهد الميّت وصرّح بانعزاله بموته، وقد اتّفقت كلمات فقهائنا على هذا الحكم، وادّعي عليه 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المنصوب من قِبله، فالسيّد الأصفهاني في الوسيلة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السيّد الماتن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يبعد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كلمات الأصحاب منذ أقدم عصور فقه الإمامية، فقد نقل الشيخ الطوسي اختلاف المذاهب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انعزال نوّاب الإمام ونوّاب القاضي</w:t>
      </w:r>
      <w:r>
        <w:rPr>
          <w:rStyle w:val="FootnoteAnchor"/>
          <w:rtl w:val="true"/>
        </w:rPr>
        <w:footnoteReference w:id="434"/>
      </w:r>
      <w:r>
        <w:rPr>
          <w:rFonts w:ascii="IRNazanin" w:hAnsi="IRNazanin" w:eastAsia="IRNazanin"/>
          <w:color w:val="111111"/>
          <w:sz w:val="28"/>
          <w:sz w:val="28"/>
          <w:szCs w:val="28"/>
          <w:rtl w:val="true"/>
          <w:lang w:bidi="fa-IR"/>
        </w:rPr>
        <w:t>، واستمرّ هذا الخلاف إلى عصرنا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منهم قائلون بعدم انعزال نائب القاضي بعزل القاضي ولا بموته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لا إشكال في قيام الإذن بوجود الآذن، فبالموت يرتفع الإذن، وأمّا الوكالة فهي عقد جائز، حقيقتها إباحة التصرّف بالإذن من الموكّل وقيام الوكيل مقامه، فمع موت الموكّل وانعدام إذنه لا أثر للوكالة، وقد ذكروا أنّ أحد مبطلات الوكالة هو موت الموكّل إجماعاً</w:t>
      </w:r>
      <w:r>
        <w:rPr>
          <w:rStyle w:val="FootnoteAnchor"/>
          <w:rtl w:val="true"/>
        </w:rPr>
        <w:footnoteReference w:id="436"/>
      </w:r>
      <w:r>
        <w:rPr>
          <w:rFonts w:ascii="Amiri" w:hAnsi="Amiri" w:eastAsia="Amiri" w:cs="Amiri"/>
          <w:color w:val="111111"/>
          <w:sz w:val="28"/>
          <w:sz w:val="28"/>
          <w:szCs w:val="28"/>
          <w:rtl w:val="true"/>
          <w:lang w:bidi="ar-SA"/>
        </w:rPr>
        <w:t>، فما قاله الماتن قدس سره في صدر المسألة بالنسبة إلى المأذون والوكيل تامّ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المنصوب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أي‌المجتهد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كالمتولّي للوقف والقيّم على القصّر، فبناءً على ثبوت ولاية الفقيه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إنّه لا يكون نائباً ووجوداً تنزيلياً للفقيه فلا يكون كالمأذون والوكيل بحيث يبطل بموت الآذن والموكّل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فقد يقال بعدم انعزال منصوب الفقيه؛ وذلك لوجهين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الشأن في كلّ المناصب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تزول إلّا بالعزل، كما في إعطاء الواقف التولية لشخص؛ فإنّ التولية والنظارة باقية بعد موت الواقف</w:t>
      </w:r>
      <w:r>
        <w:rPr>
          <w:rStyle w:val="FootnoteAnchor"/>
          <w:rtl w:val="true"/>
        </w:rPr>
        <w:footnoteReference w:id="437"/>
      </w:r>
      <w:r>
        <w:rPr>
          <w:rFonts w:ascii="Amiri" w:hAnsi="Amiri" w:eastAsia="Amiri" w:cs="Amiri"/>
          <w:color w:val="111111"/>
          <w:sz w:val="28"/>
          <w:sz w:val="28"/>
          <w:szCs w:val="28"/>
          <w:rtl w:val="true"/>
          <w:lang w:bidi="ar-SA"/>
        </w:rPr>
        <w:t>، والحاكم الشرعي له السلطنة والاقتدار على ذلك بمقتضى قوله عليه السلام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يكون وزانها وزان حكم الحاكم غير القابل للنقض بموته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المرتكز في أذهان المتشرّعة والمستفاد من النصوص أنّ منصب القضاء منصب نيابي، فجميع الوظائف التي يؤدّيها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الخصومة ونصب القيّم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يؤدّيها نيابةً عن الإمام، فمنصوبه منصوب الإمام، ولا يقصد به كونه نائباً عن الإمام أو عن المجتهد، ولازم ذلك البناء على عدم البطلان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في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المتيقّن من ثبوت الولاية إنّما هو ولايته على النصب وهو حيّ، وأمّا ولايته على نصب القيّم مثلًا ما دام القيّم حيّاً وإن مات المجتهد فهي مشكوكة الثبوت، وحيث لا إطلاق يتمسّك به لإثباتها فمقتضى الأصل عدم ولايته كذلك بعد موته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النصب وزانه وزان جعل المتولّي من الواقف، فالفقيه يمثّل وظيفة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المتولّي، فلا يكون نصبه مقيّداً بحياته كما لا يخفى، أو أنّ منصوب القاضي يكون منصوب الإمام بواسطة في الجعل، وقد اعترف المستشكل ببقاء النصب في هذا الفرض</w:t>
      </w:r>
      <w:r>
        <w:rPr>
          <w:rStyle w:val="FootnoteAnchor"/>
          <w:rtl w:val="true"/>
        </w:rPr>
        <w:footnoteReference w:id="440"/>
      </w:r>
      <w:r>
        <w:rPr>
          <w:rFonts w:ascii="Amiri" w:hAnsi="Amiri" w:eastAsia="Amiri" w:cs="Amiri"/>
          <w:color w:val="111111"/>
          <w:sz w:val="28"/>
          <w:sz w:val="28"/>
          <w:szCs w:val="28"/>
          <w:rtl w:val="true"/>
          <w:lang w:bidi="ar-SA"/>
        </w:rPr>
        <w:t>، وقد عرفت إمكان استفادة ذلك من ارتكاز المتشرّعة ونصوص باب القضاء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كلّه يبتني على جواز نصب المجتهد للمتولّي والقيّم ونحوهما من المناصب، وهو يبتني على ثبوت الولاية للفقيه على ذلك، وقد صرّح السيّد الماتن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للفقيه العادل جميع ما للرسول والأئمّة ممّا يرجع إلى الحكومة والسياسة، ولا يعقل الفرق</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وأصرّ عليه في مقالاته بأساليب مختلفة وبرهن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منصوب الفقيه بحكم منصوب الإمام المعصوم، فإن انعزل منصوب الإمام بموته فينعزل منصوب الفقيه أيضاً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المنصوب من قبل الإمام أيضاً حيث تكون ولايته فرع ولاية الإمام فإذا مات الإمام فقد تمّ عصر إمامته وزال اعتبار نصبه؛ فإنّ لكلّ عصر إماماً لابدّ من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وجوب الرجوع إلى الإمام الحيّ وأ نّه حجّة العصر، لا ينافي عدم انعزال المنصوب من قِبل الإمام الميّت؛ فإنّ الإمام الحيّ له أن يعزل المنصوب عن الإمام الميّت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نقل فخر المحقّقين عن والده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المنصوبون في شغل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كقوّام الأيتام والوقوف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ينعزلون بموت القاضي وانعزاله بغير خلاف؛ لئلّا يختلّ أبواب المصالح، وسبيلهم سبيل المتولّين من قِبل الواقف</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الأمر في جميع الدول والحكومات؛ وإلّا لاختلّ النظام والامور،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الماتن قدس سره لمكان الخلاف بين الأصحاب في ذلك كما عرفت، احتاط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بالاحتياط الذي لا ينبغي تركه بتحصيل الإجازة أو النصب الجديد للمنصوب من المجتهد الحيّ،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شكّ في انعزال المنصوب أو بقائه، فقد يقال بجريان استصحاب بقاء القيمومة والتولية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غير محرز البقاء، فلا استصحاب</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المستصحب هو القيّم والوليّ، ومع الشكّ</w:t>
      </w:r>
    </w:p>
    <w:p>
      <w:pPr>
        <w:pStyle w:val="BookText"/>
        <w:rPr/>
      </w:pPr>
      <w:r>
        <w:rPr>
          <w:rFonts w:ascii="Amiri" w:hAnsi="Amiri" w:eastAsia="Amiri" w:cs="Amiri"/>
          <w:color w:val="111111"/>
          <w:sz w:val="28"/>
          <w:sz w:val="28"/>
          <w:szCs w:val="28"/>
          <w:rtl w:val="true"/>
          <w:lang w:bidi="ar-SA"/>
        </w:rPr>
        <w:t>في بقاء ولايتهما وعدمه فلا مانع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بجريان استصحاب جواز التصرّف بالقيمومة أو التولية للقيّم بعد موت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الاستصحاب من الاستصحاب الجاري في الشبهات الحكمية، فلا يجري</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استصحاب تعليقي معارض بأصالة عدم ترتّب الأثر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الأوّل يختصّ بمبنى المستشكل في الاصول، وقد تبيّن خلافه في محلّه،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الثاني أيضاً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بانتقاض أصالة عدم ترتّب الأثر على تصرّفات القيّم والمتولّي قطعاً، فلا يرجع إليها، وتجري أصالة جواز التصرّف بلامعارض</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عدم وصول النوبة إلى الاستصحاب لما ذكرناه آنفاً</w:t>
      </w:r>
      <w:r>
        <w:rPr>
          <w:rFonts w:eastAsia="Amiri" w:cs="Amiri" w:ascii="Amiri" w:hAnsi="Amiri"/>
          <w:color w:val="111111"/>
          <w:sz w:val="28"/>
          <w:szCs w:val="28"/>
          <w:rtl w:val="true"/>
          <w:lang w:bidi="ar-SA"/>
        </w:rPr>
        <w:t>.</w:t>
      </w:r>
      <w:bookmarkStart w:id="217" w:name="pg1790_14822"/>
    </w:p>
    <w:p>
      <w:pPr>
        <w:pStyle w:val="Heading3"/>
        <w:numPr>
          <w:ilvl w:val="2"/>
          <w:numId w:val="1"/>
        </w:numPr>
        <w:rPr/>
      </w:pPr>
      <w:bookmarkStart w:id="218" w:name="__RefHeading___Toc2371684_3650668749"/>
      <w:bookmarkStart w:id="219" w:name="_Toc80"/>
      <w:bookmarkEnd w:id="217"/>
      <w:bookmarkEnd w:id="218"/>
      <w:r>
        <w:rPr>
          <w:rtl w:val="true"/>
        </w:rPr>
        <w:t>التقليد والإجزاء في الأعمال الماضية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عبادة أو عقد أو 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فتوى من يقلّده، فمات ذلك المجتهد فقلّد من يقول ببطلانه، يجوز له البناء على صحّة الأعمال السابقة، ولا يجب عليه إعادتها؛ وإن وجب عليه فيما يأتي العمل بمقتضى فتوى المجتهد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التقليد والإجزاء في الأعمال الماضية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مسائل تقليد الميّت، وقد عرفت أنّ الماتن أفتى بجواز تقليده بقاءً بعد تحقّقه بالعمل ولو ببعض المسائل، فإن عدل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تقليد الميّت ورجع إلى الحيّ، واختلف رأي الميّت وذلك الحيّ في صحّة عمل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عبادة أو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المشهور إلى أنّ وزان هذه المسألة وزان تبدّل رأي المجتهد وتغيّره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مدى صحّة هذا الرأي يلزم أن نتعرّض لتأريخ المسألة على مسلك المشهور، فنقول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تعرّض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التقليد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تغيّر</w:t>
      </w:r>
    </w:p>
    <w:p>
      <w:pPr>
        <w:pStyle w:val="BookText"/>
        <w:rPr/>
      </w:pPr>
      <w:r>
        <w:rPr>
          <w:rFonts w:ascii="Amiri" w:hAnsi="Amiri" w:eastAsia="Amiri" w:cs="Amiri"/>
          <w:color w:val="111111"/>
          <w:sz w:val="28"/>
          <w:sz w:val="28"/>
          <w:szCs w:val="28"/>
          <w:rtl w:val="true"/>
          <w:lang w:bidi="ar-SA"/>
        </w:rPr>
        <w:t>رأي المجتهد، واستعرض الصور والأقوال وأدلّتها تفصيلًا، بعدما كان هذا البحث مطرح أنظار أعلام اصوليّي العامّة كابن الحاجب والعضدي والآمدي وغيرهم</w:t>
      </w:r>
      <w:r>
        <w:rPr>
          <w:rStyle w:val="FootnoteAnchor"/>
          <w:rtl w:val="true"/>
        </w:rPr>
        <w:footnoteReference w:id="447"/>
      </w:r>
      <w:r>
        <w:rPr>
          <w:rFonts w:ascii="Amiri" w:hAnsi="Amiri" w:eastAsia="Amiri" w:cs="Amiri"/>
          <w:color w:val="111111"/>
          <w:sz w:val="28"/>
          <w:sz w:val="28"/>
          <w:szCs w:val="28"/>
          <w:rtl w:val="true"/>
          <w:lang w:bidi="ar-SA"/>
        </w:rPr>
        <w:t>، فقد ذكروا أمثلة من العبادات والمعاملات وبحثوا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استمرّ طرح البحث كذلك في مباحث الاجتهاد والتقليد، إلى أن عدّ الشيخ الأعظم الأنصاري مسألة تبدّل رأي المجتهد من فروع بحث الإجزاء وتبدّل الحكم الظاهري، وتعرّض للبحث عنها في ذيل مبحث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عدّ مسألة عدول المقلّد عن فتوى مجتهده إلى فتوى مجتهد آخر وكذا حكم أعماله السابقة من فروع تلك المسألة</w:t>
      </w:r>
      <w:r>
        <w:rPr>
          <w:rStyle w:val="FootnoteAnchor"/>
          <w:rtl w:val="true"/>
        </w:rPr>
        <w:footnoteReference w:id="448"/>
      </w:r>
      <w:r>
        <w:rPr>
          <w:rFonts w:ascii="Amiri" w:hAnsi="Amiri" w:eastAsia="Amiri" w:cs="Amiri"/>
          <w:color w:val="111111"/>
          <w:sz w:val="28"/>
          <w:sz w:val="28"/>
          <w:szCs w:val="28"/>
          <w:rtl w:val="true"/>
          <w:lang w:bidi="ar-SA"/>
        </w:rPr>
        <w:t>، وصرّح هناك بعدم الإشكال في مضيّ الأعمال السابقة وعدم وجوب القضاء، إلّاأنّه بحث في الإعادة واختار ثبوتها على المقلّد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التقليد</w:t>
      </w:r>
      <w:r>
        <w:rPr>
          <w:rStyle w:val="FootnoteAnchor"/>
          <w:rtl w:val="true"/>
        </w:rPr>
        <w:footnoteReference w:id="449"/>
      </w:r>
      <w:r>
        <w:rPr>
          <w:rFonts w:ascii="Amiri" w:hAnsi="Amiri" w:eastAsia="Amiri" w:cs="Amiri"/>
          <w:color w:val="111111"/>
          <w:sz w:val="28"/>
          <w:sz w:val="28"/>
          <w:szCs w:val="28"/>
          <w:rtl w:val="true"/>
          <w:lang w:bidi="ar-SA"/>
        </w:rPr>
        <w:t>في نفس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نقض آثار الوقائع السابقة بعد رفع اليد عن تقليد الأوّل والالتزام بتقليد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النائيني وأعلام مدرسته إلى عدّ هذه المسألة من فروع مبحث الإجزاء، بلا افتراق بينها وبين مسألة تبدّل رأي المجتهد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واستشكل على ذلك جمع من المتأخّرين كما ستعرف إن شاء اللَّه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ما كان فالبحث في هذه المسألة يُفرض فيما إذا كان العمل السابق باطلًا</w:t>
      </w:r>
    </w:p>
    <w:p>
      <w:pPr>
        <w:pStyle w:val="BookText"/>
        <w:rPr/>
      </w:pPr>
      <w:r>
        <w:rPr>
          <w:rFonts w:ascii="Amiri" w:hAnsi="Amiri" w:eastAsia="Amiri" w:cs="Amiri"/>
          <w:color w:val="111111"/>
          <w:sz w:val="28"/>
          <w:sz w:val="28"/>
          <w:szCs w:val="28"/>
          <w:rtl w:val="true"/>
          <w:lang w:bidi="ar-SA"/>
        </w:rPr>
        <w:t xml:space="preserve">على رأي المجتهد المعدول إليه ولم يمكن تصحيحه بوجهٍ، مثل ما لو كان غير مشمول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الصلاة وكذا تُفرض هذه المسألة فيما إذا لم تكن فتوى المجتهد الثاني مبتنية على أساس الاحتياط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تكون الأعمال السابقة المطابقة لفتوى المجتهد الأوّل صحيحةً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أعلام الفقهاء من متأخّري المتأخّرين بحثوا عن هذه المسألة بعنوان بعض الفروع لمسألة الإجزاء في أصول الفقه، فقد بحثوا عن الإجزاء في موارد تبدّل رأي المجتهد وفصّلوا القول فيه، ثمّ ألحقوا به مسألة الإجزاء في موارد العدول أيضاً لموت كان أو لأي‌سبب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البحث لابدّ أوّلًا من تحقيق مقتضى القاعدة في المقام، ثمّ تحقيق مقتضى الدليل الخاصّ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مقتضى القاعدة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ما هو الحقّ من القول بالطريقية في الأمارات فالصحيح هو عدم الإجزاء عند انكشاف الخلاف كما بيّن في الاصول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العمل على وفق الأمارة ينافي كاشفية الأمارة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الدليل في نفس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جمع إلى الإجزاء، واستدلّوا عليه بوجوه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الثاني في المقام لا يكشف عن عدم حجّية الاجتهاد الأوّل، فكلّ منهما حجّة في زمانه،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متقوّمة بالوصول ولا أثر للحجّية غير الواصلة، وحينئذٍ فالاجتهاد الأوّل متّصف بالحجّية في ظرفه، ولايمكن رفع اليد عنه إلّابعد وصول الحجّة الثانية، وبعد وصولها يبقى الاجتهاد الأوّل على وصف الحجّية في ظرفها، ولكنّه يسقط عن الاعتبار من هذا الحين، ففي الحقيقة</w:t>
      </w:r>
    </w:p>
    <w:p>
      <w:pPr>
        <w:pStyle w:val="BookText"/>
        <w:rPr/>
      </w:pPr>
      <w:r>
        <w:rPr>
          <w:rFonts w:ascii="Amiri" w:hAnsi="Amiri" w:eastAsia="Amiri" w:cs="Amiri"/>
          <w:color w:val="111111"/>
          <w:sz w:val="28"/>
          <w:sz w:val="28"/>
          <w:szCs w:val="28"/>
          <w:rtl w:val="true"/>
          <w:lang w:bidi="ar-SA"/>
        </w:rPr>
        <w:t>يكون التبدّل في الحجّية من التبدّل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الاجتهاد الثاني وإن كان لا يستكشف به بطلان الاجتهاد الأوّل، ولكن مقتضى أدلّة اعتباره ثبوت مقتضاه في الشريعة المقدّسة من أوّل الأمر، لعدم اختصاصه بزمان دون زمان، فبالدلالة الالتزامية يدلّ على بطلان العمل المأتيّ به على طبق الاجتهاد الأوّل</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غاية ما يذكر من بيان وإيضاح لبطلان العمل المأتيّ به على طبق الاجتهاد الأوّل في الصورة المفروضة، وسيأتي تحقيق ذلك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السابقة لا تنتقض في الأحكام الوضعية ولا التكليفية التي عمل فيها على طبق الاجتهاد الأوّل، ولكلٍّ منهما 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نّها تابعة للمصالح والمفاسد في جعلها واعتبارها، دون المصالح والمفاسد في متعلّقاتها، فبقيام الحجّة الاولى تنكشف المصلحة على طبقها، وبعد قيام الحجّة الثانية لم يستكشف أنّ الاولى كانت غير مطابقة للواقع؛ لأنّ الأحكام الوضعية لا واقع لها وراء أنفسها، فلا معنى لكشف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تابعة للمصالح والمفاسد في متعلّقاتها، ولذا يتصوّر فيها كشف الخلاف، إلّاأنّ الحجّة الثانية تتّصف بالحجّية بعد انسلاخ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سبب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السابقة، فحجّيتها تحدث بعد سلب الحجّية عن سابقتها، وإذا كان الأمر كذلك استحال أن تكون الحجّة المتأخّرة الحادثة موجبةً لانقلاب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عليها 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الصحّة إلى الفساد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 فيما اختصّ بالأحكام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صحيحاً في رأي</w:t>
      </w:r>
    </w:p>
    <w:p>
      <w:pPr>
        <w:pStyle w:val="BookText"/>
        <w:rPr/>
      </w:pPr>
      <w:r>
        <w:rPr>
          <w:rFonts w:ascii="Amiri" w:hAnsi="Amiri" w:eastAsia="Amiri" w:cs="Amiri"/>
          <w:color w:val="111111"/>
          <w:sz w:val="28"/>
          <w:sz w:val="28"/>
          <w:szCs w:val="28"/>
          <w:rtl w:val="true"/>
          <w:lang w:bidi="ar-SA"/>
        </w:rPr>
        <w:t>المستشكل 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الحجّة الثانية تكشف عن خلاف الحجّة الاولى من ابتداء الشريعة، وأنّ الحكم السابق غير مجعول في الشرع على حسب المفروض، فلا تختلف عن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الأحكام التكليفية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بعد سقوط الحجّة السابقة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قيام الحجّة اللاحقة على بطلان الأعمال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تبعات عمل المكلّف من الإعادة أو القضاء، وحيث لا محرز له عن مطابقتها للواقع فلابدّ أن يرجع إلى الحجّة الثانية التعبّدية، وبما أنّها تدلّ على بطلان الأعمال السابقة فلا 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تأثير الحجّة المتأخّرة في الأعمال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ينقض بشهادة العادل الذي كان فاسقاً في زمانٍ ثمّ تاب، وبعد صيرورته عادلًا شهد على أمر مربوط بزمان فسقه، فهل يشكّ في اعتبار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المتأخّر لا يؤثّر في فساد ما وقع صحيحاً سابقاً، ولكنّه يمكن أن يكشف عن مخالفة الأعمال السابقة للواقع، ولا يختلف الحال في ذلك بين تقارن الحجّة أو تأخّرها، فإنّهما لا يؤثّران في البطلان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 أساس كلام المستشكل كان يرتكز على أنّ الحجّة الثانية تكشف عن ثبوت الحكم من ابتداء الشريعة؛ ولذا يستلزم الحكم ببطلان الأعمال السابقة، فلابدّ من الخروج عن تبعاته، وسيأتي تحقيق هذا المبنى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عدم الإجزاء قضاء العبادات السابقة على كثرتها، وهو أمر عسر على المكلّفين ويستلزم الحرج عليهم، والعسر والحرج منفيّان في الشريعة المقدّسة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يتصوّر ذلك في القضاء، دون الإعادة غالباً، إلّاأنّه قد</w:t>
      </w:r>
    </w:p>
    <w:p>
      <w:pPr>
        <w:pStyle w:val="BookText"/>
        <w:rPr/>
      </w:pPr>
      <w:r>
        <w:rPr>
          <w:rFonts w:ascii="Amiri" w:hAnsi="Amiri" w:eastAsia="Amiri" w:cs="Amiri"/>
          <w:color w:val="111111"/>
          <w:sz w:val="28"/>
          <w:sz w:val="28"/>
          <w:szCs w:val="28"/>
          <w:rtl w:val="true"/>
          <w:lang w:bidi="ar-SA"/>
        </w:rPr>
        <w:t>يوجب الحرج في إعادة الحجّ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المرفوع هو الحرج الشخصي، ففي كلّ مورد يستلزمه القضاء أو الإعادة فهو مرفوع، وإلّا فلابدّ من تدارك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الحرج المدّعى يلزم بناءً على انكشاف الخلاف في العلم الوجداني أيضاً، فالنسبة بين قاعدة نفي الحرج وانكشاف الخلاف بالتعبّد تكون عموماً من وجه، فلا تصلح القاعدة للاستدلال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المأتيّ به على طبق الحجّة الشرعية، لا تجب إعادته ولا قضاؤه إذا قامت حجّة اخرى على خلافها، وهذا الإجماع قد حكي عن المحقّق النائيني</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الإجماع المنقول الذي لم ينقله غيره،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ندّع العلم أو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إلى بعض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إشكال معارضة هذا الإجماع للإجماع المحكي عن العلّامة والعميدي على عدم الإجزاء</w:t>
      </w:r>
      <w:r>
        <w:rPr>
          <w:rStyle w:val="FootnoteAnchor"/>
          <w:rtl w:val="true"/>
        </w:rPr>
        <w:footnoteReference w:id="456"/>
      </w:r>
      <w:r>
        <w:rPr>
          <w:rFonts w:ascii="Amiri" w:hAnsi="Amiri" w:eastAsia="Amiri" w:cs="Amiri"/>
          <w:color w:val="111111"/>
          <w:sz w:val="28"/>
          <w:sz w:val="28"/>
          <w:szCs w:val="28"/>
          <w:rtl w:val="true"/>
          <w:lang w:bidi="ar-SA"/>
        </w:rPr>
        <w:t>فلا مجال له؛ لأنّ مدّعي الإجماع هنا لا يدّعيه على إجزاء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المأتيّ 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الواقع حتّى يتعارض الإجماعان، فيختلف مصبّ الإجماعين كما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للمحقّق النائيني في المقام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الإجزاء يبحث عنه في ثلاث مقامات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في العبادات الواقعة على طبق الاجتهاد الأوّل عن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أنّه القدر المتيقّن من مورد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في الأحكام الوضعية فيما لم يبق هناك موضوع يكون محلّاً للابتلاء، كما إذا بني على صحّة العقد الفارسي اجتهاداً أو تقليداً، فعامل معاملة بالفارسية ولكنّ المال الذي انتقل إليه بتلك المعاملة أتلفه أو تلف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شمول الإجماع لهذا المقام إشكال، وإن كان لا يبعد الإجماع على عدم التبعة من الإعادة والقضاء ومن الضمان في الأفعال الصادرة على طبق الاجتهاد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في الأحكام الوضعية مع بقاء الموضوع الذي يكون محلّاً للابتلاء، كبقاء المال بعينه في الفرض السابق، وكما إذا عقد على امرأة بالعقد الفارسي وكانت محلّ الابتلاء له بعد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المورد خارج عن معقد الإجماع، وفتوى جماعة بالإجزاء تبتني على ذهابهم إلى أنّ مقتضى القاعدة الأوّلية هو الإجزاء</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مرّ أنّ الإجماع لا يصلح دليلًا على الإجزاء فلا نعيد، وأمّا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هذا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بحث وخلاف، وأمّا القسم الأوّل منها فلا فرق بينه وبين القسم الثاني إلّامن ناحية أنّه مع عدم بقاء الموضوع يجب تدارك التالف ببدله ما أمكن، فالتفصيل لا مجال له كالإجماع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المتشرّعية جرت على عدم لزوم الإعادة أو القضاء في موارد العدول والتبدّل في الاجتهاد؛ حيث لا نعهد أحداً يعيد أو يقضي ما أتى به من العبادات طيلة حياته، فلا محالة لا تجب الإعادة أو القضاء عند قيام حجّة على الخلاف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قيام الحجّة على بطلان الأعمال الصادرة على طبق الحجّة</w:t>
      </w:r>
    </w:p>
    <w:p>
      <w:pPr>
        <w:pStyle w:val="BookText"/>
        <w:rPr/>
      </w:pPr>
      <w:r>
        <w:rPr>
          <w:rFonts w:ascii="Amiri" w:hAnsi="Amiri" w:eastAsia="Amiri" w:cs="Amiri"/>
          <w:color w:val="111111"/>
          <w:sz w:val="28"/>
          <w:sz w:val="28"/>
          <w:szCs w:val="28"/>
          <w:rtl w:val="true"/>
          <w:lang w:bidi="ar-SA"/>
        </w:rPr>
        <w:t>الاولى من القلّة بمكان، وليست من المسائل عامّة البلوى ليستكشف فيها السيرة 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نحرز اتّصال هذه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بزمن المعصومين عليهم السلام؛ إذ لا علم لنا بحدوث العدول أو تبدّل الرأي في تلك الأعصار؛ حتّى تتحقّق السيرة بشرائطها آنذاك، بل كثرة الابتلاء بهذه المسألة قد حدثت في الأعصار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العدول أو وجوبه إنّما دلّ عليه بالإضافة إلى الوقائع اللاحقة؛ إذ العمدة فيهما الإجماع، أو أصالة التعيين في الحجّية عند الدوران بينه وبين التخيير، وكلاهما لا يثبتان الحجّية بالإضافة إلى الوقائع السابقة لإهمال الأوّل فيقتصر فيه على القدر المتيقّن، ولا سيّما مع تصريح جماعة من الأعاظم بالرجوع في الوقائع السابقة إلى فتوى الأوّل وعدم وجوب التدارك بالإعادة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ولورود استصحاب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بمقتضى فتوى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الوقائع السابقة على أصالة التعيين؛ لأنّها أصل عقلي لا يجري مع جريان الأصل الشرعي، فاستصحاب الحجّية لفتوى الميّت بالإضافة إلى الوقائع السابقة لا يظهر له دافع</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الشكّ في أنّ الموت هل يكون أمداً لحجّية فتوى الميّت كان للاستصحاب مجال، ولا يكشف اختلاف الحيّ معه في الفتوى عن خطأ الميّت، إلّا أنّ الحجّة الفعلية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مقلَّده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بخلاف رأي الميّت، ويرى أنّ الحكم الشرعي ثابت من ابتداء الشريعة إلى الآن، فما عمله المكلّف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باطل على رأيه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باطلًا من أوّل الشريعة، وحيث إنّ فتوى المقلَّد تكون أمارة شرعية في حقّ مقلّديه، فلا يبقى لهم استصحاب الحجّية لفتوى الميّت؛ حيث إنّ الأمارة تكون واردة على الاستصحاب، فلا تصل النوبة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انقدح في الاصول عدم الإجزاء في الحكم الظاهري إذا انكشف خلافه، ومقتضاه عدم الإجزاء في المقام، إلّاأنّه يمكن أن يبني المكلّف حينئذٍ على صحّة الأعمال التي أتى بها تقليداً للميّت،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الحيّ والميّت قد يكون في الحكم التكليفي، وقد يكون في الحكم الوضعي، ولا إشكال في تحقّق الامتثال إذا أتى المكلّف بالعمل في زمان حياة مقلَّده صحيحاً، فالحكم التكليفي بالنسبة إليه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أي‌صحّة الأعمال السابقة التي أتى بها تقليداً للمجتهد الأوّل؛ بحيث لا تحتاج إلى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تكون المسألة مستندة إلى اعتبار شي‌ء في العبادة أو العقد أو الإيقاع في رأي المجتهد الثاني لم يأت به المكلّف حين تقليده للمجتهد الأوّل، ومن المعلوم أنّ المكلّف كان حين العمل جاهلًا بالنسبة إلى اعتبار هذا الشي‌ء شرطاً أو جزءاً، فيشمله حديث الرفع؛ لأنّ هذا الشرط أو الجزء يكون ممّا لا يعلمون بحسب المفروض، وإطلاقه حاكم وشامل لزمان حصول العلم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في فرض الكلام لم يحصل العلم باعتباره في العقد؛ لوضوح الفرق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لم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فالإطلاق للأوّل موجود دون الثاني</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القواعد الخاصّة في بعض الموارد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مورد الصلاة، والقواعد العامّة التي تعذر الجاهل كالبراءة الشرعية الجارية في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ببناء المكلّف على صحّة أعماله السابقة، من دون تفصيل بين الموارد من العبادات أو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هذا الوجه يجري فيما إذا كان الجهل عذراً، ففي كلّ مورد جرت قاعدة تدلّ على رفع الحكم عن الجاهل حُكِم بإجزاء عمله،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هذا مراد السيّد الماتن كان عليه تخصيص الحكم بالإجزاء في موردٍ يكون الجهل عذراً كما فعله بعض الأعلام</w:t>
      </w:r>
      <w:r>
        <w:rPr>
          <w:rStyle w:val="FootnoteAnchor"/>
          <w:rtl w:val="true"/>
        </w:rPr>
        <w:footnoteReference w:id="460"/>
      </w:r>
      <w:r>
        <w:rPr>
          <w:rFonts w:ascii="Amiri" w:hAnsi="Amiri" w:eastAsia="Amiri" w:cs="Amiri"/>
          <w:color w:val="111111"/>
          <w:sz w:val="28"/>
          <w:sz w:val="28"/>
          <w:szCs w:val="28"/>
          <w:rtl w:val="true"/>
          <w:lang w:bidi="ar-SA"/>
        </w:rPr>
        <w:t>، ويستكشف من عدم التقييد أنّ هذا الوجه ليس مراداً للماتن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الأعمال السابقة التي أتى بها المستفتي على طبق فتوى الميّت في زمان حياته صحيحة؛ إذ لا ريب في حجّية قول الميّت في حياته، ولا يسقطه الموت عن الحجّية، فالموت نهاية لأمد حجّية قول الميّت إن لم يبق المقلّد على تقليده بعد الموت، وليس بمسقط لحجّيته في زمان حياته، فكلّ ما أتى به المكلّف كان عن حجّة فعلية لم ينكشف خلافها، فليس الموت كاشفاً عن خطأ الحجّة أو عن عدم حجّية قول الميّت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فتوى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بكاشفة عن خطأ الميّت؛ لأنّ خلاف الحيّ في الفتوى مع الميّت لا يوجب سقوط حجّية قول الميّت في ظرف حجّيته؛ فإنّ المستفاد من أدلّة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قول الفقيه شأنية، وتصير فعلية بالرجوع إليه، فتحدث الفعلية بعده، فلا معارضة لقول الحيّ مع قول الميّت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البيان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المقام بباب تبدّل رأي المجتهد فاسد؛ لأنّ تبدّل الرأي يكشف عن خطأ المجتهد في رأيه الأوّل، ولا يوثق به عقلائياً، ولا حجّية له</w:t>
      </w:r>
    </w:p>
    <w:p>
      <w:pPr>
        <w:pStyle w:val="BookText"/>
        <w:rPr/>
      </w:pPr>
      <w:r>
        <w:rPr>
          <w:rFonts w:ascii="Amiri" w:hAnsi="Amiri" w:eastAsia="Amiri" w:cs="Amiri"/>
          <w:color w:val="111111"/>
          <w:sz w:val="28"/>
          <w:sz w:val="28"/>
          <w:szCs w:val="28"/>
          <w:rtl w:val="true"/>
          <w:lang w:bidi="ar-SA"/>
        </w:rPr>
        <w:t>حينئذٍ، بخلاف الموت فإنّه لا يكشف عن الخطأ، بل ينتهي الأمد لحجّية الحجّة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لا تكون من صغريات مسألة إجزاء الأمر الظاهري وعدمه؛ فإنّ مصبّ تلك المسألة هو انكشاف الخلاف، وقد عرفت أنّه لم ينكشف الخلاف بالموت في المقام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استفادة هذا الوجه من كلام المحقّق الأصفهاني، فراجع</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تعليقة السيّد الشهيد مصطفى الخميني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يرى أنّ البحث لابدّ أن يقع حول حدود حجّية رأي المجتهد الأوّل ومعذّريّته بنظر المجتهد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 الأوّل إن كان معذّراً عند المقلَّد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أي‌كان تقليده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وإن كان معذّراً وكان من موارد تعيّن البقاء أو جواز البقاء فالأمر كذلك، وإن لم يكن معذّراً لكونه فاقداً لشرطٍ كالأعلمية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كلّ مورد تعيّن العدول إلى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ذلك إلى بطلان مستنده في التقليد الأوّل وتقصير المقلّد فحكمه حكم من قلّد فاسداً، وإن لم يكن بتقصير منه فإيجاب العدول لا ينافي معذّرية التقليد الأوّل بالنسبة إلى مخالفته للواقع، وترك الإعادة والقضاء، وترك ترتيب الآثار حسب نظر المجتهد الثاني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الوجهان الأخيران متّحدان وإن اختلف بيانهما، وهما يبتنيان على لزوم اعتبار الحجّية الثابتة لرأي المجتهد الميّت وتعيين حدودها، من دون أن تكون</w:t>
      </w:r>
    </w:p>
    <w:p>
      <w:pPr>
        <w:pStyle w:val="BookText"/>
        <w:rPr/>
      </w:pPr>
      <w:r>
        <w:rPr>
          <w:rFonts w:ascii="Amiri" w:hAnsi="Amiri" w:eastAsia="Amiri" w:cs="Amiri"/>
          <w:color w:val="111111"/>
          <w:sz w:val="28"/>
          <w:sz w:val="28"/>
          <w:szCs w:val="28"/>
          <w:rtl w:val="true"/>
          <w:lang w:bidi="ar-SA"/>
        </w:rPr>
        <w:t>المسألة من صغريات مبحث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تلوناه عليك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ما عمله المكلّف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تقليداً للمجتهد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على أساس قواعد تصحّح الأعمال السابقة العبادية وغيرها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المكلّف بعد العدول أن يأتي بأعماله وفقاً لرأي المجتهد الثاني المعدول إليه؛ لأنّه الحجّة الفعلية عليه حينئذٍ، وقد انتهى أمد حجّية رأي المجتهد الأوّل؛ ولذا عقّب السيّد الإمام هذه المسألة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وجب عليه فيما يأتي العمل بمقتضى فتوى المجتهد الثاني</w:t>
      </w:r>
      <w:r>
        <w:rPr>
          <w:rFonts w:eastAsia="Amiri" w:cs="Amiri" w:ascii="Amiri" w:hAnsi="Amiri"/>
          <w:color w:val="111111"/>
          <w:sz w:val="28"/>
          <w:szCs w:val="28"/>
          <w:rtl w:val="true"/>
          <w:lang w:bidi="ar-SA"/>
        </w:rPr>
        <w:t>».</w:t>
      </w:r>
      <w:bookmarkStart w:id="220" w:name="pg1790_14834"/>
    </w:p>
    <w:p>
      <w:pPr>
        <w:pStyle w:val="Heading3"/>
        <w:numPr>
          <w:ilvl w:val="2"/>
          <w:numId w:val="1"/>
        </w:numPr>
        <w:rPr/>
      </w:pPr>
      <w:bookmarkStart w:id="221" w:name="__RefHeading___Toc2371686_3650668749"/>
      <w:bookmarkStart w:id="222" w:name="_Toc81"/>
      <w:bookmarkEnd w:id="220"/>
      <w:bookmarkEnd w:id="221"/>
      <w:r>
        <w:rPr>
          <w:rtl w:val="true"/>
        </w:rPr>
        <w:t>الشكّ في حائزية المجتهد للشرائط</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من غير فحص عن حاله، ثمّ شكّ في أنّه كان جامعاً للشرائط، وجب عليه الفحص، وكذا لو قطع بكونه جامعاً لها ثمّ شكّ في ذلك،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أحرز كونه جامعاً لها، ثمّ شكّ في زوال بعضها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كالعدالة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الفحص، ويجوز البناء على بقاء حالته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في حائزية المجتهد للشرائط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ذكر الماتن قدس سره شرائط المقلَّد تعرّض لصور شكّ المكلّف في اتّصافه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لم تعنون في كلمات أصحابنا القدّامي، وبعد طرحها في العصر المتأخّر أصبحت عرضة للتشقيق والتصاوير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تعرّض الماتن قدس سره في هذه المسألة إلى ثلاث صور للشكّ في أهلية المرجع للتقليد؛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قلّد المجتهد مدّة من غير فحص عن حاله، ثمّ تنبّه وشكّ في جامعيّته للشرائط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قطع ابتداءً بكونه جامعاً للشرائط، ثمّ شكّ فيما قطع به أوّلًا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أحرز ابتداءً كونه جامعاً للشرائط، إلّاأنّه شكّ بعد ذلك في زوال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 فقد صوّرها بعض الأعلام فيما إذا كانت الشرائط محرزة ابتداءً بقيام البيّنة ثمّ عرض له الشكّ، وبذلك تفترق هذه الصورة عن الثانية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الفرض خلاف ما يُفهم من ظاهر عبارة الماتن كما هو الظاهر، بل الفرق بين الصورة 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في الصورة الاولى قلّد المجتهد في أوّل الأمر بتسامح أو غفلة بالنسبة إلى الفحص عن شرائطه وإحراز حجّة عليها، ثمّ تنبّه وشكّ في أنّه كان جامعاً لها أم لا</w:t>
      </w:r>
      <w:r>
        <w:rPr>
          <w:rStyle w:val="FootnoteAnchor"/>
          <w:rtl w:val="true"/>
        </w:rPr>
        <w:footnoteReference w:id="465"/>
      </w:r>
      <w:r>
        <w:rPr>
          <w:rFonts w:ascii="Amiri" w:hAnsi="Amiri" w:eastAsia="Amiri" w:cs="Amiri"/>
          <w:color w:val="111111"/>
          <w:sz w:val="28"/>
          <w:sz w:val="28"/>
          <w:szCs w:val="28"/>
          <w:rtl w:val="true"/>
          <w:lang w:bidi="ar-SA"/>
        </w:rPr>
        <w:t>، ولكنّه في الصورة الثانية لا يكون غافلًا أو متسامحاً في الشرائط بل أحرزها بالقطع، ثمّ شكّ فيما قطع به أوّلًا شكّاً سارياً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تمتاز الصورة الثانية عن الثالثة أيضاً؛ فإنّ الشكّ في الصورة الثالثة شكّ في 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زوال بعض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إخلال بالنسبة إلى إحرازه السابق في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لا إشكال في الصورة الاولى في وجوب الفحص كما كان يجب في ابتداء التقليد؛ للزوم استناد أعمال المكلّف إلى الحجّة المعتبرة، وهي تقليد من يستجمع الشرائط بأجمعها، وإحراز ذلك يحتاج إلى الفحص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فالذي يقتضيه النظر هو وجوب الفحص كالصورة الاولى؛ وذلك لأنّ الشكّ إذا كان سارياً فهو يوجب زوال القطع حتّى بالنسبة إلى الحالة السابقة، فيكشف عن عدم توفّر حجّة للعامّي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جامعية من قلّده لشرائط التقليد شرعاً، فيجب عليه الفحص كالصورة الاولى التي قلّد فيها من دون حجّة على الشرائط، هذا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الماتن لم يفتِ في هذه الصورة بوجوب الفحص، بل احتاط وجوباً في</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حجّية قاعدة اليقين في حقّ العامّي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قدس سره ردّ حجّية هذه القاعدة في رسالة الاستصحاب</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الثالثة فقد حكم بجواز البناء على بقاء حالته الاولى؛ وذلك لأنّ الاستصحاب في هذا الفرض يقتضي بقاء الشرائط المحرزة سابقاً، وعدم الاعتناء بالشكّ في زوالها بلاريب</w:t>
      </w:r>
      <w:r>
        <w:rPr>
          <w:rFonts w:eastAsia="Amiri" w:cs="Amiri" w:ascii="Amiri" w:hAnsi="Amiri"/>
          <w:color w:val="111111"/>
          <w:sz w:val="28"/>
          <w:szCs w:val="28"/>
          <w:rtl w:val="true"/>
          <w:lang w:bidi="ar-SA"/>
        </w:rPr>
        <w:t>.</w:t>
      </w:r>
      <w:bookmarkStart w:id="223" w:name="pg1790_14837"/>
    </w:p>
    <w:p>
      <w:pPr>
        <w:pStyle w:val="Heading3"/>
        <w:numPr>
          <w:ilvl w:val="2"/>
          <w:numId w:val="1"/>
        </w:numPr>
        <w:rPr/>
      </w:pPr>
      <w:bookmarkStart w:id="224" w:name="__RefHeading___Toc2371688_3650668749"/>
      <w:bookmarkStart w:id="225" w:name="_Toc82"/>
      <w:bookmarkEnd w:id="223"/>
      <w:bookmarkEnd w:id="224"/>
      <w:r>
        <w:rPr>
          <w:rtl w:val="true"/>
        </w:rPr>
        <w:t>فقد شرائط التقليد</w:t>
      </w:r>
      <w:bookmarkEnd w:id="225"/>
    </w:p>
    <w:p>
      <w:pPr>
        <w:pStyle w:val="Heading4"/>
        <w:numPr>
          <w:ilvl w:val="3"/>
          <w:numId w:val="1"/>
        </w:numPr>
        <w:rPr/>
      </w:pPr>
      <w:bookmarkStart w:id="226" w:name="__RefHeading___Toc2371690_3650668749"/>
      <w:bookmarkStart w:id="227" w:name="_Toc83"/>
      <w:bookmarkEnd w:id="226"/>
      <w:r>
        <w:rPr>
          <w:rtl w:val="true"/>
        </w:rPr>
        <w:t>اشارة</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للمجتهد ما يوجب فقده للشرائط من فسق أو جنون أو نسيان، يجب العدول إلى الجامع لها، ولا يجوز البقاء على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قلّد من لم يكن جامعاً للشرائط، ومضى عليه برهة من الزمان، كان كمن لم يقلّد أصلًا، فحاله حال الجاهل القاصر أو المقصّر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تتركّب هذه المسألة من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ما يوجب فقد المجتهد للشرائط المعتبرة في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غير جامع الشرائط في برهة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فقدان المفتي للشرائط</w:t>
      </w:r>
    </w:p>
    <w:p>
      <w:pPr>
        <w:pStyle w:val="BookText"/>
        <w:rPr/>
      </w:pPr>
      <w:r>
        <w:rPr>
          <w:rFonts w:ascii="Amiri" w:hAnsi="Amiri" w:eastAsia="Amiri" w:cs="Amiri"/>
          <w:color w:val="111111"/>
          <w:sz w:val="28"/>
          <w:sz w:val="28"/>
          <w:szCs w:val="28"/>
          <w:rtl w:val="true"/>
          <w:lang w:bidi="ar-SA"/>
        </w:rPr>
        <w:t>أمّا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تعرّض له على التفصيل المحقّق الكركي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عرض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أو جنون، أو طعن في السنّ كثيراً بحيث اختلّ فهمه، امتنع تقليده لوجود المانع، ولو كان قد قلّده مقلّد قبل ذلك بطل حكم تقليده؛ لأنّ العمل بقوله في مستقبل الزمان يقتضي الاستناد إليه حينئذٍ وقد خرج</w:t>
      </w:r>
    </w:p>
    <w:p>
      <w:pPr>
        <w:pStyle w:val="BookText"/>
        <w:rPr/>
      </w:pPr>
      <w:r>
        <w:rPr>
          <w:rFonts w:ascii="Amiri" w:hAnsi="Amiri" w:eastAsia="Amiri" w:cs="Amiri"/>
          <w:color w:val="111111"/>
          <w:sz w:val="28"/>
          <w:sz w:val="28"/>
          <w:szCs w:val="28"/>
          <w:rtl w:val="true"/>
          <w:lang w:bidi="ar-SA"/>
        </w:rPr>
        <w:t>عن الأهلية لذلك، فكان تقليده باطلًا بالنسبة إلى مستقبل الزمان</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واستحسن كلامه كلّ من تأخّر عنه إلّاقليلًا منهم، استناداً إلى أنّ الأدلّة تدلّ على جواز تقليد واجد الشرائط حدوثاً وبقاءً، وبزوالها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بأجمعها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الجواز، ولا يكفي استجماع الشرائط حدوثاً في جواز البقاء على تقليده، وادّعى الشيخ الأعظم الأنصاري الإجماع على ذلك</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زوال شرط الحياة قد دلّ الدليل على جواز البقاء على تقليد الميّت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يقاس المقام بالرواية التي رواها الراوي وكان حين روايتها عادلًا أو ثقةً ثمّ زال ذلك؛ حيث إنّ العدالة والوثوق حين الرواية تكفيان في حجّيتها، وفسقه أو ارتداده بعد ذلك لا يضرّان بحجّية ما رواه، فتختلف الفتوى عن الرواية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ذلك، ادّعى بعض الأعلام أنّ ما يستفاد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الشرائط تعتبر في حجّية الفتوى حدوثاً لا بقاءً، فبحسب القاعدة يجوز البقاء على تقليد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 المسائل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للشرائط المعتبرة وإن زالت عنه الشرائط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لهذه القاعدة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لفتوى المجتهد بحسب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جواز البقاء على تقليده بعد تبدّل الشرائط المذكورة إلى ما يضادّها أو يناقضها؛ للقطع بحجّيتها حال استجماعه الشرائط، فإذا ارتفعت وزالت وشككنا في بقائها على حجّيتها وعدمه استصحبنا بقاءها على حجّيتها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الاستصحاب تامّ الأركان عند هذا القائل، إلّاأنّ الاستصحاب لا يجري عنده في الشبهات الحكمية كما في المقام، فلا يتمّ مقتضاه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بها على حجّية فتوى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قاصرة الشمول لصورة زوال الشرائط وارتفاعها، وذلك لإطلاقها كما اتّضح في شرطية الحياة، فيعتبر أن يكون المجتهد المقلَّد حال الأخذ منه ممّن تنطبق عليه العناوين الواردة في لسان الدليل، فإذا كان واجداً للشرائط حين الأخذ منه صدق أنّ الفقيه أنذره، سواء أكان باقياً على تلك الشرائط بعد الإنذار أم لم يكن، وكذا غيره من 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أيضاً جرت على رجوع الجاهل إلى العالم، سواء في ذلك أن يكون العالم باقياً على علمه وخبرويّته بعد الرجوع أم لم يكن،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راجعوا الطبيب وأخذوا منه العلاج والدواء وقد جنّ بعد ذلك، لم يتردّدوا في جواز العمل على طبق 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البقاء على تقليد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التي عمل بها أو تعلّمها حال استجماعه للشرائط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للقاعدة مطلقاً، وإن افتقد شيئاً منها أو كلّها بعد ذلك</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أدلّة وجوب التقليد على العامّي تدلّ على وجوب اتّباع رأي الفقيه العادل حال تعلّق العمل أو الالتزام به؛ وإلّا كان عملًا بغير الرأي، أو برأي غير الفقيه، أو برأي الفقيه غير العادل، فلابدّ من إحراز جميع القيود المعتبرة في الحكم بجواز التقليد؛ حتّى يحرز العنوان الذي هو الموضوع في لسان الدليل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أنّه لا يصحّ إطلاق هذا العنوان لصورة زوال الرأي بالجنون أو اختلال الفهم؛ حيث إنّه يعتبر ثبوت المطلق في جميع مراتب الإطلاق، فاعتبار جامعية المجتهد بالنسبة إلى الشرائط التي يوجب زوالها عدم صدق رأي الفقيه أي</w:t>
      </w:r>
    </w:p>
    <w:p>
      <w:pPr>
        <w:pStyle w:val="BookText"/>
        <w:rPr/>
      </w:pPr>
      <w:r>
        <w:rPr>
          <w:rFonts w:ascii="Amiri" w:hAnsi="Amiri" w:eastAsia="Amiri" w:cs="Amiri"/>
          <w:color w:val="111111"/>
          <w:sz w:val="28"/>
          <w:sz w:val="28"/>
          <w:szCs w:val="28"/>
          <w:rtl w:val="true"/>
          <w:lang w:bidi="ar-SA"/>
        </w:rPr>
        <w:t>ذات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كالجنون واختلال الفهم والموت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الإيمان والعدالة فاعتبارهما في المجتهد قد ثبت بدليل منفصل، وليسا هما من مقوّمات موضوع التقليد؛ فلايعتبران في حجّية الفتوى بنفسها، بل في حجّية إظهار الفتوى وإحرازها، وعلى هذا فقد يقال بعدم اعتبارهما بقاءً، إلّاأنّ عدمهما يعدّ منقصة دينية ودنيوية، ولا يرضى الشارع الحكيم بزعامة المسلمين على يد من فيه منقصة كذلك كما يظهر بالمراجعة إلى الأخبار الواردة في شأن المفتي وعِظم منصبه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هذا التفصيل بين الشرائط من تعليقة السيّد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علّق على المسألة الرابعة والعشرين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في بعض الشرائط مبنيّ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تعرف أنّ شيئاً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استدلّ بهما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لإثبات قاعدة اعتبار الشرائط في المجتهد حدوثاً لا بقاءً؛ وذلك لأ نّه قد عرفت أنّ بعض الشرائط داخل في موضوع الأدلّة، وفقدها يوجب زوال الموضوع، ومن المعلوم أنّه يعتبر في الاستصحاب بقاء الموضوع، فلا يجري الاستصحاب لتبدّل الموضوع في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قياس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أي‌مقام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بالرواية لا وجه له؛ لوضوح الفرق بين الرأي والرواية، فإنّ الرأي متقوّم بصاحبه حدوثاً وبقاءً، بينما الرواية متقوّمة بالحكاية، ففي حدوثها تحتاج إلى الحاكي ولكن بقاءها غير متقوّم بالحاكي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الرأي إن تبدّل رأيه فيؤخذ برأيه الأخير فقط، ولكن صاحب الرواية إذا نقل أخباراً مختلفة ومتعارضة فيؤخذ بجميعها ويعمل بقواعد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يتّضح حال السيرة العقلائية المدّعاة؛ حيث إنّ الطبيب يكون مرشداً ومخبراً عن الداء ودوائه، فمع إحراز حذاقته وتبحّره يطمئنّ المريض بأنّ علاجه هو هذا الدواء فيعتمد على إخباره، وأمّا إذا شكّ في تشخيص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لأيّ‌سبب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يعتمد على قوله قطعاً، فحال الطبيب يكون كحال الراوي حيث لا يتعبّد برأيه، فلا يقاس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المثال بنفسه يستشهد به على استقرار السيرة العقلائية 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يستشهد به هو لزوم رجوع الجاهل إلى العالم في الجملة، ولكن تحليل مناشئ الرجوع في مورد قد يختلف عنها في مورد آخر، فكلّ من الراوي والفقيه يمكن أن يُعدّ عالماً يجب الرجوع إليه، إلّاأنّ كيفية الرجوع والاستناد تختلف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الأعلام قد ذكر أنّ القاعدة وإن كانت تقتضي جواز البقاء على تقليد من فقد الشرائط، إلّاأنّ القرينة الخارجية قامت على اعتبار الشرائط حدوثاً وبقاءً؛ وذلك لأنّه مقتضى ما ارتكز في أذهان المتشرّعة حسب ما استكشفته من مذاق الشارع؛ من عدم رضائه أن يكون المتصدّي للزعامة الكبرى للمسلمين من به منقصة دينية أو دنيوية يعاب بها عليه وتسقطه عن أنظار العقلاء المراجعين إليه، فلا يحتمل أن يرضى بكونه جاهلًا أو منحرفاً عن الشريعة التي يدعو الناس إلى سلوكها، فضلًا عن أن يكون راضياً بكونه مجنوناً أو كافراً أو غير ذلك من الأوصاف الرذيلة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لمقايسة هذه الشرائط لشرطية الحياة؛ لأنّ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بمنقصة دينية ولا دنيوية، وإنّما هو كمال للنفس وتجرّد من هذه النشأة وانتقال إلى</w:t>
      </w:r>
    </w:p>
    <w:p>
      <w:pPr>
        <w:pStyle w:val="BookText"/>
        <w:rPr/>
      </w:pPr>
      <w:r>
        <w:rPr>
          <w:rFonts w:ascii="Amiri" w:hAnsi="Amiri" w:eastAsia="Amiri" w:cs="Amiri"/>
          <w:color w:val="111111"/>
          <w:sz w:val="28"/>
          <w:sz w:val="28"/>
          <w:szCs w:val="28"/>
          <w:rtl w:val="true"/>
          <w:lang w:bidi="ar-SA"/>
        </w:rPr>
        <w:t>نشأة اخرى أرقى، ومن هنا اتّصف به الأنبياء والأوصياء، إذن فالأدلّة الدالّة على اعتبار تلك الشرائط حدوثاً هي بنفسها تدلّ على اعتبارها بقاءً</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عرفت عدم تمامية القاعدة بإطلاقها، وما ذكره يتمّ في بعض الشرائط المعتبرة في المرجع من دون أن يجري في جميع موارد التقليد، ولا يثبت اعتبار الشرائط حدوثاً وبقاءً مطلقاً من مجرّد حجّية رأي المجتهد من دون لحاظ منصب المرجعية والزعامة الدينية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فيمكن الرجوع إلى الفقيه الجامع للشرائط حالياً في المسائل المستحدثة، ويبقى في المسائل التي تعلّمها أو عمل بها سابقاً على رأي المجتهد الذي عرض له عارض يُفقده بعض الشرائط من دون تحقّق زعامة ومنصب كي يكون فقد بعض هذه الشرائط عيباً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فاعتبار بعض الشرائط يكون مستنداً إلى اعتباره في حقيقة التقليد، وبعض آخر يستند اعتباره إلى منصب الإفتاء؛ أي‌ثبت اعتباره بالدليل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يزيل الرأي؛ ولذا لم يذكر في عنوان هذه المسألة، وقد ثبت في محلّه أنّ الدليل الخاصّ قد قام على جواز تقليد الميّت بشرائط، فلا يدخل في موضوع المسألة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إلّاأنّه قد ادّعى بعضهم أنّ مسألة جواز البقاء على تقليد الميّت، ومسألة البقاء على تقليد فاقد الشرائط بقاءً،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الظاهر من بعض أدلّة وجوب العدول عن الميّت أنّ وجوب العدول هنا من المسلّمات</w:t>
      </w:r>
      <w:r>
        <w:rPr>
          <w:rStyle w:val="FootnoteAnchor"/>
          <w:rtl w:val="true"/>
        </w:rPr>
        <w:footnoteReference w:id="471"/>
      </w:r>
      <w:r>
        <w:rPr>
          <w:rFonts w:ascii="Amiri" w:hAnsi="Amiri" w:eastAsia="Amiri" w:cs="Amiri"/>
          <w:color w:val="111111"/>
          <w:sz w:val="28"/>
          <w:sz w:val="28"/>
          <w:szCs w:val="28"/>
          <w:rtl w:val="true"/>
          <w:lang w:bidi="ar-SA"/>
        </w:rPr>
        <w:t>، كما أشار في تتمّة كلامه إلى الإجماع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الذي ادّعاه الشيخ الأعظم الأنصاري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منقول، وبأنّ تردّد جمع من الأعلام في المسألة يخالفه، وبأنّ المسألة لم تكن معنونة بين القدماء كما قد عرفت في تأريخ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الرأي لا يزول بالموت، بينما العوارض المذكورة في فرض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الجنون والفسق واختلال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فتُزيل الرأي نفسه أو إحرازه؛ ولذا تفترق مسألة البقاء على تقليد الميّت عن مسألة البقاء على تقليد فاقد الشرائط، إلّا بناءً على زوال الرأي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التفرقة بين الموت وغيره ممّا يزيل شرائط المرجع، وقد عرفت خلاف الأوّل منهما في محلّه، كما قد عرفت لزوم التفصيل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كلام المحقّق الكركي أنّه ذكر دليلًا على وجوب العدول،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العمل بقوله في مستقبل الزمان يقتضي الاستناد إليه حينئذٍ، وقد خرج عن الأهلية لذلك، فكان تقليده باطلًا بالنسبة إلى مستقبل الزمان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مراده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للمقلّد أن يستند إلى الحجّة في كلّ عمل يعمله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واقعة لابدّ أن يستند إلى رأيه حجّةً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نجد دليلًا على ذلك في جميع الوقائع؛ لأنّ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استناداً واعتماداً على ما تعلّمه من رأي الفقيه، ولا يعتبر في كلّ فرد من واقعة إيقاعه بنيّة الاستناد إلى الحجّة، فلا يعتبر في الصلاة مثلًا إحراز الحجّة على هذه الصلاة التي يريد المكلّف أن يأتي بها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الفقيه في المسائل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تأكيده</w:t>
      </w:r>
      <w:bookmarkStart w:id="228" w:name="pg1790_14844"/>
    </w:p>
    <w:p>
      <w:pPr>
        <w:pStyle w:val="BookText"/>
        <w:rPr/>
      </w:pPr>
      <w:bookmarkEnd w:id="228"/>
      <w:r>
        <w:rPr>
          <w:rFonts w:ascii="Amiri" w:hAnsi="Amiri" w:eastAsia="Amiri" w:cs="Amiri"/>
          <w:color w:val="111111"/>
          <w:sz w:val="28"/>
          <w:sz w:val="28"/>
          <w:szCs w:val="28"/>
          <w:rtl w:val="true"/>
          <w:lang w:bidi="ar-SA"/>
        </w:rPr>
        <w:t>على مستقبل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بالنسبة إلى المسائل المستحدثة، ولكنّه لا يدلّ على وجوب العدول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يصلح ما ذكره دليلًا لإثبات وجوب العدول، إلّاأن يوجّه كلامه ويقال بالتفصيل في الشرائط كما مرّ</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371692_3650668749"/>
      <w:bookmarkStart w:id="230" w:name="_Toc84"/>
      <w:bookmarkEnd w:id="229"/>
      <w:r>
        <w:rPr>
          <w:rtl w:val="true"/>
        </w:rPr>
        <w:t>تقليد من لا يصلح للتقليد</w:t>
      </w:r>
      <w:bookmarkEnd w:id="230"/>
    </w:p>
    <w:p>
      <w:pPr>
        <w:pStyle w:val="BookText"/>
        <w:rPr/>
      </w:pPr>
      <w:r>
        <w:rPr>
          <w:rFonts w:ascii="Amiri" w:hAnsi="Amiri" w:eastAsia="Amiri" w:cs="Amiri"/>
          <w:color w:val="111111"/>
          <w:sz w:val="28"/>
          <w:sz w:val="28"/>
          <w:szCs w:val="28"/>
          <w:rtl w:val="true"/>
          <w:lang w:bidi="ar-SA"/>
        </w:rPr>
        <w:t>وأمّا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المقلّد إن قلّد من لم يكن جامعاً للشرائط ومضى عليه برهة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كمن لم يقلّد أصلًا فحكمه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معذوراً في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العلم له، أو قيام البيّنة على جامعيّته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الجاهل القاصر، وأمّا إن لم يكن معذوراً في تقليده بأن لم يحرز جامعيّته للشرائط فحاله حال الجاهل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البحث عن ذلك في المسألة العشرين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ما عمله في تلك البرهة مطابقاً للاحتياط فهو مجزئ بلا إشكال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والمستند في كون المكلّف في مفروض المسألة كمن لم يقلّد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التقليد يكون طريقاً لخروج المكلّف عن عهدة التكاليف فيما إذا قلّد الجامع للشرائط، ومع قطع المكلّف بفقد مقلَّده للشرائط من ابتداء تقليده فلم يتحقّق التقليد المشروع، فلم تنطبق أعماله على رأي حجّةٍ في الشرع، فيكون كمن لم يقلّد أصلًا؛ لعدم تحقّق شروط التقليد المشروع في مرجعه</w:t>
      </w:r>
      <w:r>
        <w:rPr>
          <w:rFonts w:eastAsia="Amiri" w:cs="Amiri" w:ascii="Amiri" w:hAnsi="Amiri"/>
          <w:color w:val="111111"/>
          <w:sz w:val="28"/>
          <w:szCs w:val="28"/>
          <w:rtl w:val="true"/>
          <w:lang w:bidi="ar-SA"/>
        </w:rPr>
        <w:t>.</w:t>
      </w:r>
      <w:bookmarkStart w:id="231" w:name="pg1790_14845"/>
    </w:p>
    <w:p>
      <w:pPr>
        <w:pStyle w:val="Heading3"/>
        <w:numPr>
          <w:ilvl w:val="2"/>
          <w:numId w:val="1"/>
        </w:numPr>
        <w:rPr/>
      </w:pPr>
      <w:bookmarkStart w:id="232" w:name="__RefHeading___Toc2371694_3650668749"/>
      <w:bookmarkStart w:id="233" w:name="_Toc85"/>
      <w:bookmarkEnd w:id="231"/>
      <w:bookmarkEnd w:id="232"/>
      <w:r>
        <w:rPr>
          <w:rtl w:val="true"/>
        </w:rPr>
        <w:t>طرق معرفة الاجتهاد أو أعلمية</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الاجتهاد بالاختبار، وبالشياع المفيد للعلم، وبشهادة العدلين من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تقليد من لم يعلم أنّه بلغ مرتبة الاجتهاد وإن كان من أهل العلم، كما أنّه يجب على غير المجتهد أن يقلّد أو يحتاط وإن كان من أهل العلم وقريباً من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معرفة الاجتهاد أو أعلمية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المرتضى والمحقّق الحلّي</w:t>
      </w:r>
      <w:r>
        <w:rPr>
          <w:rStyle w:val="FootnoteAnchor"/>
          <w:rtl w:val="true"/>
        </w:rPr>
        <w:footnoteReference w:id="474"/>
      </w:r>
      <w:r>
        <w:rPr>
          <w:rFonts w:ascii="Amiri" w:hAnsi="Amiri" w:eastAsia="Amiri" w:cs="Amiri"/>
          <w:color w:val="111111"/>
          <w:sz w:val="28"/>
          <w:sz w:val="28"/>
          <w:szCs w:val="28"/>
          <w:rtl w:val="true"/>
          <w:lang w:bidi="ar-SA"/>
        </w:rPr>
        <w:t>وجمع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جامعية الشرائط في المفتي يمكن أن تحرز بالمخالطة والأخبار المتواترة الموجبين للعلم، وقد سلّم من تأخّر عنهما هذين الطريقين لإحرازها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العلّامة الحلّي طريقاً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غلبة الظنّ للمستفتي على أنّ مفتيه من أهل الاجتهاد والورع، ويمكن إحراز ذلك برؤيته له منتصباً للفتوى بمشهد من الخلق واجتماع المسلمين وتعظيمه</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نفس الشياع، ولكن المتأخّرين اعتبروا في الشياع إفادته العلم، فما لم يفد العلم فهو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 العارفين؛ محتجّاً بأ نّها حجّة شرعية، إلّاأنّ اجتماع شرائط قبولها في هذا الموضع عزيز الوجود</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جميع من تأخّر عنه بحجّية هذا الطريق مضافاً إلى ما تقدّم من العلم الحاصل من المخالطة والأخبار المتواترة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مرّ أنّه لابدّ من إحراز الشرائط المعتبرة في المقلَّد حتّى يجوز تقليده، والطريق إلى إحرازها إمّا الوجدان أو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والإحراز الوجداني هو حصول العلم بأيّ سبب من الاختبار والمخالطة ونحوهما أو الشياع الذي يفيد العلم، ولا ريب في حجّية العلم القطعي العقلي، وأمّا العلم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يعبّر عنه بالاطمئنان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ملحق بالعلم القطعي العقلي؛ فإنّه حجّة عقلائية يراه العقلاء علماً ويتعاملون معه معاملة العلم الواقعي شرعاً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الإحراز التعبّدي شهادة العدلين من أهل الخبرة التي تسمّى بالبيّنة، وهي طريق عقلائي يسلكه العقلاء غالباً في ثبوت الموضوعات الخارجية، كما أنّها حجّة شرعية قام الدليل عليها في موارد كثيرة، إلّاأنّ الغالب ورودها مورد القضاء وفصل الخصومات والحدود والقصاص وحقوق الناس، ومن هنا فقد يتوهّم اختصاص حجّيتها بهذه الموارد فقط</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لا مجال لهذا التوهّم؛ فإنّ الأدلّة الواردة في ثبوت المعظّمات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يوجب القتل مثل الزندقة وعبادة الأوثان واللواط، أو القطع كالسرقة، أو الحدّ كشرب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يعثر عليه المتتبّع وكذا في موارد حقوق الناس</w:t>
      </w:r>
    </w:p>
    <w:p>
      <w:pPr>
        <w:pStyle w:val="BookText"/>
        <w:rPr/>
      </w:pPr>
      <w:r>
        <w:rPr>
          <w:rFonts w:ascii="Amiri" w:hAnsi="Amiri" w:eastAsia="Amiri" w:cs="Amiri"/>
          <w:color w:val="111111"/>
          <w:sz w:val="28"/>
          <w:sz w:val="28"/>
          <w:szCs w:val="28"/>
          <w:rtl w:val="true"/>
          <w:lang w:bidi="ar-SA"/>
        </w:rPr>
        <w:t>وغيرها من الموارد الكثيرة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لإلغاء الخصوصية عرفاً؛ لأنّ العرف يرى أنّ ثبوت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كالقطع والقتل 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لثبوت موضوعاتها بالبيّنة، من غير دخالة لخصوصية الموضوع أو الحكم في ذلك، بل دعوى الجزم باعتبارها في مثل النجاسة والطهارة من غير المعظّمات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تلك المعظّمات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جزاف</w:t>
      </w:r>
      <w:r>
        <w:rPr>
          <w:rStyle w:val="FootnoteAnchor"/>
          <w:rtl w:val="true"/>
        </w:rPr>
        <w:footnoteReference w:id="47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موثّقة مسعدة بن صدقة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أو المملوك عندك ولعلّه حرّ قد باع نفسه، أو خدع فبيع قهراً، أو امرأة تحتك وهي اختك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معتمدة من ناحية سندها؛ إذ لو سلّمنا كون مسعدة بن صدقة عامياً، إلّا أنّ المراجع لأخباره يجدها في غاية المتانة وموافقة لما يرويه الثقات من الأصحاب؛ ولذا عملت الطائفة بما رواه هو وأمثاله من العامّة، بل لو تتبّعت وجدت أخباره أسدّ وأمتن من أخبار مثل جميل بن درّاج وحريز بن عبداللَّه، حكى ذلك الوحيد عن المجلسي الأوّل ووثّقه بهذا الاعتبار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فهو ممّن 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لا يمكن المساعدة على هذا التوثيق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المعروف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لك حلال حتّى تعرف الحرام بعينه سواء كان من قبيل الأمثلة المذكورة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قامت أمّارة عقلائية وشرعية على حلّيتها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وذلك لأنّ ذكر خصوص تلك الأمثلة إنّما هو من باب الاتّفاق، ثمّ عقّبها بقاعدة كلّية شاملة لمواردها وغيرها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الأشياء كلّها على هذا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للبيّنة حيثية الأمارية، فلا يفهم العرف من قاطعيّتها للحلّية إلّا لأماريّتها على الواقع وثبوته بها، من غير خصوصية للموضوعات أو الأحكام المترتّبة عليها، خصوصاً مع جعلها عِدلًا للاستبانة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الماتن قدس سره احتمالًا آخر في معنى الرواية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الاحتمال يكون ثقيلًا على الأسماع ابتداءً، وليس بعيداً بعد التنبّه لخصوصيات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لك بحسب ظاهر الشرع حلال،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قيود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وتشهد لهذا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لعلّها لإفادة خصوصية زائدة، هي تقييد الشي‌ء بكونه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مثل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عناية خاصّة بالأمثلة التي ذكرها، ولها نحو اختصاص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الأمثلة التي كلّها من قبيل كون الموضوع ممّا يختصّ به بحسب أمّارة شرعية كاليد و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فهمه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الأصل، وهو لا يناسب</w:t>
      </w:r>
    </w:p>
    <w:p>
      <w:pPr>
        <w:pStyle w:val="BookText"/>
        <w:rPr/>
      </w:pPr>
      <w:r>
        <w:rPr>
          <w:rFonts w:ascii="Amiri" w:hAnsi="Amiri" w:eastAsia="Amiri" w:cs="Amiri"/>
          <w:color w:val="111111"/>
          <w:sz w:val="28"/>
          <w:sz w:val="28"/>
          <w:szCs w:val="28"/>
          <w:rtl w:val="true"/>
          <w:lang w:bidi="ar-SA"/>
        </w:rPr>
        <w:t>الأمثلة المذكورة، وعلى هذا الاحتمال لا يكون لسانها لسان الأصل، بل المنظور فيها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العلم الوجداني والبيّنة بالذكر؛ فإنّ المراد من الاستبانة هو العلم الوجداني على الظاهر المتفاهم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هو لك بحسب الأمارات الشرعية لا تنقطع حلّيته إلّا بالعلم أو البيّنة، وليست هي بصدد بيان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الاحتمال في معنى الرواية أيضاً يثبت إطلاق حجّية البيّنة؛ فإنّ المستفاد منها أنّ البيّنة عِدل العلم في إثبات الموضوعات حتّى مع قيام الأمارات على خلافها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فإحراز الاجتهاد والأعلمية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الشرائط المعتبرة في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بشهادة العدلين، إلّاأنّه يعتبر أن يكون الشاهدان عالمين بما يشهدان، وحيث إنّ الاجتهاد والأعلمية في هذا المبحث يكونان من الامور الحدسية، فيحتاج إحراز ما يشهدان به إلى خبرة في معرفتهما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فينبغي التنبيه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نحتاج في إثبات عموم حجّية البيّنة إلى الإجماع؛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نحتاج في تعميم حجّية البيّنة إلى طريق الأولوية فقط، بل كشف ملاك الحجّية في الموارد المنصوصة يكفي لثبوت الحكم في غيرها بإلغاء الخصوصية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البيّنة حجّة شرعية اطلقت في لسان الأخبار على شهادة العدلين، ولا أقلّ</w:t>
      </w:r>
    </w:p>
    <w:p>
      <w:pPr>
        <w:pStyle w:val="BookText"/>
        <w:rPr/>
      </w:pPr>
      <w:r>
        <w:rPr>
          <w:rFonts w:ascii="Amiri" w:hAnsi="Amiri" w:eastAsia="Amiri" w:cs="Amiri"/>
          <w:color w:val="111111"/>
          <w:sz w:val="28"/>
          <w:sz w:val="28"/>
          <w:szCs w:val="28"/>
          <w:rtl w:val="true"/>
          <w:lang w:bidi="ar-SA"/>
        </w:rPr>
        <w:t>من أنّها كانت في عصر الإمام الصادق عليه السلام حقيقة في المعنى الشرعي بلا شكّ، وعمل على ذلك الشارع المقدّس في غير المرافعات كما تنبّه له بعض الأعلام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يضرّنا في المقام ما ذكروه من التفصيل في حجّية البيّنة بين الحسّيات والحدسيات؛ لأنّ الاجتهاد والأعلمية والعدالة ونحوها من الامور الحدسية القريبة إلى الحسّ ويعامل معها معاملة الحسّيات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صرّح السيّد المرتضى والمحقّق الحلّي بعدم جواز تقليد غير المجتهد ولو كان من أهل العلم</w:t>
      </w:r>
      <w:r>
        <w:rPr>
          <w:rStyle w:val="FootnoteAnchor"/>
          <w:rtl w:val="true"/>
        </w:rPr>
        <w:footnoteReference w:id="485"/>
      </w:r>
      <w:r>
        <w:rPr>
          <w:rFonts w:ascii="Amiri" w:hAnsi="Amiri" w:eastAsia="Amiri" w:cs="Amiri"/>
          <w:color w:val="111111"/>
          <w:sz w:val="28"/>
          <w:sz w:val="28"/>
          <w:szCs w:val="28"/>
          <w:rtl w:val="true"/>
          <w:lang w:bidi="ar-SA"/>
        </w:rPr>
        <w:t>، وسبقهما في ذلك اتّفاق العامّة على هذا الحكم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في ذلك واضح؛ حيث إنّ الدليل على حجّية رأي غير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فقوله يدخل في مورد أصالة عدم الحجّية؛ ولذا ادّعي في كلام غير واحد من المتأخّرين الإجماع على عدم جواز تقليده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فيجب على غير المجتهد نفسه أن يحتاط أو يقلّد، كما مرّ في مقدّمة هذا الكتاب، فراجع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السرّ في التصريح بهذه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وضوحها في نفسها وازدادت وضوحاً في المسائل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أقوال العامّة، وإزالة الوهم عن عوامّ الناس؛ كي لا يقلّدوا من لا تجتمع فيه شرائط التقليد ولو كان بظاهره عالماً دينياً</w:t>
      </w:r>
      <w:r>
        <w:rPr>
          <w:rFonts w:eastAsia="Amiri" w:cs="Amiri" w:ascii="Amiri" w:hAnsi="Amiri"/>
          <w:color w:val="111111"/>
          <w:sz w:val="28"/>
          <w:szCs w:val="28"/>
          <w:rtl w:val="true"/>
          <w:lang w:bidi="ar-SA"/>
        </w:rPr>
        <w:t>.</w:t>
      </w:r>
      <w:bookmarkStart w:id="234" w:name="pg1790_14851"/>
    </w:p>
    <w:p>
      <w:pPr>
        <w:pStyle w:val="Heading3"/>
        <w:numPr>
          <w:ilvl w:val="2"/>
          <w:numId w:val="1"/>
        </w:numPr>
        <w:rPr/>
      </w:pPr>
      <w:bookmarkStart w:id="235" w:name="__RefHeading___Toc2371696_3650668749"/>
      <w:bookmarkStart w:id="236" w:name="_Toc86"/>
      <w:bookmarkEnd w:id="234"/>
      <w:bookmarkEnd w:id="235"/>
      <w:r>
        <w:rPr>
          <w:rtl w:val="true"/>
        </w:rPr>
        <w:t>حكم عمل الجاهل‌</w:t>
      </w:r>
      <w:bookmarkEnd w:id="236"/>
    </w:p>
    <w:p>
      <w:pPr>
        <w:pStyle w:val="Heading4"/>
        <w:numPr>
          <w:ilvl w:val="3"/>
          <w:numId w:val="1"/>
        </w:numPr>
        <w:rPr/>
      </w:pPr>
      <w:bookmarkStart w:id="237" w:name="__RefHeading___Toc2371698_3650668749"/>
      <w:bookmarkStart w:id="238" w:name="_Toc87"/>
      <w:bookmarkEnd w:id="237"/>
      <w:r>
        <w:rPr>
          <w:rtl w:val="true"/>
        </w:rPr>
        <w:t>اشارة</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الجاهل المقصّر الملتفت من دون تقليد باطل، إلّاإذا أتى به برجاء درك الواقع؛ وانطبق عليه أو على فتوى من يجوز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عمل الجاهل القاصر أو المقصّر الغافل مع تحقّق قصد القربة صحيح إذا طابق الواقع أو فتوى المجتهد الذي يجوز تقليده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عمل الجاهل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هنا حول أعمال تارك الطرق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الإتيان بها غير مستند إلى حجّة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والماتن المعظّم وإن لم يصرّح إلّابترك التقليد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تقليد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كلامه ظاهر في تارك الاجتهاد والتقليد والاحتياط، ومقصوده هو العمل من دون الاستناد إلى الطرق الثلاثة؛ إذ لو عمل بالاحتياط وترك الاجتهاد والتقليد خاصّة، لدخل في مسألة تارك طريقي الاجتهاد والتقليد والآخذ بالاحتياط، وهي مسألة برأسها قد تعرّض لها في المسألة الاولى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لو عمل بالاحتياط لما كان لما ذكره من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برجاء درك الواقع، والانطباق عليه أو على فتوى من يجوز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إذ الاحتياط</w:t>
      </w:r>
    </w:p>
    <w:p>
      <w:pPr>
        <w:pStyle w:val="BookText"/>
        <w:rPr/>
      </w:pPr>
      <w:r>
        <w:rPr>
          <w:rFonts w:ascii="Amiri" w:hAnsi="Amiri" w:eastAsia="Amiri" w:cs="Amiri"/>
          <w:color w:val="111111"/>
          <w:sz w:val="28"/>
          <w:sz w:val="28"/>
          <w:szCs w:val="28"/>
          <w:rtl w:val="true"/>
          <w:lang w:bidi="ar-SA"/>
        </w:rPr>
        <w:t>حجّة معتبرة وطريق من طرق امتثال الأحكام الواقعية كشقّيه، فلا محالة يكون المراد هو بيان حكم عمل التارك للطرق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 سره جعل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يعمّ العبادي والمعاملي، إلّا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به برجاء درك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تحقّق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تخصيصه البحث بالعمل العبادي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لأجل وضوح الحكم في العمل المعاملي وعدم الخلاف فيه، لا لما أفاده بعض الأعاظم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النزاع فيه بأنّ العمل غير العبادي لا يتّصف بالصحّة والفساد وأمره دائر بين الوجود والعدم</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غير تامّ؛ إذ العمل غير العبادي أيضاً يتّصف بالصحّة والفساد بحسب توفّر الشرائط فيه وعدمه، كما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لم يتعرّض الماتن العزيز للحكم التكليفي وما يتفرّع على الإقدام على المخالفة من العصيان والتجرّي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الآتي بالعمل من دون الاستناد إلى حجّة معتبرة على أقسام؛ لأنّه إمّا مقصّر ملتفت متردّد، وإمّا مقصّر غافل جازم، وإمّا قاصر، ثمّ العمل المأتيّ به إمّا معاملي وإمّا عبادي، فهذه ستّ صور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ينكشف الحال أبداً لا بالمطابقة للواقع أو لفتوى من يجوز تقليده ولا بالمخالفة له، وإمّا أن ينكشف الحال بالمطابقة، أو ينكشف بالمخالفة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نادراً في حقّ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بالاجتهاد بأن صار أهلًا له بعد مضيّ زمان مع التعلّم والتفقّه، أو بالتقليد بأن أراد التقليد لمن أهله</w:t>
      </w:r>
      <w:r>
        <w:rPr>
          <w:rFonts w:eastAsia="Amiri" w:cs="Amiri" w:ascii="Amiri" w:hAnsi="Amiri"/>
          <w:color w:val="111111"/>
          <w:sz w:val="28"/>
          <w:szCs w:val="28"/>
          <w:rtl w:val="true"/>
          <w:lang w:bidi="ar-SA"/>
        </w:rPr>
        <w:t>.</w:t>
      </w:r>
      <w:bookmarkStart w:id="239" w:name="pg1790_14853"/>
    </w:p>
    <w:p>
      <w:pPr>
        <w:pStyle w:val="BookText"/>
        <w:rPr/>
      </w:pPr>
      <w:bookmarkEnd w:id="239"/>
      <w:r>
        <w:rPr>
          <w:rFonts w:ascii="Amiri" w:hAnsi="Amiri" w:eastAsia="Amiri" w:cs="Amiri"/>
          <w:color w:val="111111"/>
          <w:sz w:val="28"/>
          <w:sz w:val="28"/>
          <w:szCs w:val="28"/>
          <w:rtl w:val="true"/>
          <w:lang w:bidi="ar-SA"/>
        </w:rPr>
        <w:t>ثمّ إذا كان الانكشاف مستنداً إلى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المدار على رأي من كان يجب تقليده حين العمل، أو رأي من يجب الرجوع إليه حين الالتفات، أو رأي كلّ منهما على سبيل البدلية، أو رأي كلّ منهما على نحو الاستغراق والمعية؟</w:t>
      </w:r>
    </w:p>
    <w:p>
      <w:pPr>
        <w:pStyle w:val="BookText"/>
        <w:rPr/>
      </w:pPr>
      <w:r>
        <w:rPr>
          <w:rFonts w:ascii="Amiri" w:hAnsi="Amiri" w:eastAsia="Amiri" w:cs="Amiri"/>
          <w:color w:val="111111"/>
          <w:sz w:val="28"/>
          <w:sz w:val="28"/>
          <w:szCs w:val="28"/>
          <w:rtl w:val="true"/>
          <w:lang w:bidi="ar-SA"/>
        </w:rPr>
        <w:t>فهذا هو الهيكل العامّ للبحث وإطاره الكلّي، والمسألة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الصور والاحتمالات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متنازع فيها بين الأعيان، ولكنّ الكلام في كلّ الصور سيتّضح بعد بيان ما هو العمدة منها، فنقول</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371700_3650668749"/>
      <w:bookmarkStart w:id="241" w:name="_Toc88"/>
      <w:bookmarkEnd w:id="240"/>
      <w:r>
        <w:rPr>
          <w:rtl w:val="true"/>
        </w:rPr>
        <w:t>الكلام في المعاملات‌</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المأتيّ به معاملة بالمعنى الأعمّ؛ كأن يغسل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القليل مرّة واحدةً، بغير اجتهاد ولا احتياط ولا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ينكشف ولم يحرز إمّا وجداناً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بالاجتهاد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المأتيّ به وكفاية المرّة في تحقّق الطهارة مثلًا، فمقتضى القاعدة هو الحكم بالفساد ظاهراً وعدم ترتيب الآثار عليها؛ فإنّ مقتضى الاستصحاب هو عدم ترتّب الأثر على العمل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الوضع، ولا فرق في ذلك بين الجاهل المقصّر الملتفت، والمقصّر الغافل، والقاصر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لعدّه عاصياً أو متجرّياً إلّاإذا أوجب التشريع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انكشف الحال وتبيّن كون المأتيّ به غير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المرّة غير مؤثّرة في الطهارة، والعقد الفارسي ليس سبباً لتحقّق النكاح والطلاق والبيع، وفري الودجين غير كافٍ في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هو الفساد وعدم ترتيب الأثر عليه؛ فإنّ العبرة في صحّة المعاملات وفسادها بالمطابقة للواقع أو فتوى من يجوز الرجوع إليه والمخالفة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وقع منها باطلًا ولم يكن له أثر في الحال والاستقبال فلا كلام فيه، وأمّا ما له أثر فلا يترتّب ذلك الأثر من حين الانكشاف، فلا يجوز الصلاة في ذلك الثوب، ولا التمتّع بالمرأة المعقود عليها بالعقد الفاسد، والأكل من المذبوح على غير وجهه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الوضع، وأمّا من حيث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مقصّراً عُدّ عاصياً وإلّا فهو معذور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انكشف للمكلّف وأحرز مطابقة العمل المأتيّ به للواقع أو فتوى من يجب الرجوع إليه، فالوجه هو الصحّة من حين الوقوع لا الانكشاف؛ إذ العبرة في المعاملات صحّةً وفساداً بالمطابقة والمخالفة للواقع، سواء وقعت عن إحدى الطرق أم لا، لأنّها من قبيل الأسباب للأحكام الشرعية، ولا مدخل للعلم والجهل في تأثيرها وترتّب المسبّبات عليها، فمن عقد على امرأة بما لا يعرف تأثيره في حلّية الوطء، فانكشف بعد ذلك صحّته، كفى في الصحّة من حين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 الأقصى في التوصّليات هو تحقّق العمل المأمور به بسببه الخاصّ، من دون اعتبار قصد أو علم أو استناد إلى الطرق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يعدّ عاصياً أم لا؟ مقتضى القاعدة في مقدّمية وجوب الطرق الثلاثة عدم صدق العصيان، اللهمّ إلّاأن يقال باستحقاق العقوبة من باب التجرّي في خصوص المقصّر الملتفت؛ فإنّه إذا تزوّج امرأة بعقد لم يثبت عنده سببيّته الشرعية، فلا يجوز له ظاهراً التمتّع بها، وإن كان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حسب رأي من يجوز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تامّاً لصحّة النكاح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انكشاف الصحّة بمطابقة فتوى من يجب الرجوع إليه، فهل المدار على رأي من كان يجب تقليده حين العمل، أو حين الانكشاف والالتفات، أو غير ذلك؟</w:t>
      </w:r>
      <w:bookmarkStart w:id="242" w:name="pg1790_14855"/>
    </w:p>
    <w:p>
      <w:pPr>
        <w:pStyle w:val="BookText"/>
        <w:rPr/>
      </w:pPr>
      <w:bookmarkEnd w:id="242"/>
      <w:r>
        <w:rPr>
          <w:rFonts w:ascii="Amiri" w:hAnsi="Amiri" w:eastAsia="Amiri" w:cs="Amiri"/>
          <w:color w:val="111111"/>
          <w:sz w:val="28"/>
          <w:sz w:val="28"/>
          <w:szCs w:val="28"/>
          <w:rtl w:val="true"/>
          <w:lang w:bidi="ar-SA"/>
        </w:rPr>
        <w:t>ففيه خلاف بين الأعلام نذكره عند التعرّض لحكم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المأتيّ به من غير الاستناد إلى الطرق الثلاثة، مع كونه عملًا توصّلياً، ولم ينكشف مطابقته للواقع أو فتوى من يجب الرجوع إليه، يحكم بفساده ظاهراً 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انكشف مخالفته لهما فيكون باطلًا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انكشف مطابقته لهما فيحكم بصحّته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371702_3650668749"/>
      <w:bookmarkStart w:id="244" w:name="_Toc89"/>
      <w:bookmarkEnd w:id="243"/>
      <w:r>
        <w:rPr>
          <w:rtl w:val="true"/>
        </w:rPr>
        <w:t>الكلام في العبادات‌</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الآتي بالعبادة جاهلًا مقصّراً ملتفتاً، ولم يحرز انطباقها ولا مخالفتها للواقع أو فتوى من يجوز تقليده، فمقتضى القاعدة هو الحكم بالبطلان ظاهراً؛ فإنّ الاشتغال اليقيني بالتكليف يقتضي الفراغ اليقيني ولو تعبّداً،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تنكشف المطابقة أو المخالفة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إلّابإتيانها مستنداً إلى حجّة معتبرة، وبدونه يستصحب التكليف وعدم سقوطه، والظاهر أنّه لا خلاف بين الأصحاب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التكليف فإن لم تكن مطابقةً للواقع يعدّ عاصياً، وإلّا يكون متجرّياً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تبيّن مخالفتها للواقع أو فتوى من يجوز الرجوع إليه، فالبطلان واضح لا شبهة فيه؛ إذ ما لم تكن العبادة مطابقة للواقع، ولم تصدر عن حجّة معتبرة منجِّزة عند الإصابة ومعذِّرة عند الخطأ، فلا وجه للحكم بالصحّة وسقوط التكليف وامتثال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ممّا لا خلاف فيه وضعاً وتكليفاً، إلّافيما يعمّه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يدلّ عليه دليل خاصّ</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تبيّن الانطباق مع الواقع أو الفتوى، فقد اختلف الأعلام على أقوال،</w:t>
      </w:r>
    </w:p>
    <w:p>
      <w:pPr>
        <w:pStyle w:val="BookText"/>
        <w:rPr/>
      </w:pPr>
      <w:r>
        <w:rPr>
          <w:rFonts w:ascii="Amiri" w:hAnsi="Amiri" w:eastAsia="Amiri" w:cs="Amiri"/>
          <w:color w:val="111111"/>
          <w:sz w:val="28"/>
          <w:sz w:val="28"/>
          <w:szCs w:val="28"/>
          <w:rtl w:val="true"/>
          <w:lang w:bidi="ar-SA"/>
        </w:rPr>
        <w:t xml:space="preserve">وهو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السابعة، وصريحها في المسألة السادسة عشرة، هو الحكم بالبطلان في هذه الصورة كالصورتين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العمدة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كلام السيّد اليزدي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تمشّي قصد القربة مع الشكّ والترديد في كون المأتيّ به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حكمه ببطلان عبادة الجاهل المقصّر الملتفت وإن كانت 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بصحّة عبادة القاصر والمقصّر الغافل إذا تحقّق قصد القربة والمطابقة لفتوى المجتهد، فيستفاد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البطلان في عمل المقصّر الملتفت هو عدم تحقّق قصد القربة مع الشكّ والالتفات إلى احتمال عدم كون المأتيّ به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والأساس في ذلك هو ما أفاده الشيخ الأعظم في موضعين من فرائده، ولا بأس بذكر بعض كلامه،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أوقع الجاهل عبادةً عمل فيها بما تقتضيه البراءة، من دون فحص عن الدليل واليأس عن الظفر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صلّى بدون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حين العمل متزلزلًا في صحّة عمله، بانياً على الاقتصار عليه في الامتثال، فلا إشكال في الفساد وإن انكشف الصحّة بعد ذلك، بلا خلاف في ذلك ظاهراً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تلميذه المدقّق الآشتياني في تصريحه بنفي الإشكال والخلاف عن الحكم بالبطلان</w:t>
      </w:r>
      <w:r>
        <w:rPr>
          <w:rStyle w:val="FootnoteAnchor"/>
          <w:rtl w:val="true"/>
        </w:rPr>
        <w:footnoteReference w:id="49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جلّ الأجلّاء من المعلّقين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ذهبوا إلى القول بالصحّة، وأجابوا عمّا أفاده الشيخ الأعظم والسيّد المعظّم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عبادية</w:t>
      </w:r>
    </w:p>
    <w:p>
      <w:pPr>
        <w:pStyle w:val="BookText"/>
        <w:rPr/>
      </w:pPr>
      <w:r>
        <w:rPr>
          <w:rFonts w:ascii="Amiri" w:hAnsi="Amiri" w:eastAsia="Amiri" w:cs="Amiri"/>
          <w:color w:val="111111"/>
          <w:sz w:val="28"/>
          <w:sz w:val="28"/>
          <w:szCs w:val="28"/>
          <w:rtl w:val="true"/>
          <w:lang w:bidi="ar-SA"/>
        </w:rPr>
        <w:t>العبادة وصحّتها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الإتيان بها بداعي أمر اللَّه تعالى وإضافة إليه سبحانه، وهذا المقدار قابل للتحقّق من الجاهل المقصّر الملتفت، وأمّا الجزم بأنّ المأتيّ به هو المأمور به فلا دليل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وجه ما أفاده الماتن المعظّم من الحكم بالصحّة مطلقاً لو كان جاهلًا مقصّراً ملتفتاً؛ حيث استثنى من الحكم بالبطلان صورة الإتيان بالعبادة برجاء درك الواقع مع الانطباق عليه أو على فتوى من يجوز الرجوع إليه؛ ومع الإتيان بها برجاء درك الواقع وبداعي أمره تعالى ومضافاً إليه سبحانه، مع الانطباق على الواقع أو فتوى من يجوز تقليده، تكون العبادة جامعة لجميع حدودها وقيودها، ومعه لا وجه للحكم بالبطلان وعدم ترتيب الآثار وعدم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بذلك كلّه السيّد الحكيم</w:t>
      </w:r>
      <w:r>
        <w:rPr>
          <w:rStyle w:val="FootnoteAnchor"/>
          <w:rtl w:val="true"/>
        </w:rPr>
        <w:footnoteReference w:id="491"/>
      </w:r>
      <w:r>
        <w:rPr>
          <w:rFonts w:ascii="Amiri" w:hAnsi="Amiri" w:eastAsia="Amiri" w:cs="Amiri"/>
          <w:color w:val="111111"/>
          <w:sz w:val="28"/>
          <w:sz w:val="28"/>
          <w:szCs w:val="28"/>
          <w:rtl w:val="true"/>
          <w:lang w:bidi="ar-SA"/>
        </w:rPr>
        <w:t>والسيّد الخوئي</w:t>
      </w:r>
      <w:r>
        <w:rPr>
          <w:rStyle w:val="FootnoteAnchor"/>
          <w:rtl w:val="true"/>
        </w:rPr>
        <w:footnoteReference w:id="492"/>
      </w:r>
      <w:r>
        <w:rPr>
          <w:rFonts w:ascii="Amiri" w:hAnsi="Amiri" w:eastAsia="Amiri" w:cs="Amiri"/>
          <w:color w:val="111111"/>
          <w:sz w:val="28"/>
          <w:sz w:val="28"/>
          <w:szCs w:val="28"/>
          <w:rtl w:val="true"/>
          <w:lang w:bidi="ar-SA"/>
        </w:rPr>
        <w:t>، بل عدّ المحقّق الأصفهاني الحكم بالصحّة في هذا الفرض من القضايا التي قياساتها معها، فلا يحتاج إلى البرهان بل إلى التنبيه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 بعدم الخلاف للقول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الشيخ الأعظم وبعض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استفاد ذلك من إجماعهم على شرطية قصد التقرّب في صحّة العبادات،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التقرّب شرط في صحّة العبادة إجماعاً نصّاً وفتوى، وهو لا يتحقّق مع الشكّ في كون العمل مقرّباً</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ولذلك ادّعي عدم الخلاف في الحكم بالبطلان وإن انكشف الانطباق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نسلّم عدم تحقّق قصد التقرّب مع الشكّ؛ فإنّ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العمل بداعي أمره تعالى وإضافة إليه سبحانه؛ بحيث لو لم يكن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بالعمل، وهذا المقدار متأتٍّ ومتمشٍّ من الجاهل المقصّر 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لا يكون جازماً بذلك، إلّاأنّه لا دليل على اعتبار الجزم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 سره قد خالف ذلك في رسالته المعمولة في التقليد، وصرّح بالصحّة إذا كان العمل مطابقاً للواقع أو الفتوى، مع التصريح بعدم الفرق في ذلك بين المقصّر المتفطّن والقاصر والمقصّر الغافل، وجعل الحكم بالصحّة من فروع كون الطرق الثلاثة واجبات مقدّمية لامتثال الواقع، لا نفسية ولا شرطية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الاستدلال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كلام السيّد الرضي والذي قرّره عليه أخوه الشريف المرتضى</w:t>
      </w:r>
      <w:r>
        <w:rPr>
          <w:rStyle w:val="FootnoteAnchor"/>
          <w:rtl w:val="true"/>
        </w:rPr>
        <w:footnoteReference w:id="496"/>
      </w:r>
      <w:r>
        <w:rPr>
          <w:rFonts w:ascii="Amiri" w:hAnsi="Amiri" w:eastAsia="Amiri" w:cs="Amiri"/>
          <w:color w:val="111111"/>
          <w:sz w:val="28"/>
          <w:sz w:val="28"/>
          <w:szCs w:val="28"/>
          <w:rtl w:val="true"/>
          <w:lang w:bidi="ar-SA"/>
        </w:rPr>
        <w:t>، في مسألة من صلّى صلاةً لا يعلم حكمها؛ حيث حكما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تعرّضنا له في مسألة تارك طريقي الاجتهاد والتقليد والآخذ بالاحتياط، وحاصل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منقول لا يعتمد عليه، مضافاً إلى عدم كونه تعبّدياً كاشفاً عن رأي المعصوم عليه السلام؛ لكونه مدركياً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كلّ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المأتيّ به من دون الاستناد إلى حجّة معتبرة، ما لم ينكشف ولم يحرز مطابقته للواقع أو الفتوى، فمقتضى القاعدة فساده ظاهراً وإن كان في الواقع هو المأمور به، من غير فرقٍ في ذلك بين العبادة والمعاملة، وبين الجاهل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 والمركّب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انكشف الانطباق فمقتضى القاعدة هو الحكم بالصحّة إذا أتى به برجاء درك الواقع ومضافاً إليه سبحانه إذا كان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يقع الكلام في طريق إحراز المطابقة،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مرآة المطابقة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العلم بها، أو الطريق الذي يرجع إليه المجتهد، أو المقلّد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حصل العلم بها فلا كلام فيه، إلّاأنّه بمكان من القلّة والندرة لا سيّما بالنسبة إلى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أحرز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صار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الحجّة له، فيكون المدار على اجتهاده، فيعمل على وفقه صحّةً وفساداً، فلا كلام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إحراز المطابقة برأي المجتهد وتقليده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يجب تقليده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الذي يجب تقليده حين العمل هو الذي يجب تقليده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أنّ المتّبع رأيه صحّةً وفساداً، وإن كان متعدّداً ومختلفاً من حيث الفتوى، فهل المدار على رأي الأوّل أو الثاني؟ فيه خلاف بين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إنّما هو على فتوى من يجب تقليده حين العمل، كما أفاده المحقّق الأصفهاني</w:t>
      </w:r>
      <w:r>
        <w:rPr>
          <w:rStyle w:val="FootnoteAnchor"/>
          <w:rtl w:val="true"/>
        </w:rPr>
        <w:footnoteReference w:id="497"/>
      </w:r>
      <w:r>
        <w:rPr>
          <w:rFonts w:ascii="Amiri" w:hAnsi="Amiri" w:eastAsia="Amiri" w:cs="Amiri"/>
          <w:color w:val="111111"/>
          <w:sz w:val="28"/>
          <w:sz w:val="28"/>
          <w:szCs w:val="28"/>
          <w:rtl w:val="true"/>
          <w:lang w:bidi="ar-SA"/>
        </w:rPr>
        <w:t>والسيّد البروجردي</w:t>
      </w:r>
      <w:r>
        <w:rPr>
          <w:rStyle w:val="FootnoteAnchor"/>
          <w:rtl w:val="true"/>
        </w:rPr>
        <w:footnoteReference w:id="498"/>
      </w:r>
      <w:r>
        <w:rPr>
          <w:rFonts w:ascii="IRNazanin" w:hAnsi="IRNazanin" w:eastAsia="IRNazanin"/>
          <w:color w:val="111111"/>
          <w:sz w:val="28"/>
          <w:sz w:val="28"/>
          <w:szCs w:val="28"/>
          <w:rtl w:val="true"/>
          <w:lang w:bidi="fa-IR"/>
        </w:rPr>
        <w:t>والمحقّق اللنگرودي</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رأي من يجب تقليده فعلًا أي‌حين الرجوع، كما اختاره السيّد الحكيم</w:t>
      </w:r>
      <w:r>
        <w:rPr>
          <w:rStyle w:val="FootnoteAnchor"/>
          <w:rtl w:val="true"/>
        </w:rPr>
        <w:footnoteReference w:id="500"/>
      </w:r>
      <w:r>
        <w:rPr>
          <w:rFonts w:ascii="Amiri" w:hAnsi="Amiri" w:eastAsia="Amiri" w:cs="Amiri"/>
          <w:color w:val="111111"/>
          <w:sz w:val="28"/>
          <w:sz w:val="28"/>
          <w:szCs w:val="28"/>
          <w:rtl w:val="true"/>
          <w:lang w:bidi="ar-SA"/>
        </w:rPr>
        <w:t>، وعليه السيّد الخوئي في مواضع من كلماته</w:t>
      </w:r>
      <w:r>
        <w:rPr>
          <w:rStyle w:val="FootnoteAnchor"/>
          <w:rtl w:val="true"/>
        </w:rPr>
        <w:footnoteReference w:id="501"/>
      </w:r>
      <w:r>
        <w:rPr>
          <w:rFonts w:ascii="Amiri" w:hAnsi="Amiri" w:eastAsia="Amiri" w:cs="Amiri"/>
          <w:color w:val="111111"/>
          <w:sz w:val="28"/>
          <w:sz w:val="28"/>
          <w:szCs w:val="28"/>
          <w:rtl w:val="true"/>
          <w:lang w:bidi="ar-SA"/>
        </w:rPr>
        <w:t>، وهو الظاهر من كلمات الشيخ الأعظم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رأي من يجب الرجوع إليه حين الالتفات مع رعاية المطابقة</w:t>
      </w:r>
    </w:p>
    <w:p>
      <w:pPr>
        <w:pStyle w:val="BookText"/>
        <w:rPr/>
      </w:pPr>
      <w:r>
        <w:rPr>
          <w:rFonts w:ascii="Amiri" w:hAnsi="Amiri" w:eastAsia="Amiri" w:cs="Amiri"/>
          <w:color w:val="111111"/>
          <w:sz w:val="28"/>
          <w:sz w:val="28"/>
          <w:szCs w:val="28"/>
          <w:rtl w:val="true"/>
          <w:lang w:bidi="ar-SA"/>
        </w:rPr>
        <w:t xml:space="preserve">لرأي الأوّل أيضاً احتياطاً، وعليه السيّد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مطابقة عمله لأحد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فتوى من كان يجب عليه تقليده حين العمل، وفتوى من يجب عليه تقليده فعلًا، بعد كفاية الإحراز مع الواقع أيضاً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الأخير صرّح به السيّد الإمام الخميني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حيث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عمل مدّةً بلا تقليد فعمله صحيح إذا أحرز موافقته للواقع، أو كان مطابقاً لفتوى من كان وظيفته الرجوع إليه حين العمل، أو فتوى من يجب تقليده فعلًا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ففتوى الماتن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من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الأعمّ من المجتهد حال العمل والمجتهد فعلًا وحال الالتفات، وفي موضع آخر ظاهرة فيه كما ذكرنا، أو ظاهرة في خصوص المجتهد حين الالتفات، أو مجملة كما أفاده الشارح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الأقوال في المسألة أربعة، والمهمّ بيان ما تقتضيه القاعدة، فنقول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حجّية الفتوى على العامّي ومنجّزيتها لتكاليفه تكون من حين وجوب الرجوع إلى المفتي، فتؤثّر في الوقائع المتجدّدة والأعمال المستقبلة، ووجوب القضاء وعدمه هنا وإن كان مربوطاً بالأعمال المستقبلة، لكنّه فرع بطلان العمل وصحّته المنوطين بنظر من كانت وظيفة العامّي الرجوع إليه، وهو أعلم عصره حال العمل دون هذا المفتي، بل ربّما كان لا وجود له في تلك الحال، أو لم يكن بمجتهد، أو كان مفضولًا بالإضافة إلى غيره، هذا في العبادات، وأمّا في</w:t>
      </w:r>
    </w:p>
    <w:p>
      <w:pPr>
        <w:pStyle w:val="BookText"/>
        <w:rPr/>
      </w:pPr>
      <w:r>
        <w:rPr>
          <w:rFonts w:ascii="Amiri" w:hAnsi="Amiri" w:eastAsia="Amiri" w:cs="Amiri"/>
          <w:color w:val="111111"/>
          <w:sz w:val="28"/>
          <w:sz w:val="28"/>
          <w:szCs w:val="28"/>
          <w:rtl w:val="true"/>
          <w:lang w:bidi="ar-SA"/>
        </w:rPr>
        <w:t>المعاملات فكذلك، بل الأمر أوضح؛ حيث لا واقع لاعتبار الملكية إلّانفسه، فليس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الحجّة على سببيّة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الخلاف</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استدلّ به المحقّق الأصفهاني وهو الأساس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المجتهد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يجب الرجوع إليه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صارت حجّة من حين وجوب الرجوع إليه، إلّاأنّ مفاد الفتوى مطلق يشمل الماضي والمستقبل، فإذا أفتى المجتهد الثاني بشرطية شي‌ء أو جزئيّته للصلاة مثلًا، يكون المراد أنّه جزء أو شرط في الصلاة مطلقاً، لا فيما بعد خاصّة، فلا وجه لتخصيص مضمونها بالأعمال المستقبلة دون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بالصحّة أو الفساد بالنسبة إلى الأعمال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 من حجّة، وهي فتوى المجتهد الثاني؛ لعدم حجّية فتوى الأوّل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لموت أو نسيان أو غير ذلك، وإلّا لكانت هي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بالصحّة أو الفساد بالنسبة إلى الأعمال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الفتوى الثانية خلاف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القول بالسببيّة والتصويب، ولا يلتزم به المستدلّ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بالنسبة إلى المعاملات خاصّة، فاورد عليه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متين لو قلنا بالسببيّة في الأمارات؛ بأنّ الاعتبار قد تحقّق في زمان العمل لا محالة، ولا ينقلب الشي‌ء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الطريقية فتحقّق الاعتبار في الخارج إنّما كان لأجل قيام الحجّة عليه، فإذا قامت حجّة اخرى بعد بطلان الحجّة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مانع، أو فقد شرط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يكن متحقّقاً فيكشف الخلاف لا محالة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التارك للطرق الثلاثة بالنسبة إلى أعماله السابقة يريد الآن</w:t>
      </w:r>
    </w:p>
    <w:p>
      <w:pPr>
        <w:pStyle w:val="BookText"/>
        <w:rPr/>
      </w:pPr>
      <w:r>
        <w:rPr>
          <w:rFonts w:ascii="Amiri" w:hAnsi="Amiri" w:eastAsia="Amiri" w:cs="Amiri"/>
          <w:color w:val="111111"/>
          <w:sz w:val="28"/>
          <w:sz w:val="28"/>
          <w:szCs w:val="28"/>
          <w:rtl w:val="true"/>
          <w:lang w:bidi="ar-SA"/>
        </w:rPr>
        <w:t>أن يعرف هل هي صحيحة أم فاسدة ليعرف وظيفته بالنسبة إليها؟ فلابدّ من الأخذ بالحجّة، والمفروض أنّ الحجّة في حقّه هو التقليد عمّن يجوز تقليده، وهو ليس المجتهد الأوّل؛ لعدم اعتبار فتواه بالموت أو عارض آخر، فلا محالة يكون هو المجتهد الثاني الجامع لشرائط الفتوى، فالمدار على رأيه والمتّبع هو فتواه صحّةً وفساداً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فالاعتماد في ذلك على فتوى الأوّل اعتماد على غير الحجّة وأمّا قضية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بنى على التقليد حين العمل لكان عليه الرجوع إلى ذاك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صحيحة ولكنّه ما لم يرجع إليه لا تتّصف فتواه في حقّه بالحجّية، كما صرّح المستدلّ بنفسه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المجتهد الثاني فإنّه وإن لم يكن حين العمل موجوداً أو مجتهداً أو جامعاً للشرائط، إلّاأنّه في الحال صار جامعاً للشرائط، فهو المرجع الوحيد إذا كان أعلم عصره وقلنا بوجوب الرجوع إلى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حقّقناه في بيان عدم تمامية ما استدلّ به على القول الأوّل، تبيّن عدم تمامية القول الثالث والرابع أيضاً؛ إذ رأي الأوّل مسلوب عنه الحجّية، فجعله عِدلًا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الفتوى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للّا حجّة إلى الحجّة ولا أثر له، كما أنّ اعتبار الحجّة هي الفتوى الاولى منضمّةً إلى الثانية لا وجه له؛ إذ لا اعتبار لها، فضمّها إلى الثانية كالحجر في جنب الإنسان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فالمتعيّن هو حجّية الفتوى الثانية، وكونها هي المدار في الحكم بالصحّة أو الفساد</w:t>
      </w:r>
      <w:r>
        <w:rPr>
          <w:rFonts w:eastAsia="Amiri" w:cs="Amiri" w:ascii="Amiri" w:hAnsi="Amiri"/>
          <w:color w:val="111111"/>
          <w:sz w:val="28"/>
          <w:szCs w:val="28"/>
          <w:rtl w:val="true"/>
          <w:lang w:bidi="ar-SA"/>
        </w:rPr>
        <w:t>.</w:t>
      </w:r>
      <w:bookmarkStart w:id="245" w:name="pg1790_14863"/>
    </w:p>
    <w:p>
      <w:pPr>
        <w:pStyle w:val="Heading3"/>
        <w:numPr>
          <w:ilvl w:val="2"/>
          <w:numId w:val="1"/>
        </w:numPr>
        <w:rPr/>
      </w:pPr>
      <w:bookmarkStart w:id="246" w:name="__RefHeading___Toc2371704_3650668749"/>
      <w:bookmarkStart w:id="247" w:name="_Toc90"/>
      <w:bookmarkEnd w:id="245"/>
      <w:bookmarkEnd w:id="246"/>
      <w:r>
        <w:rPr>
          <w:rtl w:val="true"/>
        </w:rPr>
        <w:t>طرق معرفة فتوى المجتهد</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أخذ المسائل من المجتهد على أنحاء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العدلين أو عدل واحد عنه أو عن رسالته المأمونة من الغلط، بل الظاهر كفاية نقل شخص واحد إذا كان ثقة يطمأنّ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رسالته إذا كانت مأمونة من الغلط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معرفة فتوى المجتهد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الماتن قدس سره الطرق المعتبرة شرعاً لتحصيل فتوى المجتهد في المسألة، وهي كالتالي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 المجتهد، واعتبار هذا الطريق حجّة على المقلّد في مقام أخذ المسائل من المجتهد من باب إنّه لا شبهة في حجّية إخبار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الآيات والأخبار التي تدلّ على حجّية إخبار المجتهد بالمطابقة أو الالتزام، وكذا السيرة العقلائية الجارية على حجّية إخبار أهل الخبرة برأيهم من غير أن يطالبوهم بدليل إخباراتهم، فالمقلّد بسماعه من مرجعه يطمئنّ بالحكم بعد ثبوت حجّية إخبار مجتهده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العدلين، وهو المراد من البيّنة، وقد مرّ عموم حجّيتها بما يشمل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جوّز الماتن هاهنا أخذ المسائل بنقل العدل الواحد أو الثقة، مع أنّه لم يرتض حجّية خبر الواحد في كثير من المسائل، منها ما مرّ في المسألة التاسعة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ولتمحيص المطلب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نبحث عن الوجه في عدم حجّية إخبار الثقة في الموضوعات الخارجية لنرى مدى انطباقه فيما نحن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الوجوه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مسعدة بن صدقة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عليك قد اشتريته وهو سرقة، والمملوك يكون عندك ولعلّه حرّ قد باع نفسه، أو خدع فبيع قهراً، أو امرأة تحتك وهي اختك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المعروف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الردع عن حجّية خبر الواحد؛ 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للحلّ مطلقاً هي البيّنة، فلو كان خبر الثقة مثبتاً للموضوع كان اعتبار البيّنة بلا وجه، فلا يمكن الجمع بينهما في الجعل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المستشهد بها على حجّية خبر الواحد في الموضوعات، فإنّها وردت في موارد خاصّة لا يمكن إثبات سائر الموارد بها، لا سيّما مع قلّة العامل بها</w:t>
      </w:r>
    </w:p>
    <w:p>
      <w:pPr>
        <w:pStyle w:val="BookText"/>
        <w:rPr/>
      </w:pPr>
      <w:r>
        <w:rPr>
          <w:rFonts w:ascii="Amiri" w:hAnsi="Amiri" w:eastAsia="Amiri" w:cs="Amiri"/>
          <w:color w:val="111111"/>
          <w:sz w:val="28"/>
          <w:sz w:val="28"/>
          <w:szCs w:val="28"/>
          <w:rtl w:val="true"/>
          <w:lang w:bidi="ar-SA"/>
        </w:rPr>
        <w:t>على الظاهر؛ فلم نعثر على مورد عمل الأصحاب فيه بخبر الثقة في الموضوعات كما عملوا به في الأحكام، ولم يستفيدوا من تلك الأخبار حجّية خبر الثقة في مطلق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الوجهين السابقين يشكل الاعتماد على السيرة العقلائية الجارية على العمل بخبر الثقة، وكذا يشكل الوثوق بعدم الردع عن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رأى الماتن أنّ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الموضوعات الخارجية بخبر الثقة</w:t>
      </w:r>
      <w:r>
        <w:rPr>
          <w:rStyle w:val="FootnoteAnchor"/>
          <w:rtl w:val="true"/>
        </w:rPr>
        <w:footnoteReference w:id="509"/>
      </w:r>
      <w:r>
        <w:rPr>
          <w:rFonts w:ascii="Amiri" w:hAnsi="Amiri" w:eastAsia="Amiri" w:cs="Amiri"/>
          <w:color w:val="111111"/>
          <w:sz w:val="28"/>
          <w:sz w:val="28"/>
          <w:szCs w:val="28"/>
          <w:rtl w:val="true"/>
          <w:lang w:bidi="ar-SA"/>
        </w:rPr>
        <w:t>،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إخبار الثقة إذا كان بحيث يوجب الاطمئنان بقوله يجوز الأخذ به، فحينئذٍ تكون الحجّة في الحقيقة نفس الاطمئنان دون التعبّد بحجّية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بشكل عامّ، وأمّا فيما نحن فيه فاختيار الماتن ثبوت الفتوى بإخبار العدل أو الثقة الواحد من باب الإخبار عن الفتوى إخبار عمّا هو من شؤون الأحكام الشرعية؛ لأنّه في الحقيقة إخبار عن قول الإمام مع الواسطة، والدليل على حجّية إخبار العدل الواحد عن الإمام غير قاصر الشمول للإخبار عنهم مع الواسطة؛ أي‌لا فرق في ذلك بين أن يتضمّن نقل قول المعصوم عليه السلام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يتضمّن نقل الفتوى أي‌الحكم الظاهري المستنبط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وجه للإشكال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الإخبار عن الفتوى ليس إخباراً عن الحكم وقول الإمام بوجه، بل إخبار عن نظر المجتهد ورأيه، ولاسيّما مع الإضافة إلى شخص خاصّ</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عرفت أنّ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حدسية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مصادر حسّية</w:t>
      </w:r>
    </w:p>
    <w:p>
      <w:pPr>
        <w:pStyle w:val="BookText"/>
        <w:rPr/>
      </w:pPr>
      <w:r>
        <w:rPr>
          <w:rFonts w:ascii="Amiri" w:hAnsi="Amiri" w:eastAsia="Amiri" w:cs="Amiri"/>
          <w:color w:val="111111"/>
          <w:sz w:val="28"/>
          <w:sz w:val="28"/>
          <w:szCs w:val="28"/>
          <w:rtl w:val="true"/>
          <w:lang w:bidi="ar-SA"/>
        </w:rPr>
        <w:t>وأهمّها السنّة، فرأي المفتي غالباً يكون نقلًا لمضمون ما استفاده من الكتاب والسنّة، كما أنّه في موارد اخرى يكون تطبيقاً لمضمون الكتاب والسنّة، وحينئذٍ فنقله يكون بمنزلة نقل الحكم الشرعي عن الإمام، غاية الأمر أنّه منقول بالمعنى، وقد ثبت في محلّه جواز النقل بالمعنى، كما أنّ أدلّة حجّية خبر الواحد تشمل نقل الحكم الشرعي سواء كان واقعياً أو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اتّضح الفرق بين المقام وبين مسألة إثبات الاجتهاد والأعلمية، واتّضح سبب عدم ذكر الماتن لهذا الطريق لإثباتهما؛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وكذا الأعلمية محلّ للخلاف بين الناس؛ لاستنادهما إلى الامور الحدسية التي لا مجال لكلّ أحد أن يحرزها أو يحرز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إخبار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أو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منوطة بحجّية إخبار الثقة في الموضوعات الخارجية، والماتن لم يقل بها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إخبار الثقة في الموضوعات اعتبر الماتن أن يكون الثقة ممّن يطمئنّ بقوله، والمراد اعتبار الاطمئنان النوعي بالنسبة إلى ذلك الثقة، لا الاطمئنان الشخصي بالنسبة إلى إخباره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الرسالة المأمونة من الغلط؛ وذلك كما إذا كانت الرسالة بخطّ المفتي، أو لاحظها وأمضاها وأخبر بأنّ ما فيها يطابق فتواه، فإنّ ذلك لا يقصر عن الإخبار اللفظي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في الرسالة وجوداً كلّياً للفتوى، والدليل على حجّية الفتوى والإخبار عنها يشمل اعتبار الرسالة المأمونة من الغلط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جعل الإخبار عن الرسالة بالعدلين أو العدل الواحد في الطريق الثاني؛ أي‌في عداد الإخبار عن نفس المجتهد</w:t>
      </w:r>
      <w:r>
        <w:rPr>
          <w:rFonts w:eastAsia="Amiri" w:cs="Amiri" w:ascii="Amiri" w:hAnsi="Amiri"/>
          <w:color w:val="111111"/>
          <w:sz w:val="28"/>
          <w:szCs w:val="28"/>
          <w:rtl w:val="true"/>
          <w:lang w:bidi="ar-SA"/>
        </w:rPr>
        <w:t>.</w:t>
      </w:r>
      <w:bookmarkStart w:id="248" w:name="pg1790_14867"/>
    </w:p>
    <w:p>
      <w:pPr>
        <w:pStyle w:val="Heading3"/>
        <w:numPr>
          <w:ilvl w:val="2"/>
          <w:numId w:val="1"/>
        </w:numPr>
        <w:rPr/>
      </w:pPr>
      <w:bookmarkStart w:id="249" w:name="__RefHeading___Toc2371706_3650668749"/>
      <w:bookmarkStart w:id="250" w:name="_Toc91"/>
      <w:bookmarkEnd w:id="248"/>
      <w:bookmarkEnd w:id="249"/>
      <w:r>
        <w:rPr>
          <w:rtl w:val="true"/>
        </w:rPr>
        <w:t>التعارض في نقل الفتاوى‌</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ناقلان في نقل فتوى المجتهد فالأقوى تساقطهما مطلقاً؛ سواء تساويا في الوثاقة أم لا، فإذا لم يمكن الرجوع إلى المجتهد أو رسالته، يعمل بما وافق الاحتياط من الفتويين، أو يعمل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التعارض في نقل الفتاوى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قدس سره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لكيفية أخذ المسائل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اختلاف ناقلي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الاختلاف في إعلام فتوى المجتهد يتصوّر على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قد يكون الخلاف بين فردين من سنخ واحد من طرق إعلام الفتوى؛ كما إذا اختلف الناقلان في نقل فتوى المجتهد، أو اختلفت رسالتان في نقل 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وقد يكون الخلاف بين‌فردين من سنخين من طرق إعلام الفتوى؛ كما إذا اختلفت الفتوى المنقولة شفاهاً مع ما هو الموجود في الرسالة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هذين الفرضين صور مختلفة، فلنذكر الصور المتشعّبة من كلّ فرض وحكمها في مقامين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فردين من سنخ واحد من طرق إعلام الفتوى، فهنا إن</w:t>
      </w:r>
    </w:p>
    <w:p>
      <w:pPr>
        <w:pStyle w:val="BookText"/>
        <w:rPr/>
      </w:pPr>
      <w:r>
        <w:rPr>
          <w:rFonts w:ascii="Amiri" w:hAnsi="Amiri" w:eastAsia="Amiri" w:cs="Amiri"/>
          <w:color w:val="111111"/>
          <w:sz w:val="28"/>
          <w:sz w:val="28"/>
          <w:szCs w:val="28"/>
          <w:rtl w:val="true"/>
          <w:lang w:bidi="ar-SA"/>
        </w:rPr>
        <w:t>كان الاختلاف على وجه يمكن معه عدول المجتهد عن فتواه، وأخبر أحد الناقلين عن فتواه السابقة والآخر عن فتواه الفعلية، وذلك فيما إذا اختلف الناقلان بحسب الزمان في نقل الفتوى، ففي هذه الصورة يؤخذ بالفتوى المتأخّرة؛ إذ 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نحتمل عدول المجتهد عن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تأريخ كلا الفردين واحداً؛ مثل ما إذا كان تأريخ طبع الرسالتين واحداً وذكر في إحداهما الحكم بالجواز في مسألة وفي الاخرى الحكم بالحرمة في ذات تلك المسألة، أو لم نحتمل العدول في رأي المجتهد حتّى مع تفاوت زماني الإعلامين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حيث يقع التعارض بينهما في حكم المسألة فلابدّ من تساقطهما والرجوع إلى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لإجراء قواعد الترجيح هنا؛ حيث إنّ أدلّة الترجيح الواردة في الخبرين المتعارضين لا تعمّ الفتويين ولا نقلهما، كما هو واضح، بل تختصّ تلك الأدلّة بمستند الفتوى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والماتن قدس سره قد افترض وقوع الاختلاف في نقل الفتوى وحكم فيه بالتساقط، وصرّح بأ نّه لا فرق في المقام بين أوثقيّة ما لو فرض أوثقيّة أحد الناقلين أو تساويهما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واتّضح أيضاً أنّ افتراض وقوع الاختلاف بين رسالتين ممكن، كما إذا طبعت رسالة في إيران ورسالة في العراق ورسالة في بيروت في تأريخ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اتّضح حكم جميع الصور في فرض اختلاف فردي سنخ واحد من طرق إعلام الفتوى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ما هي وظيفة المكلّف في صورة تساقط إخبارين عن الحجّية؟ حكم الماتن بأ نّه لابدّ أن يرجع إلى الطريقين الآخرين الباقيين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السماع من المجتهد أو الرجوع إلى رسالته المأمونة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لم يمكن ذلك للمقلّد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تيسّر الرجوع إلى المجتهد، أو عدم حصوله على الرسالة المأمونة لمجتهده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w:t>
      </w:r>
    </w:p>
    <w:p>
      <w:pPr>
        <w:pStyle w:val="BookText"/>
        <w:rPr/>
      </w:pPr>
      <w:r>
        <w:rPr>
          <w:rFonts w:ascii="Amiri" w:hAnsi="Amiri" w:eastAsia="Amiri" w:cs="Amiri"/>
          <w:color w:val="111111"/>
          <w:sz w:val="28"/>
          <w:sz w:val="28"/>
          <w:szCs w:val="28"/>
          <w:rtl w:val="true"/>
          <w:lang w:bidi="ar-SA"/>
        </w:rPr>
        <w:t>يحتاط إمّا بالعمل بأوفق الفتويين المذكورتين مع الاحتياط أو بالاحتياط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إذا انسدّ عليه طريق الاجتهاد حسب المفروض، و طريق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للتعارض والتساقط في الفتويين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الطريق الثالث أي الاحتياط، وهو الطريق الذي كان واجباً عليه تخييراً، وبالانسداد في الطريقين الآخرين يصير واجباً تعيينياً، وبذلك يخرج المكلّف عن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فردين من سنخين من طرق إعلام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لم يتعرّض الماتن له، إلّاأنّا نذكره تتميماً للفائدة،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هذا المقام له صور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السماع عن المجتهد مع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السماع مع ما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ما في الرسالة مع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اختلف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كان السماع في سنة، والنقل في سنة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يحتمل تبدّل رأي المجتهد أخذ بالمتأخّر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الصورتين الاخريين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يختلف زمانهما، أو لم يحتمل تبدّل الرأي من المجتهد، فاختلاف الطرق يكون كاختلاف الأمارات؛ ففي كلّ مورد أفادت الأمارة قطعاً اخذ بها وترك ما يفيد ظنّاً، وكذا يؤخذ بما يفيد الظنّ الأقوى فالأقوى عقلائياً، وإن تساوت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 كاختلاف الأفراد من سنخ واحد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والاختلاف بين هذا المقام وسابقه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التكافؤ المعتبر في التعارض في نوع الأمارات وسنخها يقوم على أساس الاعتماد العقلائي على الأمارة والطريق، فمع اختلاف الطرق يقدّم ما هو أكثر اعتماداً على غيره، بخلاف الأفراد المختلفة من</w:t>
      </w:r>
    </w:p>
    <w:p>
      <w:pPr>
        <w:pStyle w:val="BookText"/>
        <w:rPr/>
      </w:pPr>
      <w:r>
        <w:rPr>
          <w:rFonts w:ascii="Amiri" w:hAnsi="Amiri" w:eastAsia="Amiri" w:cs="Amiri"/>
          <w:color w:val="111111"/>
          <w:sz w:val="28"/>
          <w:sz w:val="28"/>
          <w:szCs w:val="28"/>
          <w:rtl w:val="true"/>
          <w:lang w:bidi="ar-SA"/>
        </w:rPr>
        <w:t>سنخ واحد حيث إنّها متكافئة بحسب 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ذكرنا، فحيث إنّ السماع قد يوجب القطع فهو يقدّم على النقل، كما ادّعاه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أو يقدّم السماع على النقل عقلائياً لأجل انصراف دليل حجّية النقل عن صورة المعارضة للسماع، كما ذهب إليه بعض آخر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الأمر إذا اختلف السماع مع ما في الرسالة فيما إذا لم تكن الرسالة بخطّ المجتهد أو ملحوظة بنظره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الرسالة بخطّ المجتهد أو ملحوظة بنظره، فهنا وإن كان يجري في كلا الطريقين أصالة عدم الخطأ عقلائياً، إلّاأنّه لا يبعد دعوى جريان السيرة العقلائية على تقديم الرسالة على السماع،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العناية والدقّة في الكتابة عادةً تكون أكثر؛ بحيث يصير احتمال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الفتوى المسموعة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موهوناً، فيقدّم ما في الرسالة المذكورة على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حكم اختلاف الرسالة مع النقل، فإنّه كسابقه بعينه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الأخذ بأحد المختلفين بحسب سنخهما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الاعتماد العقلائي على سنخ الطريق</w:t>
      </w:r>
      <w:r>
        <w:rPr>
          <w:rFonts w:eastAsia="Amiri" w:cs="Amiri" w:ascii="Amiri" w:hAnsi="Amiri"/>
          <w:color w:val="111111"/>
          <w:sz w:val="28"/>
          <w:szCs w:val="28"/>
          <w:rtl w:val="true"/>
          <w:lang w:bidi="ar-SA"/>
        </w:rPr>
        <w:t>.</w:t>
      </w:r>
      <w:bookmarkStart w:id="251" w:name="pg1790_14871"/>
    </w:p>
    <w:p>
      <w:pPr>
        <w:pStyle w:val="Heading3"/>
        <w:numPr>
          <w:ilvl w:val="2"/>
          <w:numId w:val="1"/>
        </w:numPr>
        <w:rPr/>
      </w:pPr>
      <w:bookmarkStart w:id="252" w:name="__RefHeading___Toc2371708_3650668749"/>
      <w:bookmarkStart w:id="253" w:name="_Toc92"/>
      <w:bookmarkEnd w:id="251"/>
      <w:bookmarkEnd w:id="252"/>
      <w:r>
        <w:rPr>
          <w:rtl w:val="true"/>
        </w:rPr>
        <w:t>وجوب تعلّم العبادات وأحكام الخلل‌</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مسائل الشكّ والسهو وغيرها ممّا هو محلّ الابتلاء غالباً، إلّا إذا اطمأنّ من نفسه بعدم الابتلاء بها، كما يجب تعلّم أجزاء العبادات وشرائطها وموانعها ومقدّماتها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إجمالًا أنّ عمله واجد لجميع الأجزاء والشرائط، وفاقد للموانع، صحّ وإن لم يعلم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تعلّم العبادات وأحكام الخلل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ركّز البحث في هذه المسألة على وجوب التعلّم، فلابدّ من تنقيح مورده وحقيقته، ثمّ بيان مستند الحكم فيه، وذلك من خلال التكلّم في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في مقدّمة مبحث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لخروج المكلّف عن عهدة التكاليف المنجّزة عليه بالعلم الإجمالي هو الاجتهاد والتقليد والاحتياط، وحيث إنّ المفروض عدم تمكّن المقلّد من الاجتهاد فينحصر الطريق في الاثنين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اختار الاحتياط، فحيث يُخرِج المكلّف نفسه عن العهدة بإتيان جميع المحتملات أو أحوطها، فلا يلزم عليه العلم بالحكم الشرعي على ما هو عليه في واقعه، فلا يتوقّف عمله على تعلّم الحكم الشرعي تفصيلًا، بل يكفي</w:t>
      </w:r>
    </w:p>
    <w:p>
      <w:pPr>
        <w:pStyle w:val="BookText"/>
        <w:rPr/>
      </w:pPr>
      <w:r>
        <w:rPr>
          <w:rFonts w:ascii="Amiri" w:hAnsi="Amiri" w:eastAsia="Amiri" w:cs="Amiri"/>
          <w:color w:val="111111"/>
          <w:sz w:val="28"/>
          <w:sz w:val="28"/>
          <w:szCs w:val="28"/>
          <w:rtl w:val="true"/>
          <w:lang w:bidi="ar-SA"/>
        </w:rPr>
        <w:t>علمه الإجمالي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يتمكن في مورد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وانحصر الطريق عليه في التقليد، أو اختار التقليد من أوّل الأمر، فحينئذٍ يتّسع المجال للبحث عن حكم تعلّم المسائل الشرعية،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اخرى إلزامه بتعلّم الأحكام الشرعية يتفرّع على القول بحرمة قطع الصلاة وإبطالها على المكلّف؛ إذ لو كان متمكّناً من 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ذلك حراماً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له الامتثال تفصيلًا، وذلك بقطع الصلاة والإتيان بصلاة من دون شكّ وسهو، أو يتعلّم ما ابتلى به فعلًا ثمّ يأتي بصلاته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المشهور ذاهبين إلى حرمة 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عليها أكثر المتأخّرين ومنهم الماتن</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والممنوع شرعاً كالممتنع عقلًا، انحصر طريق المكلّف لامتثال الواجب من دون ارتكاب محرّم في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المطلوب من المكلّف الإتيان بأعماله وفقاً للواقع أو فتوى المجتهد، فإذا أحرز المكلّف أنّ ما أتى به موافق للواقع أو لفتوى مجتهد ولو اتّفاقاً، فلا مجال للإشكال في صحّة عمله من جهة أنّه لم يتعلّم أحكامه قبل العمل؛ إذ غاية ما يقتضي ذلك هو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المساس بصحّة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صرّح به الماتن قدس سره في المسألة الثانية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انطباق عمل المكلّف على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أي‌فتوى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لعمله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ولا خلاف في الجملة في وجوب تعلّم الأحكام الشرعية التي تكون محلّ الابتلاء للمكلّف، والمستند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تنجّز الأحكام</w:t>
      </w:r>
    </w:p>
    <w:p>
      <w:pPr>
        <w:pStyle w:val="BookText"/>
        <w:rPr/>
      </w:pPr>
      <w:r>
        <w:rPr>
          <w:rFonts w:ascii="Amiri" w:hAnsi="Amiri" w:eastAsia="Amiri" w:cs="Amiri"/>
          <w:color w:val="111111"/>
          <w:sz w:val="28"/>
          <w:sz w:val="28"/>
          <w:szCs w:val="28"/>
          <w:rtl w:val="true"/>
          <w:lang w:bidi="ar-SA"/>
        </w:rPr>
        <w:t>الإلزامية الشرعية بالعلم الإجمالي بثبوتها في الشريعة، وقد اتّضح سابقاً أنّ مقتضاه وجوب فراغ الذمّة منها عقلًا، وحيث إنّ الفراغ منها غالباً يتوقّف على معرفتها فيجب التقليد أي‌الرجوع إلى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المجتهد والمحتاط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الخلاف في نوعية الوجوب الثابت للتعلّم، وكذا في حدّ الابتلاء في المسائل الموجب لتعلّم الأحكام، وسيتّضح كلّ من البحثين في الامور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نوعية وجوب التعلّم للأحكام الشرعية؟</w:t>
      </w:r>
    </w:p>
    <w:p>
      <w:pPr>
        <w:pStyle w:val="BookText"/>
        <w:rPr/>
      </w:pPr>
      <w:r>
        <w:rPr>
          <w:rFonts w:ascii="Amiri" w:hAnsi="Amiri" w:eastAsia="Amiri" w:cs="Amiri"/>
          <w:color w:val="111111"/>
          <w:sz w:val="28"/>
          <w:sz w:val="28"/>
          <w:szCs w:val="28"/>
          <w:rtl w:val="true"/>
          <w:lang w:bidi="ar-SA"/>
        </w:rPr>
        <w:t>يمكن استخراج عدّة أقوال من خلال تتبّع كلماتهم، وقد ذهب إلى كلّ منها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التعلّم شرعي نفسي يعاقب المكلّف على تركه، وقد ذهب إلى هذا القول المقدّس الأردبيلي وتلميذه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 شرعي طريقي؛ بمعنى أنّ الشارع جعل وجوب التعلّم كطريق لإتيان الواجبات الواقعية، بحيث إذا أخلّ المكلّف بهذا الواجب، عوقب على مخالفته للمكلّف به الواقعي لا على تركه للتعلّم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 عقلي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إنّ التعلّم ليس محبوباً ذاتياً، والأمر به لا لأجل مصلحة فيه، بل لأجل التحفّظ على الأحكام الشرعية كما هو الحال في الأمر بالاحتياط، فإشكال كون وجوب التعلّم متقدّماً على فعلية الحكم الشرعي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بالبيان الآتي في بعض فروع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يندفع به، مع أنّ هذا الالتزام بالوجوب الشرعي النفسي كان محاولة للتخلّص عن ذلك الإشكال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التعلّم لا يستفاد منها كون وجوبه وجوباً مجعولًا</w:t>
      </w:r>
    </w:p>
    <w:p>
      <w:pPr>
        <w:pStyle w:val="BookText"/>
        <w:rPr/>
      </w:pPr>
      <w:r>
        <w:rPr>
          <w:rFonts w:ascii="Amiri" w:hAnsi="Amiri" w:eastAsia="Amiri" w:cs="Amiri"/>
          <w:color w:val="111111"/>
          <w:sz w:val="28"/>
          <w:sz w:val="28"/>
          <w:szCs w:val="28"/>
          <w:rtl w:val="true"/>
          <w:lang w:bidi="ar-SA"/>
        </w:rPr>
        <w:t>شرعياً، ومن المعلوم أنّ إثبات الوجوب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نوع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يحتاج إلى دليل يثبته، وهو مفقود في المقام كما يتّضح في مستند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أي‌وجوب التعلّم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المقنّن لجميع العباد يلزم عليه إيصال أحكامه إليهم بوسيلة الأنبياء والرسل والكتب المنزلة والأحاديث المروية عنهم، وإيصال الرسل عبارة عن بثّهم في العباد بنحو متعارف، وهو تعليمها لعدّة من العلماء وكتابتها في الدفاتر والزبر وبسطها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الإيصال تصير التكاليف فعلية على المكلّف، ومقتضى فعليّتها وجوب خروج المكلّف عن عهدتها بحيث يحرز الامتثال القطعي لها، وهذا الوجوب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إدراك العقل لاستحقاق المكلّف للعقاب إن لم يُقدِم على الامتثال وما يلزم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مستنداً لوجوب التعلّم فيما إذا لم يمكن امتثال الواجب في ظرفه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وجوب التعلّم والتفقّه وجوباً مقدّمياً للتحفّظ على العناوين المستقلّة الذاتية، فما ورد في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التفقّه في الدين وفرض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إرشاداً إلى هذا الوجوب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نفس هذه الأدلّة شواهد على ذلك؛ مثل آية النفر الدالّة على أنّ غاية وجوب التفقّه في الدين تحذّر المستمعين، ومن المعلوم أنّ نفس التحذّر ليس مطلوباً، بل المطلوب هو العمل بالأحكام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Style w:val="FootnoteAnchor"/>
          <w:rtl w:val="true"/>
        </w:rPr>
        <w:footnoteReference w:id="515"/>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فيخصم،</w:t>
      </w:r>
    </w:p>
    <w:p>
      <w:pPr>
        <w:pStyle w:val="BookText"/>
        <w:rPr/>
      </w:pPr>
      <w:r>
        <w:rPr>
          <w:rFonts w:ascii="Amiri" w:hAnsi="Amiri" w:eastAsia="Amiri" w:cs="Amiri"/>
          <w:color w:val="111111"/>
          <w:sz w:val="28"/>
          <w:sz w:val="28"/>
          <w:szCs w:val="28"/>
          <w:rtl w:val="true"/>
          <w:lang w:bidi="ar-SA"/>
        </w:rPr>
        <w:t>فتلك الحجّة البالغة</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فإنّه صريح في أنّ التعلّم إنّما هو للعمل، ولا نفسية له ولا طريقية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ذكرنا يتّضح أنّ الاستدلال لوجوب التعلّم بالإجماع غير تامّ؛ فإنّ احتمال استناد المجمعين إلى حكم العقل وما يرشد إليه من الآيات والروايات قويّ؛ ولذا لا تتمّ دعوى الإجماع القطعي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اتّضح ممّا تقدّم أنّ العقاب إنّما يترتّب على نفس الواجب المتروك بترك تعلّم أحكامه وأجزائه، ولا دخل للتعلّم في أصل الوجوب ولا في العقاب المترتّب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فما استظهره بعض الأعلام من عبارة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نّها ظاهرة في الوجوب الشرطي الذي مرجعه إلى دخل التعلّم في صحّة العبادة ووقوعها موافقةً للأمر المتعلّق بها، استشهاداً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علم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يدلّ على أنّ محطّ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والبطلان والامور الدخيلة في الأوّل أو الموجبة للثاني</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منطبق على المتن لما صرّح به الماتن نفسه في مواضع من أنّ الواجب هو امتثال الواقع كيف ما اتّفق والحرام هو ترك ذلك الامتثال؛ حتّى أنّه إذا لم يتعلّم الأحكام وأبطل الصلاة التي شكّ فيها وأتى بها صحيحة ثانياً فلا مجال للإشكال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الابتلاء الذي قد قدّمنا دخوله في موضوع حكم العقل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 العقل لا يحكم بوجوب تعلّم ما هو خارج عن محلّ ابتلاء المكلّف من الأحكام، وكذلك إذا احتمل وقوعه نادراً؛ كما إذا اطمأنّ المكلّف</w:t>
      </w:r>
    </w:p>
    <w:p>
      <w:pPr>
        <w:pStyle w:val="BookText"/>
        <w:rPr/>
      </w:pPr>
      <w:r>
        <w:rPr>
          <w:rFonts w:ascii="Amiri" w:hAnsi="Amiri" w:eastAsia="Amiri" w:cs="Amiri"/>
          <w:color w:val="111111"/>
          <w:sz w:val="28"/>
          <w:sz w:val="28"/>
          <w:szCs w:val="28"/>
          <w:rtl w:val="true"/>
          <w:lang w:bidi="ar-SA"/>
        </w:rPr>
        <w:t>بعدم الابتلاء بمسائل الشكّ والسهو والنسيان، فإنّه لا يجب عليه تعلّم أحكامها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حكم العقل بوجوب التعلّم فيما إذا علم بابتلائه بمسائل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فيما إذا احتمل الابتلاء احتمالًا عقلائياً فهل يجب التعلّم في هذا المورد أيضاً؟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الابتلاء بتلك المسائل في الأزمنة المستقبلة يجري وينتج عدم وجوب تعلّم تلك المسائل، فيكون هذا الاستصحاب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أنّ العقل يحكم بوجوب التعلّم فيما إذا احتمل المكلّف ابتلاؤه بمسائل في ظرف الشكّ أو السهو ولا يقصر إدراكه عن موارد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الاستقبالي بالتقريب المذكور حيث يكون موضوعياً، يقدّم على الحكم الشرعي المستند إلى إدراك العقل، وينفي موضوع وجوب التعلّم في غير معلوم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الاستصحاب وإن كان يجري على مبنى الماتن، لكنّه حيث ينفي موضوع الدليل غالباً، وإجراؤه يستلزم إعمال الدليل في موارد نادرة، فلا يجري لما يترتّب عليه من اللازم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المكلّف في موارد احتمال الابتلاء أيضاً تعلّم الأحكام، إلّا أنّه يعتبر كون الاحتمال عقلائياً، دون ما إذا كان ضعيفاً نادراً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بهذا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ابتلاء نوع المكلّفين ببعض مسائل الشكوك والسهو، لا ما يبتلي المكلّف به غالباً كما توهّم</w:t>
      </w:r>
      <w:r>
        <w:rPr>
          <w:rStyle w:val="FootnoteAnchor"/>
          <w:rtl w:val="true"/>
        </w:rPr>
        <w:footnoteReference w:id="518"/>
      </w:r>
      <w:r>
        <w:rPr>
          <w:rFonts w:ascii="Amiri" w:hAnsi="Amiri" w:eastAsia="Amiri" w:cs="Amiri"/>
          <w:color w:val="111111"/>
          <w:sz w:val="28"/>
          <w:sz w:val="28"/>
          <w:szCs w:val="28"/>
          <w:rtl w:val="true"/>
          <w:lang w:bidi="ar-SA"/>
        </w:rPr>
        <w:t>فإنّ لزوم تعلّم أحكامه حينئذٍ واضح مفروغ عنه لا يحتاج إلى البحث والتصريح، بل التقييد بهذا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w:t>
      </w:r>
    </w:p>
    <w:p>
      <w:pPr>
        <w:pStyle w:val="BookText"/>
        <w:rPr/>
      </w:pPr>
      <w:r>
        <w:rPr>
          <w:rFonts w:ascii="Amiri" w:hAnsi="Amiri" w:eastAsia="Amiri" w:cs="Amiri"/>
          <w:color w:val="111111"/>
          <w:sz w:val="28"/>
          <w:sz w:val="28"/>
          <w:szCs w:val="28"/>
          <w:rtl w:val="true"/>
          <w:lang w:bidi="ar-SA"/>
        </w:rPr>
        <w:t>أنّ الابتلاء لا ينحصر بمورد العلم به، بل يصدق في مورد الاحتمال العقلائي للابتلاء بملاحظة ابتلاء غالب المكلّفين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إطلاق لحكم العقل بلزوم التعلّم لمورد ما إذا لم يحتمل الابتلاء احتمالًا عقلائياً، كما لا إطلاق لأخبار وجوب التعلّم لذلك المورد؛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إرشادية إلى حكم العقل غير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تعلّم أحكام الشكّ والسهو في العبادات كحكم تعلّم أنفسها، فقد يمكن أن يعدّها من أحكام نفس الأجزاء والشرائط والموانع للعبادة بتفصيلها؛ حيث إنّه يبحث في أحكام الشكّ والسهو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الشرائط والأجزاء هل تكون معتبرة في العبادة مطلقاً، أم هي معتبرة في حال الالتفات والذكر؟ ثمّ الذي يعتبر فيها هل يعتبر من جانب الوجود أم من جانب العدم</w:t>
      </w:r>
      <w:r>
        <w:rPr>
          <w:rStyle w:val="FootnoteAnchor"/>
          <w:rtl w:val="true"/>
        </w:rPr>
        <w:footnoteReference w:id="5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ما ذكر لا يجري في جميع أحكام الشكّ والسهو، بل يختصّ بالشكّ والسهو في الأجزاء والشرائط التي لم يلتفت لها وذلك بمقتضى قاعدة التجاوز أو الفراغ، وأمّا ما عُيِّن له حكم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تداركاً لما فات من المكلّف، أو بدلًا للفائت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يندرج في البحث عن الأجزاء والشرائط ونحوهما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أحكام الشكّ والسهو واردة في مقام الإرشاد إلى أسهل طريق للامتثال في ظرفي الشكّ والسهو فلا يجب على المكلّف تعلّمهما؛ لإمكان استئناف العمل من جديد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عرفت أنّ سيّدنا الماتن قدس سره يفتي بحرمة قطع الصلاة</w:t>
      </w:r>
      <w:r>
        <w:rPr>
          <w:rStyle w:val="FootnoteAnchor"/>
          <w:rtl w:val="true"/>
        </w:rPr>
        <w:footnoteReference w:id="520"/>
      </w:r>
      <w:r>
        <w:rPr>
          <w:rFonts w:ascii="Amiri" w:hAnsi="Amiri" w:eastAsia="Amiri" w:cs="Amiri"/>
          <w:color w:val="111111"/>
          <w:sz w:val="28"/>
          <w:sz w:val="28"/>
          <w:szCs w:val="28"/>
          <w:rtl w:val="true"/>
          <w:lang w:bidi="ar-SA"/>
        </w:rPr>
        <w:t>وإبطالها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لَاتُبْطِلُوا أعْمَالَكُمْ</w:t>
      </w:r>
      <w:r>
        <w:rPr>
          <w:rStyle w:val="FootnoteAnchor"/>
          <w:rtl w:val="true"/>
        </w:rPr>
        <w:footnoteReference w:id="521"/>
      </w:r>
      <w:r>
        <w:rPr>
          <w:rFonts w:ascii="Amiri" w:hAnsi="Amiri" w:eastAsia="Amiri" w:cs="Amiri"/>
          <w:color w:val="111111"/>
          <w:sz w:val="28"/>
          <w:sz w:val="28"/>
          <w:szCs w:val="28"/>
          <w:rtl w:val="true"/>
          <w:lang w:bidi="ar-SA"/>
        </w:rPr>
        <w:t>كما أ نّ الظاهر من أدلّة أحكام</w:t>
      </w:r>
    </w:p>
    <w:p>
      <w:pPr>
        <w:pStyle w:val="BookText"/>
        <w:rPr/>
      </w:pPr>
      <w:r>
        <w:rPr>
          <w:rFonts w:ascii="Amiri" w:hAnsi="Amiri" w:eastAsia="Amiri" w:cs="Amiri"/>
          <w:color w:val="111111"/>
          <w:sz w:val="28"/>
          <w:sz w:val="28"/>
          <w:szCs w:val="28"/>
          <w:rtl w:val="true"/>
          <w:lang w:bidi="ar-SA"/>
        </w:rPr>
        <w:t>الشكّ والسهو أيضاً هو ذلك، فراجع وتأمّل، وحينئذٍ فلا يبقى مجال للمكلّف إلّاأن يتعلّم أحكام الشكّ والسهو لأنّها ليست إرشادية 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خلال ما ذكرنا وجه الاستثناء من الحكم بوجوب تعلّم أحكام الشكّ والسهو والذي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اطمأنّ من نفسه بعدم الابتلاء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المناط في هذا الحكم هو إدراك العقل وإرشاد أخبار وجوب التعلّم إليه، فالوجوب يكون بمناط أنّ العقل يرى أنّ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الملتفت إلى التكاليف المنجّزة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أخلّ بشي‌ء من واجباته ولو بترك بعض مقدّمات عمله فهو مستحقّ للعقاب، ومن المعلوم أنّ هذا الحكم العقلي لا يجري فيما إذا اطمأنّ المكلّف بأ نّه لا يبتلي بالشكّ أو السهو؛ إمّا لقوّة ذاكرته وحافظته، أو لاستعانته بجهاز خاصّ يحفظ له صورة عمله ويجعله لا يشكّ ولا يسهو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حينئذٍ موضوع لحكم العقل، فلا يجري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صحّة عمل المكلّف تدور مدار موافقته للواقع أو لفتوى من يقلّده فيما إذا حصل منه قصد القربة في العبادات، فالتعلّم يكون طريقاً إلى الصحّة فقط، وتركه يوجب استحقاق العقاب على مخالفة الواقع</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بالعبادة الواجبة المنجّزة على المكلّف يمكن أن يكون على نحو الامتثال التفصيلي؛ أي‌مع العلم بواقع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 أو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أجزائه وشرائطه وما يعتبر في صحّته، ويمكن أن يكون على نحو الامتثال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جميع ما يحتمل جزئيّته أو شرطيته للواجب من دون العلم التفصيلي بهما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الامتثال الإجمالي ولو مع التمكّن من الامتثال التفصيلي، أو استلزامه</w:t>
      </w:r>
    </w:p>
    <w:p>
      <w:pPr>
        <w:pStyle w:val="BookText"/>
        <w:rPr/>
      </w:pPr>
      <w:r>
        <w:rPr>
          <w:rFonts w:ascii="Amiri" w:hAnsi="Amiri" w:eastAsia="Amiri" w:cs="Amiri"/>
          <w:color w:val="111111"/>
          <w:sz w:val="28"/>
          <w:sz w:val="28"/>
          <w:szCs w:val="28"/>
          <w:rtl w:val="true"/>
          <w:lang w:bidi="ar-SA"/>
        </w:rPr>
        <w:t>لتكرار العمل</w:t>
      </w:r>
      <w:r>
        <w:rPr>
          <w:rStyle w:val="FootnoteAnchor"/>
          <w:rtl w:val="true"/>
        </w:rPr>
        <w:footnoteReference w:id="523"/>
      </w:r>
      <w:r>
        <w:rPr>
          <w:rFonts w:ascii="Amiri" w:hAnsi="Amiri" w:eastAsia="Amiri" w:cs="Amiri"/>
          <w:color w:val="111111"/>
          <w:sz w:val="28"/>
          <w:sz w:val="28"/>
          <w:szCs w:val="28"/>
          <w:rtl w:val="true"/>
          <w:lang w:bidi="ar-SA"/>
        </w:rPr>
        <w:t>، بشرط التعرّف على كيفية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والتعلّم يكون واجباً مقدّمياً للامتثال التفصيلي دون الإجمالي؛ لأنّ المكلّف إذا أمكنه الإتيان بأعماله مضافاً إلى اللَّه تعالى على نحو يقطع بحصول الامتثال ولو من دون تعلّم الأحكام، فقد أخرج نفسه عن عهدة ما وجب عليه، وهذا هو الذي استدركه الماتن قدس سره على الحكم بوجوب تعلّم الأجزاء والشرائط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علم إجمالًا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يتمكّن من الامتثال الإجمالي أو أراد الامتثال التفصيلي، فلا يحصل الفراغ عن الواجب إلّاعن طريق التعرّف على ما يعتبر في تحقّقه؛ فإن كان الواجب موسّعاً بحيث يمكن تعلّم أحكامه من الأجزاء والشرائط ونحوهما فيجوز تعلّمها في أثناء وقت وجوبه قبل الإتيان بالواجب، وأمّا إن كان الواجب مضيّقاً أو كان لا يمكن التعلّم في وقت الواجب الموسّع، فيلزم على المكلّف تعلّم الأحكام قبل مجي‌ء وقت الواجب أو قبل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فقد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كيف يجب تعلّم أحكام ما لم يصر وجوبه فعلياً لعدم تحقّق شرطه أو مجي‌ء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التعلّم في هذه الموارد يكون مستحقّاً للعقاب على مبنى المشهور من كون وجوب التعلّم مقدّمياً، وكذا على غيره من المباني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المشهور إلى أنّ الواجب المشروط يكون وجوب شرطه مقدّمياً، ولكن قد حقّق في مبحث مقدّمة الواجب أنّ القول بترشّح وجوب المقدّمة عن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لايعقل وجوبها قبل وجوبه؛ للزوم كون المعلول قبل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بل لوجوب المقدّمة كوجوب ذيها مبادٍ ومقدّمات خاصّة بها،</w:t>
      </w:r>
    </w:p>
    <w:p>
      <w:pPr>
        <w:pStyle w:val="BookText"/>
        <w:rPr/>
      </w:pPr>
      <w:r>
        <w:rPr>
          <w:rFonts w:ascii="Amiri" w:hAnsi="Amiri" w:eastAsia="Amiri" w:cs="Amiri"/>
          <w:color w:val="111111"/>
          <w:sz w:val="28"/>
          <w:sz w:val="28"/>
          <w:szCs w:val="28"/>
          <w:rtl w:val="true"/>
          <w:lang w:bidi="ar-SA"/>
        </w:rPr>
        <w:t>إذا وجدت وجد الوجوب وإلّا فلا، سواء وجب ذو المقدّمة فعلًا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فحتّى لو قلنا بوجوب المقدّمة وسلّمنا بالتلازم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المولى إذا تصوّر توقّف الواجب المشروط الذي سيتحقّق شرطه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يوجب تركه سلب قدرة العبد عن الامتثال في ظرف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تعلّق إرادته بإيجاده بمناط المقدّمية؛ لوجود مبادئ إرادتها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مبنى معلولية وجوب المقدّمة عن وجوب ذيها، فتبعية وجوب المقدّمة لوجوب ذيها كالنار على المنار، لكنّ التأمّل في إرادة ذي المقدّمة ومبادئها وإرادة المقدّمة ومبادئها يرفع الريب عن عدم وجاهة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لفوات الواجب في محلّه بلا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لاستحقاق العقاب على ما بنى عليه المشهور من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نقل بوجوب المقدّمة أو كون وجوبها بمناطها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أيضاً في استحقاقه العقوبة؛ لحكم العقل والعقلاء بأنّ تفويت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سيتحقّق شرطه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عذر موجبٌ للاستحقاق، فلا عذر لمن يعلم أنّ شرط الواجب يحصل غداً أن يتساهل في مقدّماته الوجودية المفوّتة ولو صرّح المولى بأنّ الواجب المشروط قبل شرطه ليس بواجب أصلًا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التعرّف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أو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بأجزائه وشرائطه وموانعه من المقدّمات العلمية للواجب، وليس من المقدّمات الوجودية له، إذ تجب السنخية بين الشي‌ء ومقدّماته الوجودية، ولا سنخية بين العلم ووجود الشي‌ء</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السنخية بين المقدّمة وذيها قائم على أساس كون مقدّمة وجود الشي‌ء داخلة في علل وجوده؛ أي‌على مبنى معلولية وجوب المقدّمة عن وجوب ذيها، وقد عرفت عدم صحّة المبنى كما حقّق في محلّه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الحقّ أنّ وجوب التعلّم يكون من المقدّمات الوجودية المفوّتة؛ باعتبار أنّ العقل والعقلاء يحكمون بأ نّه لا يجوز تفويت الواجب المشروط إذا تحقّق شرطه في ظرفه، فلا يعدّ التعلّم من المقدّمات العلمية</w:t>
      </w:r>
      <w:r>
        <w:rPr>
          <w:rFonts w:eastAsia="Amiri" w:cs="Amiri" w:ascii="Amiri" w:hAnsi="Amiri"/>
          <w:color w:val="111111"/>
          <w:sz w:val="28"/>
          <w:szCs w:val="28"/>
          <w:rtl w:val="true"/>
          <w:lang w:bidi="ar-SA"/>
        </w:rPr>
        <w:t>.</w:t>
      </w:r>
      <w:bookmarkStart w:id="254" w:name="pg1790_14882"/>
    </w:p>
    <w:p>
      <w:pPr>
        <w:pStyle w:val="Heading3"/>
        <w:numPr>
          <w:ilvl w:val="2"/>
          <w:numId w:val="1"/>
        </w:numPr>
        <w:rPr/>
      </w:pPr>
      <w:bookmarkStart w:id="255" w:name="__RefHeading___Toc2371710_3650668749"/>
      <w:bookmarkStart w:id="256" w:name="_Toc93"/>
      <w:bookmarkEnd w:id="254"/>
      <w:bookmarkEnd w:id="255"/>
      <w:r>
        <w:rPr>
          <w:rtl w:val="true"/>
        </w:rPr>
        <w:t>العمل بلا تقليد</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كان في عباداته بلا تقليد مدّة من الزمان ولم يعلم مقداره، فإن علم بكيفيتها وموافقتها لفتوى المجتهد الذي رجع إليه، أو كان له الرجوع إليه فهو، وإلّا يقضي الأعمال السابقة بمقدار العلم بالاشتغال، وإن كان الأحوط أن يقضيها بمقدار يعلم معه 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بلا تقليد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مستند المسألة العشرين تفصيل الكلام بالنسبة إلى العمل الصادر لا عن تقليد وأ نّه غير صحيح إلّاإذا أتى به وتمشّى منه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وانطبق على الواقع أو على فتوى من يجوز أو يجب عليه الرجوع إليه في ذاك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العمل ممّا يكون قضاؤه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في المستثنى منه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قضاؤه إن لم تتّفق له إعادة العمل في الوقت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المكلّف ببطلان عمل صدر منه بلا تقليد وكان العمل واجب القضاء فيجب عليه القضاء؛ لأنّ إتيان العمل باطلًا كعدم إتيانه بالنسبة إلى جريان أدلّة القضاء، وتفصيل الكلام في هذه الأدلّة موكول إلى محلّه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يشير الماتن قدس سره في هذه المسألة إلى غرضين أحدهما فرعي والآخر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الغرض الفرعي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التنبيه على أنّ العمل بلا تقليد إذا كان باطلًا يكون من صغريات أدلّة القضاء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الغرض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محور الكلام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بيان حال العمل الباطل الصادر بلا تقليد من حيث العلم بمقداره والجهل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أيضاً من صغريات باب قضاء الفوائت من حيث العلم بالمقدار وجهله، إلّاأنّ الباعث لذكره في باب الاجتهاد والتقليد هو بيان صغروية مسألة العمل الباطل الصادر بلا تقليد من حيث المقدار أيضاً للأقوال والأدلّة في باب قضاء الفوائت وشمولهما لها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فأصل مسألة مقدار الواجب من القضاء إذا لم يعلم مقدار الفائت موضوع لكلامهم قديماً وحديثاً، قال السيّد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يحص ما فاته كثرةً من الصلاة، فليصلّ اثنتين وثلاثاً وأربعاً، ويدمن ذلك حتّى يغلب على ظنّه أ نّه قد قضى الفائت</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ذكر في كلام جمع كثير من الفقهاء</w:t>
      </w:r>
      <w:r>
        <w:rPr>
          <w:rStyle w:val="FootnoteAnchor"/>
          <w:rtl w:val="true"/>
        </w:rPr>
        <w:footnoteReference w:id="527"/>
      </w:r>
      <w:r>
        <w:rPr>
          <w:rFonts w:ascii="Amiri" w:hAnsi="Amiri" w:eastAsia="Amiri" w:cs="Amiri"/>
          <w:color w:val="111111"/>
          <w:sz w:val="28"/>
          <w:sz w:val="28"/>
          <w:szCs w:val="28"/>
          <w:rtl w:val="true"/>
          <w:lang w:bidi="ar-SA"/>
        </w:rPr>
        <w:t>، بل نسب هذا المضمون إلى قريب من إجماعهم عليه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المسألة أقوال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وجوب القضاء حتّى يغلب على ظنّه الوفاء بمقدار الواجب، وربّما يقيّد بما إذا عسر تحصيل العلم بالفراغ، وقد يدّعى إرادة العلم من الظنّ في</w:t>
      </w:r>
    </w:p>
    <w:p>
      <w:pPr>
        <w:pStyle w:val="BookText"/>
        <w:rPr/>
      </w:pPr>
      <w:r>
        <w:rPr>
          <w:rFonts w:ascii="Amiri" w:hAnsi="Amiri" w:eastAsia="Amiri" w:cs="Amiri"/>
          <w:color w:val="111111"/>
          <w:sz w:val="28"/>
          <w:sz w:val="28"/>
          <w:szCs w:val="28"/>
          <w:rtl w:val="true"/>
          <w:lang w:bidi="ar-SA"/>
        </w:rPr>
        <w:t>كلماتهم، وليس ببعيد خصوصاً فيما إذا حصل بسهولة ومن دون حرج</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تارةً عبّر بالظنّ واخرى بالعلم في مسائل ثلاث كلّها من واد واحد، فلابدّ من ملاحظته والتأمّل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صرّح بعض من تأخّر بكفاية تحصيل الظنّ وإن تمكّن من تحصيل العلم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تحصيل العلم بالبراءة؛ بمعنى وجوب الإتيان بمقدار يحصّل له العلم بالبراءة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الماتن قدس سره وجمع من المعاصرين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الإتيان بمقدار العلم بالاشتغال، وإن لم يحصل له الظنّ أو العلم بإتيان مقدار الواجب عليه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الناشئ من إطلاق كلام كثير منهم في كفاية الظنّ بالفراغ</w:t>
      </w:r>
      <w:r>
        <w:rPr>
          <w:rStyle w:val="FootnoteAnchor"/>
          <w:rtl w:val="true"/>
        </w:rPr>
        <w:footnoteReference w:id="532"/>
      </w:r>
      <w:r>
        <w:rPr>
          <w:rFonts w:ascii="Amiri" w:hAnsi="Amiri" w:eastAsia="Amiri" w:cs="Amiri"/>
          <w:color w:val="111111"/>
          <w:sz w:val="28"/>
          <w:sz w:val="28"/>
          <w:szCs w:val="28"/>
          <w:rtl w:val="true"/>
          <w:lang w:bidi="ar-SA"/>
        </w:rPr>
        <w:t>، وقد تقدّم جملة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المخالف، وعدم وضوح مرادهم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اعتمادهم على بعض الأدلّة الاجتهادية الآتية، دون خبر معتمد أو أصل متلقّى عندهم يكشف به رضا المعصوم عليه السلام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بالمرسل المروي في كتب الأصحاب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متعبّد بظنّه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 الضعف سنداً ودلالةً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السند فبالإرسال، وأمّا الدلالة</w:t>
      </w:r>
    </w:p>
    <w:p>
      <w:pPr>
        <w:pStyle w:val="BookText"/>
        <w:rPr/>
      </w:pPr>
      <w:r>
        <w:rPr>
          <w:rFonts w:ascii="Amiri" w:hAnsi="Amiri" w:eastAsia="Amiri" w:cs="Amiri"/>
          <w:color w:val="111111"/>
          <w:sz w:val="28"/>
          <w:sz w:val="28"/>
          <w:szCs w:val="28"/>
          <w:rtl w:val="true"/>
          <w:lang w:bidi="ar-SA"/>
        </w:rPr>
        <w:t>فبعدم الظهور في المطلوب، إذ من المحتمل قويّاً أن يكون المراد هو مقام الانبعاث، وأنّ الأفراد مختلفون في كيفية عباداتهم من النيّة والأعمال؛ فكلّ يعمل في عباداته على حدّ اعتقاده ودرجة إيمانه باللَّه تعالى ورسالة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المتتبّع أنّ الأصحاب رحمهم الله أيضاً لم يستدلّوا بهذا الخبر في المقام، والظاهر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عنهم في غير المقام، وهذا أيضاً ممّا يوهن الاستدلال به في المقام، بل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أيضاً يظهر منه أنّه لم يعتمد؛ ولذا نقله بعنوان ما يتوهّم من الاستدلال على القول الأوّل</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وجّه به كلامهم بعض الأعاظم رحمه الله بعد استظهار عدم وجه موجّه له،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 المقام وإن كانت مورداً للبراءة في نفسها إلّاأنّهم التزموا فيها بالاشتغال نظراً إلى أنّ إجراء البراءة عن المقدار الزائد في تلك المقامات يستلزم كثيراً العلم بالوقوع في مخالفة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صرّحوا بذلك في جملة من الموارد؛ كما إذا شكّ في استطاعته، أو في بلوغ المال حدّ النصاب، أو شكّ في ربحه، أو في الزيادة على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قد ألحقوا المقام أيضاً بتلك الموارد نظراً إلى أنّ الرجوع فيه إلى البراءة عن الزائد يستتبع فوات القضاء عن جملة ممّن هو مكلّف به واقعاً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ذلك وإن كان هو القضاء بمقدار يتيقّن معه بالفراغ، إلّاأنّ إيجابه يستلزم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لم يوجبوا الاحتياط بمقدار يوجب اليقين بالفراغ، ولم يرخّصوا الاكتفاء بالاحتمال بالرجوع إلى البراءة عن الزائد؛ لاستلزامه تفويت الواجب عمّن هو مكلّف به واقعاً، واعتبروا الظنّ بالفراغ لأنّه أوسط الامور</w:t>
      </w:r>
    </w:p>
    <w:p>
      <w:pPr>
        <w:pStyle w:val="BookText"/>
        <w:rPr/>
      </w:pPr>
      <w:r>
        <w:rPr>
          <w:rFonts w:ascii="Amiri" w:hAnsi="Amiri" w:eastAsia="Amiri" w:cs="Amiri"/>
          <w:color w:val="111111"/>
          <w:sz w:val="28"/>
          <w:sz w:val="28"/>
          <w:szCs w:val="28"/>
          <w:rtl w:val="true"/>
          <w:lang w:bidi="ar-SA"/>
        </w:rPr>
        <w:t xml:space="preserve">وخير الامور أوسطها؛ فإنّ هذا هو الحال في كلّ مورد تعذّر فيه الامتثال اليقيني على المكلّف؛ فإنّ العقل يتنزّل وقتئذٍ إلى كفاية الامتثال الاطمئناني‌ثمّ الامتثال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يلتئم مدرك المشهور من ضمّ أمر بأمر؛ أعني قاعدة الاشتغال المنضمّة إلى قاعدة نفي الحرج</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رحمه الله هذا التوجيه أيضاً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بعض الجوانب منّا كي يندفع بعض ما يمكن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جريان قاعدة الاشتغال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إنتاج جريان قاعدة نفي الحرج لمطلوب المشهور لو سلّمنا جريان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بالوقوع في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جريان البراءة في تلك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الاستطاعة، وبلوغ المال حدّ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والباعث على جريان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للمكلّف،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 الفرض؛ لأنّ وجوب الإتيان بالقضاء بمقدار علمه بالفائت واضح عند الكلّ و مثار الاختلاف هو وجوب الإتيان بالزائد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المفتي بإجراء البراءة للمكلّفين ربّما يحصل له العلم بوقوع بعضهم أو كثير منهم في مخالفة الواقع بإجرائهم للبراءة، وهذا العلم لا أثر له شرعاً؛ لأنّ مجرى البراءة هو شكّ المجري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واقعة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الملاك في جريان القاعدة هو الحرج الشخصي على ما تقرّر في محلّه، فإذا حصل يمنع من جريان قاعدة الاشتغال سواء علم المكلّف بإتيان ما عليه أو ظنّ أو احتمل، كما أنّه يمكن أن يأتي بمقدار يحصّل له العلم بالبراءة من دون حرج عليه، فنسبة نتيجة جريان القاعدة إلى مطلوب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w:t>
      </w:r>
    </w:p>
    <w:p>
      <w:pPr>
        <w:pStyle w:val="BookText"/>
        <w:rPr/>
      </w:pPr>
      <w:r>
        <w:rPr>
          <w:rFonts w:ascii="Amiri" w:hAnsi="Amiri" w:eastAsia="Amiri" w:cs="Amiri"/>
          <w:color w:val="111111"/>
          <w:sz w:val="28"/>
          <w:sz w:val="28"/>
          <w:szCs w:val="28"/>
          <w:rtl w:val="true"/>
          <w:lang w:bidi="ar-SA"/>
        </w:rPr>
        <w:t>الإتيان بمقدار يظنّ معه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والخصوص من وجه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للقول الثاني بما نسب إلى المحقّق الأصفهاني رحمه الله صاحب الحاشية المشهورة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التكليف قد يكون مجرى للاشتغال؛ لرجوعه حقيقةً إلى الشكّ في السقوط، وهي الصورة التي لو كان التكليف بحسب الواقع ثابتاً لصار منجّزاً بواسطة حصول العلم به، كما في موارد الشبهة قبل الفحص، وكما في دوران الأمر بين المتباينين، وحال الفوائت من هذا القبيل؛ لأنّ المكلّف عند حضور وقت صلاته قد حصل له العلم بالتكليف المنجّز، فتنجّز عليه التكليف القضائي من جهة تركه الأداء، فإذا شكّ بعد ذلك في مقدار القضاء كان الشكّ في سقوط التكليف المنجّز</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 بإيرادات</w:t>
      </w:r>
      <w:r>
        <w:rPr>
          <w:rStyle w:val="FootnoteAnchor"/>
          <w:rtl w:val="true"/>
        </w:rPr>
        <w:footnoteReference w:id="538"/>
      </w:r>
      <w:r>
        <w:rPr>
          <w:rFonts w:ascii="Amiri" w:hAnsi="Amiri" w:eastAsia="Amiri" w:cs="Amiri"/>
          <w:color w:val="111111"/>
          <w:sz w:val="28"/>
          <w:sz w:val="28"/>
          <w:szCs w:val="28"/>
          <w:rtl w:val="true"/>
          <w:lang w:bidi="ar-SA"/>
        </w:rPr>
        <w:t xml:space="preserve">لعلّ أتقنها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أفاده لا يرجع إلى محصّل؛ لأنّ التنجيز يدور مدار المنجّز حدوثاً وبقاءً، فيحدث بحدوثه كما أنّه يرتفع بارتفاعه، ومن هنا قلنا بجريان الاصول في موارد قاعدة اليقين؛ لزوال اليقين بالشكّ الساري لا محالة، ومع زواله يرتفع التنجّز؛ إذ لا معنى للتنجّز من غير منجّز، فلا يكون مانع من جريان الاصول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بنجاسة شي‌ء ثمّ شكّ في مطابقة علمه ومخالفته للواقع، جرت فيه قاعدة الطهارة، ولا يعامل معه معاملة النجاسة بوجه؛ إذ لا منجّز لها بقاءً</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المقام أيضاً التنجّز حاصل بمقدار مستنده؛ وهو العلم أو ما يقوم مقامه، فالمقدار الزائد عن المعلوم فوته لا يكون له منجّز في أصل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يقال بتبعية وجوب القضاء للأمر بالأداء، وهذا ما سيتّضح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 بأنّ المقدار الزائد عن المقدار المعلوم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 أو الإتيان فاسداً ولو لعدم التقليد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للبراءة؛ لأنّه من الشكّ في التكليف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وتمامية هذا الاستدلال منوطة بثبوت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القضاء بأمر جديد، وليس من توابع داعوية الأمر بالأداء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الفوت في الوقت لأدلّة القضاء، وعدم إمكان إثبات هذا الموضوع بإجراء استصحاب عدم الإتيان فيه؛ لأنّه مثبت وهوليس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المطلب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للأمر الأوّل فإنّا لو قلنا بأنّ وجوب القضاء من توابع الأمر بالأداء، فبما أنّ التكليف بالأداء قد ثبت قطعاً، وشكّ المكلّف في أنّ المقدار الذي أتى به هل يكفي في سقوطه أم لا، فشكّه يرجع إلى الشكّ في سقوط التكليف الثابت يقيناً، والشغل اليقيني يقتضي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 القضاء يكون بأمر جديد، والأمر بالأداء قيّد متعلّقه بالوقت المحدّد في دليله، وإذا خرج الوقت فقد سقط التكليف ولو لعصيان المكلّف، فعليه يكون الشكّ في المقام من قبيل الشكّ في التكليف الزائد؛ لأنّ التكليف بالقضاء حينئذٍ لا يثبت إلّابإحراز الفوت في الوقت، والفرض أنّ المكلّف شاكّ في إتيان المقدار الزائد عمّا تيقّن بفوته ولو بالإتيان فاسداً لأجل عدم التقليد الصحيح، فبشكّه هذا يشكّ في الفوت الزائد، وبالتالي في التكليف الزائد، والشكّ في التكليف مجرى للبراءة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في محلّه، وعليه الماتن قدس سره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كون القضاء بأمر جديد وليس هو من توابع الأمر بالأداء</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الأمر الأوّل من الأمرين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شككنا في كيفية دليل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نّه هل يكون مطابقاً للقول الأوّل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أيضاً تتّحد مع القول الثاني؛ لأنّه عدم الإيمان بالقول الأوّل كافٍ في كون الشكّ من الشكّ في التكليف الزائد خارج الوقت</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للأمر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وإن كان من قبيل الشكّ في التكليف ابتداءً، إلّاأنّه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بمدد الاستصحاب يرتفع الشكّ في التكليف ويحرز الفوت في الوقت، وبهذا يتمّ موضوع أدلّة القضاء ولو كان بأمر جديد؛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المكلّف في المقدار الزائد من الفائت لأجل شكّه في الإتيان بالعمل صحيحاً في الوقت، واستصحاب عدم الإتيان محكّم، فيحرز أنّه لم يأت بالعمل صحيحاً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أدلّة القضاء نفس عدم الإتيان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الأمر العدمي السلبي الذي يكون مفاد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أدلّة القضاء لإحراز موضوعها بمعونة الاستصحاب، وحينئذٍ لا تصل النوبة إلى جريان أدلّة البراءة؛ لأنّ التكليف ثبت بالدليل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أدلّة القضاء ليس هو ذاك الأمر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عبارة عن أمر وجودي، أو عدمي آخر كالفوت مثلًا</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 الاستصحاب لا يثبت موضوع أدلّة القضاء إلّاإذا قلنا بحجّية الأصل المثبت مطلقاً، أو فيما إذا كانت الواسطة بين المستصحب وما نحن بصدد إثباته خفيّةً، وقلنا فيما نحن فيه بأنّ</w:t>
      </w:r>
    </w:p>
    <w:p>
      <w:pPr>
        <w:pStyle w:val="BookText"/>
        <w:rPr/>
      </w:pPr>
      <w:r>
        <w:rPr>
          <w:rFonts w:ascii="Amiri" w:hAnsi="Amiri" w:eastAsia="Amiri" w:cs="Amiri"/>
          <w:color w:val="111111"/>
          <w:sz w:val="28"/>
          <w:sz w:val="28"/>
          <w:szCs w:val="28"/>
          <w:rtl w:val="true"/>
          <w:lang w:bidi="ar-SA"/>
        </w:rPr>
        <w:t>الواسطة بينهما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والماتن قدس سره قائل بأنّ موضوع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الروايات الواردة في الناسي</w:t>
      </w:r>
      <w:r>
        <w:rPr>
          <w:rStyle w:val="FootnoteAnchor"/>
          <w:rtl w:val="true"/>
        </w:rPr>
        <w:footnoteReference w:id="543"/>
      </w:r>
      <w:r>
        <w:rPr>
          <w:rFonts w:ascii="Amiri" w:hAnsi="Amiri" w:eastAsia="Amiri" w:cs="Amiri"/>
          <w:color w:val="111111"/>
          <w:sz w:val="28"/>
          <w:sz w:val="28"/>
          <w:szCs w:val="28"/>
          <w:rtl w:val="true"/>
          <w:lang w:bidi="ar-SA"/>
        </w:rPr>
        <w:t>، بعد 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الإتيان بالصلاة إلى ذهاب وقتها، فاستصحاب عدم الإتيان بها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للموضوع، ويترتّب عليه القضاء</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فكيف أفتى هنا وفي كتاب الصلاة بعدم وجوب الإتيان بالزائد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لأجل أنّه اعتمد على دليلين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 فإنّه لا إشكال في جريانها في الشكّ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القضاء بأمر جديد، بل صدق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على مضيّ الوقت أولى وأنسب</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الحيلولة الحاكمة بوجوب الإتيان بما يشكّ في إتيانه في الوقت وعدم وجوبه خارجه</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القاعدتين مقرّر في محلّهما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قضاء الأعمال السابقة بمقدار العلم بالاشتغال، وأمّا الزائد عن المقدار المعلوم فهو مجرى للبراءة أو لقاعدتي التجاوز والحيلولة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أنّه يحتمل ثبوت مقدار زائد في ذمّته زائداً فحسن الاحتياط عقلًا أو شرعاً يقتضي أن يقضي بمقدار يعلم معه بالبراءة</w:t>
      </w:r>
      <w:r>
        <w:rPr>
          <w:rFonts w:eastAsia="Amiri" w:cs="Amiri" w:ascii="Amiri" w:hAnsi="Amiri"/>
          <w:color w:val="111111"/>
          <w:sz w:val="28"/>
          <w:szCs w:val="28"/>
          <w:rtl w:val="true"/>
          <w:lang w:bidi="ar-SA"/>
        </w:rPr>
        <w:t>.</w:t>
      </w:r>
      <w:bookmarkStart w:id="257" w:name="pg1790_14891"/>
    </w:p>
    <w:p>
      <w:pPr>
        <w:pStyle w:val="Heading3"/>
        <w:numPr>
          <w:ilvl w:val="2"/>
          <w:numId w:val="1"/>
        </w:numPr>
        <w:rPr/>
      </w:pPr>
      <w:bookmarkStart w:id="258" w:name="__RefHeading___Toc2371712_3650668749"/>
      <w:bookmarkStart w:id="259" w:name="_Toc94"/>
      <w:bookmarkEnd w:id="257"/>
      <w:bookmarkEnd w:id="258"/>
      <w:r>
        <w:rPr>
          <w:rtl w:val="true"/>
        </w:rPr>
        <w:t>الشكّ في صحّة التقليد</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أعماله السابقة مع التقليد، ولا يعلم أ نّها كانت عن تقليد صحيح أم فاسد، يبني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في صحّة التقليد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الماتن في هذه المسألة أنّ المكلّف قد أتى بأعماله تقليداً، إلّاأنّه شكّ في أنّها هل وقعت عن تقليد صحيح حتّى تصحّ أعماله أم فاسد حتّى لا تصحّ؟</w:t>
      </w:r>
    </w:p>
    <w:p>
      <w:pPr>
        <w:pStyle w:val="BookText"/>
        <w:rPr/>
      </w:pPr>
      <w:r>
        <w:rPr>
          <w:rFonts w:ascii="Amiri" w:hAnsi="Amiri" w:eastAsia="Amiri" w:cs="Amiri"/>
          <w:color w:val="111111"/>
          <w:sz w:val="28"/>
          <w:sz w:val="28"/>
          <w:szCs w:val="28"/>
          <w:rtl w:val="true"/>
          <w:lang w:bidi="ar-SA"/>
        </w:rPr>
        <w:t>فحكم بأنّ عليه أن يبني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البناء على صحّة التقليد وصحّة الأعمال معاً؛ حيث إنّ البناء على صحّة التقليد ينفي الشكّ عن صحّة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صحّة التقليد وفساده ناشئ عن الشكّ في استجماع المجتهد الذي اختاره مقلّداً للشرائط المعتبرة، وقد تعرّض لحكم الشكّ كذلك في 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صحّته هاهنا يكون من ناحية الشكّ في الأعمال التي وقعت عن تقليد شُكّ في صحّته وفساده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حكم المصنّف بالصحّة، وذلك استناداً إلى أصالة الصحّة في تقليده الذي يكون عنواناً لأعماله، حسب مبنى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تجري في كلّ مورد ثبت وقوع العمل ووجوده وشكّ في أنّه وجد صحيحاً أو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جريانها في الأعمال السابقة المأتيّ بها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إجراؤها في نفس التقليد،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لا يترتّب على التقليد السابق أثر إلّا مشروعية العدول وعدمها، ومشروعية البقاء على تقليده وعدمها، وما نحن فيه ليس واحداً منهما، ومع عدم الأثر فإجراء أصالة الصحّة ممّا لا مجال له؛ لأنّ إجراء الاصول كلّها مشروط بترتّب الأثر الشرعي عليها، والتقليد السابق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تجري في المقام بالنسبة إلى الأعمال التي أتى بها تقليداً، فالشكّ في صحّة التقليد أوجب الشكّ في صحّة الأعمال، فالتقليد السابق يترتّب على صحّته وفساده الأثر الشرعي من صحّة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أنّ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عنواناً للعمل، فالشكّ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دائماً الشكّ في العمل المأتيّ به تقليداً أي متابعةً للمجتهد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فالتقليد بنفسه أيضاً يمكن أن يقع مورداً لأصالة الصحّة؛ ولذا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الماتن قدس سره في هذه المسألة البناء على الصحّة في التقليد وفي الأعمال معاً، ولا وجه للتشكيك في شمول البناء على الصحّة للأعمال والتقليد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التقليد هو الالتزام والأخذ فقط، ففي إجراء أصالة الصحّة وأمثالها فيه تأمّل واضح، ولكنّه قد عرفت خلافه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بحثين على حدة عن صحّة التقليد وفساده وعن صحّة الأعمال السابقة وفسادها ممّا لا وجه له؛ فإنّ هذه المسألة غير مسوقة لهذين البحثين على استقلالهما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مضت مدّة من بلوغه، وشكّ بعد ذلك في أنّ أعماله كانت عن تقليد صحيح أم لا، يجوز له البناء على الصحّة في أعماله السابقة، وفي اللاحقة يجب عليه التصحيح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 هذه المسألة عن شكّ المكلّف في أنّ ما عمله في أوائل بلوغه هل كان عن تقليد صحيح أو غير صحيح أو أنّه لم يقلّد أصلًا؟ فيحتمل عدم التقليد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تفترق هذه المسألة عن سابقتها إذ لم يكن المكلّف هناك يحتمل عدم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الجهة المشتركة مع المسألة السابقة يمكن إجراء أصالة الصحّة بالنسبة إلى الأعمال السابقة لتصحيحها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ناحية احتمال عدم التقليد من رأس غفلةً فقاعدة التجاوز تجري وتحكم بصحّة الأعمال السابقة؛ استناداً إلى الأخبار التي منها موثّقة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فأمضه كما هو</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والارتكاز العقلائي استقرّ على أنّ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المريد لفراغ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الإتيان بشي‌ء يأتي بما هو وظيفته في محلّه، وإن لم يصل إلى حدّ تطمئنّ النفس بأنّ</w:t>
      </w:r>
    </w:p>
    <w:p>
      <w:pPr>
        <w:pStyle w:val="BookText"/>
        <w:rPr/>
      </w:pPr>
      <w:r>
        <w:rPr>
          <w:rFonts w:ascii="Amiri" w:hAnsi="Amiri" w:eastAsia="Amiri" w:cs="Amiri"/>
          <w:color w:val="111111"/>
          <w:sz w:val="28"/>
          <w:sz w:val="28"/>
          <w:szCs w:val="28"/>
          <w:rtl w:val="true"/>
          <w:lang w:bidi="ar-SA"/>
        </w:rPr>
        <w:t>بناءهم على عدم الاعتناء بالشكّ</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الأصل والقاعدة يصحّحان الأعمال السابقة، ولا نظر لهما إلى الأعمال اللاحقة، فلابدّ من تصحيح تقليده فعلًا؛ أي‌يجب عليه الفحص عمّن يستجمع شرائط التقليد والعمل بفتاواه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ما ذكرناه يبتني على ما هو الغالب في تلك الموارد من عدم حفظ المكلّف في ذهنه، لصورة عمله الذي أتى به سابقاً وإلّا فلو علم بكيفية إتيانه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عدم التقليد رأساً أو مع التقليد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موافقاً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المقام فتوى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عمل هذا المقلّد مذكور في المسألة العشرين، فراجع</w:t>
      </w:r>
      <w:r>
        <w:rPr>
          <w:rFonts w:eastAsia="Amiri" w:cs="Amiri" w:ascii="Amiri" w:hAnsi="Amiri"/>
          <w:color w:val="111111"/>
          <w:sz w:val="28"/>
          <w:szCs w:val="28"/>
          <w:rtl w:val="true"/>
          <w:lang w:bidi="ar-SA"/>
        </w:rPr>
        <w:t>.</w:t>
      </w:r>
      <w:bookmarkStart w:id="260" w:name="pg1790_14895"/>
    </w:p>
    <w:p>
      <w:pPr>
        <w:pStyle w:val="Heading3"/>
        <w:numPr>
          <w:ilvl w:val="2"/>
          <w:numId w:val="1"/>
        </w:numPr>
        <w:rPr/>
      </w:pPr>
      <w:bookmarkStart w:id="261" w:name="__RefHeading___Toc2371714_3650668749"/>
      <w:bookmarkStart w:id="262" w:name="_Toc95"/>
      <w:bookmarkEnd w:id="260"/>
      <w:bookmarkEnd w:id="261"/>
      <w:r>
        <w:rPr>
          <w:rtl w:val="true"/>
        </w:rPr>
        <w:t>اشتراط العدالة في المفتي والقاضي‌</w:t>
      </w:r>
      <w:bookmarkEnd w:id="262"/>
    </w:p>
    <w:p>
      <w:pPr>
        <w:pStyle w:val="Heading4"/>
        <w:numPr>
          <w:ilvl w:val="3"/>
          <w:numId w:val="1"/>
        </w:numPr>
        <w:rPr/>
      </w:pPr>
      <w:bookmarkStart w:id="263" w:name="__RefHeading___Toc2371716_3650668749"/>
      <w:bookmarkStart w:id="264" w:name="_Toc96"/>
      <w:bookmarkEnd w:id="263"/>
      <w:r>
        <w:rPr>
          <w:rtl w:val="true"/>
        </w:rPr>
        <w:t>اشارة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المفتي والقاضي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العدالة في المفتي والقاضي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المسألة الثالثة اعتبار العدالة في المفتي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اعتبارها في القاضي فالعمدة في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الثابت من الامّة الإسلامية، كما صرّح به الشيخ الطوسي</w:t>
      </w:r>
      <w:r>
        <w:rPr>
          <w:rStyle w:val="FootnoteAnchor"/>
          <w:rtl w:val="true"/>
        </w:rPr>
        <w:footnoteReference w:id="550"/>
      </w:r>
      <w:r>
        <w:rPr>
          <w:rFonts w:ascii="Amiri" w:hAnsi="Amiri" w:eastAsia="Amiri" w:cs="Amiri"/>
          <w:color w:val="111111"/>
          <w:sz w:val="28"/>
          <w:sz w:val="28"/>
          <w:szCs w:val="28"/>
          <w:rtl w:val="true"/>
          <w:lang w:bidi="ar-SA"/>
        </w:rPr>
        <w:t>وأكثر أئمّة المذاهب الإسلامية الاخرى</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في ذلك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سليمان بن خالد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عبداللَّه إلى أصحابنا،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إذا وقعت بينكم خصومة، أو تدارى في شي‌ء من الأخذ والعطاء، أن تتحاكموا</w:t>
      </w:r>
    </w:p>
    <w:p>
      <w:pPr>
        <w:pStyle w:val="BookText"/>
        <w:rPr/>
      </w:pPr>
      <w:r>
        <w:rPr>
          <w:rFonts w:ascii="Amiri" w:hAnsi="Amiri" w:eastAsia="Amiri" w:cs="Amiri"/>
          <w:color w:val="111111"/>
          <w:sz w:val="28"/>
          <w:sz w:val="28"/>
          <w:szCs w:val="28"/>
          <w:rtl w:val="true"/>
          <w:lang w:bidi="ar-SA"/>
        </w:rPr>
        <w:t xml:space="preserve">إلى أحد من هؤلاء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الواردة في النهي عن الرجوع إلى حكّام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التحاكم إلى الفاسق يكون من مصاديق الركون إلى الظلمة، وهو منهيّ عنه في الشريعة المقدّسة بمقتضى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554"/>
      </w:r>
      <w:r>
        <w:rPr>
          <w:rFonts w:ascii="Amiri" w:hAnsi="Amiri" w:eastAsia="Amiri" w:cs="Amiri"/>
          <w:color w:val="111111"/>
          <w:sz w:val="28"/>
          <w:sz w:val="28"/>
          <w:szCs w:val="28"/>
          <w:rtl w:val="true"/>
          <w:lang w:bidi="ar-SA"/>
        </w:rPr>
        <w:t>، وكذا ما ورد من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حكم غير العادل مع وثاقته ليس ركوناً إلى الظالم، ألا ترى أنّ الفقهاء يأخذون بخبر غير العادل مع الوثاقة، ولا يُعدّ هذا ركوناً إلى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 والجدّ وليّان على أولادهما الصغار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 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الوثاقة المعتبرة في حجّية الأخبار هي الصدق في الإخبار؛ فإنّه المناط في حجّية الرواية، والعدالة المعتبرة في الأخبار أيضاً يراد بها العدالة في النقل والحكاية، لا مطلقاً؛ فإنّ فساد المذهب يخلّ بالعدالة التامّة الشرعية فلا يُعدّ الثقة في الإخبار عادلًا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الوثاقة بمعناها العامّ اللغوي فهي الاعتماد، ومن المعلوم أنّ المعتمد في الحكومة هو العادل لا الفاسق، فقياس المقام بمقام التحديث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اشتراط العدالة في ولاية الأب والجدّ على ولدهما فهو بمناط خاصّ، فلا يقاس بمقام الحكومة كما هو واضح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اعتبار العدالة في إمام الجماعة والشاهد يدلّ بالأولوية على اعتبارها في القاضي؛ لأهمّية القضاء بالنسبة إليهما، وهذا الوجه يتمّ فيما إذا كانت الأولوية</w:t>
      </w:r>
      <w:bookmarkStart w:id="265" w:name="pg1790_14897"/>
    </w:p>
    <w:p>
      <w:pPr>
        <w:pStyle w:val="BookText"/>
        <w:rPr/>
      </w:pPr>
      <w:bookmarkEnd w:id="265"/>
      <w:r>
        <w:rPr>
          <w:rFonts w:ascii="Amiri" w:hAnsi="Amiri" w:eastAsia="Amiri" w:cs="Amiri"/>
          <w:color w:val="111111"/>
          <w:sz w:val="28"/>
          <w:sz w:val="28"/>
          <w:szCs w:val="28"/>
          <w:rtl w:val="true"/>
          <w:lang w:bidi="ar-SA"/>
        </w:rPr>
        <w:t xml:space="preserve">وتثبت بشهادة عدلين، وبالمعاشرة المفيدة للعلم أو الاطمئنان، وبالشياع المفيد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قطعية، كما 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يبقى مجال للخلاف والإشكال في اعتبار العدالة في القاضي، وصرّح الماتن قدس سره بشرطيتها في القاضي في محلّه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في إثبات العدالة المعتبرة في المفتي والقاضي نفس الطريق الذي يعتبر في إثبات سائر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كالاجتهاد والأعلمية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عيّن الشارع الطريق إلى إحرازها، وأضاف الماتن قدس سره في المقام حسن الظاهر أيضاً، وحيث إنّه قد مرّ البحث عن تلك الطرق في المسائل السابقة فنوقع البحث هاهنا في الجهة التي ترتبط بمحلّ الكلام، وأمّا حسن الظاهر فيأتي بحثه مفصّلًا لاحقاً، فنقول</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371718_3650668749"/>
      <w:bookmarkStart w:id="267" w:name="_Toc97"/>
      <w:bookmarkEnd w:id="266"/>
      <w:r>
        <w:rPr>
          <w:rtl w:val="true"/>
        </w:rPr>
        <w:t>طرق إثبات العدالة</w:t>
      </w:r>
      <w:bookmarkEnd w:id="267"/>
    </w:p>
    <w:p>
      <w:pPr>
        <w:pStyle w:val="BookText"/>
        <w:rPr/>
      </w:pPr>
      <w:r>
        <w:rPr>
          <w:rFonts w:ascii="Amiri" w:hAnsi="Amiri" w:eastAsia="Amiri" w:cs="Amiri"/>
          <w:color w:val="111111"/>
          <w:sz w:val="28"/>
          <w:sz w:val="28"/>
          <w:szCs w:val="28"/>
          <w:rtl w:val="true"/>
          <w:lang w:bidi="ar-SA"/>
        </w:rPr>
        <w:t>الطرق التي اعتبرها الشارع في إحراز الموضوعات الخارجية كانت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المسألة التاسعة عشرة عموم حجّيتها وعدم اختصاصها بالقضاء وفصل الخصومة، والمراد بها هاهنا شهادة العدلين على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تصدق على الشهادة الفعلية بالعدالة أيضاً؛ كأن يقتدي العدلان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اقتداؤهما به شهادة فعلية على عدالته؟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الشيخ الأعظم الأنصاري</w:t>
      </w:r>
      <w:r>
        <w:rPr>
          <w:rStyle w:val="FootnoteAnchor"/>
          <w:rtl w:val="true"/>
        </w:rPr>
        <w:footnoteReference w:id="557"/>
      </w:r>
      <w:r>
        <w:rPr>
          <w:rFonts w:ascii="Amiri" w:hAnsi="Amiri" w:eastAsia="Amiri" w:cs="Amiri"/>
          <w:color w:val="111111"/>
          <w:sz w:val="28"/>
          <w:sz w:val="28"/>
          <w:szCs w:val="28"/>
          <w:rtl w:val="true"/>
          <w:lang w:bidi="ar-SA"/>
        </w:rPr>
        <w:t xml:space="preserve">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جزمه بثبوت</w:t>
      </w:r>
    </w:p>
    <w:p>
      <w:pPr>
        <w:pStyle w:val="BookText"/>
        <w:rPr/>
      </w:pPr>
      <w:r>
        <w:rPr>
          <w:rFonts w:ascii="Amiri" w:hAnsi="Amiri" w:eastAsia="Amiri" w:cs="Amiri"/>
          <w:color w:val="111111"/>
          <w:sz w:val="28"/>
          <w:sz w:val="28"/>
          <w:szCs w:val="28"/>
          <w:rtl w:val="true"/>
          <w:lang w:bidi="ar-SA"/>
        </w:rPr>
        <w:t>العدالة بالشهادة الفعلية، كالقولية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 على وجوب تصديق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لتصديق قوله وفعله؛ لأنّ الفعل كالقول منبئ ومخبر عمّا في ضمير الفاعل، فيتّصف بالصدق والكذب،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وَيُؤْمِنُ لِلْمُؤْمِنِينَ</w:t>
      </w:r>
      <w:r>
        <w:rPr>
          <w:rStyle w:val="FootnoteAnchor"/>
          <w:rtl w:val="true"/>
        </w:rPr>
        <w:footnoteReference w:id="559"/>
      </w:r>
      <w:r>
        <w:rPr>
          <w:rFonts w:ascii="Amiri" w:hAnsi="Amiri" w:eastAsia="Amiri" w:cs="Amiri"/>
          <w:color w:val="111111"/>
          <w:sz w:val="28"/>
          <w:sz w:val="28"/>
          <w:szCs w:val="28"/>
          <w:rtl w:val="true"/>
          <w:lang w:bidi="ar-SA"/>
        </w:rPr>
        <w:t>، وما دلّ على وجوب تصديق المؤمن</w:t>
      </w:r>
      <w:r>
        <w:rPr>
          <w:rStyle w:val="FootnoteAnchor"/>
          <w:rtl w:val="true"/>
        </w:rPr>
        <w:footnoteReference w:id="560"/>
      </w:r>
      <w:r>
        <w:rPr>
          <w:rFonts w:ascii="Amiri" w:hAnsi="Amiri" w:eastAsia="Amiri" w:cs="Amiri"/>
          <w:color w:val="111111"/>
          <w:sz w:val="28"/>
          <w:sz w:val="28"/>
          <w:szCs w:val="28"/>
          <w:rtl w:val="true"/>
          <w:lang w:bidi="ar-SA"/>
        </w:rPr>
        <w:t>، وإن انصرف كلّ ذلك إلى القول، إلّاأنّ إرادة تصديقه في مطلق ما يدلّك وينبئك عليه ويرشدك إليه واضح</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أيّد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الفقهاء بتعديلات أهل الرجال المكتوبة في كتبهم، مع أنّ هذه التعديلات تكون من باب الشهادة، ولم يتأمّل أحد فيه من أجل أنّ الخبر والنبأ لا يصدق على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يّده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بعملهم أيضاً بالأخبار المودعة في كتب الحديث من دون السماع عن المحدّث، ويستدلّون عليها بأدلّة حجّية الخبر والنبأ</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والنبأ يصدقان على الفعل أيضاً كالقول؛ فإنّ الخبر بمعناه اللغوي والعرفي يصدق على كلّ ما يحكي عن شي‌ء ويحتمل فيه الصدق والكذب، وهذا العنوان إذا اطلق وإن كان ظاهراً في مورد القول إلّاأنّه غير منحصر بجنس القول؛ إذ قد يحكي الفعل عمّا في الضمير كما تحكي الصلاة والصوم مثلًا عن إسلام المصلّي والصائم، أو عن طهارة المصلّي، ويحتمل في هذا الإخبار الصدق والكذب كما</w:t>
      </w:r>
    </w:p>
    <w:p>
      <w:pPr>
        <w:pStyle w:val="BookText"/>
        <w:rPr/>
      </w:pPr>
      <w:r>
        <w:rPr>
          <w:rFonts w:ascii="IRNazanin" w:hAnsi="IRNazanin" w:eastAsia="IRNazanin"/>
          <w:color w:val="111111"/>
          <w:sz w:val="28"/>
          <w:sz w:val="28"/>
          <w:szCs w:val="28"/>
          <w:rtl w:val="true"/>
          <w:lang w:bidi="fa-IR"/>
        </w:rPr>
        <w:t>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أبيت عن ذلك وعددت الخبر من مقولة القول، فالشهادة غير متقوّمة بصدق مفهوم الخبر عليها، بل يكفي صدق الإنباء العرفي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السيرة العقلائية قد استقرّت على العمل بالإخبار والشهادة الفعلية كالقولية، حيث نراهم يأخذون بالأقارير المكتوبة، والحال أنّ وجودها حصيلة لليد والكتابة وهي من مقولة الفعل، فتكون من الشهادة الفعلية دون 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الكتابة عبارة عن وجود كتبي للقول، فتتنزّل منزلة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السيرة غير منحصرة بذلك، بل تظهر من مصاديق اخر أيضاً؛ فإنّ التعبير بلسان الحال وأمثاله، مع اعتبار حكايته في كثير من الموارد، يشهد بثبوت السيرة، وذلك كشهادة الصلاة على الإسلام كما ذكرنا، وشهادة نقل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ينقل إلّا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وثاقة شيخه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الشيخ الأعظم كمحاولة للاستدلال على هذا القول،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اعترف بانصراف الأدلّة المذكورة في كلامه إلى تصديق القول، فلا يبقى لشمول التصديق للفعل أيضاً إلّادعوى تنقيح المناط ولكنّه غير قطعي، مضافاً إلى أ نّه خلاف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التصديق المذكور فيما سرده قدس سره من الأدلّة يختلف معناه عمّا يراد به هنا كما هو واضح؛ فإ نّ التصديق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إذا احتملنا كذبهم، فظاهر حال المسلم المؤمن يقتضي حمل فعله على الصحّة وتصديقه بما يقوله ظاهراً، لا واقعاً بحيث يؤخذ بإخباره وشهادته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مسلم آخر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يدلّ على حجّية الفعل كالقول؛ ولذا صرّح في آخر كلامه بأنّ الاعتماد على الفعل ما لم يفد الوثوق بالعدالة في غاية الإشكال؛ لفقد ما تطمئنّ</w:t>
      </w:r>
    </w:p>
    <w:p>
      <w:pPr>
        <w:pStyle w:val="BookText"/>
        <w:rPr/>
      </w:pPr>
      <w:r>
        <w:rPr>
          <w:rFonts w:ascii="Amiri" w:hAnsi="Amiri" w:eastAsia="Amiri" w:cs="Amiri"/>
          <w:color w:val="111111"/>
          <w:sz w:val="28"/>
          <w:sz w:val="28"/>
          <w:szCs w:val="28"/>
          <w:rtl w:val="true"/>
          <w:lang w:bidi="ar-SA"/>
        </w:rPr>
        <w:t>به النفس من الدليل عليه تعبّداً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التعديلات والأخبار المكتوبة يكون وجودها نحو وجود للخبر الرجالي أو الروائي، وقد دلّ الدليل على حجّية الخبر والحديث، لكنّها لا تقاس بالمقام؛ فإنّ اقتداء العدلين لا يكون وجوداً للقول حتّى بالعناية والمجاز، بل هو يدلّ على معنى خاصّ لا يصدق عليه عنوان الخبر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 مواقع اخرى للنظر ولكن فيما ذكرناه غنىً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عدلين تعتبر طريقاً لإحراز العدالة، سواء كانت الشهادة فعلية أو قولية بشرائطها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المعاشرة المفيدة للعلم أو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الطرق لإحراز العدالة هي المعاشرة للشخص؛ بحيث يحصل العلم القطعي بعدالته أو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يعدّه العرف علماً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أيضاً أنّ العلم القطعي حجّة عقلية يجب العمل عليه، وأنّ الاطمئنان حجّة عقلائية استقرّ ديدن العقلاء على تعاملهم معه معاملة العلم، ولا يعتنون باحتمال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اعتبرهما في إحراز جميع المقامات إلّاما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المفيد للعلم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مستند بعض المسائل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على اعتباره بنفسه دليل قطعي، إلّاأنّه يسبّب العلم بمتعلّقه، وحيث إنّه لا تختلف حجّية العلم من ناحية سبب حصوله فحجّية هذا الطريق تنشأ عن طريقيّته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تعرف بحسن الظاهر؛ ومواظبته على الشرعيات والطاعات وحضور الجماعات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حسن الظاهر كاشف تعبّدي ولو لم يحصل منه الظنّ أو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الرابع الذي اعتبره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سائر الطرق لإحراز الموضوعات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الظاهر، فالعدالة تمتاز عن سائر الموضوعات الخارجية بإمكان تشخيصها من طريق حسن الظاهر أيضاً؛ ولذا أتى الماتن قدس سره بهذا الطريق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ولتبيين حسن الظاهر لابدّ من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كاشفية حسن الظاهر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تستفاد الأمارية والكاشفية من الأخبار المتعاضدة والتي فيها الصحيح والضعيف، ولا بأس بالاعتماد على مجموعها لكثرتها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عبداللَّه بن أبي يعفور،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تعريف العدالة والعادل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على ذلك كلّه أن يكون ساتراً لجميع عيوبه؛ حتّى يحرم على المسلمين ما وراء ذلك من عثراته وعيوبه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بن عبدالرحمان عن بعض رجاله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البيّنة إذا اقيمت على الحقّ، أيحلّ للقاضي أن يقضي بقول البيّنة؟ فقال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يجب على الناس الأخذ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والمناكح، والذبائح، والشهادات، والأنساب؛ فإذا كان ظاهر الرجل ظاهراً مأموناً جازت شهادته، ولا يسأل عن باطنه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والماتن قدس سره لا يعتمد على مراسيل يونس بن عبدالرحمان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المغيرة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ولد على الفطرة، وعرف بالصلاح في نفسه، جازت شهادته</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والصلاح هو ما يعرف بحسن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لأجزنا شهادة الرجل إذا عُلم منه خير</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والعلم بالخير في الرجل هو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بشهادة الضيف إذا كان عفيفاً صائناً</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والعفّة والصون في الرواية هي ستر العيوب، وهو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حريز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أربعة من المسلمين ليس يُعرفون بشهادة الزور، اجيزت شهادتهم جميعاً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على الفطرة اجيزت شهادته على الطلاق بعد أن يُعرف منه خير</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والنصوص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جعل حسن الظاهر كاشفاً عن العدالة وأمارةً لها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هذه الأخبار تبيّن مصاديق لحسن الظاهر بما أنّها كاشف عن</w:t>
      </w:r>
    </w:p>
    <w:p>
      <w:pPr>
        <w:pStyle w:val="BookText"/>
        <w:rPr/>
      </w:pPr>
      <w:r>
        <w:rPr>
          <w:rFonts w:ascii="Amiri" w:hAnsi="Amiri" w:eastAsia="Amiri" w:cs="Amiri"/>
          <w:color w:val="111111"/>
          <w:sz w:val="28"/>
          <w:sz w:val="28"/>
          <w:szCs w:val="28"/>
          <w:rtl w:val="true"/>
          <w:lang w:bidi="ar-SA"/>
        </w:rPr>
        <w:t>العدالة، لا أنّ ما ورد في الأخبار من التعابير مفهومها حسن الظاهر؛ حتّى يكون معنى العدالة هو حسن الظاهر، وسيأتي في شرح المسألة الآتية أنّ حقيقة العدالة شي‌ء آخر غير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الأخبار المذكورة ذُكر في بعضها مصاديق لحسن الظاهر، فالتعابير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تفسّر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بعضاً آخر منها يذكر مصاديق أكثر خصوصيةً وضيقاً لحسن الظاهر، كالذي ورد في معتبرة ابن أبي يعفور 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التعاهد للصلوات الخمس، وستر العيوب جميعاً، وكذا مثل قول الرضا عليه السلام نقلًا عن آبائه عليهم السلام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عامل الناس فلم يظلمهم، وحدّثهم فلم يكذبهم، ووعدهم فلم يخلفهم، فهو ممّن كملت مروّته وظهرت عدالته </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وغيرهما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مجموع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مواظبة المكلّف على الشرعيات والطاعات وحضور الجماعات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الظاهر يكون أمراً إضافياً؛ فإنّ الظاهر لأهل بلد باطن بالنسبة إلى غيرهم، والظاهر لأهل محلّة باطن بالنسبة إلى باقي أهل البلد، وكذا الظاهر للجيران والزوجة باطن بالنسبة إلى غيرهما، فما هو المعيار لحسن الظاهر الكاشف عن العدالة؟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المُعاشر له، وكذا من أحرز عدالته بالحجّة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لفرائضه ومجتنباً عمّا يحرم عليه فيما هو ظاهر منه عندهما، هو معنى حسن ظاهره الذي عبّر عنه في لسان الأخبار بالتعبيرات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طريقاً إلى عدالته عند المعاشر أو عند من أحرز عدالته به، وهذا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حجّيته ما لم تقم حجّة على خلافه، فيمكن أن يكون المكلّف محرَز العدالة عند أهل بلده بما أنّه حسن الظاهر عندهم، وهو غير حسن الظاهر عند جيرانه لأنّهم اطّلعوا على ما لم يطّلع عليه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يجري في أكثر الطرق المعتبرة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لاعتبار المعاشرة في كاشفية حسن الظاهر عن العدالة، بل يكفي مجرّد كونه ساتراً لعيوبه متعاهداً للحضور في جماعات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ذكرناه في تحقيق حسن الظاهر، ولا يعتبر إحراز الباطن حتّى يحتاج إلى المعاشرة زائداً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حسن الظاهر كاشف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استظهر الماتن قدس سره من أخبار الباب أنّ حسن الظاهر قد جعل طريقاً لإحراز العدالة من دون اعتبار إفادته الظنّ أو العلم بالعدالة، وهذا ما يعبّر عنه بالكاشف التعبّدي، وفي قباله الحجج العقلائية التي أمضاها الشارع، وهي متقوّمة بإفادتها الظنّ أو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استظهاره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يقيّد في النصوص كاشفية حسن الظاهر بإفادته الظنّ أو العلم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استفادة ذلك ممّا ورد في مرسلة يونس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ظاهر الرجل ظاهراً مأموناً جازت شهادته</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بتقريب أنّ مأمونية الظاهر معناها إحراز مطابقة الظاهر للواقع ظنّاً أو علماً،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معناها</w:t>
      </w:r>
    </w:p>
    <w:p>
      <w:pPr>
        <w:pStyle w:val="BookText"/>
        <w:rPr/>
      </w:pPr>
      <w:r>
        <w:rPr>
          <w:rFonts w:ascii="Amiri" w:hAnsi="Amiri" w:eastAsia="Amiri" w:cs="Amiri"/>
          <w:color w:val="111111"/>
          <w:sz w:val="28"/>
          <w:sz w:val="28"/>
          <w:szCs w:val="28"/>
          <w:rtl w:val="true"/>
          <w:lang w:bidi="ar-SA"/>
        </w:rPr>
        <w:t>الأمن بالنسبة إلى ظاهر حاله، لا أنّ ظاهره أوجب المأمونية؛ أي‌العلم أو الظنّ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يدلّ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إلّاخلف من تثق بدينه</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على لزوم الوثوق بالعدالة المستكشفة حتّى لو كان الاستكشاف من طريق حسن الظاهر؛ إذ المراد بالرواية هو أنّه لا يجوز الائتمام في الصلاة إلّابمن تثق بدينه أي‌من يكون إماميّاً اثنا عشريّاً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تصحّ دعوى تقييد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اعتبار حسن الظاهر طريقاً إلى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بهذين الخبرين، واعتبار الوثوق أو العلم أو الظنّ بالعدالة بسبب حسن الظاهر كما لا يخفى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جعل حسن الظاهر طريقاً إلى التعرّف على العدالة مصداقاً، وكذا مفهوماً؛ أي‌في مقام تبيين مفهوم العدالة جعل حسن الظاهر طريقاً للوصول إلى مفهومها، وهذا يختلف عن جعل حسن الظاهر هو نفس العدالة كما هو واضح</w:t>
      </w:r>
      <w:r>
        <w:rPr>
          <w:rFonts w:eastAsia="Amiri" w:cs="Amiri" w:ascii="Amiri" w:hAnsi="Amiri"/>
          <w:color w:val="111111"/>
          <w:sz w:val="28"/>
          <w:szCs w:val="28"/>
          <w:rtl w:val="true"/>
          <w:lang w:bidi="ar-SA"/>
        </w:rPr>
        <w:t>.</w:t>
      </w:r>
      <w:bookmarkStart w:id="268" w:name="pg1790_14906"/>
    </w:p>
    <w:p>
      <w:pPr>
        <w:pStyle w:val="Heading3"/>
        <w:numPr>
          <w:ilvl w:val="2"/>
          <w:numId w:val="1"/>
        </w:numPr>
        <w:rPr/>
      </w:pPr>
      <w:bookmarkStart w:id="269" w:name="__RefHeading___Toc2371720_3650668749"/>
      <w:bookmarkStart w:id="270" w:name="_Toc98"/>
      <w:bookmarkEnd w:id="268"/>
      <w:bookmarkEnd w:id="269"/>
      <w:r>
        <w:rPr>
          <w:rtl w:val="true"/>
        </w:rPr>
        <w:t>مفهوم العدالة</w:t>
      </w:r>
      <w:bookmarkEnd w:id="270"/>
    </w:p>
    <w:p>
      <w:pPr>
        <w:pStyle w:val="Heading4"/>
        <w:numPr>
          <w:ilvl w:val="3"/>
          <w:numId w:val="1"/>
        </w:numPr>
        <w:rPr/>
      </w:pPr>
      <w:bookmarkStart w:id="271" w:name="__RefHeading___Toc2371722_3650668749"/>
      <w:bookmarkStart w:id="272" w:name="_Toc99"/>
      <w:bookmarkEnd w:id="271"/>
      <w:r>
        <w:rPr>
          <w:rtl w:val="true"/>
        </w:rPr>
        <w:t>اشارة</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عبارة عن ملكة راسخة باعثة على ملازمة التقوى؛ من ترك المحرّمات وفعل الواجبات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العدالة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المسألة السابقة أنّ العدالة معتبرة في المفتي والقاضي شرطاً، وفي هذه المسألة يبيّن الماتن قدس سره مراده من العدالة، وتوضيح المرام في المقام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العدالة في اللغة ما قام في النفوس أنّه مستقيم، وضدّه الجور</w:t>
      </w:r>
      <w:r>
        <w:rPr>
          <w:rStyle w:val="FootnoteAnchor"/>
          <w:rtl w:val="true"/>
        </w:rPr>
        <w:footnoteReference w:id="575"/>
      </w:r>
      <w:r>
        <w:rPr>
          <w:rFonts w:ascii="IRNazanin" w:hAnsi="IRNazanin" w:eastAsia="IRNazanin"/>
          <w:color w:val="111111"/>
          <w:sz w:val="28"/>
          <w:sz w:val="28"/>
          <w:szCs w:val="28"/>
          <w:rtl w:val="true"/>
          <w:lang w:bidi="fa-IR"/>
        </w:rPr>
        <w:t xml:space="preserve">، وفسّر لغتها فقهاؤنا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 والاستقامة معاً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لسان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ثبوت الحقيقة الشرعية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الشيخ الأعظم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أقوال في حقيقتها،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العدالة كيفية نفسانية باعثة على ملازمة التقوى؛ أي‌إتيان الواجبات وترك المحرّمات، وقد زاد بعضهم على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مشهور بين العلّامة الحلي</w:t>
      </w:r>
      <w:r>
        <w:rPr>
          <w:rStyle w:val="FootnoteAnchor"/>
          <w:rtl w:val="true"/>
        </w:rPr>
        <w:footnoteReference w:id="579"/>
      </w:r>
      <w:r>
        <w:rPr>
          <w:rFonts w:ascii="Amiri" w:hAnsi="Amiri" w:eastAsia="Amiri" w:cs="Amiri"/>
          <w:color w:val="111111"/>
          <w:sz w:val="28"/>
          <w:sz w:val="28"/>
          <w:szCs w:val="28"/>
          <w:rtl w:val="true"/>
          <w:lang w:bidi="ar-SA"/>
        </w:rPr>
        <w:t>ومن تأخّر عنه، وإن اختلفوا في التعبير عنه بالكيفية أو الحالة أو الهيئة أو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التعبير بالملكة إلى العلماء أو الفقهاء</w:t>
      </w:r>
      <w:r>
        <w:rPr>
          <w:rStyle w:val="FootnoteAnchor"/>
          <w:rtl w:val="true"/>
        </w:rPr>
        <w:footnoteReference w:id="580"/>
      </w:r>
      <w:r>
        <w:rPr>
          <w:rFonts w:ascii="IRNazanin" w:hAnsi="IRNazanin" w:eastAsia="IRNazanin"/>
          <w:color w:val="111111"/>
          <w:sz w:val="28"/>
          <w:sz w:val="28"/>
          <w:szCs w:val="28"/>
          <w:rtl w:val="true"/>
          <w:lang w:bidi="fa-IR"/>
        </w:rPr>
        <w:t>أو الموافق والمخالف</w:t>
      </w:r>
      <w:r>
        <w:rPr>
          <w:rStyle w:val="FootnoteAnchor"/>
          <w:rtl w:val="true"/>
        </w:rPr>
        <w:footnoteReference w:id="581"/>
      </w:r>
      <w:r>
        <w:rPr>
          <w:rFonts w:ascii="Amiri" w:hAnsi="Amiri" w:eastAsia="Amiri" w:cs="Amiri"/>
          <w:color w:val="111111"/>
          <w:sz w:val="28"/>
          <w:sz w:val="28"/>
          <w:szCs w:val="28"/>
          <w:rtl w:val="true"/>
          <w:lang w:bidi="ar-SA"/>
        </w:rPr>
        <w:t xml:space="preserve">، كما نسب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بالهيئة الراسخة إلى المتأخّرين</w:t>
      </w:r>
      <w:r>
        <w:rPr>
          <w:rStyle w:val="FootnoteAnchor"/>
          <w:rtl w:val="true"/>
        </w:rPr>
        <w:footnoteReference w:id="582"/>
      </w:r>
      <w:r>
        <w:rPr>
          <w:rFonts w:ascii="Amiri" w:hAnsi="Amiri" w:eastAsia="Amiri" w:cs="Amiri"/>
          <w:color w:val="111111"/>
          <w:sz w:val="28"/>
          <w:sz w:val="28"/>
          <w:szCs w:val="28"/>
          <w:rtl w:val="true"/>
          <w:lang w:bidi="ar-SA"/>
        </w:rPr>
        <w:t>وبعض آخر نسب التعبير بالحالة النفسانية إلى المشهور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العدالة عبارة عن مجرّد ترك المعاصي، أو خصوص الكبائر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العدل هو الذي لا يخلّ بواجب ولا يرتكب قبيحاً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في الدين الاجتناب عن الكبائر وعن الإصرار على الصغائر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تثبت باجتناب القبائح أجمع</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المجلسي والسبزواري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الأشهر في معناها أن لا يكون مرتكباً للكبائر ولا مصرّاً على الصغائر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لا يعتبر كون ذلك عن ملكة، بل العدالة هي الاستقامة العملية في الأفعال والتروك على وفق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العدالة هي الاستقامة الفعلية الناشئة عن ملكة، دون مجرّد عدم ارتكاب المعاصي فقط وإن كان ذلك عن عدم اتّفاق كبيرة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استظهره الشيخ الأعظم من كلام جملة من الأعلام؛ فقال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تثق بدينه وورعه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من كان معروفاً بالدين والورع والكفّ عن محارم اللَّه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الطوسي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تحصل بأربعة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والأمانة والوثوق والتقوى</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 القاضي ابن البرّاج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والعفاف واجتناب القبائح</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الورع والكفّ والاجتناب مع العفاف ليست مجرّد تروك، بل هي ناشئة عن كيفية نفسانية تمنع النفس عن ارتكاب المحارم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العدالة هي الإسلام مع عدم ظهور الفسق؛ فمن كان مسلماً ولم يظهر منه فسق يحكم بعدالته، كما حكي عن ابن الجنيد</w:t>
      </w:r>
      <w:r>
        <w:rPr>
          <w:rStyle w:val="FootnoteAnchor"/>
          <w:rtl w:val="true"/>
        </w:rPr>
        <w:footnoteReference w:id="592"/>
      </w:r>
      <w:r>
        <w:rPr>
          <w:rFonts w:ascii="Amiri" w:hAnsi="Amiri" w:eastAsia="Amiri" w:cs="Amiri"/>
          <w:color w:val="111111"/>
          <w:sz w:val="28"/>
          <w:sz w:val="28"/>
          <w:szCs w:val="28"/>
          <w:rtl w:val="true"/>
          <w:lang w:bidi="ar-SA"/>
        </w:rPr>
        <w:t xml:space="preserve">والشيخ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العدالة هي حسن الظاهر، وهذا التعريف نسب إلى جماعة، بل إلى أكثر القدماء</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القولين الأخيرين ليسا تعريفين لحقيقة العدالة، بل هما طريقان لإحراز العدالة، والدليل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الأصحاب عدّوهما ممّا به تعرف العدالة</w:t>
      </w:r>
      <w:r>
        <w:rPr>
          <w:rStyle w:val="FootnoteAnchor"/>
          <w:rtl w:val="true"/>
        </w:rPr>
        <w:footnoteReference w:id="595"/>
      </w:r>
      <w:r>
        <w:rPr>
          <w:rFonts w:ascii="Amiri" w:hAnsi="Amiri" w:eastAsia="Amiri" w:cs="Amiri"/>
          <w:color w:val="111111"/>
          <w:sz w:val="28"/>
          <w:sz w:val="28"/>
          <w:szCs w:val="28"/>
          <w:rtl w:val="true"/>
          <w:lang w:bidi="ar-SA"/>
        </w:rPr>
        <w:t>، كما أنّ ظاهر الكلام المحكي عن ابن الجنيد هو لزوم الحكم بعدالة كلّ مسلم ما لم يظهر خلافها</w:t>
      </w:r>
      <w:r>
        <w:rPr>
          <w:rStyle w:val="FootnoteAnchor"/>
          <w:rtl w:val="true"/>
        </w:rPr>
        <w:footnoteReference w:id="596"/>
      </w:r>
      <w:r>
        <w:rPr>
          <w:rFonts w:ascii="Amiri" w:hAnsi="Amiri" w:eastAsia="Amiri" w:cs="Amiri"/>
          <w:color w:val="111111"/>
          <w:sz w:val="28"/>
          <w:sz w:val="28"/>
          <w:szCs w:val="28"/>
          <w:rtl w:val="true"/>
          <w:lang w:bidi="ar-SA"/>
        </w:rPr>
        <w:t xml:space="preserve">، والأظهر منه أنّ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بعدم وجوب البحث عن عدالة الشهود إذا عرف إسلامهم محتجّاً بإجماع الفرقة وأخبارهم، وأنّ الأصل في المسلم العدالة، والفسق طارٍ عليه يحتاج إلى دليل</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أن يكون عدم ظهور الفسق للمسلم أو حسن ظاهره مما نفس العدالة؛ لأنّهما يجتمعان مع الفسق الواقعي إذا لم يظهر من المسلم مظهره، فيمكن أن لا يرتكب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المرتكب للمعاصي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المعاصي بمنظر الناس حفظاً لجاهه ومنزلته عندهم، فيمكن أن يكون الفاسق الواقعي في الباطن، حسن الظاهر ومستور الحال في الظاهر، ومن المعلوم أنّ العدالة لا تجتمع مع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العدالة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أي‌التي ثبتت بالقرائن والشواهد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تجتمع مع الفسق الواقعي، ولكن لا يلزم من ذلك تغيير مفهوم العدالة الشرعية، بل هو من اشتباه المصداق</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القولين ليسا تعريفين للعدالة، بل هما طريقان إلى 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التعريفان الأوّل والثالث فهما يرجعان إلى أمر واحد؛ إذ إنّ القول الثالث وإن كان يعتبر تلبّس المكلّف بالعمل وفقاً للأحكام الشرعية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انطلاقاً من ملكة أو هيئة راسخة أو حالة أو كيفية 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لم يعتبر القول الأوّل هذا الشرط أي‌التلبّس بالعمل بل يكتفي بوجود نفس الملكة أو الهيئة أو الحالة أو الكيفية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أصحاب القولين يشتركان في أنّ من كان له ملكة العدالة وغلب عليه هواه وعصى فقد ارتكب ما يوجب الفسق قطعاً، ومن المعلوم عدم إمكان اجتماع العدالة والفسق في شخص واحد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يعتبر كلا القولين في العدالة صدور أعمال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في الواجبات والترك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ملكة أو هيئة أو حالة أو كيفية 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 في تعريف العدالة يرتكز على أنّ العدالة هل هي مجرّد الاجتناب عن المحرّمات والإتيان بالواجبات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أي‌الاستقامة الفعلية التي ترتسم على ظاهر المكلّف من حركاته وسكناته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تنشأ عن ملكة نفسانية، أو يعتبر أن تكون تلك الاستقامة ناشئة من الملكة النفسانية؟</w:t>
      </w:r>
    </w:p>
    <w:p>
      <w:pPr>
        <w:pStyle w:val="BookText"/>
        <w:rPr/>
      </w:pPr>
      <w:r>
        <w:rPr>
          <w:rFonts w:ascii="Amiri" w:hAnsi="Amiri" w:eastAsia="Amiri" w:cs="Amiri"/>
          <w:color w:val="111111"/>
          <w:sz w:val="28"/>
          <w:sz w:val="28"/>
          <w:szCs w:val="28"/>
          <w:rtl w:val="true"/>
          <w:lang w:bidi="ar-SA"/>
        </w:rPr>
        <w:t>وقبل تحقيق ذلك لابدّ من تبيين المراد بالملكة في محلّ النزاع، فنقول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مبادئ ترك المحرّمات وفعل الواجبات مختلفة وتحقيقها موكول إلى علم الأخلاق وعلم النفس، إلّاأنّ المهمّ هاهنا أنّ ترك المعاصي من قبل المسلم قد يكون لأجل عدم الابتلاء بها، وقد يكون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الابتلاء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لدواعي نفسانية اخرى غير خوف اللَّه، وقد يكون لحالة خوف حصلت له على سبيل الاتّفاق منعته عن الإقدام على المعصية؛ حتّى أنّه إذا ترك في زمان طويل معاصي كثيرة ابتلى بها كان الترك في كلّ مرّة مستنداً إلى حالة اتّفقت له في ذلك الزمان، وقد يكون ترك</w:t>
      </w:r>
    </w:p>
    <w:p>
      <w:pPr>
        <w:pStyle w:val="BookText"/>
        <w:rPr/>
      </w:pPr>
      <w:r>
        <w:rPr>
          <w:rFonts w:ascii="Amiri" w:hAnsi="Amiri" w:eastAsia="Amiri" w:cs="Amiri"/>
          <w:color w:val="111111"/>
          <w:sz w:val="28"/>
          <w:sz w:val="28"/>
          <w:szCs w:val="28"/>
          <w:rtl w:val="true"/>
          <w:lang w:bidi="ar-SA"/>
        </w:rPr>
        <w:t>المعاصي لحالة واحدة مستمرّة في الزمان الذي يبتلي فيه بالمعاصي، وهذا الرابع هو المقصود بالصفة النفسانية أو الصفة الراسخة، في مقابل غير الراسخة الموجودة في الثالث</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قُسّم العباد في أخبار أئمّتنا عليهم السلام إلى ثلاثة أصناف؛ فإنّ جمعاً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 اللَّه خوفاً من عقابه،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ثوابه،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 اللَّه حبّاً له وكونه مستحقّاً للعبادة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ما يدفع الناس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إلّاالأوحدي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يتلبّسوا بالعمل وفقاً لأوامر اللَّه تبارك وتعالى ونواهيه، هو الخوف من العقاب، وأمّا الشوق والحبّ فهما قد يؤثّران في ذلك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الخوف قد يحصل للمكلّف في زمان بسبب وعظ أو اتّفاق ويزول بسرعة، فهذا ما يسمّى بالحالّ، وقد يبقى في نفس المكلّف بحيث يوجب احترازه عن ارتكاب المحرّم ويدفعه نحو الإتيان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ملازمة المكلّف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الخوف والخشية من اللَّه إذا ارتكز في النفس بحيث صار كالطبيعة الثانية للإنسان سمّي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صفة نفسانية راسخة تظهر آثارها كلّما تهيّأت أسباب المعصية، وبحسب هذا المعنى تكون الملكة أمراً إيجابياً، لا سلبياً أي‌من لم يرتكب المحرّم فقط</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يراد بالملكة والصفة النفسانية ما اصطلح عليه علماء الأخلاق من صيرورة الاعتدال صفة للنفس مثلًا، بل المراد بالصفة النفسانية حالة كامنة في النفس لها رسوخ بحسب مبدئها لا تزول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الملكة في تعريف العدالة، وما استدلّوا به على هذا الرأي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Style w:val="FootnoteAnchor"/>
          <w:rtl w:val="true"/>
        </w:rPr>
        <w:footnoteReference w:id="600"/>
      </w:r>
      <w:r>
        <w:rPr>
          <w:rFonts w:ascii="Amiri" w:hAnsi="Amiri" w:eastAsia="Amiri" w:cs="Amiri"/>
          <w:color w:val="111111"/>
          <w:sz w:val="28"/>
          <w:sz w:val="28"/>
          <w:szCs w:val="28"/>
          <w:rtl w:val="true"/>
          <w:lang w:bidi="ar-SA"/>
        </w:rPr>
        <w:t>، 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شكّ في دخول الملكة في مفهوم العدالة وعدمه، فالقاعدة تقتضي الأخذ بالقدر المتيقّن؛ وهو المفهوم الضيّق أي‌الداخل فيه الملكة، فأصالة عدم ترتّب الآثار المطلوبة من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اجتناب المحرّمات وإتيان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لزوم كونهما صادرين عن ملكة؛ حتّى تترتّب على العدالة آثارها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هاهنا ليس في تحقّق مصداق العدالة، بل في دائرة مفهومها، وإجراء الأصل بهذا التقريب لا يثبت اعتبار الملكة في مفهومها؛ فإنّ الآثار لا تترتّب على المفهوم، بل تترتّب على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الآثار المطلوبة من العدالة لا تترتّب فيما إذا كانت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للعدالة في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حيث إنّ إجمال مفهوم العدالة وتردّد معناها بين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قيد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إلى الخطاب بأجمعه، فلابدّ من الأخذ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لها في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منفصلة، فبإجمال المخصّص المنفصل لا يخرج العامّ والمطلق عن الحجّية، فمع تردّد المقيّد والمخصّص والشكّ في سعتهما وضيقهما يمكن الرجوع إلى العامّ والمطلق، ومقتضاه عدم ثبوت الزائد من المقيّد والمخصّص</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نحن فيه من هذا القبيل؛ حيث إنّ شرط العدالة لم يثبت بنفس أدلّة التقليد،</w:t>
      </w:r>
    </w:p>
    <w:p>
      <w:pPr>
        <w:pStyle w:val="BookText"/>
        <w:rPr/>
      </w:pPr>
      <w:r>
        <w:rPr>
          <w:rFonts w:ascii="Amiri" w:hAnsi="Amiri" w:eastAsia="Amiri" w:cs="Amiri"/>
          <w:color w:val="111111"/>
          <w:sz w:val="28"/>
          <w:sz w:val="28"/>
          <w:szCs w:val="28"/>
          <w:rtl w:val="true"/>
          <w:lang w:bidi="ar-SA"/>
        </w:rPr>
        <w:t>بل القرينة المنفصلة دلّت على اعتبار العدالة في المفتي، وحينئذٍ فإن فرض إجمال مفهوم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وتردّده بين المفهوم الموسّع، والمفهوم المضيّق بقيد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بعموم أدلّة جواز التقليد مقيّداً بالعدالة الموسّعة من دون قيد الملكة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المعتضد بالشهرة المحقَّقة بل عدم الخلاف</w:t>
      </w:r>
      <w:r>
        <w:rPr>
          <w:rStyle w:val="FootnoteAnchor"/>
          <w:rtl w:val="true"/>
        </w:rPr>
        <w:footnoteReference w:id="603"/>
      </w:r>
      <w:r>
        <w:rPr>
          <w:rFonts w:ascii="Amiri" w:hAnsi="Amiri" w:eastAsia="Amiri" w:cs="Amiri"/>
          <w:color w:val="111111"/>
          <w:sz w:val="28"/>
          <w:sz w:val="28"/>
          <w:szCs w:val="28"/>
          <w:rtl w:val="true"/>
          <w:lang w:bidi="ar-SA"/>
        </w:rPr>
        <w:t>، وهذا الإجماع يتقوّى ويتأكّد بما ستعرفه من ذهاب بعضهم إلى إمكان إرجاع الأقوال إلى رأي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الملكة في تعريف العدالة قد حدث في عصر العلّامة الحلّي وتبعه عليه غيره، ولم يسبقه في إدخال هذا التعبير في التعريف أحد، فلم يكن اعتبار الملكة معنوناً عند القدماء فضلًا عن اشتهاره، ومن المعلوم أنّ الإجماع والشهرة إنّما يعتبران فيما إذا كانا مستفادين من أقوال القدماء دون خصوص المتأخّرين، فلا اعتبار بهما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قويّاً استناد المجمعين إلى وجوه الاستدلال الاخرى كالأخبار الآتية، فلا يكون الإجماع دليلًا تعبّدياً، وهكذا الكلام في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اعتبار الوثوق بدين إمام الجماعة وورعه</w:t>
      </w:r>
      <w:r>
        <w:rPr>
          <w:rStyle w:val="FootnoteAnchor"/>
          <w:rtl w:val="true"/>
        </w:rPr>
        <w:footnoteReference w:id="604"/>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الوثوق لا يحصل بمجرّد تركه المعاصي في جميع ما مضى من عمره، ما لم يعلم أو يظنّ فيه ملكة الترك</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قد يحصل الوثوق بترك المحرّم في المستقبل ولو لم يحرز فيه ملكة كذلك، كما إذا علمنا بالمعاشرة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يخاف حيواناً مؤذياً أو</w:t>
      </w:r>
    </w:p>
    <w:p>
      <w:pPr>
        <w:pStyle w:val="BookText"/>
        <w:rPr/>
      </w:pPr>
      <w:r>
        <w:rPr>
          <w:rFonts w:ascii="Amiri" w:hAnsi="Amiri" w:eastAsia="Amiri" w:cs="Amiri"/>
          <w:color w:val="111111"/>
          <w:sz w:val="28"/>
          <w:sz w:val="28"/>
          <w:szCs w:val="28"/>
          <w:rtl w:val="true"/>
          <w:lang w:bidi="ar-SA"/>
        </w:rPr>
        <w:t>يخاف الجنّ، فلا يدخل في موضع فيه ذلك الحيوان، أو لا يسكن مكاناً خالياً من الإنس، فبمرور برهة من الزمان على ذلك يحصل لنا الوثوق بأ نّه يكون كذلك في المستقبل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يمكن أن يعلم بمعاشرته أنّه يترك المعاصي، بلا فرق بين القول باعتبار الملكة في العدالة وعدمه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باعتبار الملكة لا يريد بها إلّاهذا؛ فإنّ نفس تقيّد المكلّف بفعل شي‌ء أو ترك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نشأ ذلك من حالته النفسانية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ملكة له، فنعلم بوجود الملكة فيما إذا دعت تلك الحالة النفسية المكلّف إلى ترك المحرّمات و فعل الواجبات في عمود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الأمثلة المذكورة لم تكن الملكة المعتبرة في العدالة موجودة، بل الموجود هو ملكة نفسانية لدواعي نفسانية كالرياء أو نحوه، فتختلف الملكة فيها عن المقام باختلاف متعلّقها، فإنّ المعتبر في المقام هو الملكة الباعثة على التقوى من ترك المحرّم وإتيان الواجب، ولكن حقيقة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بالتفسير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اتّفق الأعلام على عدم اعتبار صدور بعض الأفعال أحياناً في تحقّق الملكة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شرط قبول الشهادة؛ حيث اعتبر فيها كون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مأموناً</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عفيفاً صائناً</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وهذه التعابير</w:t>
      </w:r>
    </w:p>
    <w:p>
      <w:pPr>
        <w:pStyle w:val="BookText"/>
        <w:rPr/>
      </w:pPr>
      <w:r>
        <w:rPr>
          <w:rFonts w:ascii="Amiri" w:hAnsi="Amiri" w:eastAsia="Amiri" w:cs="Amiri"/>
          <w:color w:val="111111"/>
          <w:sz w:val="28"/>
          <w:sz w:val="28"/>
          <w:szCs w:val="28"/>
          <w:rtl w:val="true"/>
          <w:lang w:bidi="ar-SA"/>
        </w:rPr>
        <w:t>تدلّ على أنّ المعتبر في العدالة وجود صفة نفسانية نعبّر عنها بالملكة، ومن المعلوم أ نّه لا يعتبر في الشاهد شي‌ء غير العدالة إجماعاً، فهذه العناوين تكون عبارة اخرى عن مفهوم العدالة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الأوصاف حيث تدلّ على الحسن الفاعلي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يكفى فيه صرف تلبّس المكلّف بكلّ منها في زمان، بل يعتبر وجودها مستمرّاً في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تحكي عن وجود حالة في النفس يستمرّ معها الأمن والصلاح والخير والعفّة والصيانة، وهذا ما نعبّر عنه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العناوين لا تنطبق على الصفات النفسانية؛ فإنّ جميعها من صفات الأعمال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المأمونية قائمة بالغير أي‌كون غير هذا الشخص منه في أمن، والأمن منه يتحقّق بكون المكلّف مستقيماً في أعماله فقط بحيث يمكن الاطمئنان من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والعفّة والصيانة أيضاً معناهما الامتناع وترك المعاصي، وهما من صفات الفعل لا من صفات النفس، وكذلك الصلاح معناه كون المكلّف صالح العمل أي‌غير مفسد للعمل، فهو أيضاً صفة للفعل لا النفس</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العناوين المذكورة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كالستر والعفاف وأشباههما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الصفة النفسانية،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وجود هذه الصفات في الشاهد العادل في جميع الأزمنة الثلاثة؛ بحيث يُطمئنّ أنّه يصدر منه في المستقبل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كالماضي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والعفّة والصيانة والأمن، وهذا الاطمئنان لا ينفكّ عن الملكة المسبِّبة لها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تفسير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يعفور؛ حيث سأل أبا عبداللَّه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والعفاف، وكفّ البطن والفرج واليد واللسان، ويعرف باجتناب الكبائر التي أوعد اللَّه عليها النار، من شرب الخمر، والزنا، والربا، وعقوق الوالدين، والفرار من الزحف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والدلالة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ساتراً لجميع عيوبه؛ حتّى يحرم على المسلمين ما وراء ذلك من عثراته وعيوبه وتفتيش ما وراء ذلك، ويجب عليهم تزكيته وإظهار عدالته في الناس، ويكون منه التعاهد للصلوات الخمس إذا واظب عليهنّ وحفظ مواقيتهنّ بحضور جماعة من المسلمين، وأن لا يتخلّف عن جماعتهم في مصلّاهم إلّامن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 لازماً لمصلّاه عند حضور الصلوات الخمس، فإذا سئل عنه في قبيلة</w:t>
      </w:r>
      <w:r>
        <w:rPr>
          <w:rStyle w:val="FootnoteAnchor"/>
          <w:rtl w:val="true"/>
        </w:rPr>
        <w:footnoteReference w:id="613"/>
      </w:r>
      <w:r>
        <w:rPr>
          <w:rFonts w:ascii="Amiri" w:hAnsi="Amiri" w:eastAsia="Amiri" w:cs="Amiri"/>
          <w:color w:val="111111"/>
          <w:sz w:val="28"/>
          <w:sz w:val="28"/>
          <w:szCs w:val="28"/>
          <w:rtl w:val="true"/>
          <w:lang w:bidi="ar-SA"/>
        </w:rPr>
        <w:t>ومحلّته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إلّاخيراً، مواظباً على الصلوات، متعاهداً لأوقاتها في مصلّاه، فإنّ ذلك يجيز شهادته وعدالته بين المسلمين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الصلاة ستر وكفّارة للذنوب، وليس يمكن الشهادة على الرجل بأ نّه يصلّي إذا كان لا يحضر مصلّاه ويتعاهد جماعة المسلمين، وإنّما جعل الجماعة والاجتماع إلى الصلاة لكي يُعرف من يصلّي ممّن لا يصلّي، ومن يحفظ مواقيت الصلاة ممّن يضيّع، ولولا ذلك لم يمكن أحد أن يشهد على آخر بصلاح؛ لأنّ من لم يصلّ لا صلاح له بين المسلمين، فإنّ رسول اللَّه صلى الله عليه و آله و سلم همّ بأن يحرق قوماً في منازلهم لتركهم الحضور لجماعة المسلمين، وقد كان فيهم من يصلّي في بيته، فلم يقبل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يقبل شهادة أو عدالة بين المسلمين ممّن جرى الحكم من اللَّه عزّوجلّ ومن رسوله صلى الله عليه و آله و سلم فيه الحرق في جوف بيته بالنار وقد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يصلّي في المسجد مع المسلمين إلّامن علّة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بتفاوت في بعض فقراته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الشيخ الأعظم دلالة الرواية على اعتبار الملكة في العدالة؛ حيث إنّ الستر والعفاف والكفّ قد وقع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الصفة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للعدالة، فلا يجوز أن يكون أخصّ منها، بل لابدّ من المساواة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نعقد البحث عن الرواية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الشيخ الصدوق، بإسناده عن عبداللَّه بن أبي يعفور، وقد صحّح العلّامة الحلّي طريق الصدوق إليه كما صحّحه الاسترابادي</w:t>
      </w:r>
      <w:r>
        <w:rPr>
          <w:rStyle w:val="FootnoteAnchor"/>
          <w:rtl w:val="true"/>
        </w:rPr>
        <w:footnoteReference w:id="618"/>
      </w:r>
      <w:r>
        <w:rPr>
          <w:rFonts w:ascii="Amiri" w:hAnsi="Amiri" w:eastAsia="Amiri" w:cs="Amiri"/>
          <w:color w:val="111111"/>
          <w:sz w:val="28"/>
          <w:sz w:val="28"/>
          <w:szCs w:val="28"/>
          <w:rtl w:val="true"/>
          <w:lang w:bidi="ar-SA"/>
        </w:rPr>
        <w:t>، إلّاأنّ في طريقه أحمد بن محمّد بن يحيى العطّار</w:t>
      </w:r>
      <w:r>
        <w:rPr>
          <w:rStyle w:val="FootnoteAnchor"/>
          <w:rtl w:val="true"/>
        </w:rPr>
        <w:footnoteReference w:id="619"/>
      </w:r>
      <w:r>
        <w:rPr>
          <w:rFonts w:ascii="Amiri" w:hAnsi="Amiri" w:eastAsia="Amiri" w:cs="Amiri"/>
          <w:color w:val="111111"/>
          <w:sz w:val="28"/>
          <w:sz w:val="28"/>
          <w:szCs w:val="28"/>
          <w:rtl w:val="true"/>
          <w:lang w:bidi="ar-SA"/>
        </w:rPr>
        <w:t>، وقد اختلف حاله عند أعلام الرجاليّين، فقد اعتمد عليه بعضهم استناداً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المشايخ، فقد روى عنه الصدوق والتلعكبري، والشيخوخة تدلّ على علوّ الحال بل الوثاقة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يمكن أن نقبل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بل هو</w:t>
      </w:r>
    </w:p>
    <w:p>
      <w:pPr>
        <w:pStyle w:val="BookText"/>
        <w:rPr/>
      </w:pPr>
      <w:r>
        <w:rPr>
          <w:rFonts w:ascii="Amiri" w:hAnsi="Amiri" w:eastAsia="Amiri" w:cs="Amiri"/>
          <w:color w:val="111111"/>
          <w:sz w:val="28"/>
          <w:sz w:val="28"/>
          <w:szCs w:val="28"/>
          <w:rtl w:val="true"/>
          <w:lang w:bidi="ar-SA"/>
        </w:rPr>
        <w:t>قرينة تدلّ على مدح الرجل فقط فيما إذا ثبت جلالة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العلّامة الحلّي للطريق التي وقع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السيّد الخوئي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مبنيّ على أصالة العدالة</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إلّاأنّا لم نتحقّق هذا المبنى من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الشهيد الثاني والسماهيجي والشيخ البهائي</w:t>
      </w:r>
      <w:r>
        <w:rPr>
          <w:rStyle w:val="FootnoteAnchor"/>
          <w:rtl w:val="true"/>
        </w:rPr>
        <w:footnoteReference w:id="621"/>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احتمل أنّ توثيق هؤلاء كان مستنداً إلى اجتهادهم لأجل كونه شيخ إجازة لبعض الأعلام؛ ولذا نرى أنّ الشيخ البهائي ضعّف بعض أخباره لجهالته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نوح السيرافي إيّاه في طريقه إلى كتب بني سعيد الأهوازي، معتمداً عليه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ابتناء هذا الاعتماد على أصالة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أنّا لم نتحقّق هذا المبنى على نحو الكلّية في كلام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يستفاد من مجموع القرائن اعتبار الرواية، ولا يضرّ جهالة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المصادر الرجالية؛ لعدم استيعابها لجميع الرواة ولا لأحوال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اعتبره كثير من الأعلام المتقدّمين والمتأخّرين؛ فهذا الشيخ محمّد تقي المجلسي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عدّ هذا الحديث في الحسن كالصحيح، بل الصحيح</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سند الشيخ الطوسي فهو مشتمل على الضعفاء والمجاهيل، فلا اعتبار به، إلّا أنّه بعد ثبوت اعتبار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والاطمئنان بوحدة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w:t>
      </w:r>
    </w:p>
    <w:p>
      <w:pPr>
        <w:pStyle w:val="BookText"/>
        <w:rPr/>
      </w:pPr>
      <w:r>
        <w:rPr>
          <w:rFonts w:ascii="Amiri" w:hAnsi="Amiri" w:eastAsia="Amiri" w:cs="Amiri"/>
          <w:color w:val="111111"/>
          <w:sz w:val="28"/>
          <w:sz w:val="28"/>
          <w:szCs w:val="28"/>
          <w:rtl w:val="true"/>
          <w:lang w:bidi="ar-SA"/>
        </w:rPr>
        <w:t>للتشكيك من جهة اختلاف ألفاظهما وتعابيرهما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ثلاث فقرات يمكن البحث عنها</w:t>
      </w:r>
    </w:p>
    <w:p>
      <w:pPr>
        <w:pStyle w:val="BookText"/>
        <w:rPr/>
      </w:pPr>
      <w:r>
        <w:rPr>
          <w:rFonts w:ascii="Amiri" w:hAnsi="Amiri" w:eastAsia="Amiri" w:cs="Amiri"/>
          <w:color w:val="111111"/>
          <w:sz w:val="28"/>
          <w:sz w:val="28"/>
          <w:szCs w:val="28"/>
          <w:rtl w:val="true"/>
          <w:lang w:bidi="ar-SA"/>
        </w:rPr>
        <w:t>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الراوي وجواب الإمام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ويعرف باجتناب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ويعرف باجتناب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والدلالة على ذلك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المبحوث عنها في المقام هي الفقرة الاولى؛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سأل عن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تعرف عدالة الرجل بين المسلمين حتّى تقبل شهادته لهم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السؤال وقع عن مفهوم العدالة، أو عن علامة العدالة والدليل عليها بعد وضوحها مفهوماً؟</w:t>
      </w:r>
    </w:p>
    <w:p>
      <w:pPr>
        <w:pStyle w:val="BookText"/>
        <w:rPr/>
      </w:pPr>
      <w:r>
        <w:rPr>
          <w:rFonts w:ascii="Amiri" w:hAnsi="Amiri" w:eastAsia="Amiri" w:cs="Amiri"/>
          <w:color w:val="111111"/>
          <w:sz w:val="28"/>
          <w:sz w:val="28"/>
          <w:szCs w:val="28"/>
          <w:rtl w:val="true"/>
          <w:lang w:bidi="ar-SA"/>
        </w:rPr>
        <w:t>ذهب بعض الأعلام إلى ظهور السؤال بدواً في كونه عن الطريق إلى العدالة بعد معرفة مفهومها، إلّاأنّ القرائن توجب حملها على بيان مفهوم العدالة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الظهور بالنسبة إلى عصر الإمام ممنوع؛ إذ لم يألف ذهن السائل الاصطلاحات العلمية آنذاك حتّى يميّز المفهوم عن الطريق جلياً، بل المرتكز في أذهان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أنّهم من العرف العامّ الملقى إليهم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 وبطريق معرفته، فيصلح أن يكون سؤاله عن مفهوم العدالة، كما يصلح أن يكون عن الطريق إلى معرفتها،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تفسير جواب الإمام عن السؤال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والعفاف وكفّ البطن والفرج واليد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 الإمام يكون معرِّفاً منطقياً للعدالة؛ إجابةً عن السؤال عن</w:t>
      </w:r>
    </w:p>
    <w:p>
      <w:pPr>
        <w:pStyle w:val="BookText"/>
        <w:rPr/>
      </w:pPr>
      <w:r>
        <w:rPr>
          <w:rFonts w:ascii="Amiri" w:hAnsi="Amiri" w:eastAsia="Amiri" w:cs="Amiri"/>
          <w:color w:val="111111"/>
          <w:sz w:val="28"/>
          <w:sz w:val="28"/>
          <w:szCs w:val="28"/>
          <w:rtl w:val="true"/>
          <w:lang w:bidi="ar-SA"/>
        </w:rPr>
        <w:t>مفهومها، فيكون المعرِّف مساوياً للمعرَّف، لا أخصّ منه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فالجملة المذكورة في الفقرة الاولى، تكون حدّاً أو رسماً للعدالة وبياناً لماهيّتها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سؤال الراوي أنّه سأل عمّا يُعرف ويستكشف به العدالة، لا أنّه سأل عن حقيقتها وماهيّتها؛ فإنّ المعرِّف المنطقي اصطلاح حديث بين المنطقيين، ومن البعيد أن يكون مراد السائل هذا النحو من المعرِّف، والمراد بمثل هذه العبارة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المحاورات الدارجة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السؤال عمّا ينكشف به الشي‌ء وما يدلّ عليه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بالنسبة إلى نفي حمل السؤال على المعرِّف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أو رسماً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إلّاأنّ ذلك لا يثبت ما ادّعاه هو من أنّ السؤال وقع عن الطريق إلى معرفة العدالة،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لم يذكر في الجواب أنّ العدالة هي الستر والعفاف،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المعرِّف اشتهار الرجل ومعروفيّته بهما، لا نفس الستر والعفاف، ومن البديهي أنّ الاشتهار والمعروفية بهما ليسا بحقيقة العدالة، وإذا كانت الجملة معرِّفاً منطقياً فحقيقتها هي نفس الستر والعفاف، دون المعروفية بهما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نشأ من أخذ المعروفية على نحو الموضوعية في التعريف،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هي معروفية الرجل بالستر والعفاف، إلّاأنّه 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والتبيّن والظهور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كونها طريقاً إلى الواقع، فإرادة الموضوعية منها خلاف ظاهر إطلاقاتها، وتحتاج إلى قرينة شاهدة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الاخرى لابن أبي يعفور؛ حيث روى عن أخيه عبدالكريم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شهادة المرأة والنسوة إذا كنّ مستورات من أهل البيوتات، معروفات بالستر والعفاف، مطيعات للأزواج، تاركات للبذاء والتبرّج إلى الرجال في أنديتهم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معروفات بالستر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المستورات العفيفات، لا المعروفات بالستر والعفاف وإن لم يوصفن بحسب الواقع بالستر والعفاف؛ وذلك لأنّ المتبادر من بقية الأوصاف ووحدة السياق ما ذكرنا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كلّه يتّضح ما في الإيرادات على اعتبار الملكة في العدالة، والآن نشير إلى جملة منها مع بعض ما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بالملكة في تعريف العدالة وُجد في عصر العلّامة الحلّي ومن تأخّر عنه، وكأ نّهم اقتفوا في ذلك أثر العامّة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وجدان هذا التعبير في كلام من تقدّم على العلّامة لا يضرّ بعد إمكان استفادته من الأخبار كما عرفت، وعدم التعبير بلفظ الملكة في تلك الأخبار غير ضائر بعد ما عرفت من إمكان استفادة هذا المعنى من الأخبار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بالملكة في تعريف العدالة يستلزم الحرج واختلال النظام؛ لندرة وجودها، وكثرة ابتلاء الناس وحاجتهم إلى العدالة في العبادات والمعاملات</w:t>
      </w:r>
    </w:p>
    <w:p>
      <w:pPr>
        <w:pStyle w:val="BookText"/>
        <w:rPr/>
      </w:pPr>
      <w:r>
        <w:rPr>
          <w:rFonts w:ascii="Amiri" w:hAnsi="Amiri" w:eastAsia="Amiri" w:cs="Amiri"/>
          <w:color w:val="111111"/>
          <w:sz w:val="28"/>
          <w:sz w:val="28"/>
          <w:szCs w:val="28"/>
          <w:rtl w:val="true"/>
          <w:lang w:bidi="ar-SA"/>
        </w:rPr>
        <w:t>والإيقاعات</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العدالة هو العدالة التي يجد الإنسان بها مدافعة الهوى في أوّل الأمر وإن صارت مغلوبة بعد ذلك؛ ولذا تصدر الكبيرة عن ذي الملكة كثيراً، وهذه الحالة غير عزيزة على الناس وليست بنادرة حتّى يلزم من اعتبارها الحرج والاختلال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الإنصاف أنّ الاقتصار على ما دون هذه المرتبة يوجب تضييع حقوق اللَّه وحقوق الناس</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 حيث جعل حسن الظاهر كاشفاً عن العدالة، فلا حرج ولا اختلال للنظام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بزوال العدالة بارتكاب المعصية، ورجوعها بمجرّد التوبة، ينافي كون العدالة هي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من مفهوم الملكة أنّها صفة كامنة في النفس تقتضي مدافعة الهوى في أوّل الأمر، وتكفّ النفس عن ارتكاب ما تشتهيه، فارتكاب الكبيرة لا يزيل العدالة واقعاً بل تعبّداً؛ حيث إنّ المقتضى قد يتخلّف عن مقتضيه؛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الجواد قد يكبو، والعدالة تكون مقتضية لترك المحرمات لاعلّة تامّة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يكون عود العدالة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تعبّدياً، فإنّ الشارع جعل التائب من الذنب كمن لا ذنب له، فبالتوبة يعود المكلّف إلى الحالة التي كانت نفسه عليها مقتضية للستر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يحتاج إلى مزيد توضيح وبيان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قبال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الذاهبين إلى اعتبار الملكة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آخر</w:t>
      </w:r>
    </w:p>
    <w:p>
      <w:pPr>
        <w:pStyle w:val="BookText"/>
        <w:rPr/>
      </w:pPr>
      <w:r>
        <w:rPr>
          <w:rFonts w:ascii="Amiri" w:hAnsi="Amiri" w:eastAsia="Amiri" w:cs="Amiri"/>
          <w:color w:val="111111"/>
          <w:sz w:val="28"/>
          <w:sz w:val="28"/>
          <w:szCs w:val="28"/>
          <w:rtl w:val="true"/>
          <w:lang w:bidi="ar-SA"/>
        </w:rPr>
        <w:t>إلى عدم اعتبارها فيها؛ استناداً إلى عدم وجود مستند لاعتبارها، فذهب إلى أنّ العدالة يراد بها معناها اللغوي؛ أي‌الاستقامة وعدم الجور والانحراف، والعدالة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تنسب إلى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الاستقامة العملية في جادّة الشرع بداعي الخوف من اللَّه أو رجاء الثواب، والاستقامة بهذا المعنى يعتبر فيها أن تكون مستمرّة بأن تصير كالطبيعة الثانوية للمكلّف؛ بحيث يوثق باستقامته ودينه في عيشه، وأمّا الخوف الذي كان داعياً للمكلّف فليس هو العدالة؛ حتّى يتوهّم أنّها من الصفات النفسانية، بل العدالة تكون صفة عملية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تبيّن ما فيه إذ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المستند لاعتبار الملكة في العدالة من الأخبار،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الجميع اتّفقوا على أنّه يعتبر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فسّرت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المتّصف بها استمراراً؛ أي‌في مدّة من الزمان 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بإتيانه الواجبات وتركه للمحرّمات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مستقيم وعدل وصالح وخيّر ومأمون وغير ذلك ممّا ورد في الأخبار، ومن المعلوم أنّه لا يحصل الوثوق بالاستقامة والديانة والصلاح إلّابمضيّ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معتنى بها على هذا الأوصاف نتيجة المراقبة والكفّ والستر والعفاف، وهذا لا يحصل إلّابالملكة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الاستقامة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الكبائر، وستر جميع الذنوب، وإتيان الصلاة، وحضور الجماعات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في النصوص معرِّفاً وكاشفاً عن العدالة، فليست هي نفس العدالة؛ لتغاير المعرِّف والمعرَّف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القولين إلى رأي واحد، وذلك بأن يكون</w:t>
      </w:r>
      <w:bookmarkStart w:id="273" w:name="pg1790_14924"/>
    </w:p>
    <w:p>
      <w:pPr>
        <w:pStyle w:val="BookText"/>
        <w:rPr/>
      </w:pPr>
      <w:bookmarkEnd w:id="273"/>
      <w:r>
        <w:rPr>
          <w:rFonts w:ascii="Amiri" w:hAnsi="Amiri" w:eastAsia="Amiri" w:cs="Amiri"/>
          <w:color w:val="111111"/>
          <w:sz w:val="28"/>
          <w:sz w:val="28"/>
          <w:szCs w:val="28"/>
          <w:rtl w:val="true"/>
          <w:lang w:bidi="ar-SA"/>
        </w:rPr>
        <w:t>المراد بالملكة في المقام هو نفس اعتبار الاستمرار على فعل الواجبات وترك المحرّمات، دون ما يراد بها في سائر الملكات</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هي ملكة راسخة تبعث المكلّف على ملازمة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وخشيةً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إتيان الواجبات وترك المحرّمات</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2371724_3650668749"/>
      <w:bookmarkStart w:id="275" w:name="_Toc100"/>
      <w:bookmarkEnd w:id="274"/>
      <w:r>
        <w:rPr>
          <w:rtl w:val="true"/>
        </w:rPr>
        <w:t>العدالة والمروّة</w:t>
      </w:r>
      <w:bookmarkEnd w:id="275"/>
    </w:p>
    <w:p>
      <w:pPr>
        <w:pStyle w:val="BookText"/>
        <w:rPr/>
      </w:pPr>
      <w:r>
        <w:rPr>
          <w:rFonts w:ascii="Amiri" w:hAnsi="Amiri" w:eastAsia="Amiri" w:cs="Amiri"/>
          <w:color w:val="111111"/>
          <w:sz w:val="28"/>
          <w:sz w:val="28"/>
          <w:szCs w:val="28"/>
          <w:rtl w:val="true"/>
          <w:lang w:bidi="ar-SA"/>
        </w:rPr>
        <w:t>المعروف بين المتأخّرين اعتبار ترك منافيات المروّة أيضاً في العدالة، والمشهور بين القدماء عدم اعتبارها، نعم ظاهر كلام الشيخ الطوسي اعتبارها في العدالة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مادّتها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الإنسانية؛ لأنّها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قلبت الهمزة واواً وادغمت إحدى الواوين في الاخرى، وهذه المادّة تطلق على الذكر والانثى، فلا ينحصر معناها بالرجولية كما قيل</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الأصحاب فيريدون بها عدم ارتكاب ما يستقبح في العادات بحسب الأشخاص والأعصار والأمصار ممّا لم يكن بنفسه حراماً شرعاً أو قبيحاً عقلًا، ومثّلوا لمنافيات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بالأكل في السوق لغير السوقي، وكشف الرأس في المجالس، ومدّ الرِّجل بين الناس وأشباه ذلك ممّا يكون التظاهر به كاشفاً عن عدم المبالاة أو عن عدم الحياء بلحاظ نفسه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ذهب إلى اعتبار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العدالة، اعتمد على وجهين في الاستدلال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عبد اللَّه بن أبي يعفور السابقة في تفسير العدالة، وقد احتجّ بثلاث فقرات منها على اعتبار المروّة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تعرفوه بالستر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هذا هو ستر العيوب الشرعية والعرفية، التي منها ارتكاب خلاف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البطن والفرج واليد 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منافيات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شهوات الجوارح، وقد عرِّف العادل بمن كفّ نفسه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والدالّ على ذلك كلّه 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جميع العيوب يشمل الشرعية والعرفية منها، فبارتكاب ما يُعدّ عيباً لدى العرف لا يصدق على فاعله أنّه ساتر لجميع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عدم تمامية الاستدلال بهذه الفقرات على اعتبار المروّة في العدالة،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مناسبة الحكم والموضوع تقتضي عدم إطلاق متعلّق هذه الفقرات بحيث يشمل العيوب الشرعية والعرفية معاً، بل المبيّن فيها مفهوم العدالة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غاية مايمكن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ستر منافيات المروّة يكون تتمّة لطريق إحراز العدالة ولا يعتبر في نفسها، فمن لم يستر منافيات المروّة ويرتكبها لا تُحرز عدالته ظاهراً، وهذا لا ينافي إمكان إحراز عدالته من طريق آخر غيره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لما ذكرنا قوله عليه السلام في نفس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المعتبر عند الشارع لزوم اجتناب العيوب الشرعية والعرفية معاً لما كان وجه لتخصيص الكبائر بالذكر، حيث إنّه يكون حينئذٍ من باب تخصيص الأكثر، وهو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كفّ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يشير إلى كفّها عن معاصيها، لا مطلق ما تشتهيه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لاعتبار المروّة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في المعتبرة، وهما راجعان إلى معنى واحد، حيث إنّ المراد بالستر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يُعدّ مقابلًا للتبرّج، المفسّر بالتظاهر بما يقبح ويستهجن في الشرع أو العرف</w:t>
      </w:r>
      <w:r>
        <w:rPr>
          <w:rStyle w:val="FootnoteAnchor"/>
          <w:rtl w:val="true"/>
        </w:rPr>
        <w:footnoteReference w:id="638"/>
      </w:r>
      <w:r>
        <w:rPr>
          <w:rFonts w:ascii="Amiri" w:hAnsi="Amiri" w:eastAsia="Amiri" w:cs="Amiri"/>
          <w:color w:val="111111"/>
          <w:sz w:val="28"/>
          <w:sz w:val="28"/>
          <w:szCs w:val="28"/>
          <w:rtl w:val="true"/>
          <w:lang w:bidi="ar-SA"/>
        </w:rPr>
        <w:t>، ومنافيات المروّة ممّا يستهجن في العرف، فهي منافية للستر والعفاف بهذا المعنى</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من الستر والعفاف هو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المرادف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فالاستحياء من الناس بلحاظ ما جرت عليه عادتهم لا ربط له بالاستحياء من اللَّه بلحاظ التعدّي عن حدوده تعالى، ولا يراد من العفاف والستر إلّاالحياء باللحاظ الثاني، فغاية الأمر عدم مبالاة تارك المروّة بعادات الناس أو ما يحسن تحصيله عندهم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شأن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الكاظم عليه السلام في حديث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مروّة له، ولا مروّة لمن لا عقل له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ووعدهم فلم يخلفهم، فهو ممّن كملت مروّته، وظهرت عدالته، ووجبت اخوّته، وحرمت غيبته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تتمّ مروّة الرجل حتّى يتفقّه في دينه، ويقتصد في عيشته، ويصبر على النائبة إذا نزلت به، ويستعذب مرارة إخوانه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المروّة مروّتان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الحضر ومروّة السفر، فأمّا مروّة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فتلاوة القرآن، وحضور المساجد، وصحبة أهل الخير، والنظر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مروّة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الزاد، والمزاح في غير ما يسخط اللَّه، وقلّة الخلاف على من صحبك، وترك الرواية عليهم إذا أنت فارقتهم</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في شأن المروّة، وكذا ما ورد في شأن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المعلوم أنّ المروّة في هذه الأخبار تكون من صفات الجوارح وتُعدّ من فضائل الأعمال، فهي تكون كاشفة عن العدالة بما هي ملكة نفسانية، لا أنّها داخلة في مفهومها كما لا يخفى، وأين ذلك من المروّة التي اعتبرها فقهاء الأصحاب من المتأخّرين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ما يسقط المحلّ والعزّة في القلوب، ويدلّ على عدم الحياء وعدم المبالاة من الاستنقاص</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 وقريب منه ما ذكره الشهيد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 تنزيه النفس عن الدناءة التي لا تليق بأمثالها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يخجل من الناس ولم يستحيِ من غير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يبال بالنقائص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يخجل ولا يستحيي من اللَّه؛ وذلك لأنّ عدم مبالاته بتلك الامور يكشف عن أنّه ممّن لا حياء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الأمرين؛ فإنّه قد يوجد في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يعتني بالامور الدنيوية، ويكون متمحّضاً في المعنويات والامور الاخروية، بحيث لا يبالي بالامور المتعارفة بين الناس لأجل اهتمامه وانقطاعه إلى الباقيات الصالحات، فتراه لايبالي بالناس والاستحياء منهم، ومع ذلك لا يستكشف من ذلك عدم مبالاته وعدم استحيائه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الوجهين لا يثبتان اعتبار المروّة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يعبّر عن منافيات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يدلّ على عدم مبالاة مرتكبها بالدين</w:t>
      </w:r>
      <w:r>
        <w:rPr>
          <w:rStyle w:val="FootnoteAnchor"/>
          <w:rtl w:val="true"/>
        </w:rPr>
        <w:footnoteReference w:id="647"/>
      </w:r>
      <w:r>
        <w:rPr>
          <w:rFonts w:ascii="Amiri" w:hAnsi="Amiri" w:eastAsia="Amiri" w:cs="Amiri"/>
          <w:color w:val="111111"/>
          <w:sz w:val="28"/>
          <w:sz w:val="28"/>
          <w:szCs w:val="28"/>
          <w:rtl w:val="true"/>
          <w:lang w:bidi="ar-SA"/>
        </w:rPr>
        <w:t>، ومن المعلوم أنّ اعتبار المروّة بهذا المعنى وترك منافياتها يكون من العدالة، وليست المروّة بهذا المعنى خارجة عن العدالة وزائدة عليها، إذ كيف يمكن أن يكون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ملكة الكفّ عن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مبالٍ بالدين، ألا يكون هذا من اجتماع النقيضين؟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والماتن قدس سره لم يذكر هاهنا المروّة في تعريف العدالة، ولمّا اعتبر في شرائط إمام الجماعة العدالة اعتبر فيها اجتناب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ارتكاب أعمال دالّة عرفاً على عدم مبالاة فاعلها بالدين، والأحوط اعتبار الاجتناب عن منافيات المروّة وإن كان الأقوى عدم اعتباره</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bookmarkStart w:id="276" w:name="pg1790_14929"/>
    </w:p>
    <w:p>
      <w:pPr>
        <w:pStyle w:val="Heading3"/>
        <w:numPr>
          <w:ilvl w:val="2"/>
          <w:numId w:val="1"/>
        </w:numPr>
        <w:rPr/>
      </w:pPr>
      <w:bookmarkStart w:id="277" w:name="__RefHeading___Toc2371726_3650668749"/>
      <w:bookmarkStart w:id="278" w:name="_Toc101"/>
      <w:bookmarkEnd w:id="276"/>
      <w:bookmarkEnd w:id="277"/>
      <w:r>
        <w:rPr>
          <w:rtl w:val="true"/>
        </w:rPr>
        <w:t>زوال العدالة بارتكاب المعاصي‌</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صفة العدالة حكماً بارتكاب الكبائر أو الإصرار على الصغائر، بل بارتكاب الصغائر على الأحوط، وتعود بالتوبة إذا كانت الملكة المذكورة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زوال العدالة بارتكاب المعاصي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حقيقة العدالة ظهر أنّ العدالة سواء الواقعية منها أو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ثبتت بحسن الظاهر ونحوه من سائر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عن المكلّف بارتكاب الكبائر؛ أي‌لا يصحّ لسائر المكلّفين ترتيب آثار العادل عليه فيما يعتبر فيه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كالإخبار والشهادة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التعبّد والحكم الشرعي الظاهري وإلّا فإنّ ارتكابه للكبيرة لا يدلّ على زوال العدالة واقعاً عن المكلّف؛ إذ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ملكة كامنة في نفس المكلّف لا يمكن الاطّلاع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إلّابمظاهرها، فكما نحكم بوجودها بحسب ما يُظهر ملكة العدالة كذلك نحكم بزوالها لأجل ظهور ما يخالفها وذلك لأنّ عمدة المستند في تعريف العدالة هو معتبرة ابن أبي يعفور، وقد صرّح الإمام فيها بأنّ العادل هو من يجتنب عن الكبائر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وصف العادل، ولكن بارتكاب الكبائر يزول ذلك الوصف عن المكلّف بحسب الظاهر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الماتن قدس سره تعرّض في هذه المسألة لعدّة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ولا إشكال في زوال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الملكة أو الاستقامة الفعلية على جادّة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الكبائر، إلّاأنّه وقع الخلاف في المراد بالكبيرة ووجه تمييزها عن الصغيرة وعددها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في ذلك ناشئ من اختلاف الأخبار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فالمراد بالكبيرة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التي اختصّت بصفة خاصّة وهي لاتشمل جميع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عدّ جميع المعاصي كبيرة قائلًا بأنّ الاختلاف بالكبر والصغر إنّما هو بالإضافة إلى معصية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وخلافاً لما حكي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الإضافة تكون بلحاظ الفاعل؛ فإنّ معصية العالم أكبر من معصية الجاهل ولو مع اتّحاد المعصيتين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استندوا في ذلك إلى اشتراك الجميع في مخالفة أمر اللَّه سبحانه أو نهيه، مضافاً إلى النصوص التي تدلّ على أنّ كلّ معصية عزيمة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تقسيم الذنوب إلى الكبائر والصغائر لم يكن معهوداً عند القدماء، وأوّل من تعرّض لهذا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مبسوطه</w:t>
      </w:r>
      <w:r>
        <w:rPr>
          <w:rStyle w:val="FootnoteAnchor"/>
          <w:rtl w:val="true"/>
        </w:rPr>
        <w:footnoteReference w:id="650"/>
      </w:r>
      <w:r>
        <w:rPr>
          <w:rFonts w:ascii="Amiri" w:hAnsi="Amiri" w:eastAsia="Amiri" w:cs="Amiri"/>
          <w:color w:val="111111"/>
          <w:sz w:val="28"/>
          <w:sz w:val="28"/>
          <w:szCs w:val="28"/>
          <w:rtl w:val="true"/>
          <w:lang w:bidi="ar-SA"/>
        </w:rPr>
        <w:t>، وقد صرّح ابن إدريس الحلّي بأنّ هذا القول لم يذهب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هذا الكتاب، ولا ذهب إليه أحد من أصحابنا؛ لأنّه لا صغائر عندنا في المعاصي إلّابالإضافة إلى غيرها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إلى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المفيد والقاضي ابن البرّاج الطرابلسي وتقيّ الدين أبو الصلاح الحلبي وأمين الإسلام الطبرسي</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انقسام المعاصي بحسب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صغائر وكبائر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القرآن دالّ على 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w:t>
      </w:r>
      <w:r>
        <w:rPr>
          <w:rStyle w:val="FootnoteAnchor"/>
          <w:rtl w:val="true"/>
        </w:rPr>
        <w:footnoteReference w:id="65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كَبَائِرَ الْإِثْمِ وَالْفَوَاحِشَ إِلَّا اللَّمَمَ</w:t>
      </w:r>
      <w:r>
        <w:rPr>
          <w:rStyle w:val="FootnoteAnchor"/>
          <w:rtl w:val="true"/>
        </w:rPr>
        <w:footnoteReference w:id="65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الْكِتَابُ فَتَرَى الْمُجْرِمِينَ مُشْفِقِينَ مِمَّا فِيهِ وَيَقُولُونَ يَا وَيْلَتَنَا مَالِهذَا الْكِتَابِ لَايُغَادِرُ صَغِيرَةً وَلَا كَبِيرَةً إِلَّا أَحْصَاهَا</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الأخبار الكثيرة تدلّ على هذا التقسيم، فراجع أبواب جهاد النفس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ذكره العلّامة البروجردي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مجال لإنكار الصغر والكبر بقول مطلق أصلًا؛ ضرورة أنّه مع دعوى الإضافة لا محالة ينتهي الأمر إلى ذنب أو ذنوب ليس لها فوق، وهذا الذي ليس له فوق كما أنّه كبيرة بالنسبة إلى ما تحته من الذنوب، كذلك كبيرة في حدّ نفسه وبقول مطلق؛ إذ لا يتصوّر فوق بالإضافة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هذا الذنب صغيرة بالنسبة إليه، وهكذا الأمر في</w:t>
      </w:r>
    </w:p>
    <w:p>
      <w:pPr>
        <w:pStyle w:val="BookText"/>
        <w:rPr/>
      </w:pPr>
      <w:r>
        <w:rPr>
          <w:rFonts w:ascii="Amiri" w:hAnsi="Amiri" w:eastAsia="Amiri" w:cs="Amiri"/>
          <w:color w:val="111111"/>
          <w:sz w:val="28"/>
          <w:sz w:val="28"/>
          <w:szCs w:val="28"/>
          <w:rtl w:val="true"/>
          <w:lang w:bidi="ar-SA"/>
        </w:rPr>
        <w:t xml:space="preserve">جانب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حينئذٍ عن الالتزام بوجود الكبيرة والصغيرة بقول مطلق أيضاً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الضابط لتشخيص الكبيرة والصغيرة وكذا عدد الكبائر، فسوف يأتي الكلام فيه عند تعرّض الماتن قدس سره له في كتاب الصلاة عند البحث عن شرائط إمام الجماعة، ونحن نشير إليه هنا بنقل عبارته المذكورة هناك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 معصية ورد التوعيد عليها بالنار أو بالعقاب، أو شدّد عليها تشديداً عظيماً، أو دلّ دليل على كونها أكبر من بعض الكبائر أو مثله، أو حكم العقل بأ نّها كبيرة، أو كان في ارتكاز المتشرّعة كذلك، أو ورد النصّ بكونها كبيرة</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ثمّ عدّ أكثر من أربعين كبيرةً، فليطلب شرحها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المعاصي الكبيرة تزيل العدالة،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الإصرار على الصغيرة كذلك؛ للنصّ الصريح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صغيرة مع الإصرار، ولا كبيرة مع الاستغفار</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كما أنّه عُدّ الإصرار على الصغيرة كبيرة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الماتن قدس سره في مبحث شرائط إمام الجماعة بأنّ الإصرار على الصغائر من الذنوب نفسه من الكبائر، ثمّ فسّره في المسألة الاولى هناك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الموجب لدخول الصغيرة في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المداومة والملازمة على المعصية من دون تخلّل التوبة، ولا يبعد أن يكون من الإصرار العزم على العود إلى المعصية بعد</w:t>
      </w:r>
    </w:p>
    <w:p>
      <w:pPr>
        <w:pStyle w:val="BookText"/>
        <w:rPr/>
      </w:pPr>
      <w:r>
        <w:rPr>
          <w:rFonts w:ascii="Amiri" w:hAnsi="Amiri" w:eastAsia="Amiri" w:cs="Amiri"/>
          <w:color w:val="111111"/>
          <w:sz w:val="28"/>
          <w:sz w:val="28"/>
          <w:szCs w:val="28"/>
          <w:rtl w:val="true"/>
          <w:lang w:bidi="ar-SA"/>
        </w:rPr>
        <w:t>ارتكابها وإن لم يَعُد إليها، خصوصاً إذا كان عزمه على العود حال ارتكاب المعصية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تحقّقه بمجرّد عدم التوبة بعد المعصية من دون العزم على العود إليها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ارتكاب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غير مخلّ بالعدالة؛ لعدم اعتبار ترك الصغيرة في العدالة، وذلك استناداً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معتبرة عبداللَّه بن أبي يعفور ورد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وتُعرف باجتناب الكبائر التي أوعد اللَّه عليها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اجتناب الصغائر معتبراً في العدالة، لم يكن للحصر باجتناب الكبائر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المعتبرة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على ذلك كلّه أن يكون ساتراً لجميع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الستر لجميع العيوب معتبر في استكشاف العدالة، فاجتناب الصغائر معتبر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وارد في مقام بيان الأمارة على العدالة، فلا يكون ترك مطلق المعصية مناط العدالة، ولكنّه طريق إلى استكشاف ترك الكبائر المعتبر في حقيقة العدالة، فإنّ ترك جميع المعاصي يلازم اجتناب الكبائر بالأولوية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المذكور في ذيل الرواية أنّ المواظبة على الصلوات الخمس والحضور في جماعة المسلمين من أمارات العدالة، ومن المعلوم أنّ ترك الحضور في صلاة الجماعة ليس من الكبائر التي 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يشهد على اعتبار اجتناب الصغائر أيضا في تحقّق العدالة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بين الأمرين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الأمارة على شي‌ء أن</w:t>
      </w:r>
    </w:p>
    <w:p>
      <w:pPr>
        <w:pStyle w:val="BookText"/>
        <w:rPr/>
      </w:pPr>
      <w:r>
        <w:rPr>
          <w:rFonts w:ascii="Amiri" w:hAnsi="Amiri" w:eastAsia="Amiri" w:cs="Amiri"/>
          <w:color w:val="111111"/>
          <w:sz w:val="28"/>
          <w:sz w:val="28"/>
          <w:szCs w:val="28"/>
          <w:rtl w:val="true"/>
          <w:lang w:bidi="ar-SA"/>
        </w:rPr>
        <w:t>لا يتعدّى عن الخصوصيات الدخيلة فيه، خصوصاً إذا كانت أمارة شرعية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إحراز المواظبة على الصلوات الحضور فيها نوعاً، فلا يظهر من ذيل الرواية ما ينافي صدرها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أخبار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توصيف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تعبيرات، تدلّ على لزوم اجتناب غير الكبائر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قبول شهادة النساء؛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مطيعات للأزواج تاركات للبذاء</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ولم يُذكر التبرّج ولا عصيان الزوج من الكبائر، وقد اعتبر في هذا الخبر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من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قولهم عليهم السلام في عدّة موارد فيمن تجوز شهادته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يُعرف بالفسق</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فإنّ الفسق هو مطلق الخروج عن طاعة اللَّه لا خصوص ما يقابل العدالة فقط، فهو شامل للصغائر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الاستظهار متوقّف على أن يكون العدالة والفسق ضدّين لا ثالث لهما، إلّاأنّهما ليسا كذلك؛ إذ الفسق يتحقّق بارتكاب الكبيرة أو الإصرار على الصغيرة فقط</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 يرتكب ذنباً، أو لم يشهد عليه بذلك شاهدان، فهو أهل العدالة والستر، وشهادته مقبولة، وإن كان في نفسه مذنباً</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حيث يدلّ بإطلاقه على أنّ الذنب يخلّ بالعدالة، والصغيرة أيضاً من</w:t>
      </w:r>
    </w:p>
    <w:p>
      <w:pPr>
        <w:pStyle w:val="BookText"/>
        <w:rPr/>
      </w:pPr>
      <w:r>
        <w:rPr>
          <w:rFonts w:ascii="Amiri" w:hAnsi="Amiri" w:eastAsia="Amiri" w:cs="Amiri"/>
          <w:color w:val="111111"/>
          <w:sz w:val="28"/>
          <w:sz w:val="28"/>
          <w:szCs w:val="28"/>
          <w:rtl w:val="true"/>
          <w:lang w:bidi="ar-SA"/>
        </w:rPr>
        <w:t>الذنب، وعلى الأقلّ لتركها دخل في كشف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أيضاً؛ حيث إنّ المعاصي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والصغيرة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 الانحراف عن جادّة الشرع، فإذا كانت العدالة عبارة عن الاستقامة والاستواء على طريق الشريعة فهي لا تكون متحقّقة بحصول الانحراف يسيره أو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أي‌تحقّق الانحراف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العقوبة الفعلية أو عدمه، فالعفو عن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 عليه الكتاب</w:t>
      </w:r>
      <w:r>
        <w:rPr>
          <w:rStyle w:val="FootnoteAnchor"/>
          <w:rtl w:val="true"/>
        </w:rPr>
        <w:footnoteReference w:id="667"/>
      </w:r>
      <w:r>
        <w:rPr>
          <w:rFonts w:ascii="Amiri" w:hAnsi="Amiri" w:eastAsia="Amiri" w:cs="Amiri"/>
          <w:color w:val="111111"/>
          <w:sz w:val="28"/>
          <w:sz w:val="28"/>
          <w:szCs w:val="28"/>
          <w:rtl w:val="true"/>
          <w:lang w:bidi="ar-SA"/>
        </w:rPr>
        <w:t>والسنّة</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عدالة مرتكبها؛ لأنّ العفو عن المؤاخذة لا يلازم عدم الفسق والانحراف، كما أنّ العفو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ارتكاب الكبائر طيلة عمره، وهذا ممّا لا يمكن إحرازه إلّابإتيان الواجبات وترك المحرّمات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 من الوجوه لم يصرّح فيها بأنّ ارتكاب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لزوال العدالة، ومن المحتمل أن يراد بالذنوب المخلّة بالعدالة الكبائر منها دون الصغائر، ولذا احتاط الماتن قدس سره وجوباً في زوال العدالة بارتكاب الصغيرة؛ فإنّ النصّ المعتبر لم يعتبر أزيد من اجتناب الكبائر في تحقّق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العدالة بعد زوالها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بارتكاب الكبائر، أو الإصرار على الصغائر، أو الصغيرة مطلقاً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 فيما إذا كانت ملكتها باقية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العدالة ملكة تؤثّر في نفس المكلّف وتدعوه لترك المعاصي، وتزول تعبّداً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وواقعاً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بارتكابها، حيث إنّ العدالة في الواقع ليست علّة تامّة لترك المعاصي، بل هي مقتضٍ لذلك قد أخذها الشارع</w:t>
      </w:r>
    </w:p>
    <w:p>
      <w:pPr>
        <w:pStyle w:val="BookText"/>
        <w:rPr/>
      </w:pPr>
      <w:r>
        <w:rPr>
          <w:rFonts w:ascii="Amiri" w:hAnsi="Amiri" w:eastAsia="Amiri" w:cs="Amiri"/>
          <w:color w:val="111111"/>
          <w:sz w:val="28"/>
          <w:sz w:val="28"/>
          <w:szCs w:val="28"/>
          <w:rtl w:val="true"/>
          <w:lang w:bidi="ar-SA"/>
        </w:rPr>
        <w:t>علّة تعبّدية لذلك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المعصية الصادرة أحياناً من العادل بحيث تكشف عن زوال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فعود العدالة يتوقّف على تحقّق مقدّمات ثبوتها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تكن المعصية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صدر من المكلّف ما ينافي العدالة من دون تكرّر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وإن لم يتحقّق الاجتناب الناشئ عن الملكة إلّاأنّ مجرّد ذلك لا يدلّ على زوال الملكة، فإذا تاب المكلّف فيزول المانع ويعود المكلّف إلى الحالة السابقة التي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تقتضيه الأخبار الدالّة على أنّ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بأشكالها المختلفة وبمراتبها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زوال أثر المعصية، فقد اشتهر عن الأئمّة الأطهار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فحال التائب يكون كحال من لم يرتكب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ظاهر ولا خلاف فيه، إلّاأنّه وقع الكلام في حقيقة التوبة التي تؤثّر في زوال أثر المعصية،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التوبة هي الرجوع من الذنب إلى الربّ، وهذا المعنى يناسب معناها اللغوي، وهذه الحالة تحصل للعبد بعد طيّ المراتب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من الجهل والغرور إلى العلم والإقرار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المعصية وإساءة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التحزّن والتأسّف على صدور المعصية من فاعلها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عدم العود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مغفرة اللَّه وعفوه عن المعصية قلباً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من فعل المعصية إلى تركها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عن التقصير بالتدارك والتلافي لما فات؛ من قضاء أو إيفاء للحقوق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المرتبة الاولى كلّها من مراتب التوبة الحالية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 فيها 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اعتبار لحوقه بالاستغفار؛ كما في خبر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أذنب ذنباً فندم عليه، إلّاغفر اللَّه له قبل أن يستغفر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 في بعضها بغضّ المعصية وكذا التأسّف على إتيان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كما في خبر ابن أبي عمير عن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يذنب ذنباً إلّاأساءه ذلك وندم عليه، ومن سرّته حسنته وساءته سيّئته فهو مؤمن، فمن لم يندم على ذنب يرتكبه فليس بمؤمن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طائفة اخرى اعتُبر في التوبة العزم على عدم العود؛ كما في الخبر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هي تصديق القلب، وإضمار أن لا يعود إلى الذنب الذي استغفر منه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وفسّرت التوبة 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يتوب الرجل من ذنب، وينوي أن لا يعود عليه أبداً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طائفة رابعة من الأخبار عُدّ الاستغفار توبةً ودواءً للذنوب؛ كما في خبر السكوني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داء دواء، ودواء الذنوب الاستغفار</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مجموع الأخبار أنّ حقيقة التوبة متقوّمة بركنين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الندم على الذنب، وثانيهما العزم على عدم العود إليه، كما أشار الماتن قدس سره إلى ذلك في شرح الحديث السابع عشر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التوبة لها شرائط للقبول، وعمدتها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حقوق المخلوقين التي ضيّعها المكلّف،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ما فوّته في حقوق الخالق بفعل ما فاته من الوظائف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لها شرائط للكمال وأهمّها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إذابة اللحم الذي نبت على السحت بالأحزان،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إذاقة ألم الطاعة للنفس كما أذقتها حلاوة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استفادة جميع ذلك ممّا روي عن عليّ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قائلًا بحضرته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امّك، أتدري ما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الاستغفار درجة العلّيين، وهو اسم واقع على ستّة معانٍ،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سبحانه أملس ليس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 فتذيبه بالأحزان؛ حتّى تُلصق الجلد بالعظم وينشأ بينهما لحم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تُذيق الجسم ألم الطاعة كما أذقته حلاوة المعصية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فالاستغفار ليس بنفسه توبة، بل هو تعويذ إلى الربّ الغفّار كي يتوب عليه،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عن التوبة بمعنى الندم، وأمّا ركنا التوبة فهما المعنيان الأوّلان المذكوران في كلام الإمام عليه السلام، وشرطا قبولها هما المعنيان الثالث والرابع، وشرطا كمالها هما المعنيان الخامس والسادس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فالعادل الذي صدر عنه ذنب أحياناً،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أي‌الندم والعزم على ترك العود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ما كان عليه من العدالة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لتحقيق التوبة وأركانها وشرائطها ومراتبها مباحث طويلة نافعة تطلب من كتب الأخلاق وغيرها</w:t>
      </w:r>
      <w:r>
        <w:rPr>
          <w:rFonts w:eastAsia="Amiri" w:cs="Amiri" w:ascii="Amiri" w:hAnsi="Amiri"/>
          <w:color w:val="111111"/>
          <w:sz w:val="28"/>
          <w:szCs w:val="28"/>
          <w:rtl w:val="true"/>
          <w:lang w:bidi="ar-SA"/>
        </w:rPr>
        <w:t>.</w:t>
      </w:r>
      <w:bookmarkStart w:id="279" w:name="pg1790_14940"/>
    </w:p>
    <w:p>
      <w:pPr>
        <w:pStyle w:val="Heading3"/>
        <w:numPr>
          <w:ilvl w:val="2"/>
          <w:numId w:val="1"/>
        </w:numPr>
        <w:rPr/>
      </w:pPr>
      <w:bookmarkStart w:id="280" w:name="__RefHeading___Toc2371728_3650668749"/>
      <w:bookmarkStart w:id="281" w:name="_Toc102"/>
      <w:bookmarkEnd w:id="279"/>
      <w:bookmarkEnd w:id="280"/>
      <w:r>
        <w:rPr>
          <w:rtl w:val="true"/>
        </w:rPr>
        <w:t>حكم نقل الفتوى خطأً</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نقل شخص فتوى المجتهد خطأً يجب عليه إعلام من تعلّم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نقل الفتوى خطأً</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لهذه المسألة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الفتوى الصحيحة للمفتي حكماً ترخيصياً، بينما نقل الناقل فتواه على أنّها حكم إلزامي، قد يقال بوجوب الإعلام ويتمسّك لذلك بما دلّ على وجوب تبليغ الأحكام الشرعية كآية النفر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استشكل على التمسّك بهذه الآية وما شابهها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وما شابهها ليس فيها دلالة على أزيد من وجوب تبليغ الأحكام الشرعية إلى الناس بصورة عامّة، وأمّا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إيصال الأحكام إلى الناس فرداً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مستفاداً من هذه الأدلّة؛ وإلّا لكان على كلّ من يعلم حكماً شرعياً إبلاغه إلى كلّ فردٍ فردٍ، وهذا ممّا لم يلتزم به أحد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ناقش شخص في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نّنا لو قبلنا القول بأنّ المناط في وجوب</w:t>
      </w:r>
    </w:p>
    <w:p>
      <w:pPr>
        <w:pStyle w:val="BookText"/>
        <w:rPr/>
      </w:pPr>
      <w:r>
        <w:rPr>
          <w:rFonts w:ascii="Amiri" w:hAnsi="Amiri" w:eastAsia="Amiri" w:cs="Amiri"/>
          <w:color w:val="111111"/>
          <w:sz w:val="28"/>
          <w:sz w:val="28"/>
          <w:szCs w:val="28"/>
          <w:rtl w:val="true"/>
          <w:lang w:bidi="ar-SA"/>
        </w:rPr>
        <w:t>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تبليغ الحكم لمن نتيقّن بكونه غير عالم بالحكم</w:t>
      </w:r>
      <w:r>
        <w:rPr>
          <w:rStyle w:val="FootnoteAnchor"/>
          <w:rtl w:val="true"/>
        </w:rPr>
        <w:footnoteReference w:id="680"/>
      </w:r>
      <w:r>
        <w:rPr>
          <w:rFonts w:ascii="Amiri" w:hAnsi="Amiri" w:eastAsia="Amiri" w:cs="Amiri"/>
          <w:color w:val="111111"/>
          <w:sz w:val="28"/>
          <w:sz w:val="28"/>
          <w:szCs w:val="28"/>
          <w:rtl w:val="true"/>
          <w:lang w:bidi="ar-SA"/>
        </w:rPr>
        <w:t>، فحينئذٍ يجب الإعلام على ناقل الفتوى فيما إذا أخطأ في نقلها؛ حيث يعلم قطعاً أنّ ذلك الشخص المنقول إليه لا يعلم الحكم قطعاً، بل أمره أشدّ؛ حيث إنّه يتخيّل حكماً آخر ليس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ليس كذلك؛ فإنّ مثل هذا المناط في وجوب تبليغ الأحكام ممّا لا سبيل إلى إحرازه،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كونه كذلك هو الذي نجزم بصحّته، حيث إنّه لو كان المناط هو ذلك لوجب على من نفر إلى قومه أن يذهب إلى كلّ من يعلم بأ نّه لا يعلم الحكم قطعاً، ولا يلتزم بذلك أحد، بل الذي التزم به الجميع هو الإبلاغ العامّ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عدم العلم بالحكم لدى بعض الأشخاص ممّا يؤدّي إلى مفسدة عظيمة للمجتمع والدين، فيجب عليه حينئذٍ إبلاغ الحكم إليه بأسرع وقت ممكن، ولكن هذا بلحاظ كون المسألة معنونة بعنوان ثانٍ، وهذا خارج عن موضوع الكلام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الأدلّة لا تدلّ إلّاعلى تبليغ الأحكام الإلزامية؛ لأنّ مثل هذه الأحكام يكون العمل على خلافها موجباً للهلكة ومستوجباً للإنذار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الأحكام الترخيصية فلا محذور في العمل على خلافها؛ بأن يتجنّب عن متعلّقها فيما إذا كان الحكم المنقول هو الحرمة، أو الإتيان بالمتعلّق فيما إذا كان الحكم المنقول هو الوجوب، بل يكون العمل على خلاف الأحكام الترخيصية أولى في موارد احتمال كون الحكم الواقعي إلزامياً، لكن قامت الحجّة الظاهرية على الترخيص؛ حيث إنّه 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يقال بوجود محذور في خصوص هذا الفرض الأخير وهو التزام الشخص المنقول إليه بأنّ الحكم للمسألة هو الحرمة أو الوجوب، مع أنّ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يحدث الإشكال فيما إذا التزم الشخص كذلك مع أنّه يرى أنّ الحكم غير ما التزم به، فيكون من البدعة، وهاهنا لم تتحقّق البدعة فعلًا لا من الناقل ولا من المنقول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مخطئاً في نقله للفتوى، لا عامداً في نقل فتوى غير صحيحة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غير عالم ولا عارف بالحكم والفتوى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الإعلام منحصر بموارد الأحكام الإلزامية، ولكن بنكتة اخرى غير ما تقدّم، وهي أنّ التعليم يعدّ وجوبه طريقياً لا نفسياً؛ بمعنى أنّه إنّما يجب بلحاظ التحفّظ على المصالح الواقعية، والتجنّب عن المفاسد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فالظاهر أنّ التعليم واجب في كلّ مورد يكون التعلّم فيه واجباً، وإلّا فلا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التعلّم فيه غير واجب ولكنّ التعليم فيه واجب، ومن المعلوم أنّ التعلّم في موارد الأحكام الترخيصية ليس واجباً، فلا معنى للقول بكون تعليمها واجباً، ووجوب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آية النفر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بالنسبة إلى الأحكام الإلزامية فحسب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يثار هاهنا إشكال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المنقول خطأً مادام هو من الأحكام الترخيصية فسوف توجب الفتوى المنقولة إلى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أو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الكلفة والمشقّة غير المرادة للشارع لأنّ الشريعة الإسلامية شريعة سهلة سمحة، ونقل الفتوى قد أوجب فوات هذه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العامّي،</w:t>
      </w:r>
    </w:p>
    <w:p>
      <w:pPr>
        <w:pStyle w:val="BookText"/>
        <w:rPr/>
      </w:pPr>
      <w:r>
        <w:rPr>
          <w:rFonts w:ascii="Amiri" w:hAnsi="Amiri" w:eastAsia="Amiri" w:cs="Amiri"/>
          <w:color w:val="111111"/>
          <w:sz w:val="28"/>
          <w:sz w:val="28"/>
          <w:szCs w:val="28"/>
          <w:rtl w:val="true"/>
          <w:lang w:bidi="ar-SA"/>
        </w:rPr>
        <w:t>فلابدّ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الحكم الترخيصي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يقال في معرض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الأحكام الشرعية بعضها ترخيصية وبعضها إلزامية، وأنّ الترخيصية إنّما تمّ تشريعها لأجل التسهيل على الناس، إلّاأنّ فتوى المفتي بكون شي‌ء ترخيصياً لا يعكس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الترخيص الذي أراده الشارع؛ حيث يحتمل وقوعه في الخطأ في فتواه، ولا سيّما إذا كانت المسألة خلافية، وكان رأيه مخالفاً للمشهور، فكون الحكم في الواقع ترخيصياً شرعياً أمر لا نجزم ولا نقطع به، وبالتالي فإنّ المسألة يكون للاحتياط فيها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بإمكان المجتهد أن لا يفتي بالترخيص بل يقول بالاحتياط في بعض الموارد التي توصّل فيها إلى الحكم الترخيصي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الفتوى الصحيحة للمفتي حكماً إلزامياً، بينما نقل الناقل إلى العامّي الفتوى على أنّها حكم ترخيصي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المحقّق الخوئي رحمه الله إلى وجوب إعلام الفتوى الواقعية، مستدلّاً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العرفي من الأدلّة الناهية عن ارتكاب الأفعال المحرّمة هو كون انتساب الفعل المحرّم إلى شخص مبغوضاً بنحو مطلق؛ أي‌سواء كان الانتساب بالمباشرة أو بالتسبيب، والمقام يعدّ من صغريات الانتساب بنحو التسبيب؛ حيث إنّ ارتكاب الفعل المحرّم يكون في المنقول إليه مستنداً إلى ذلك النقل الخاطئ الصادر من الناقل، فهو ما دام جاهلًا أو غافلًا بالإضافة إلى نقله غير الصحيح يكون معذوراً، وأمّا إذا التفت إلى خطئه فعليه أن يوصل الفتوى الواقعية إلى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تؤيّد هذا، لو لم نقل بأ نّها تدلّ عليه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كلّ مفتٍ ضامن، وقد ورد عن الإمام الصادق عليه السلام أنّه كان</w:t>
      </w:r>
    </w:p>
    <w:p>
      <w:pPr>
        <w:pStyle w:val="BookText"/>
        <w:rPr/>
      </w:pPr>
      <w:r>
        <w:rPr>
          <w:rFonts w:ascii="Amiri" w:hAnsi="Amiri" w:eastAsia="Amiri" w:cs="Amiri"/>
          <w:color w:val="111111"/>
          <w:sz w:val="28"/>
          <w:sz w:val="28"/>
          <w:szCs w:val="28"/>
          <w:rtl w:val="true"/>
          <w:lang w:bidi="ar-SA"/>
        </w:rPr>
        <w:t>قاعداً في حلقة ربيعة الرأي فقال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مفتٍ ضامن</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أفتى الناس بغير علم ولا هدىً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لحقه وزر من عمل بفتياه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كفّارة تقليم المحرم أظفاره على من أفتى بجوازه</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حاصل كلامه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يورد على ما ذكره بمناقشتين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التسليم بكون التسبيب في ارتكاب المحرّم حراماً فليس المقام من صغرياته؛ حيث إنّ وقوع العامّي في الحرام وإن كان مستنداً إلى نقل الناقل، غير أنّه لمّا لم يبادر إلى النقل عن عمدٍ فإطلاق عنوان كونه مسبّباً في غير محلّه؛ فإنّ ما يستفاد من أدلّة الاجتناب عن الحرام هو حرمة تسبيب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لارتكاب حرام، وما نحن فيه ليس كذلك، بل ربّما كان الناقل في المقام متقرّباً إلى اللَّه بذلك النقل الذي تبيّن خطؤه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يمكن ردّ هذه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لكلّ فتوى شأنين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صدورها عن المفتي، وشأن بقائها وعدم رفع يده عنها، ومن المعلوم أنّ المقلّد لا يعمل بالفتوى فيما لو قطع برفع المفتي يده عنها، فللشأن الثاني دور في قضية تقليد المكلف عنه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تحت إرادة الناقل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إليه كون الفتوى باقية لم يرفع اليد عنها، وعمل المكلّف مستند إلى ظهور الفتوى في</w:t>
      </w:r>
    </w:p>
    <w:p>
      <w:pPr>
        <w:pStyle w:val="BookText"/>
        <w:rPr/>
      </w:pPr>
      <w:r>
        <w:rPr>
          <w:rFonts w:ascii="Amiri" w:hAnsi="Amiri" w:eastAsia="Amiri" w:cs="Amiri"/>
          <w:color w:val="111111"/>
          <w:sz w:val="28"/>
          <w:sz w:val="28"/>
          <w:szCs w:val="28"/>
          <w:rtl w:val="true"/>
          <w:lang w:bidi="ar-SA"/>
        </w:rPr>
        <w:t>بقائها، فيصدق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التسبيب للحرام على تركه للإعلام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كبرى حرمة التسبيب للوقوع في الحرام لا تأتي في المقام؛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بلحاظ عدم صدق عنوان التسبيب كما في 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كون الارتكاب الحاصل من المنقول إليه ارتكاباً محرّماً وإن كان ما ارتكبه حراماً في الواقع حسب الفرض؛ فإنّه فرق بين نفس الارتكاب والفعل المرتكب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كون الفعل المرتكب حراماً في الواقع لا يسوّغ نسبة الحرمة إلى ارتكابه، بل صحّة هذه النسبة منوطة بأن كان لمرتكبه التفات وتوجّه إلى حرمته، والعامّي ليس له هذه الالتفات والتوجّه؛ 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يتخيّل أنّ الحكم هنا ترخيصي، فالذي يصدر عنه لا يعدّ ارتكاباً محرّماً لفعل محرّم، وإن صحّ عدّه ارتكاباً لفعل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والناقل وإن سبّب وقوعه في هذا الارتكاب، غير أنّ ما يرتكبه لا يمكن أن نعتبره ارتكاباً محرّماً، وإن كان بالإمكان اعتباره ارتكاباً لفعل هو في الواقع ونفس الأمر محرّم لو كانت فتوى المفتي مصيبة للواقع، وأدلّة الاجتناب عن الفعل المحرّم منصرفة إلى ما إذا كان الارتكاب نفسه محرّماً، أو ما إذا كان للمسبِّب التفات إلى حرمة العمل، والمقام ليس مندرجاً في واحد منهما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المناقشة قابلة للردّ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الانصراف ممّا لا يُرى له وجه؛ فإنّ مردّ الإشكال إلى كون هذه الأدلّة ناظرة إلى ما تحقّق فيه أحد الملاكين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أي‌إمّا أن يكون الارتكاب نفسه محرّماً، أو أن يكون للمسبِّب التفات إلى كون العمل نفسه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هناك صورة ثالثة لا يمكن فيها دعوى انصراف الأدلّة عنها مع عدم اندراجها في أحد ذينك الملاكين؛ وهي صورة انقطاع عدم الالتفات بعد مدّة</w:t>
      </w:r>
    </w:p>
    <w:p>
      <w:pPr>
        <w:pStyle w:val="BookText"/>
        <w:rPr/>
      </w:pPr>
      <w:r>
        <w:rPr>
          <w:rFonts w:ascii="Amiri" w:hAnsi="Amiri" w:eastAsia="Amiri" w:cs="Amiri"/>
          <w:color w:val="111111"/>
          <w:sz w:val="28"/>
          <w:sz w:val="28"/>
          <w:szCs w:val="28"/>
          <w:rtl w:val="true"/>
          <w:lang w:bidi="ar-SA"/>
        </w:rPr>
        <w:t>وعدم استمراره على حاله، 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صورة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لم ينقطع ما للناقل من عدم التفاته إلى كون الفعل محرّماً، وهذه الصورة خارجة عن محلّ البحث والكلام؛ حيث إنّ البحث فيما إذا تبيّن للناقل أنّه أخطأ في بيان الفتوى الواقعية،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نكتة تنتهى بنا إلى وجوب الإعلام على الناقل المخطئ في نقل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أنّنا ذكرنا سابقاً وجود شأنين لكلّ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نقلها من ناحية المفتي أو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ووصولها إلى المكلّف، وشأن بقائها لدى المكلّف كحكم شرعي، والمكلّف لا يحتاج إليها فقط للآن الذي يأخذها من الناقل، بل يريدها لكي يعمل على أساسها في المستقبل، ويلتزم بها كحكم شرعي لكلّ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المفتي والناقل يكونان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تركهما للإعلام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موجبين لظهور الفتوى في البقاء، فهما وإن كانا معذورين بالإضافة إلى الشأن الأوّل لها، غير أنّهما لا يكونان معذورين بالإضافة إلى الشأن الثاني، فلا يصحّ لنا القول بأ نّه لم يكن لهما عمد في بيان الفتوى، فإنّ الفتوى ليس لها الشأن الأوّل فقط حتّى نركّز على عنصر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المشار إليها تلزم بوجوب الإعلام على المفتي والناقل حسب هذا التقريب، إلّاأنّ هذا الوجوب يأتي بالإضافة إلى الفرض الثاني؛ وذلك بلحاظ ما أسلفناه عند التكلّم حول الفرض الأوّل من الفرضين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وجوب الإعلام ثابتاً على الناقل أو المفتي حتّى بالإضافة إلى الفرض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يتمّ ما في المتن من إطلاق وجوب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بلحاظ نكتتين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الأدلّة الواردة في البدعة حرمة كلّ عمل يهيّئ للوقوع</w:t>
      </w:r>
    </w:p>
    <w:p>
      <w:pPr>
        <w:pStyle w:val="BookText"/>
        <w:rPr/>
      </w:pPr>
      <w:r>
        <w:rPr>
          <w:rFonts w:ascii="Amiri" w:hAnsi="Amiri" w:eastAsia="Amiri" w:cs="Amiri"/>
          <w:color w:val="111111"/>
          <w:sz w:val="28"/>
          <w:sz w:val="28"/>
          <w:szCs w:val="28"/>
          <w:rtl w:val="true"/>
          <w:lang w:bidi="ar-SA"/>
        </w:rPr>
        <w:t>في البدعة والاقتراب منها، وعليه فإذا قلنا بأنّ النسبة إلى الدين من دون علم واستناد إلى دليل بدعة فهو، وإلّا لا محيص عن قبول أنّ ما من مفتٍ يفتي بغير علم وينسب إلى الشرع شيئاً من دون استناد إلى دليل فإنّما يكون ذلك عرضة للبدعة من دون شكّ؛ بمعنى أنّه لا يمكن لهذا الشخص أن ينكر أنّ بعض ما يقوله يكون مخالفاً للواقع،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عامداً في أن يقول بعض ما يكون على خلاف الشرع، وهذا لو لم يصدق عليه عنوان البدعة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لما هو عرضة للبدعة، فيشمله ذلك التوعّد الشديد الذي ورد في روايات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الفتوى عند ما تصل إلى المكلّف لا يفترض فيها أن تبقى عنده ولا تذكر لغيره، بل ربّما تصل إلى شخص أو أشخاص آخرين؛ لأنّه يكرّر العمل على أساسها وقد ينقلها لغيره، وربّما تستقرّ هذه الفتوى في عائلته وأبنائه، وعليه يمكن القول بأنّ الناقل أو المفتي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تركهما للإعلام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الاقتراب من البدعة، فيجب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يستفاد من أدلّة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لكي لا ينسب إلى الشارع ما لا يكون مستنداً إلى دليل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القول بوجوب الإعلام بشكل مطلق، كما في المتن</w:t>
      </w:r>
      <w:r>
        <w:rPr>
          <w:rFonts w:eastAsia="Amiri" w:cs="Amiri" w:ascii="Amiri" w:hAnsi="Amiri"/>
          <w:color w:val="111111"/>
          <w:sz w:val="28"/>
          <w:szCs w:val="28"/>
          <w:rtl w:val="true"/>
          <w:lang w:bidi="ar-SA"/>
        </w:rPr>
        <w:t>.</w:t>
      </w:r>
      <w:bookmarkStart w:id="282" w:name="pg1790_14948"/>
    </w:p>
    <w:p>
      <w:pPr>
        <w:pStyle w:val="Heading3"/>
        <w:numPr>
          <w:ilvl w:val="2"/>
          <w:numId w:val="1"/>
        </w:numPr>
        <w:rPr/>
      </w:pPr>
      <w:bookmarkStart w:id="283" w:name="__RefHeading___Toc2371730_3650668749"/>
      <w:bookmarkStart w:id="284" w:name="_Toc103"/>
      <w:bookmarkEnd w:id="282"/>
      <w:bookmarkEnd w:id="283"/>
      <w:r>
        <w:rPr>
          <w:rtl w:val="true"/>
        </w:rPr>
        <w:t>ابتلاء المصلّي بمسألة يجهل حكمها</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في أثناء الصلاة مسألة لا يعلم حكمها، ولم يتمكّن حينئذٍ من استعلامها، بنى على أحد الطرفين؛ بقصد أن يسأل عن الحكم بعد الصلاة؛ وأن يعيدها إذا ظهر كون المأتيّ به خلاف الواقع، فلو فعل كذلك فظهرت المطابقة صحّت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ابتلاء المصلّي بمسألة يجهل حكمها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في حدّ الجواز واضحة، بناءً على ما تقرّر في محلّه من كفاية مطابقة العمل المأتيّ به للمأمور به في الواقع للحكم بالصحّة، وإن كان المكلّف شاكّاً في هذه المطابقة عند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اللازم تحقّق قصد القربة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شكّه في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الإتيان، ويمكن تحقّقه بالإتيان بالعمل رجاءً للمطابقة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يجوز له أن يبني على أحد الطرفين بقصد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عن الحكم بعد الصلاة، وأن يعيدها إذا ظهر كون المأتيّ به خلاف الواقع، فإذا فعل ذلك بهذا القصد ثمّ ظهرت المطابقة صحّت صلاته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وجه التقييد بهذا القصد ليس إلّالتصحيح وتحقيق قصد القربة المتمشّي من خلال رجاء المطابقة، فالرجاء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لتمشّي قصد القربة من</w:t>
      </w:r>
    </w:p>
    <w:p>
      <w:pPr>
        <w:pStyle w:val="BookText"/>
        <w:rPr/>
      </w:pPr>
      <w:r>
        <w:rPr>
          <w:rFonts w:ascii="Amiri" w:hAnsi="Amiri" w:eastAsia="Amiri" w:cs="Amiri"/>
          <w:color w:val="111111"/>
          <w:sz w:val="28"/>
          <w:sz w:val="28"/>
          <w:szCs w:val="28"/>
          <w:rtl w:val="true"/>
          <w:lang w:bidi="ar-SA"/>
        </w:rPr>
        <w:t>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إلّامع هذا القصد؛ وإلّا فكيف يمكن له إضافة فعله إلى اللَّه تعالى مع عدم قصده؛ سعياً لإحراز مطابقة فعله لما طلبه اللَّه تعالى منه، أو إعادته صحيحاً لو لم يطابق؟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على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في حدّ الوجوب، فيجب عليه أن يبني على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في المتن، وهذا بخلاف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يعلّق عليه السيّد الإمام قدس سره بشي‌ء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له أن يبني على أحد الطرفين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فيقع الكلام في وجه الوجوب في المسألة بعد الفراغ عن جواز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للمسألة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إمّا أن تكون واجبة أو تكون مندوبة، وعلى كلّ منهما تارةً يمكنه الاحتياط وإحراز الصحّة في الأثناء كما لو شكّ جزء غير ركني وأمكن تكراره، واخرى لا يمكنه ذلك كما لو شكّ في إتيان الجزء الركني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الصلاة واجبة وكان لا يمكن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بحرمة قطع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الماتن قدس سره</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البناء على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المتن؛ وذلك لأنّه مقتضى حرمة القطع، وبما أنّ الاحتياط غير ممكن فتصل النوبة إلى التخيير فيتخيّر أحد الطرفين ويبني عليه، ثمّ بعد السؤال عن المسألة لو تبيّن انطباق ما عمله على ما هو الصحيح فهو، وإلّا أعادها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حرمة القطع هو الإجماع، وهو دليل لبّي يؤخذ فيه بالقدر المتيقّن، وهو غير صورة ما إذا قطع الصلاة لأجل تصحيح العمل بعد السؤال عن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شمول الدليل لصورةٍ يكون جهله بالمسألة في الأثناء لأجل عدم تعلّم الأحكام وتقصيره في هذه الجهة؛ حيث إنّ الواجب على المكلّف تعلّم المسائل التي يعلم أو يحتمل عقلائياً ابتلاءه بها؛ وذلك لأنّ هذه الصورة من الجهل ملحقة بصورة تعمّد القطع باختياره من دون عذر؛ فإنّ الامتناع بالاختيار لا يعدّ عذراً عند العقل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لأجل القاعدة الفلسفية المعروفة القائلة بأنّ الامتناع بالاختيار لا ينافي الاختيار، بل لقاعدة عقلائية اخرى مقتضية لذلك</w:t>
      </w:r>
      <w:r>
        <w:rPr>
          <w:rStyle w:val="FootnoteAnchor"/>
          <w:rtl w:val="true"/>
        </w:rPr>
        <w:footnoteReference w:id="687"/>
      </w:r>
      <w:r>
        <w:rPr>
          <w:rFonts w:ascii="Amiri" w:hAnsi="Amiri" w:eastAsia="Amiri" w:cs="Amiri"/>
          <w:color w:val="111111"/>
          <w:sz w:val="28"/>
          <w:sz w:val="28"/>
          <w:szCs w:val="28"/>
          <w:rtl w:val="true"/>
          <w:lang w:bidi="ar-SA"/>
        </w:rPr>
        <w:t>، ومقتضية للوم من يقوم بعمل كان له نحو قبح فعلي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جهله قصورياً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لا يحتمل احتمالًا عقلائياً ابتلاءه بهذه المسألة، أو غفل عنها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خارج عن القدر المتيقّن من دليل حرمة القطع، فله أن يقطع الصلاة ويسأل عن الحكم ويصلّي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أمكن الاحتياط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يحتاط؛ رعايةً لجانب حرمة قطع الفريضة، وتفريغاً للذمّة عن وجوب الصلاة صحيحةً؛ وقد ذكر الماتن قدس سره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أنّ هذا هو الأحوط</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هذا الاحتياط لا يجب كحكم شرعي مُفتى به؛ ولذا لم يفت به الماتن قدس سره في التعليقة، بل جعله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في كلامه احتياطاً وجوبياً في اصطلاحهم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دليل يعتمد عليه لوجوب هذا الاحتياط؛ لأنّ تفريغ الذمّة لا ينحصر طريقه بهذا الاحتياط، بل له أن يبني على أحد الطرفين رجاءً لمطابقته للواقع أو وظيفته الواقعية، فإذا انكشفت المطابقة فقد حصل تفريغ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 وجه القول بالاحتياط الوجوبي هو أنّه أقرب زماناً إلى تفريغ الذمّة، وأقرب مرتبةً ومعنويةً إلى العبودية، أو أنّ وجهه هو فتوى المشهور بذلك لو ثبت ذلك ولعلّ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لاحتراز الفقيه عن الإفتاء بما يخالف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أمكنه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البناء على أحد الطرفين إلى آخر ما ذكره الماتن، بل له أن يحتاط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الصلاة الواجبة، وأمّا لو كانت الصلاة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بحرمة قطعها أيضاً فالكلام الكلام، وإلّا فلا وجه لوجوب البناء على أحد الطرفين، بل له أن يقطع ويسأل ويصلّي صلاة صحيحة أيضاً، كما أنّ له الاحتياط إذا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المعتبرة لتعلّق القصد به عند الإتيان، أو لكشف الصحّة بعد الصلاة، لا يراد بها خصوص المطابقة بحسب الواقع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يتراءى بدواً من كلام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هو المطابقة لما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الواقع لو انكشف له، أو فتوى من يقلّده، أو فتوى نفسه لو كان المكلّف المفروض مجتهداً ولم يستنبط المسألة بعدُ، أو استنبط ولم يذكر ما استنبطه في أثناء العمل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لعدم خصوصية في المقام للواقع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 الماتن قدس سره وغيره في المقام أنّ مفروض كلامهم ما إذا كان المكلّف في سعة الوقت؛ ولذا عبّروا بالإعادة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يتعرّضوا للقضاء خارج الوقت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في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الضيق حتّى بالنسبة إلى الاحتياط في الأثناء، فحينئذٍ يجب عليه البناء على أحد الطرفين وإن أمكنه الاحتياط؛ لأنّ</w:t>
      </w:r>
    </w:p>
    <w:p>
      <w:pPr>
        <w:pStyle w:val="BookText"/>
        <w:rPr/>
      </w:pPr>
      <w:r>
        <w:rPr>
          <w:rFonts w:ascii="Amiri" w:hAnsi="Amiri" w:eastAsia="Amiri" w:cs="Amiri"/>
          <w:color w:val="111111"/>
          <w:sz w:val="28"/>
          <w:sz w:val="28"/>
          <w:szCs w:val="28"/>
          <w:rtl w:val="true"/>
          <w:lang w:bidi="ar-SA"/>
        </w:rPr>
        <w:t>هذا المحذور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المحذورات التي يمتنع معها الاحتياط كتكرار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الضيق من حيث القطع والإعادة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أمكنه الاحتياط في الأثناء وجب عليه ذلك حتّى لو قلنا بعدم حرمة قطع الفريضة؛ لأنّ تفريغ الذمّة في حال ضيق الوقت ينحصر طريقه بهذا الاحتياط، وبه يمتاز عمّا قلناه سابقاً في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الصلاة مندوبة، وقلنا بعدم حرمة قطعها، فلا يحرم قطعها، كما 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الوقت في المندوبة،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يمكنه الاحتياط فيجب عليه البناء على أحد الطرفين، ولا يجوز له القطع وإن قلنا بعدم حرمة قطع الصلاة؛ لأنّ ذلك مقتضى وجوب رعاية الوقت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المندوبة أمرها سهل كما ذكرنا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التكليفية في المقام لا ينبغي خلطها بالفساد في المقام، فلو قلنا بحرمة 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نفساً أو لضيق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ذلك صحّة صلاته المعادة في الوقت أو المقضية في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فرض وجوب الاحتياط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الوقت ضيّقاً بالنسبة إلى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تركه وبنى على أحد الطرفين، وانكشف مطابقة المأتيّ به مع المأمور به، فلا منافاة بين عدم جواز الإقدام على هذا البناء تكليفاً، وصحّة صلاته لو انكشف الانطباق وضعاً</w:t>
      </w:r>
      <w:r>
        <w:rPr>
          <w:rFonts w:eastAsia="Amiri" w:cs="Amiri" w:ascii="Amiri" w:hAnsi="Amiri"/>
          <w:color w:val="111111"/>
          <w:sz w:val="28"/>
          <w:szCs w:val="28"/>
          <w:rtl w:val="true"/>
          <w:lang w:bidi="ar-SA"/>
        </w:rPr>
        <w:t>.</w:t>
      </w:r>
      <w:bookmarkStart w:id="285" w:name="pg1790_14953"/>
    </w:p>
    <w:p>
      <w:pPr>
        <w:pStyle w:val="Heading3"/>
        <w:numPr>
          <w:ilvl w:val="2"/>
          <w:numId w:val="1"/>
        </w:numPr>
        <w:rPr/>
      </w:pPr>
      <w:bookmarkStart w:id="286" w:name="__RefHeading___Toc2371732_3650668749"/>
      <w:bookmarkStart w:id="287" w:name="_Toc104"/>
      <w:bookmarkEnd w:id="285"/>
      <w:bookmarkEnd w:id="286"/>
      <w:r>
        <w:rPr>
          <w:rtl w:val="true"/>
        </w:rPr>
        <w:t>الوكيل في عمل عن الغير</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عمل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كإجراء عقد أو إيقاع، أو أداء خمس أو زكاة أو كفّارة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يعمل بمقتضى تقليد الموكِّل، لا تقليد نفسه إذا كانا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الوكيل في عمل عن الغير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الماتن قدس سره في هذه المسألة لأربعة عناوين، يجمعها نحوٌ من النيابة عن الغير في إتيان العمل؛ وهي الوكالة والإجارة والوصاية والولاية، من جهة اختلاف تقليد العامل مع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عرّفها الماتن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أمر إلى الغير ليعمل له حال حياته، أو إرجاع أمر من الامور إليها له حالها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على الوكيل التحفّظ التامّ على إتيان الأمر المفوّض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وحدود الوكالة دائرة مدار تعيين الموكِّل سعةً وضيقاً وكيفيةً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هذا من جهة الثبوت واضح في مسألتنا هذه، فلو وكّله في إتيان العمل على طبق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للوكيل التعدّي عنه، ولو وكّله في إتيان العمل</w:t>
      </w:r>
    </w:p>
    <w:p>
      <w:pPr>
        <w:pStyle w:val="BookText"/>
        <w:rPr/>
      </w:pPr>
      <w:r>
        <w:rPr>
          <w:rFonts w:ascii="Amiri" w:hAnsi="Amiri" w:eastAsia="Amiri" w:cs="Amiri"/>
          <w:color w:val="111111"/>
          <w:sz w:val="28"/>
          <w:sz w:val="28"/>
          <w:szCs w:val="28"/>
          <w:rtl w:val="true"/>
          <w:lang w:bidi="ar-SA"/>
        </w:rPr>
        <w:t>صحيحاً ولو بنظر نفس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العمل كذلك، كما أنّه لو قيّده مثلًا بنظر نفس الوكيل فلا يجوز له التعدّي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النزاع في مقام الإثبات؛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الوكالة يقتضي إيكال تطبيق العمل الموكّل عليه إلى نظر الوكيل، نعم إذا اتّفق التفات الموكّل إلى الاختلاف في التطبيق، فقد يشكل ذلك من جهة أنّ نظر الموكّل مانع من عموم التوكيل لمورد الاختلاف، 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يمنع من عمومه بنظر الموكّل تفصيلًا، لكن لا يمنع من عمومه إجمالًا، وهو كافٍ في جواز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قرينة على تقييد الوكالة بالعمل بنظر الموكّل، أو كان ما يصلح أن يكون قرينة على ذلك، لم يصحّ عمل الوكيل بنظره المخالف لنظر الموكّل، وإن لم يكن كذلك فإطلاق التوكيل يقتضي جواز عمل الوكيل بنظره، ومجرّد التفات الموكّل إلى الاختلاف غير كافٍ في تقييد إطلاق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مقام الإثبات لا مانع من الأخذ بالإطلاق إذا تمّت مقدّمات الحكمة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واورد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هي الاستنابة في التصرّف، فهي تسبيب للعمل على يد الوكيل، ومن هنا يصحّ إسناد العقود أو الإيقاعات التي يوقعها الوكيل إلى الموكّل، ويكون هو المخاطب بالوفاء بها؛ لأنّ عمل الوكيل عمل للموكّل، فلا محالة تنصرف الوكالة إلى ما يراه الموكّل صحيحاً؛ لعدم ترتّب أثره على غيره عند الموكّل، سواء في ذلك المعاملات والعبادات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توكيل الغير في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ترتيب الأثر على فعله عند الموكّل، والاكتفاء بعمله عن المباشرة؛ فإنّ الشخص لا يوكّل غيره في إعطاء الخمس أو الزكاة أو الإتيان بعبادة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إلّالغرض إفراغ ذمّته عن التكليف، كما</w:t>
      </w:r>
    </w:p>
    <w:p>
      <w:pPr>
        <w:pStyle w:val="BookText"/>
        <w:rPr/>
      </w:pPr>
      <w:r>
        <w:rPr>
          <w:rFonts w:ascii="Amiri" w:hAnsi="Amiri" w:eastAsia="Amiri" w:cs="Amiri"/>
          <w:color w:val="111111"/>
          <w:sz w:val="28"/>
          <w:sz w:val="28"/>
          <w:szCs w:val="28"/>
          <w:rtl w:val="true"/>
          <w:lang w:bidi="ar-SA"/>
        </w:rPr>
        <w:t xml:space="preserve">وأمّا الأجير عن الوصيّ أو الوليّ في إتيان الصلاة ونحوها عن الميّت، فالأقوى لزوم مراعاة تقليده؛ لا تقليد الميّت، ولا تقليدهما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نّه لا يوكّل غيره في عقد أو إيقاع إلّالغرض ترتيب الأثر على عقده وإيقاعه، وهذه قرينة عامّة على تخصيص مورد الوكالة بما يراه الموكّل صحيحاً ومفرّغاً لذمّته اجتهاداً أو تقليداً، ومعها لا مجال لتوهّم التمسّك بمقدّمات الحكمة لإثبات الإطلاق</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فإطلاق الوكالة يقتضي العمل على طبق نظر الموكّل، ولو سلّمنا اقتضاء الإطلاق لرعاية الوكيل نظره فلابدّ للانصراف؛ لأنّ التوكيل إنّما يكون من جهة ترتّب الأثر على مورد الوكالة، وما يراه الموكّل فاسداً لا يترتّب عليه الأثر عنده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 يجب عليه رعاية تقليد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مختلفين وأطلق الوكالة، وهو الظاهر من مفروض كلام الماتن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للإجارة في الأجير عن الوصي أو الوليّ في إتيان الصلاة ونحوها عن الميّت، قد أفتى الماتن قدس سره فيها بلزوم مراعاة تقليد الأجير نفسه، لا تقليد الميّت ولا تقليدهما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يمكن أن يستند إليه في هذه الفتوى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قويّاً من مورد كلامه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إتيان الصلاة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مراد الوصي أو الوليّ عند الاستئجار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تفريغ ذمّة الميّت عن الصلاة والصيام مثلًا، أو إيصال ثوابهما إليه، من دون نظر إلى خصوصية تقليدهم،</w:t>
      </w:r>
    </w:p>
    <w:p>
      <w:pPr>
        <w:pStyle w:val="BookText"/>
        <w:rPr/>
      </w:pPr>
      <w:r>
        <w:rPr>
          <w:rFonts w:ascii="Amiri" w:hAnsi="Amiri" w:eastAsia="Amiri" w:cs="Amiri"/>
          <w:color w:val="111111"/>
          <w:sz w:val="28"/>
          <w:sz w:val="28"/>
          <w:szCs w:val="28"/>
          <w:rtl w:val="true"/>
          <w:lang w:bidi="ar-SA"/>
        </w:rPr>
        <w:t xml:space="preserve">وكذا لو أتى الوصيّ بها تبرّعاً أو استئجاراً يجب عليه مراعاة تقليده، لا 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بتفريغ الذمّة أو إيصال الثواب، ولا يحصل هذا الغرض عنده إلّابالإتيان بما هو الصحيح عنده؛ وهو المفرّغ للذمّة أو الموصل إلى الثواب، فيجب عليه رعاية تقليده لا تقليد الميّت و لا تقليد الوصي أو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قيّد الإجارة بما هو الصحيح عند المستأجر، فالأجير لو احتمل صحّة العمل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أي‌مع كونه مخالفاً لتقليده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له العمل على طبق الإجارة، وإن لم يحتمل الصحّة فلا يمكن له العمل بمقتضى الإجارة؛ لأنّه مع البطلان بنظره لا يمكن تمشّي قصد القربة منه، وهذا معناه بطلان الإجارة؛ لعدم إمكان وقوع العمل من هذا الأجير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البيان لا يأتي في المعاملات؛ لأنّها لا فرق فيها بين الإجارة والوكالة من حيث لزوم تسليم مورد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الصحيح بنظر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فيها ما تقدّم في الوكالة ممّا بيّناه في مقام الثبوت والإثبات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للوصاية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 نائب عن الموصي في التصرّف بعد الممات، كما أنّ الوكيل نائب الموكّل في حال الحياة، فالكلام هنا هو ما تقدّم في الوكالة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الوصاية هي إعطاء منصب للوصي لإجراء مفاد الوصية، فالظاهر أنّ الواجب عليه رعاية تقليده، خصوصاً فيما يرجع إلى تفريغ ذمّة الميّت من واجب</w:t>
      </w:r>
    </w:p>
    <w:p>
      <w:pPr>
        <w:pStyle w:val="BookText"/>
        <w:rPr/>
      </w:pPr>
      <w:r>
        <w:rPr>
          <w:rFonts w:ascii="Amiri" w:hAnsi="Amiri" w:eastAsia="Amiri" w:cs="Amiri"/>
          <w:color w:val="111111"/>
          <w:sz w:val="28"/>
          <w:sz w:val="28"/>
          <w:szCs w:val="28"/>
          <w:rtl w:val="true"/>
          <w:lang w:bidi="ar-SA"/>
        </w:rPr>
        <w:t xml:space="preserve">وكذا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إيصال ثواب إليه في عمل؛ لأنّ المفوّض إليه هو تفريغ الذمّة أو إيصال الثواب، ولا يكون هذا إلّابما هو كذلك بنظره لا بنظر الميّت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استُقرب من كلام الماتن قدس سره في كتاب الوصية</w:t>
      </w:r>
      <w:r>
        <w:rPr>
          <w:rStyle w:val="FootnoteAnchor"/>
          <w:rtl w:val="true"/>
        </w:rPr>
        <w:footnoteReference w:id="695"/>
      </w:r>
      <w:r>
        <w:rPr>
          <w:rFonts w:ascii="Amiri" w:hAnsi="Amiri" w:eastAsia="Amiri" w:cs="Amiri"/>
          <w:color w:val="111111"/>
          <w:sz w:val="28"/>
          <w:sz w:val="28"/>
          <w:szCs w:val="28"/>
          <w:rtl w:val="true"/>
          <w:lang w:bidi="ar-SA"/>
        </w:rPr>
        <w:t>هو 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المناسب لما أفتى به هنا من لزوم رعاية الوصي لتقليد نفسه لا تقليد الميّت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للولاية لا شبهة في أنّ الوليّ يعمل على طبق تقليد نفسه، لا تقليد المولّى عليه؛ وذلك لأنّ الولاية منصب شرعي يفوّض فيها أمر المولّى عليه إلى الوليّ، والمفوِّض فيها هو الشارع لا المولّى عليه، فالوليّ يعمل على طبق ما هو وظيفته شرعاً، ومرجع تقليده هو الذي يعيّن له وظائفه الشرعية، وذلك واضح</w:t>
      </w:r>
      <w:r>
        <w:rPr>
          <w:rFonts w:eastAsia="Amiri" w:cs="Amiri" w:ascii="Amiri" w:hAnsi="Amiri"/>
          <w:color w:val="111111"/>
          <w:sz w:val="28"/>
          <w:szCs w:val="28"/>
          <w:rtl w:val="true"/>
          <w:lang w:bidi="ar-SA"/>
        </w:rPr>
        <w:t>.</w:t>
      </w:r>
      <w:bookmarkStart w:id="288" w:name="pg1790_14958"/>
    </w:p>
    <w:p>
      <w:pPr>
        <w:pStyle w:val="Heading3"/>
        <w:numPr>
          <w:ilvl w:val="2"/>
          <w:numId w:val="1"/>
        </w:numPr>
        <w:rPr/>
      </w:pPr>
      <w:bookmarkStart w:id="289" w:name="__RefHeading___Toc2371734_3650668749"/>
      <w:bookmarkStart w:id="290" w:name="_Toc105"/>
      <w:bookmarkEnd w:id="288"/>
      <w:bookmarkEnd w:id="289"/>
      <w:r>
        <w:rPr>
          <w:rtl w:val="true"/>
        </w:rPr>
        <w:t>اختلاف المتعاقدين تقليداً أو اجتهاداً</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معاملة بين شخصين، وكان أحدهما مقلّداً لمن يقول بصحّتها، والآخر مقلّداً لمن يقول ببطلانها، يجب على كلّ منهما مراعاة فتوى مجتهده، فلو وقع النزاع بينهما، يترافعان عند أحد المجتهدين أو عند مجتهد آخر، فيحكم بينهما على طبق فتواه، وينفُذ حكمه على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إذا وقع إيقاع متعلّق بشخصين كالطلاق والعتق ونحوهما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المتعاقدين تقليداً أو اجتهاداً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صغريات الكبرى الجارية في كلّ مورد وقع فيه خلاف بين الشخصين اجتهاداً أو تقليداً في العبادات والعقود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وجذور الآراء المختلفة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وفساداً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البحث عن مفاد أدلّة حجّية الأمارات ومسألة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بالصحّة أو الفساد أو التفصيل أو التبعيض والتفكيك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كلّ من المختلفين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أسّسوه في الاصول من القول بالسببيّة والموضوعية والطريقية البحتة والمعذّرية في الأمارات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الشيخ الأعظم في نظير المسألة؛ حيث جعل الحكم بالصحّة أو الفساد أو التفصيل بينهما مبنياً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اختلف المتعاقدان اجتهاداً أو تقليداً في</w:t>
      </w:r>
    </w:p>
    <w:p>
      <w:pPr>
        <w:pStyle w:val="BookText"/>
        <w:rPr/>
      </w:pPr>
      <w:r>
        <w:rPr>
          <w:rFonts w:ascii="Amiri" w:hAnsi="Amiri" w:eastAsia="Amiri" w:cs="Amiri"/>
          <w:color w:val="111111"/>
          <w:sz w:val="28"/>
          <w:sz w:val="28"/>
          <w:szCs w:val="28"/>
          <w:rtl w:val="true"/>
          <w:lang w:bidi="ar-SA"/>
        </w:rPr>
        <w:t>شروط الصيغة، فهل يجوز أن يكتفي كلّ منهما بما يقتضيه مذهبه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بالنسبة إلى هذين الوجهين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إنّهما مبنيّان على أنّ الأحكام الظاهرية المجتَهد فيها بمنزلة الواقعية الاضطرارية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هي أحكام عذرية لا يعذر فيها إلّامن اجتهد أو قلّد فيها</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التحقيق في مفاد أدلّة حجّية الأمارات، ومنها ظنّ المجتهد ورأيه في عمل نفسه ومقلّديه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حقّقه الأجلّاء ومنهم السيّد المعزّز الماتن</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الطريقية والعذرية عند انكشاف الخلاف، من غير حصول أيّ تبدّل وتحوّل في الواقع وفي مؤدّى الأمارة، فلا محالة تكون الأحكام الظاهرية المجتَهد فيها متعدّدة حسب اختلاف الاجتهادات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 التفكيك بين الأحكام الظاهرية بالقياس إلى شي‌ء واحد وموضوع واحد، حسب اختلاف الأشخاص اجتهاداً أو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في الأبواب الفقهية من العبادات والمعاملات بعزيز؛ فالماء الواحد الشخصي مثلًا طاهر ظاهراً بالنسبة إلى شخص حيث لم تقم عنده بيّنة على نجاسته، فتجري في حقه أصالة الطهارة والحلّ بل واستصحاب الطهارة، وفي الحال نفسه هو نجس لآخر؛ حيث قام وتمّ عنده الدليل على ذلك، وكذا في اللحوم والثياب، بل وفي الأموال والفروج</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القويم بنى السيّد الإمام</w:t>
      </w:r>
      <w:r>
        <w:rPr>
          <w:rStyle w:val="FootnoteAnchor"/>
          <w:rtl w:val="true"/>
        </w:rPr>
        <w:footnoteReference w:id="698"/>
      </w:r>
      <w:r>
        <w:rPr>
          <w:rFonts w:ascii="Amiri" w:hAnsi="Amiri" w:eastAsia="Amiri" w:cs="Amiri"/>
          <w:color w:val="111111"/>
          <w:sz w:val="28"/>
          <w:sz w:val="28"/>
          <w:szCs w:val="28"/>
          <w:rtl w:val="true"/>
          <w:lang w:bidi="ar-SA"/>
        </w:rPr>
        <w:t>وغيره من المحقّقين بنيانه،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كلّ منهما مراعاة فتوى مجتهده، فالمعاملة تكون صحيحة عند أحدهما حسب ما يقتضيه رأي مقلّده، وباطلة عند الآخر وفقاً لفتوى مرجعه، وكلّ يرتّب على العقد الواقع بينهما أثره من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يقع بينهما نزاع من حيث ترتيب آثار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المعاملة عنده صحيحة يرى نفسه مالكاً للمعوّض كما يرى العوض خارجاً عن ملكه؛ ولذا يسعى في تملّكه والتصرّف فيه وتسليم عوضه لصاحبه،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المعاملة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عن تسليم ماله لصاحبه وأخذ مال صاحبه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فبالتالي يترافعان إلى الحاكم، كان الحاكم هو أحد المجتهدين الذي يقلّده أحدهما أو مجتهداً آخر، فيحكم على وفق فتواه، ومن المعلوم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أدلّة نفوذ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الحاكم حاكم على سائر الأمارات والطرق التي منها الفتوى، فيفصل بينهما ويحسم مادّة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فالمتّبع هو حكم الحاكم وإن كان المحكوم عليه مجتهداً أو مقلّداً لمجتهد تخالف فتواه فتوى الحاكم، وهذه القاعدة السارية في باب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كالطلاق والعتق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تسالموا عليه في كتاب القضاء في مسألة نقض الفتوى بالحكم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فما اختاره السيّد المحقّق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من الحكم بفساد المعاملة بالنسبة إليهما، بانياً ذلك على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المعاقدة والمعاملة أمر قائم بالمتعاملين، لا يمكن التفكيك فيها بالحكم بالصحّة في</w:t>
      </w:r>
    </w:p>
    <w:p>
      <w:pPr>
        <w:pStyle w:val="BookText"/>
        <w:rPr/>
      </w:pPr>
      <w:r>
        <w:rPr>
          <w:rFonts w:ascii="Amiri" w:hAnsi="Amiri" w:eastAsia="Amiri" w:cs="Amiri"/>
          <w:color w:val="111111"/>
          <w:sz w:val="28"/>
          <w:sz w:val="28"/>
          <w:szCs w:val="28"/>
          <w:rtl w:val="true"/>
          <w:lang w:bidi="ar-SA"/>
        </w:rPr>
        <w:t>طرف والفساد في طرف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أفاده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بالصحّة بالنسبة إلى الطرفين؛ من حيث تقوّم العقد والمعاملة بهما، فإذا صحّ من جانب لصحّ من جانب آخر</w:t>
      </w:r>
      <w:r>
        <w:rPr>
          <w:rStyle w:val="FootnoteAnchor"/>
          <w:rtl w:val="true"/>
        </w:rPr>
        <w:footnoteReference w:id="701"/>
      </w:r>
      <w:r>
        <w:rPr>
          <w:rFonts w:ascii="Amiri" w:hAnsi="Amiri" w:eastAsia="Amiri" w:cs="Amiri"/>
          <w:color w:val="111111"/>
          <w:sz w:val="28"/>
          <w:sz w:val="28"/>
          <w:szCs w:val="28"/>
          <w:rtl w:val="true"/>
          <w:lang w:bidi="ar-SA"/>
        </w:rPr>
        <w:t>، ممّا لا يمكن المساعدة عليهما في المقام؛ إذ عدم إمكان التفكيك إنّما هو بالنسبة إلى الأحكام الواقعية، وأمّا في الأحكام الظاهرية فالتفكيك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التعليل المذكور في كلامهما من الضعف والترجيح من غير مرجّح</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للمسألة فروعاً اخر تحقيقها خارج عن المقام، وقد حقّقها الأصحاب في باب القضاء وغيره، فليلاحظ</w:t>
      </w:r>
      <w:r>
        <w:rPr>
          <w:rFonts w:eastAsia="Amiri" w:cs="Amiri" w:ascii="Amiri" w:hAnsi="Amiri"/>
          <w:color w:val="111111"/>
          <w:sz w:val="28"/>
          <w:szCs w:val="28"/>
          <w:rtl w:val="true"/>
          <w:lang w:bidi="ar-SA"/>
        </w:rPr>
        <w:t>.</w:t>
      </w:r>
      <w:bookmarkStart w:id="291" w:name="pg1790_14962"/>
    </w:p>
    <w:p>
      <w:pPr>
        <w:pStyle w:val="Heading3"/>
        <w:numPr>
          <w:ilvl w:val="2"/>
          <w:numId w:val="1"/>
        </w:numPr>
        <w:rPr/>
      </w:pPr>
      <w:bookmarkStart w:id="292" w:name="__RefHeading___Toc2371736_3650668749"/>
      <w:bookmarkStart w:id="293" w:name="_Toc106"/>
      <w:bookmarkEnd w:id="291"/>
      <w:bookmarkEnd w:id="292"/>
      <w:r>
        <w:rPr>
          <w:rtl w:val="true"/>
        </w:rPr>
        <w:t>أقسام الاحتياط</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المطلق في مقام الفتوى؛ من غير سبق فتوى على خلافه أو لحوقها كذلك، لا يجوز تركه، بل يجب إمّا العمل بالاحتياط أو الرجوع إلى الغير؛ الأعلم فالأعلم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الاحتياط في الرسائل العملية مسبوقاً بالفتوى على خلافه؛ كما لو قال بعد الفتوى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كذا، أو ملحوقاً بالفتوى على خلافه؛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كذا وإن كان الحكم كذا، أو وإن كان الأقوى كذا، أو كان مقروناً بما يظهر منه الاستحباب؛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والأحوط كذا، جاز في الموارد الثلاثة 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الاحتياط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المتأخّرين من أعيان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الماتن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تقسيم الاحتياط المذكور في الرسائل العملية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بالاحتياط المطلق، وهو الذي لم يكن مسبوقاً ولا ملحوقاً بالفتوى، ولا مقروناً بما يدلّ على الاستحباب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عكس المطلق؛ أي‌ما كان مسبوقاً أو ملحوقاً بالفتوى أو مقروناً بما يدلّ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أوّل من جعل هذا الاصطلاح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02"/>
      </w:r>
      <w:r>
        <w:rPr>
          <w:rFonts w:ascii="Amiri" w:hAnsi="Amiri" w:eastAsia="Amiri" w:cs="Amiri"/>
          <w:color w:val="111111"/>
          <w:sz w:val="28"/>
          <w:sz w:val="28"/>
          <w:szCs w:val="28"/>
          <w:rtl w:val="true"/>
          <w:lang w:bidi="ar-SA"/>
        </w:rPr>
        <w:t>، ثمّ شاع وذاع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فهم قد ذكروا لكلّ واحد منهما أحكاماً،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الاحتياط الواجب ما لا يجوز تركه إلّاإلى بدل كما هو شأن كلّ واجب تخييري؛ إذ مع فرض عدم الاجتهاد ينحصر طريق الخروج عن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في الاحتياط والتقليد، فلو ترك الاحتياط ولم يرجع إلى المجتهد المفتي في المسألة فقد ترك مقتضى العلم الإجمالي من التنجيز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للعامّي على نحو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العمل بالاحتياط، أو الرجوع إلى غير مرجعه ممّن له فتوى في المسألة، مع رعاية الأعلم فالأعلم بناءً على وجوب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هو جواز الاكتفاء بالامتثال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الامتثال التفصيلي الحاصل من التقليد أو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السيّد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اليزدي وكثير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بالاجتزاء بالامتثال الإجمالي الاحتياطي حتّى مع التمكّن من الامتثال التفصيلي الظنّي، أفتى بالتخيير على الإطلاق، ولذا لا يرد عليه ما أورده السيّد الحكيم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بالتخيير لا يتمّ على إطلاقه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النائيني</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والطولية بين الطرق الموجبة للخروج عن عهدة التكليف، لابدّ له في الحكم بالتخيير من التفصيل بين صورة</w:t>
      </w:r>
    </w:p>
    <w:p>
      <w:pPr>
        <w:pStyle w:val="BookText"/>
        <w:rPr/>
      </w:pPr>
      <w:r>
        <w:rPr>
          <w:rFonts w:ascii="Amiri" w:hAnsi="Amiri" w:eastAsia="Amiri" w:cs="Amiri"/>
          <w:color w:val="111111"/>
          <w:sz w:val="28"/>
          <w:sz w:val="28"/>
          <w:szCs w:val="28"/>
          <w:rtl w:val="true"/>
          <w:lang w:bidi="ar-SA"/>
        </w:rPr>
        <w:t>التمكّن من التقليد وعدم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قد تقدّم الكلام في إجزاء الاحتياط وعدم الطولية في مستند المقدّمة والمسألة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الرجوع إلى غير ذلك المرجع مع رعاية الأعلم فالأعلم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المانع من الأخذ بقول غيره إنّما هو وجود فتواه في المسألة أو تحقّق التقليد عنه فيها، وحيث إنّه لا فتوى للأعلم والمقلَّد فيها فيجوز الأخذ بقول غيره؛ لوجود المقتضي لحجّية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أدلّة التقليد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المانع، وقد تقدّم ذلك في مستند المسألة الحادية عشرة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الاحتياط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تركه لمكان استحبابه، ولا يجوز في مورده الرجوع إلى غير مقلَّده؛ إذ المفروض أنّ للمقلَّد فتوى في المسألة، ومعها لا يجوز الرجوع إلى غيره؛ لوجود المانع عن ذلك، فللمقلّد في المقام أن يعمل بالاحتياط الاستحبابي، وله أن يتركه ويكتفي بالفتوى فقط،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هاهنا كلام لجملة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الأصل فيه هو كلام الشيخ الأعظم</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للاحتياط قسماً ثالثاً يتعيّن العمل به ولا يجوز الرجوع فيه إلى غير مقلَّده، يسمّونه بالاحتياط الواجب قبال المطلق، ويعدّونه فتوى بوجوب الاحتياط، وهو من سنخ الفتوى لا الاحتياط الوجوبي في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ما أفادوه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يذكره الفقيه من الاحتياط</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مستنده عدم العلم بالحكم الواقعي مع كون الشبهة قبل الفحص التامّ وقبل التحقّق والتأمّل الكاملين حول أدلّة المسألة، ولذلك يحتاط فيها، ولكنّه في نفس الوقت لا يخطّئ غيره في فتواه، وهذا هو الاحتياط المطلق الذي يتخيّر</w:t>
      </w:r>
    </w:p>
    <w:p>
      <w:pPr>
        <w:pStyle w:val="BookText"/>
        <w:rPr/>
      </w:pPr>
      <w:r>
        <w:rPr>
          <w:rFonts w:ascii="Amiri" w:hAnsi="Amiri" w:eastAsia="Amiri" w:cs="Amiri"/>
          <w:color w:val="111111"/>
          <w:sz w:val="28"/>
          <w:sz w:val="28"/>
          <w:szCs w:val="28"/>
          <w:rtl w:val="true"/>
          <w:lang w:bidi="ar-SA"/>
        </w:rPr>
        <w:t>المكلّف فيه بين العمل به وبين الرجوع في مورده إلى غير مقلَّده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مستند الاحتياط العلم والجزم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بعد الفحص والتأمّل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تمامية الأدلّة؛ بحيث يعتقد أنّ من أفتى مستنداً إلى هذه الأدلّة فهو على خطأ، ولذا فهو يفتي بوجوب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الاحتياط يتعيّن العمل به ولا يجوز في مورده الرجوع إلى غير مقلَّده؛ لأنّه بعد الفتوى بالحكم الظاهري ووجوب الاحتياط والاعتقاد بخطأ غيره، لا وجه للترخيص في الرجوع إلى غيره الموجب لترك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الرجوع إلى الغير إنّما هو في صورة عدم إفتاء المقلَّد وعدم تخطئته غيره في الفتوى، ومع الإفتاء بوجوب الاحتياط بعد الفحص واليأس عن الظفر بالدليل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وتخطئة من أفتى بمقتضى الأدلّة غير التامّة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للرجوع إلى غيره</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وهو الظاهر من حاشية المحقّق الخراساني على الرسالة العملية لصاحب الجواهر؛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يحصل للأعلم والمقلَّد بعد الفحص التامّ عن الدليل على الحكم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ظفره بالدليل أو عدم تمامية دلالة الدليل، وشي‌ء منهما لا يوجب جزمه بخطأ غيره في الفتوى؛ إذ حاصل اجتهاده وجهده هو عدم الظفر لا الظفر بالعدم، وعدم فهم دلالة الدليل لا فهم عدم دلالته، وذلك لا يوجب العلم بخطأ الآخر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 المثال المذكور في كلام هؤلاء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قاصد الأربعة من غير قصد</w:t>
      </w:r>
    </w:p>
    <w:p>
      <w:pPr>
        <w:pStyle w:val="BookText"/>
        <w:rPr/>
      </w:pPr>
      <w:r>
        <w:rPr>
          <w:rFonts w:ascii="Amiri" w:hAnsi="Amiri" w:eastAsia="Amiri" w:cs="Amiri"/>
          <w:color w:val="111111"/>
          <w:sz w:val="28"/>
          <w:sz w:val="28"/>
          <w:szCs w:val="28"/>
          <w:rtl w:val="true"/>
          <w:lang w:bidi="ar-SA"/>
        </w:rPr>
        <w:t>الرجوع 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الأخبار المتعارضة وعدم تمامية شي‌ء منها على القصر أو التمام يفتي بالجمع احتياطاً؛ حيث لم يفهم من الأخبار خصوص القصر أو التمام، وأمّا تخطئة غيره في فتياه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من قال بغير ذلك فهو على خطأ وفتواه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كلّما خطّأ الأعلم غيره في فتياه لا يجوز له الترخيص في الرجوع إليه، ولكنّ الكلام كلّ الكلام في ذلك، وأ نّى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يتمّ إطلاق ما في كلام الماتن وغيره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بالتخيير في الاحتياط المطلق بين العمل به وبين الرجوع إلى غير مقلَّده، من غير فرق بين الاحتياطات المذكورة قبل الفحص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الاحتياط لا يعدّ فتوى، والعمل به لا يعدّ تقليداً، فالرجوع في مورده إلى غير المقلّد ليس ممنوعاً حتّى بعد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أرباب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بتعيّن تقليد الأعلم وبمنع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أجازوا الرجوع إلى غيره في الاحتياطات المطلقة مطلقاً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تقدّم في مستند المسألة الحادية عشرة ما ينفع في المقام، فراجع وتأمّل</w:t>
      </w:r>
      <w:r>
        <w:rPr>
          <w:rFonts w:eastAsia="Amiri" w:cs="Amiri" w:ascii="Amiri" w:hAnsi="Amiri"/>
          <w:color w:val="111111"/>
          <w:sz w:val="28"/>
          <w:szCs w:val="28"/>
          <w:rtl w:val="true"/>
          <w:lang w:bidi="ar-SA"/>
        </w:rPr>
        <w:t>.</w:t>
      </w:r>
      <w:bookmarkStart w:id="294" w:name="pg1790_14968"/>
    </w:p>
    <w:p>
      <w:pPr>
        <w:pStyle w:val="Heading3"/>
        <w:numPr>
          <w:ilvl w:val="2"/>
          <w:numId w:val="1"/>
        </w:numPr>
        <w:rPr/>
      </w:pPr>
      <w:bookmarkStart w:id="295" w:name="__RefHeading___Toc2371738_3650668749"/>
      <w:bookmarkStart w:id="296" w:name="_Toc107"/>
      <w:bookmarkEnd w:id="294"/>
      <w:bookmarkEnd w:id="295"/>
      <w:r>
        <w:rPr>
          <w:rtl w:val="true"/>
        </w:rPr>
        <w:t>مصادر التحقيق‌</w:t>
      </w:r>
      <w:bookmarkEnd w:id="296"/>
    </w:p>
    <w:p>
      <w:pPr>
        <w:pStyle w:val="BookText"/>
        <w:rPr/>
      </w:pPr>
      <w:r>
        <w:rPr>
          <w:rFonts w:ascii="Amiri" w:hAnsi="Amiri" w:eastAsia="Amiri" w:cs="Amiri"/>
          <w:color w:val="111111"/>
          <w:sz w:val="28"/>
          <w:sz w:val="28"/>
          <w:szCs w:val="28"/>
          <w:rtl w:val="true"/>
          <w:lang w:bidi="ar-SA"/>
        </w:rPr>
        <w:t>مصادر التحقيق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المصطفوي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ونشر آثار الإمام الخميني قدس سره،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الصدر، الطبعة الاولى، قم، مؤسسة النشر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اسوة،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في اصول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الآمدي علي بن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بيروت، دار الكتاب العربي،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المقدّسة، 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الفحول إلى تحقيق الحقّ من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 دارالسلام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 نشر آثار الإمام الخميني قدس سره،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قم، مؤسسة النشر الإسلامي،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إصباح الشيعة بمصباح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الحسين الكيدري، الطبعة الاولى، قم، مؤسسة الإمام الصادق عليه السلام،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الموقعين عن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عبداللَّه محمد بن أبوبكر المعروف بابن قيّم جوزية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قاهره، مكتبة مصر،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الحسن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بيروت، مؤسسة الأعلمي،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بن الحسن بن يوسف بن المطهّر الحلّي، قم، المطبعة العلمية،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الهداية في التعليقة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ونشر آثار الإمام الخميني قدس سره،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بيروت،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الفوائد في شرح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ميرزا محمّدحسن الآشتياني، الطبعة الحجرية، قم، مكتبة آية اللَّه المرعشي،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أثير الدين أبي عبداللَّه محمّد بن يوسف بن علي بن يوسف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بيروت، دار إحياء التراث العربي،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بن عبدالجواد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دار الكتب العلمية،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ونشر آثار الإمام الخميني قدس سره،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الخميني رحمه الله، مؤسسة تنظيم ونشر آثار الإمام الخميني قدس سره،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ونشر آثار الإمام الخميني قدس سره،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حسن بن يوسف بن المطهّر،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حسن بن يوسف بن المطهّر،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الاوفست عن الطبعة الحجرية،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ونشر آثار الإمام الخميني قدس سره،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الشريعة في شرح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محمّد الفاضل اللنكراني، الطبعة الاولى، قم، مطبعة مهر،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التقوي الاشتهاردي، قم، مؤسسة تنظيم ونشر آثار الإمام الخميني قدس سره،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بالاوفست عن الطبعة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المرتضوية،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إحياء آثار الإمام الخوئي،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الموسوي الخرسان، طهران، دار الكتب الإسلامية،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جعفر السبحاني التبريزي، قم، مؤسسة تنظيم و نشر آثار الإمام الخميني قدس سره،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الحاج آقا حسين الطباطبائي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مهر،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 وإزاحة الاشتباهات عن الطرق والأسناد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الأضواء،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علي بن الحسين بن عبدالعالى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الطبعة الاولى، قم، مؤسسة آل البيت عليهم السلام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عبدالعليم البردوني،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العلم والعمل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وعلم الهدى، قم، منشورات 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بن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عدّة من الفضلاء، الطبعة السادسة، طهران، دار الكتب الإسلامية،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محمّدحسين الغروي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عباس محمّد آل سباع، الطبعة الاولى، قم، أنوار الهدى،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المحقّق الكركي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الحسين بن عبدالعالي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طهران، منشورات الاحتجاج، الطبعة الاولى،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ونشر آثار الإمام الخميني قدس سره،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ولاية الفقيه وفقه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حسينعلي المنتظري، الطبعة الثانية، قم، مكتب الإعلام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النضيد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محمّدحسن المرتضوي اللنگرودي، قم، المطبعة العلمية،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عبدالكريم الحائري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في فقه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الإمام الخوئي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محمّدمهدي الخلخالي، طهران، مطبعة پيام،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الطبعة الحجرية، مؤسسة آل البيت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اصول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الموسوي، الشريف المرتضى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أبو القاسم گرجي، الطبعة الاولى، طهران، جامعة طهران،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الرضي،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القرآن الكريم،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فقهية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الاولى، قم، المؤتمر العالمي بمناسبة الذكرى المئوية الثانية لميلاد الشيخ الأنصاري،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تنظيم ونشر آثار الإمام الخميني،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آية اللَّه المرعشي،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آل البيت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 في شرح أخبار الأئمة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محمّد تقي المجلسي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الثقافة الإسلامي لكوشانپور،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الناظر وجنّة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أحمد بن قدامة المقدسي، الطبعة الاولى، المكتبة الفيصلية بالاوفست من دار الحديث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إسماعيليان،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محمّد بن إبراهيم الشيرازي، صدر المتألهين، الطبعة الاولى، طهران، مؤسسة مطالعات و تحقيقات فرهنگى،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العضدي على مختصر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أحمد بن عبدالغفار، تصحيح أحمد رافر الشهير بشهري المدرس،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تحرير 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سبط الشيخ الأنصاري، الطبعة الاولى، قم، المطبعة العلمية،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الخميني قدس 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تنظيم ونشر آثار الإمام الخميني قدس سره،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 الغفور عطّار، الطبعة الثانية، بيروت، دار العلم للملايين،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الفاضل اللنكراني، قم، مؤسسة تنظيم ونشر آثار الإمام الخميني قدس سره،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محمّدرضا الأنصاري القمي، الطبعة الاولى، قم، المطبعة ستارة،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تعاليق الإمام الخميني، قم، مؤسسة تنظيم ونشر آثار الإمام الخميني قدس سره،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تعليقات عدّة من الفقهاء العظام، الطبعة الاولى، قم، مؤسسة النشر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السيّد مهدي الحسيني اللاجوردي، الطبعة الثانية، منشورات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إلى علم الاصول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بن علي 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الطبعة الاولى، قم، مؤسسة الإمام الصادق عليه السلام،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الاصول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المؤتمر العالمي بمناسبة الذكرى المئوية الثانية لميلاد الشيخ الأنصاري،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الغروية في الاصول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محمّدحسين بن عبدالرحيم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الإسلامي وأدلّته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وهبة الزحيلي، الطبعة الثالثة، دمشق،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حسيني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دارالعلوم،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طهران،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محمّدعلي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محمّدباقر بن محمّد أكمل، قم، مجمع الفكر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الأدلّة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منصور بن محمّد بن عبدالجبار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دارالكتب العلمية،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ميرزا أبوالقاسم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طهران، المكتبة العلمية الإسلامية،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الثالثة، طهران، 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بن نجم أبو 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الاستادي، أصفهان، مكتبة الإمام أمير المؤمنين عليه السلام،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الفقهاء والمجتهدين محمّدعلي الأراكي، الطبعة الاولى، قم، مؤسسة إسماعيليان،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القناع عن وجوه حجّية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الشيخ أسد اللَّه التستري، مؤسسة آل البيت الاوفست عن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 كتاب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بهاء الدين محمّد بن حسن بن محمّد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المقداد بن عبداللَّه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المكتبة الرضوية،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بالاوفست عن طبعة البولاق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علي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عالم الكتب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مبادي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الإعلام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المكتبة المرتضوية،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مكتبة الهلال،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النشر الإسلامي،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النووي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رسائل فقهية واصولية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الأنصاري، السيّد المجدّد الشيرازي، الشيخ الشهيد النوري، الشيخ الكلانتر الطهراني، الطبعة الاولى، قم، مكتبة المفيد،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الإعلام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مؤسسة آل البيت عليهم السلام لإحياء التراث،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على پناه الاشتهاردي، الطبعة الاولى، قم، دار الاسوة،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في فقه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عبدالعزيز الديلمي الملقّب بسلّار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حرمين،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الجبعي 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المعارف الإسلامي،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المستصفى من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قم، انتشارات دار الذخائر، بالاوفست من المطبعة الأميرية ببولاق مصر،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إسماعيليان،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 في شرح 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المجدّد المولى محمّد باقر الوحيد البهبهاني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العلّامة المجدّد الوحيد البهبهاني رحمه الله،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أبوالقاسم الكلانتري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مجمع الفكر الإسلامي، قم، الطبعة الاولى،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محمّدحسين الرضوي، الطبعة الاولى، قم، مؤسسة آل البيت عليهم السلام لإحياء التراث،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جمال الدين الحسن بن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قم، مؤسسة النشر الإسلامي،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سيّد الشهداء عليه السلام،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الفاضل اللنكراني، الطبعة الاولى، مؤسسة تنظيم ونشر آثار الإمام الخميني قدس سره،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و 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منشورات مدينة العلم،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آل البيت عليهم السلام، بالاوفست عن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محمّدجواد بن محمّد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حدوداً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محمّدباقر الخالصي، قم، مؤسسة النشر الإسلامي،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المفضّل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المكتبة المرتضوية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في شرح الرسالة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 الإعلام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مجتبى المحمودي والسيّد منذر الحكيم، الطبعة الاولى، قم، مؤسسة مجمع الفكر الإسلامي،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الإمام الهادي عليه السلام،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المؤتمر العالمي بمناسبة الذكرى المئوية الثانية لميلاد الشيخ الأنصاري،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الأحكام والاصول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الفاضل النراقي، الطبع الحجري، المكتبة آية اللَّه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تنظيم ونشر آثار الإمام الخميني قدس سره،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في تأليفه عدّة من المحقّقين، بيروت، دار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مدينة العلم،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وبهامشه التعليق السيّد محمّدباقر الصدر، الطبعة الثانية، بيروت، دار التعارف للمطبوعات،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الأحكام في بيان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عبدالأعلى الموسوي السبزواري، الطبعة الرابعة، قم، مؤسسة المنار،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أبي العبّاس أحمد بن محمّد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بقلم محمّد الموحّدي الفاضل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الدراية في شرح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آل</w:t>
      </w:r>
    </w:p>
    <w:p>
      <w:pPr>
        <w:pStyle w:val="BookText"/>
        <w:rPr/>
      </w:pPr>
      <w:r>
        <w:rPr>
          <w:rFonts w:ascii="Amiri" w:hAnsi="Amiri" w:eastAsia="Amiri" w:cs="Amiri"/>
          <w:color w:val="111111"/>
          <w:sz w:val="28"/>
          <w:sz w:val="28"/>
          <w:szCs w:val="28"/>
          <w:rtl w:val="true"/>
          <w:lang w:bidi="ar-SA"/>
        </w:rPr>
        <w:t xml:space="preserve">البيت عليهم السلام لإحياء التراث، الطبعة الاولى، قم، 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الوصول إلى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الاوفست عن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منشورات 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مولانا أمير المؤمنين عليه السلام جمعه الشريف الرضي،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صبحي الصالح، قم، دار الهجرة،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عبداللَّه بن محمّد البُشروي الخراساني المعروف بالفاضل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محمّدحسين الرضوي الكشميري، قم، مجمع الفكر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عليهم السلام،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 مع تعاليق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أبوالحسن الأصفهاني، الطبعة الاولى، مؤسسة تنظيم ونشر آثار الإمام الخميني قدس سره،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المسترشدين في شرح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محمّدتقي الأصفهاني، الطبعة الحجرية، قم، مؤسسة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فصل في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تقسيم المياه إلى المطلق و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 المطلق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لا يخرج بالتصعيد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مائع أنه مطلق أو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بجميع أقسامه، يتنجس فيما إذا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تأثر الماء بأوصاف النجاسة، لا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تغير أحد الأوصاف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في الماء المعتصم، متنجس حامل لوصف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المتصل بالجاري حكمه حكم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الجاري و ما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بلا مادة ينجس بملاقاة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قليلا، و شك في أن له مادة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إذا بلغ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 تقديران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المشكوك كريته إن علم حالته السابقة، يبني على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قليلا فصار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المطر حال نزوله من السماء كالجاري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يتنجس إلا بالتغير؛ القطرات 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المطر كل ما أصابه من المتنجسات القابلة للتطهير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النجس إذا وصل إلى جميعه المطر، و نفذ في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السطح نجسا، فنفذ فيه الماء، و تقاطر من السقف حال نزول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الراكد النجس، يطهر بنزول المطر عليه و امتزاجه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الوضوء، لا إشكال في كونه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رفع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طهارة ماء الاستنجاء، سبق الماء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نجس بين أطراف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القول في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إلى جهة بطريق معتبر، ثم تبين 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القول في الخلل الواقع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 بالطهارة من الحدث، بطلت صلاته مع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القول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الصوم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القضاء عن الغير نية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صوم غيره، واجبا كان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لا محل للنية شرعا في الواجب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الشك في أنه من شعبان أو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يوم الشك بانيا على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يوم الشك بنية أنه من شعبان، ثم تناول المفطر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تجب النية في ابتداء الصوم، تجب الاستدامة عليها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القول فيما يجب الإمساك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صدق الأكل و الشرب و لو كانا على النحو غير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بالاستبراء بالبول أو الخرطات لمن احتلم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على الله تعالى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الكذب مجعولا له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رمس الرأس في الماء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ارتمس الصائم مغتسلا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الغليظ إلى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كتاب المكاسب و المتاجر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مقدمة تشتمل على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الاكتساب بالأعيان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و يستثنى من ذلك العصير المغلي قبل ذهاب 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حكم التكسب بالكافر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لا يجوز الاكتساب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بيع ما لا تحله الحياة من أجزاء الميتة، مما كانت له منفعة محللة 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بيع الأرواث الطاهرة إذا كانت لها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بيع المتنجس الذي يقبل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الترياق المشتمل على لحوم الأفاعي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الهرة و يحل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كل ما كان آلة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الخارجة أو المغشوشة، المعمولة لأجل غش الناس، تحرم المعاملة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العنب أو التمر ليعمل خمرا، و الخشب مثلا ليعمل صنما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السلاح من أعداء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تصوير ذوات الأرواح من الإنسان، و الحيوان إذا كانت الصورة 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حرام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معونة الظالمين في ظلمهم، بل في كل محرم،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حفظ كتب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السحر و تعليمه و تعلمه و التكسب به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أخذ الأجرة على ما يجب عليه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اتخاذ بيع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التكسب و تحصيل المعيشة بالكد و التعب محبوب عند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كل من يباشر التجارة، و سائر أنواع التكسب، تعلم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للتجارة و التكسب آداب مستحبة و 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مع الاختيار الدخول في الولايات، و المناصب، و الأشغال من قبل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تأخذه الحكومة من الضريبة على الأراضي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أحد أن يتقبل الأراضي الخراجية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القول في الإيجاب 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البيع يحتاج إلى إيجاب و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تقديم القبول على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الموالاة بين الإيجاب 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العقد التطابق بين الإيجاب 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التلفظ لخرس و نحوه، تقوم الإشارة المفهمة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وقوع البيع بالمعاطاة في الحقير و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المعاطاة جميع ما يعتبر في البيع بالصيغة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بالصيغة لازم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المعاطاتي ليس قابلا للشرط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تجري المعاطاة في سائر المعاملات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يقع البيع و الشراء بمباشرة المالك، يقع بالتوكيل أو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الأحوط تعليق البيع على شي‌ء غير حاصل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المشتري ما ابتاعه بالعقد الفاسد لم يملكه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القول في شروط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كتاب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القول في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المشتري في الحيوان تصرفا يدل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الحيوان في مدة الخيار فهو من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الحادث في الثلاثة من غير تفريط من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لأحدهما أو لهما الخيار بعد الاستئمار و الاستشارة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اختصاص خيار الشرط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الخيار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المبيع و منافعه في هذه المدة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المشروط رده إن كان كليا في ذمة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يقبض البائع الثمن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يتحقق الرد بإيصاله إلى المشتري، يتحقق بإيصاله إلى وكيله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الولي شيئا للمولى عليه ببيع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البائع ينتقل هذا الخيار كسائر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للبائع اشتراط الخيار له برد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للمغبون مطالبة الغابن بتفاوت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ثابت للمغبون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 على الغبن و لم يبادر بالفسخ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الغبن على القيمة حال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سقوطه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إسقاطه بعد العقد و لو قبل ظهور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المغبون بعد العلم بالغبن فيما انتقل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فسخ البائع المغبون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فسخ البائع المغبون لو كان المبيع موجودا عند المشتري، لكن تصرف فيه تصرفا مغيرا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أو اشترى شيئين صفقة واحدة، و كان مغبونا في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الخيار ليس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باشتراط سقوطه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بياض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هذا الخيار في غير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المبيع كان من مال البائع في الثلاثة، و بعدها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يتسارع إليه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هنا بين الرد و الإمساك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هذا الخيار بيع العين الشخصية الغائبة حين المبايعة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فوري عند الرؤية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باشتراط سقوطه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هذا الخيار بمجرد العيب واقعا عند العقد و إن لم يظهر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يثبت الخيار بوجود العيب عند العقد، كذلك يثبت بحدوثه بعده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معيوبا عند العقد، و زال العيب قبل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 المقومون في تقويم الصحيح أو المعيب أو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شيئين صفقة واحدة، فظهر العيب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القول في أحكام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فيما إذا كان الوارث واحدا، و لو تعدد فالأقوى أن الخيار للمجموع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الورثة على الفسخ فيما باعه مورثهم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أحكام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الأقوى جواز وطء الزوجة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وطء الزوجة قبل إكمال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ترك وطء الزوجة أكثر من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أحكام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من الزوج و الزوجة النظر إلى جسد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نظر الرجل إلى ما عدا العورة من مماثله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الرجل أن ينظر إلى جسد محارمه، ما عدا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جواز نظر الرجل إلى ما عدا الوجه و الكفين؛ من المرأة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النظر إلى الأجنبي كالعكس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يحرم النظر إليه يحرم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النظر إلى العضو المبان من الأجنبي و الأجنبية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حرمة النظر و اللمس في الأجنبي و الأجنبية، مقام المعالجة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على الرجل النظر إلى الأجنبية، يجب عليها التستر من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 من هو أكثر تأليفاً هنا على غيره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لمزيد من الاطّلاع على مواضع تطبيقه لهذه المسائل،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وانديشه‌هاى ابن إدريس</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إلى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الدرر النجفية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بتلخيص منّا مع التحفّظ على ألفاظه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وذكر نحوه في الدرر النجفية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كتابشناسي اصول فقه شيعة، تأليف مهدي المهريزي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مأخذشناسي نظام تعليم وتربيت روحانيت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بعض‌المُفَسّرين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واجبٌ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والمراد ببعض مشايخه المعاصرين هو الفاضل النراقي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فقه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أجاب بذلك السيّد الإمام كما في معتمد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والمحقّق الخراساني في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وغيرهم من الأعلام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ذكره كثير من الأعلام،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الإمام قدس سره كما في معتمد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المحقّق الفاضل اللنكراني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تنقيح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العدّة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قواطع الأدلة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إرشاد الفحول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العظام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وبهامشها تعليقات أعلام العصر ومراجع الشيعة الإمامية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العظام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بتقريب تلميذه في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فقهيه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تعاليق الإمام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ظاهر عبارة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وقال الآخوند في تعريف المتجزّي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يقتدر على استنباط بعض الأحكام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شيخنا الاستاذ التبريزي في محاضرات درسه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قضايانا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وقضائنا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العقبى، حاج آقا علي 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كيفية مصرف الخمس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صفات‌القاضي،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ابن الحاجب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الإحكام في اصول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إرشاد الفحول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أعلام الموقعين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اتّبع العامّي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عنه في 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والترجيح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ونظيره في الصفحة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اصول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الإسلامي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المراد من الاحتياط هنا هو مطلقه لا أحوط الأقوال الدارجة أو أحوط القولين‌بين الأعلم وغيره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هذا الإطلاق وجوب تقليد الأعلم مع الإمكان وإن علم عدم اختلافه مع غيره‌وكذلك وإن كان قول غيره موافقاً للاحتياط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بعد؛ تنقيح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بعد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التجزّي هنا هو الأخذ بأحوط أقوال المجتهدين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مع النظر إلى تنقيح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تفطّن أيضاً للإشكال السيّد رضا الصدر في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بعدها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ونقل القول في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معناه وردّه في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تنقيح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ولاية الفقيه، المحقّق المنتظري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تنقيح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الرشتي بحكاية 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بتقرير وثوب آخر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المحقّق الحائري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أبواب المقدّمات وما هو الحجّة في الفقه وما يناسبها،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من أدلّة جواز التخيير في الصورة الاولى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بعينه هو التقريب الذي يأتي في الحجّية التخييرية للمجتهدين المتساويين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وراجع أيضاً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الفيروز آبادي رحمه الله على العروة الوثقى مع تعليقات عدّة من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استفادة هذا المعنى من كلام السيّد الماتن في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الأخذ بأحدهما والقول بحجّيته التخييرية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بناءً على ترتّب القول بالحجّية التخييرية لكلّ منها في كلامه على الأخذ به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المحقّق 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ادّعاه النراقي في مناهج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والسيّد الحكيم في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تصريح السيّد الحكيم بذلك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المحقّق 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المحقّق الحائري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والترجيح،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لو استلزم بطلانه فلماذا أفتى بالاحتياط؟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لا يمكن الاستناد إلى هذا أو ذاك للتعارض أو لغيره من المشاكل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يرى أنّ الاستنباط بحاجة إلى وقت طويل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رعاية الأعلم فالأعلم </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في الاصول، القصّار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 آثاره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كتاب البيع، المحقّق 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من كلمات الأعلام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في ذلك ما أفاده المتتبّع الخبير الشيخ الطهراني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رسالته المعمولة في تأريخ حصر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الأبرار إلى طريق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حسين بن شهاب الدين الكركي وغيرهما من الرسائل والكتب المشتملة على البحث عن الموضوع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السيّد عبد الأعلى السبزواري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الفقه، الاجتهاد والتقليد، السيّد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وكذلك فرائد الاصول، ضمن تراث الشيخ الأعظم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شارع النجاة،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المحقّق 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المحقّق 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المحقّق الأراكي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حيث صرّحوا بعدم وجدان ما يدلّ على التقليد تأسيساً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تنقيح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تنقيح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وراجع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تحرير الوسيلة، الشيخ أحمد سبط 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الجليل الفاضل اللنكراني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المسألتين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مستند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ذلك من المسألة السادسة عشرة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والمسألة الثالثة والخمسين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فإنّه عدّ المسألة محلّ إشكال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في 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تنقيح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النجاة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الاسلامي وادلته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صرح فخر المحققين في ايضاح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سبيل المنصوبين لذلك سبيل المتولين من قبل الواقف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فقه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الوصول إلى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العبادات، السيّد المحقّق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نهاية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الإمام الخميني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الإمام الخميني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الإمام الخميني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المحصول في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المستصفى من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البراءة والاشتغال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فقهية واصولية،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تعليقات عدّة من الفقهاء العظام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فقه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الإمام الخميني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الإمام الخميني قدس 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فقه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الغنيةالنزوع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ممّن يقف عليه المتتبّع في كلماتهم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الكتب الفقهية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وراجع في هذا المجال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تفصيل الشريعة، الاجتهاد والتقليد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والخلل في الصلاة،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في الصلاة،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مع الشكّ وعدم إحراز أحد الأمرين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في الصلاة،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قضاء الصلوات،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في الصلاة،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في الصلاة،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في الصلاة،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في الصلاة،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الخلل في الصلاة،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الإمام الخميني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 الطلاق وشرائطه،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الجماعة،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حياة المحقّق الكركي وآثاره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صلاة الجماعة،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قبيلته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صدر المتألهين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كتاب الحجّ، أبواب آداب السفر،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التقرير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كتاب جهاد النفس، أبواب جهاد النفس،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چهل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وقد نقلها في الدرّ النضيد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يتوهّم</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الإبلاغ العامّ؛ بلحاظ أنّنا متأكّدون من أنّ من بين الناس‌من لا يعلم الحكم قطعاً، لو لم نتأكّد من أنّهم جميعاً لا يعلمون الأحكام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آداب القاضي،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كتاب الحجّ، أبواب بقية كفّارات الإحرام،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فقه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تعاليق الإمام الخميني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لم يعلّق عليه‌الإمام قدس سره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كتاب البيع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مع تعاليق عدّة من الفقهاء العظام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تعاليق الإمام الخميني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السيّد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بحوث في الاصول،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تفصيل الشريعة،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تحرير العروة، السيّد مصطفى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444</Pages>
  <Words>87745</Words>
  <Characters>405694</Characters>
  <CharactersWithSpaces>490342</CharactersWithSpaces>
  <Paragraphs>3098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2026-08-16T18:44:11Z</dcterms:created>
  <dc:creator>ghaemiyeh.com</dc:creator>
  <dc:description/>
  <dc:language>en-US</dc:language>
  <cp:lastModifiedBy/>
  <dcterms:modified xsi:type="dcterms:W3CDTF">2026-08-16T22:14:23Z</dcterms:modified>
  <cp:revision>1</cp:revision>
  <dc:subject/>
  <dc:title>مستند تحریرالوسیله الاجتهاد و التقلید</dc:title>
</cp:coreProperties>
</file>

<file path=docProps/custom.xml><?xml version="1.0" encoding="utf-8"?>
<Properties xmlns="http://schemas.openxmlformats.org/officeDocument/2006/custom-properties" xmlns:vt="http://schemas.openxmlformats.org/officeDocument/2006/docPropsVTypes"/>
</file>