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8.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footer10.xml" ContentType="application/vnd.openxmlformats-officedocument.wordprocessingml.footer+xml"/>
  <Override PartName="/word/footer6.xml" ContentType="application/vnd.openxmlformats-officedocument.wordprocessingml.footer+xml"/>
  <Override PartName="/word/footer5.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5.xml" ContentType="application/vnd.openxmlformats-officedocument.wordprocessingml.footer+xml"/>
  <Override PartName="/word/theme/theme1.xml" ContentType="application/vnd.openxmlformats-officedocument.theme+xml"/>
  <Override PartName="/word/styles.xml" ContentType="application/vnd.openxmlformats-officedocument.wordprocessingml.styles+xml"/>
  <Override PartName="/word/footer9.xml" ContentType="application/vnd.openxmlformats-officedocument.wordprocessingml.footer+xml"/>
  <Override PartName="/word/settings.xml" ContentType="application/vnd.openxmlformats-officedocument.wordprocessingml.settings+xml"/>
  <Override PartName="/word/footer13.xml" ContentType="application/vnd.openxmlformats-officedocument.wordprocessingml.footer+xml"/>
  <Override PartName="/word/footer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document.xml" ContentType="application/vnd.openxmlformats-officedocument.wordprocessingml.document.main+xml"/>
  <Override PartName="/word/footer12.xml" ContentType="application/vnd.openxmlformats-officedocument.wordprocessingml.footer+xml"/>
  <Override PartName="/word/media/image1.png" ContentType="image/png"/>
  <Override PartName="/word/media/image2.jpeg" ContentType="image/jpeg"/>
  <Override PartName="/word/fontTable.xml" ContentType="application/vnd.openxmlformats-officedocument.wordprocessingml.fontTable+xml"/>
  <Override PartName="/word/footer11.xml" ContentType="application/vnd.openxmlformats-officedocument.wordprocessingml.footer+xml"/>
  <Override PartName="/word/footer2.xml" ContentType="application/vnd.openxmlformats-officedocument.wordprocessingml.footer+xml"/>
  <Override PartName="/word/footer14.xml" ContentType="application/vnd.openxmlformats-officedocument.wordprocessingml.footer+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اس</w:t>
      </w:r>
      <w:r>
        <w:rPr>
          <w:rtl w:val="true"/>
        </w:rPr>
        <w:t>_</w:t>
      </w:r>
      <w:r>
        <w:rPr>
          <w:rtl w:val="true"/>
        </w:rPr>
        <w:t>رار الحج</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79377_365066874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779379_3650668749">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779381_3650668749">
            <w:r>
              <w:rPr>
                <w:webHidden/>
                <w:rStyle w:val="IndexLink"/>
                <w:rtl w:val="true"/>
              </w:rPr>
              <w:t>المقدمة</w:t>
            </w:r>
            <w:r>
              <w:rPr>
                <w:rStyle w:val="IndexLink"/>
                <w:rtl w:val="true"/>
              </w:rPr>
              <w:tab/>
            </w:r>
            <w:r>
              <w:rPr>
                <w:rStyle w:val="IndexLink"/>
              </w:rPr>
              <w:t>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84_9185"/>
      <w:bookmarkStart w:id="1" w:name="pg1584_9185"/>
      <w:bookmarkEnd w:id="1"/>
    </w:p>
    <w:p>
      <w:pPr>
        <w:pStyle w:val="Heading2"/>
        <w:numPr>
          <w:ilvl w:val="1"/>
          <w:numId w:val="1"/>
        </w:numPr>
        <w:rPr/>
      </w:pPr>
      <w:bookmarkStart w:id="2" w:name="pg1584_9185"/>
      <w:bookmarkStart w:id="3" w:name="__RefHeading___Toc779377_3650668749"/>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في حوار بين الإمام زين العابدين عليه‌السلام</w:t>
      </w:r>
    </w:p>
    <w:p>
      <w:pPr>
        <w:pStyle w:val="BookText"/>
        <w:rPr/>
      </w:pPr>
      <w:r>
        <w:rPr>
          <w:rFonts w:ascii="Amiri" w:hAnsi="Amiri" w:eastAsia="Amiri" w:cs="Amiri"/>
          <w:color w:val="111111"/>
          <w:sz w:val="28"/>
          <w:sz w:val="28"/>
          <w:szCs w:val="28"/>
          <w:rtl w:val="true"/>
          <w:lang w:bidi="ar-SA"/>
        </w:rPr>
        <w:t>والشبلي</w:t>
      </w:r>
    </w:p>
    <w:p>
      <w:pPr>
        <w:pStyle w:val="BookText"/>
        <w:rPr/>
      </w:pPr>
      <w:r>
        <w:rPr>
          <w:rFonts w:ascii="Amiri" w:hAnsi="Amiri" w:eastAsia="Amiri" w:cs="Amiri"/>
          <w:color w:val="111111"/>
          <w:sz w:val="28"/>
          <w:sz w:val="28"/>
          <w:szCs w:val="28"/>
          <w:rtl w:val="true"/>
          <w:lang w:bidi="ar-SA"/>
        </w:rPr>
        <w:t xml:space="preserve">المولف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مقدادي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w:t>
      </w:r>
      <w:bookmarkStart w:id="5" w:name="pg1584_918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 w:name="__RefHeading___Toc779379_3650668749"/>
      <w:bookmarkStart w:id="7" w:name="_Toc2"/>
      <w:bookmarkEnd w:id="5"/>
      <w:bookmarkEnd w:id="6"/>
      <w:r>
        <w:rPr>
          <w:rtl w:val="true"/>
        </w:rPr>
        <w:t>هوية الكتاب</w:t>
      </w:r>
      <w:bookmarkStart w:id="8" w:name="pg1584_9187"/>
      <w:bookmarkEnd w:id="7"/>
    </w:p>
    <w:p>
      <w:pPr>
        <w:pStyle w:val="Heading2"/>
        <w:numPr>
          <w:ilvl w:val="1"/>
          <w:numId w:val="1"/>
        </w:numPr>
        <w:rPr/>
      </w:pPr>
      <w:bookmarkStart w:id="9" w:name="__RefHeading___Toc779381_3650668749"/>
      <w:bookmarkStart w:id="10" w:name="_Toc3"/>
      <w:bookmarkEnd w:id="8"/>
      <w:bookmarkEnd w:id="9"/>
      <w:r>
        <w:rPr>
          <w:rtl w:val="true"/>
        </w:rPr>
        <w:t>المقدمة</w:t>
      </w:r>
      <w:bookmarkEnd w:id="10"/>
    </w:p>
    <w:p>
      <w:pPr>
        <w:pStyle w:val="BookText"/>
        <w:rPr/>
      </w:pPr>
      <w:r>
        <w:rPr>
          <w:rFonts w:ascii="Amiri" w:hAnsi="Amiri" w:eastAsia="Amiri" w:cs="Amiri"/>
          <w:color w:val="111111"/>
          <w:sz w:val="28"/>
          <w:sz w:val="28"/>
          <w:szCs w:val="28"/>
          <w:rtl w:val="true"/>
          <w:lang w:bidi="ar-SA"/>
        </w:rPr>
        <w:t>لأهل بيت النبوّة والعصمة ـ الذين أذهب اللّه عنهم الرجس وطهّرهم تطهيرا ـ روايات كثيرة ومواقف مملوءة بالمعارف الجليلة تخصُّ فريضة الحجّ ومناسكه، التي هي ركن من أركان الدين الإسلامي الحنيف، كما هو في الخبر الصحيح عن عليّ بن إبراهيم، عن أبيه وعبد اللّه بن الصلت جميعا، عن حمّاد بن عيسى، عن حريز بن عبد اللّه، عن زرارة، عن أبي جعفر عليه‌السلام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بُني الإسلام على خمسة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الصلاة، والزكاة، والحجِّ، والصوم، والولاية </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مثل هذا الخبر في صحاح أهل السنّة وكتبهم عن</w:t>
      </w:r>
    </w:p>
    <w:p>
      <w:pPr>
        <w:pStyle w:val="BookText"/>
        <w:rPr/>
      </w:pPr>
      <w:r>
        <w:rPr>
          <w:rFonts w:ascii="Amiri" w:hAnsi="Amiri" w:eastAsia="Amiri" w:cs="Amiri"/>
          <w:color w:val="111111"/>
          <w:sz w:val="28"/>
          <w:sz w:val="28"/>
          <w:szCs w:val="28"/>
          <w:rtl w:val="true"/>
          <w:lang w:bidi="ar-SA"/>
        </w:rPr>
        <w:t xml:space="preserve">رسول اللّه صلى‌الله‌عليه‌و‌آله وبألفاظ مختلفة، منها ما قاله الرسول الكريم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بُني الإسلام على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 اللّه وأنّ محمدا عبده ورسوله، وإقام الصلاة، وإيتاء الزكاة، وحجّ البيت، وصوم رمضان</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وبغيره فإنّ ركنية الحج ثابتةٌ عند جميع المذاهب الإسلامية وبالتالي فقد حظي هذا الركن بأهمية بالغة وعظيمة ـ سواء في أحكامه ومناسكه أم في معارفه ومعنوياته وآثاره ـ على النفوس المؤمنة، ولذا فإنّ من أراد الحجّ والعمرة لابدّ له من أن لا يكتفي بمعرفة أحكامه ومناسكه ومواقفه وكيفية أدائه فحسب، بل ينبغي له التعرّف على ما يترتّب على تلك المناسك من التزامات روحية وأخلاقية لنفسه وللآخرين وعندئذٍ سيكون الحج مظهرا يجسّد الإيمان عبادةً وعملاً وقولاً، وصورةً رائعةً من صور الجمال الروحي ترافق الحاج منذ اللحظات الأُولى لهذه الفريضة المباركة وعند عودته إلى وطنه وأهله</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 هي عبادة جميلة تلك التي تترك آثارها على الإنسان؛ على إيمانه باللّه تعالى، وعلى سلوكه وتعامله مع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حقا، إنّ فريضة الحج ولادةٌ جديدة للإنسان، إذا استطاع أن يعيش آثارها ومعانيها، وإذا فتح قلبه لاستقبال أنوارها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الإمام زين العابدين عليه‌السلام بيّن للشبلي </w:t>
      </w:r>
      <w:r>
        <w:rPr>
          <w:rStyle w:val="FootnoteAnchor"/>
          <w:rtl w:val="true"/>
        </w:rPr>
        <w:footnoteReference w:id="5"/>
      </w:r>
      <w:r>
        <w:rPr>
          <w:rFonts w:ascii="Amiri" w:hAnsi="Amiri" w:eastAsia="Amiri" w:cs="Amiri"/>
          <w:color w:val="111111"/>
          <w:sz w:val="28"/>
          <w:sz w:val="28"/>
          <w:szCs w:val="28"/>
          <w:rtl w:val="true"/>
          <w:lang w:bidi="ar-SA"/>
        </w:rPr>
        <w:t xml:space="preserve">مفاهيم الحج العالية؛ والآن نحن جميعا ـ لا الشبلي وحده ـ بين يدي الإمام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جاى عكس ـ</w:t>
      </w:r>
    </w:p>
    <w:p>
      <w:pPr>
        <w:pStyle w:val="BookText"/>
        <w:rPr/>
      </w:pPr>
      <w:r>
        <w:rPr>
          <w:rFonts w:ascii="Amiri" w:hAnsi="Amiri" w:eastAsia="Amiri" w:cs="Amiri"/>
          <w:color w:val="111111"/>
          <w:sz w:val="28"/>
          <w:sz w:val="28"/>
          <w:szCs w:val="28"/>
          <w:rtl w:val="true"/>
          <w:lang w:bidi="ar-SA"/>
        </w:rPr>
        <w:t xml:space="preserve">عرض عكس از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سانت بيشتر نشود</w:t>
      </w:r>
    </w:p>
    <w:p>
      <w:pPr>
        <w:pStyle w:val="BookText"/>
        <w:rPr/>
      </w:pPr>
      <w:r>
        <w:rPr>
          <w:rFonts w:ascii="Amiri" w:hAnsi="Amiri" w:eastAsia="Amiri" w:cs="Amiri"/>
          <w:color w:val="111111"/>
          <w:sz w:val="28"/>
          <w:sz w:val="28"/>
          <w:szCs w:val="28"/>
          <w:rtl w:val="true"/>
          <w:lang w:bidi="ar-SA"/>
        </w:rPr>
        <w:t>لمّا رجع مولانا زين‌العابدين عليه‌السلام من الحجّ استقبله الشبلي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عليه‌السلام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حججت يا شبلي؟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أَنَزلْتَ الميقات وتجرّدت عن مخيط الثياب واغتسلت؟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فحين نزلت الميقات نويت أنك خلعت ثوب المعصية، ولبست ثوب الطاعة؟</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فحين تجرّدت عن مخيط ثيابك، نويت أنّك تجرّدت من الرياء والنفاق والدخول في الشبهات؟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فحين اغتسلت نويت أنّك اغتسلت من الخطايا والذنوب؟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نزلت الميقات، ولا تجرّدت عن مخيط الثياب، ولا اغتسلت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تنظّفت، وأحرمت وعقدت بالحج؟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 تنظّفت وأحرمت وعقدت الحج، نويت أنّك تنظّفت بنورة </w:t>
      </w:r>
      <w:r>
        <w:rPr>
          <w:rStyle w:val="FootnoteAnchor"/>
          <w:rtl w:val="true"/>
        </w:rPr>
        <w:footnoteReference w:id="6"/>
      </w:r>
      <w:r>
        <w:rPr>
          <w:rFonts w:ascii="Amiri" w:hAnsi="Amiri" w:eastAsia="Amiri" w:cs="Amiri"/>
          <w:color w:val="111111"/>
          <w:sz w:val="28"/>
          <w:sz w:val="28"/>
          <w:szCs w:val="28"/>
          <w:rtl w:val="true"/>
          <w:lang w:bidi="ar-SA"/>
        </w:rPr>
        <w:t>التوبة الخالصة 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فحين أحرمت نويت أنّك حرّمت على نفسك كلّ محرّم حرّمه اللّه عزّوجلّ؟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فحين عقدت الحجّ نويت أنّك قد حللت كلّ</w:t>
      </w:r>
    </w:p>
    <w:p>
      <w:pPr>
        <w:pStyle w:val="BookText"/>
        <w:rPr/>
      </w:pPr>
      <w:r>
        <w:rPr>
          <w:rFonts w:ascii="Amiri" w:hAnsi="Amiri" w:eastAsia="Amiri" w:cs="Amiri"/>
          <w:color w:val="111111"/>
          <w:sz w:val="28"/>
          <w:sz w:val="28"/>
          <w:szCs w:val="28"/>
          <w:rtl w:val="true"/>
          <w:lang w:bidi="ar-SA"/>
        </w:rPr>
        <w:t>عقد لغير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تنظّفت ولا أحرمت، ولا عقدت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أدخلت الميقات وصلّيت ركعتي الإِحرام ولبّيت؟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فحين دخلت الميقات، نويت أنك بنيّة الزيارة؟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فحين صلّيت الركعتين، نويت أنّك تقرّبت إلى اللّه بخير الأعمال من الصلاة، وأكبر حسنات العباد؟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فحين لبّيت، نويت أنك نطقت للّه ـ سبحانه ـ بكلّ طاعة، وصمت عن كلّ معصية؟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دخلت الميقات، ولا صلّيت، ولا 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أدخلت الحرم ورأيت الكعبة وصلّيت؟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فحين دخلت الحرم، نويت أنّك حرّمت على</w:t>
      </w:r>
    </w:p>
    <w:p>
      <w:pPr>
        <w:pStyle w:val="BookText"/>
        <w:rPr/>
      </w:pPr>
      <w:r>
        <w:rPr>
          <w:rFonts w:ascii="Amiri" w:hAnsi="Amiri" w:eastAsia="Amiri" w:cs="Amiri"/>
          <w:color w:val="111111"/>
          <w:sz w:val="28"/>
          <w:sz w:val="28"/>
          <w:szCs w:val="28"/>
          <w:rtl w:val="true"/>
          <w:lang w:bidi="ar-SA"/>
        </w:rPr>
        <w:t>نفسك كلّ غيبة تستغيبها المسلمين من أهل ملّة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فحين وصلت مكّة، نويت بقلبك أنّك قصدت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دخلت الحرم، ولا رأيت الكعبة، ولا صليت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طفت بالبيت، ومسست الأركان، وسعيت؟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فحين سعيت نويت أنّك هربت إلى اللّه، وعرف منك ذلك علاّم الغيوب؟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طفت بالبيت، ولا مسست الأركان، ولا سعيت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صافحت الحجر، ووقفت بمقام إبراهيم عليه‌السلام ، وصلّيت به ركعتين؟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فصاح عليه‌السلام صيحة كاد يفارق الدنيا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آه آه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صافح الحجر الأسود، فقد صافح اللّه</w:t>
      </w:r>
    </w:p>
    <w:p>
      <w:pPr>
        <w:pStyle w:val="BookText"/>
        <w:rPr/>
      </w:pPr>
      <w:r>
        <w:rPr>
          <w:rFonts w:ascii="Amiri" w:hAnsi="Amiri" w:eastAsia="Amiri" w:cs="Amiri"/>
          <w:color w:val="111111"/>
          <w:sz w:val="28"/>
          <w:sz w:val="28"/>
          <w:szCs w:val="28"/>
          <w:rtl w:val="true"/>
          <w:lang w:bidi="ar-SA"/>
        </w:rPr>
        <w:t>تعالى، فانظر يا 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تضيّع أجر ما عظم حرمته، وتنقض المصافحة بالمخالفة، وقبض الحرام نظير أهل الآثام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نويت حين وقفت عند مقام إبراهيم عليه‌السلام ، أنك وقفت على كلّ طاعة، وتخلّفت عن كلّ معصية؟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فحين صلّيت فيه ركعتين، نويت أنك صلّيت بصلاة إبراهيم عليه‌السلام ، وأرغمت بصلاتك أنف الشيطان؟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صافحت الحجر الأسود، ولا وقفت عند المقام، ولا صلّيت فيه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عليه‌السلام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أَشْرَفْتَ على بئر زمزم، وشربت من مائها؟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نويت </w:t>
      </w:r>
      <w:r>
        <w:rPr>
          <w:rStyle w:val="FootnoteAnchor"/>
          <w:rtl w:val="true"/>
        </w:rPr>
        <w:footnoteReference w:id="7"/>
      </w:r>
      <w:r>
        <w:rPr>
          <w:rFonts w:ascii="Amiri" w:hAnsi="Amiri" w:eastAsia="Amiri" w:cs="Amiri"/>
          <w:color w:val="111111"/>
          <w:sz w:val="28"/>
          <w:sz w:val="28"/>
          <w:szCs w:val="28"/>
          <w:rtl w:val="true"/>
          <w:lang w:bidi="ar-SA"/>
        </w:rPr>
        <w:t>أنّك أشرفت على الطاعة، وغضضت طرفك عن المعصية؟</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أشرفت عليها، ولا شربت من مائها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أسعيت بين الصفا والمروة، ومشيت وتردّدت بينهما؟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نويت أنّك بين الرجاء والخوف؟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سعيت، ولا مشيت، ولا ترددت بين الصفا والمروة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أخرجت إلى منى؟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نويت أنك آمنت الناس من لسانك وقلبك ويدك؟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خرجت إلى منى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أوقفت الوقفة بعرفة، وطلعت جبل الرحمة، وعرفت وادي نمرة، ودعوت اللّه ـ سبحانه ـ عند الميل والجمرات؟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هل‌عرفت بموقفك بعرفة معرفة‌اللّه ـ سبحانه ـ</w:t>
      </w:r>
    </w:p>
    <w:p>
      <w:pPr>
        <w:pStyle w:val="BookText"/>
        <w:rPr/>
      </w:pPr>
      <w:r>
        <w:rPr>
          <w:rFonts w:ascii="Amiri" w:hAnsi="Amiri" w:eastAsia="Amiri" w:cs="Amiri"/>
          <w:color w:val="111111"/>
          <w:sz w:val="28"/>
          <w:sz w:val="28"/>
          <w:szCs w:val="28"/>
          <w:rtl w:val="true"/>
          <w:lang w:bidi="ar-SA"/>
        </w:rPr>
        <w:t>أمر المعارف والعلوم، وعرفت قبض اللّه على صحيفتك واطّلاعه على سريرتك وقلبك؟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نويت بطلوعك جبل الرحمة، أن اللّه يرحم كلّ مؤمن ومؤمنة، ويتولى كلّ مسلم ومسلمة؟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فنويت عند نمرة أنّك لا تأمر حتى تأتمر، ولا تزجر حتى تنزجر؟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فعندما وقفت عند العَلَم والنمرات، نويت أنها شاهدة لك على الطاعات، حافظة لك مع الحفظة بأمر ربّ السموات؟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وقفت بعرفة، ولا طلعت جبل الرحمة، ولا عرفت نمرة، ولا دعوت، ولا وقفت عند النمرات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بين العلمين، وصلّيت قبل مرورك ركعتين، ومشيت بمزدلفة، ولقطت فيها الحصى، ومررت بالمشعر الحرام؟</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فحين صلّيت ركعتين، نويت أنّها صلاة شكر في ليلة عشر، تنفي كلّ عسر، وتيسر كلّ يسر؟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فعندما مشيت بين العلمين ولم تعدل عنهما يمينا وشمالاً، نويت أن لا تعدل عن دين الحقّ يمينا وشمالاً لا بقلبك، ولا بلسانك، ولا بجوارحك؟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فعندما مشيت بمزدلفة، ولقطت منها الحصى، نويت أنّك رفعت عنك كلّ معصية وجهل، وثبّت كلّ علم وعمل؟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فعندما مررت بالمشعر الحرام، نويت أنّك أشعرت قلبك إشعار أهل التقوى والخوف للّه عزّوجلّ؟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مررت بالعلمين، ولا صلّيت ركعتين، ولا مشيت بالمزدلفة، ولا رفعت منها الحصى، ولا مررت بالمشعر الحرام</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وصلت منى ورميت الجمرة، وحلقت رأسك، وذبحت هديك، وصلّيت في مسجد الخيف،</w:t>
      </w:r>
    </w:p>
    <w:p>
      <w:pPr>
        <w:pStyle w:val="BookText"/>
        <w:rPr/>
      </w:pPr>
      <w:r>
        <w:rPr>
          <w:rFonts w:ascii="Amiri" w:hAnsi="Amiri" w:eastAsia="Amiri" w:cs="Amiri"/>
          <w:color w:val="111111"/>
          <w:sz w:val="28"/>
          <w:sz w:val="28"/>
          <w:szCs w:val="28"/>
          <w:rtl w:val="true"/>
          <w:lang w:bidi="ar-SA"/>
        </w:rPr>
        <w:t>ورجعت إلى مكّة، وطفت طواف الإِفاضة؟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فنويت عندما وصلت منى، ورميت الجمار، أنّك بلغت إلى مطلبك، وقد قضى ربّك لك كلّ حاجتك؟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فعندما رميت الجمار، نويت أنّك رميت عدوّك إبليس وغضبته بتمام حجّك النفيس؟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فعندما حلقت رأسك، نويت أنك تطهّرت من الأدناس ومن تبعة بني آدم، وخرجت من الذنوب كما ولدتك أُمّك؟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فعندما صلّيت في مسجد الخيف، نويت أنك لا تخاف إلاّ اللّه ـ عزّوجلّ ـ وذنبك، ولا ترجو إلاّ رحمة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فعندما ذبحت هديك، نويت أنّك ذبحت حنجرة الطمع بما تمسكت به من حقيقة الورع، وأنك اتّبعت سنّة إبراهيم عليه‌السلام بذبح ولده وثمرة فؤاده وريحان قلبه،</w:t>
      </w:r>
    </w:p>
    <w:p>
      <w:pPr>
        <w:pStyle w:val="BookText"/>
        <w:rPr/>
      </w:pPr>
      <w:r>
        <w:rPr>
          <w:rFonts w:ascii="IRNazanin" w:hAnsi="IRNazanin" w:eastAsia="IRNazanin"/>
          <w:color w:val="111111"/>
          <w:sz w:val="28"/>
          <w:sz w:val="28"/>
          <w:szCs w:val="28"/>
          <w:rtl w:val="true"/>
          <w:lang w:bidi="fa-IR"/>
        </w:rPr>
        <w:t xml:space="preserve">وحاجه </w:t>
      </w:r>
      <w:r>
        <w:rPr>
          <w:rStyle w:val="FootnoteAnchor"/>
          <w:rtl w:val="true"/>
        </w:rPr>
        <w:footnoteReference w:id="8"/>
      </w:r>
      <w:r>
        <w:rPr>
          <w:rFonts w:ascii="IRNazanin" w:hAnsi="IRNazanin" w:eastAsia="IRNazanin"/>
          <w:color w:val="111111"/>
          <w:sz w:val="28"/>
          <w:sz w:val="28"/>
          <w:szCs w:val="28"/>
          <w:rtl w:val="true"/>
          <w:lang w:bidi="fa-IR"/>
        </w:rPr>
        <w:t>سنّته لمن بعده، وقرّبه إلى اللّه تعالى لمن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فعندما رجعت إلى مكّة وطفت طواف الإِفاضة، نويت أنّك أفضت من رحمة اللّه ـ تعالى ـ ورجعت إلى طاعته، وتمسّكت بودّه، وأدّيت فرائضه، وتقرّبت إلى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له زين العابدين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وصلت منى، ولا رميت الجمار، ولا حلقت رأسك، ولا أدّيت </w:t>
      </w:r>
      <w:r>
        <w:rPr>
          <w:rStyle w:val="FootnoteAnchor"/>
          <w:rtl w:val="true"/>
        </w:rPr>
        <w:footnoteReference w:id="9"/>
      </w:r>
      <w:r>
        <w:rPr>
          <w:rFonts w:ascii="Amiri" w:hAnsi="Amiri" w:eastAsia="Amiri" w:cs="Amiri"/>
          <w:color w:val="111111"/>
          <w:sz w:val="28"/>
          <w:sz w:val="28"/>
          <w:szCs w:val="28"/>
          <w:rtl w:val="true"/>
          <w:lang w:bidi="ar-SA"/>
        </w:rPr>
        <w:t>نسكك، ولا صلّيت في مسجد الخيف، ولا طفت طواف الإِفاضة، ولا تقرّبت، اِرجع فإنك لم تحجّ</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فطفق الشبلي يبكي على ما فرّطه في حجّه، وما زال يتعلّم حتى حجّ من قابل بمعرفة ويقين، انتهى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من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دارالكتب الإسلامية، طهران؛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مؤسسة آل البيت عليهم‌السلام لإحياء التراث</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بشرح الإمام النووي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 الفكر؛ 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مؤسسة الرسالة، بيروت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رواية نقلها العلاّمة المجلسي رحمه‌الله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يزال على الحاج نور الحج ما لم يذنب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مؤسسة الوفاء، بيروت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أني بذلتُ جهدي فيما تيسر لي من مصادر، لم أعثر فيها على ترجمة مناسبة للشبلي هذا، وعلى ذلك فأعتقد أنه من المجاهيل، لم يذكر في كتب رجال الحديث وتراجمهم عند الفريقين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 ما وجدته في خلال تتبعي هو شخص آخر يُدعى أبو بكر الشبلي البغدادي واسمه دُلَفْ بن جحدر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يونس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دُلف الذي توفي ببغداد سنة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نيّف وثمانين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الغدير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سير أعلام النبلاء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العبر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مستدرك سفينة البحار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ولهذا نكتفي بذكر هذه الرواية هنا لعلوّ مضامينها ولما فيها من دروس نافعة وعبر وهي تبيّن لنا جانبا كبيرا من أسرار هذه الفريضة المقدّسة والرحلة المباركة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أنويت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المخطوط، والظاهر أنّ صوابه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وأحييت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ذبحت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كتاب شرح النخبة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image" Target="media/image2.jpeg"/><Relationship Id="rId22" Type="http://schemas.openxmlformats.org/officeDocument/2006/relationships/image" Target="media/image2.jpeg"/><Relationship Id="rId23" Type="http://schemas.openxmlformats.org/officeDocument/2006/relationships/footer" Target="footer16.xml"/><Relationship Id="rId24" Type="http://schemas.openxmlformats.org/officeDocument/2006/relationships/footnotes" Target="footnotes.xml"/><Relationship Id="rId25" Type="http://schemas.openxmlformats.org/officeDocument/2006/relationships/numbering" Target="numbering.xml"/><Relationship Id="rId26" Type="http://schemas.openxmlformats.org/officeDocument/2006/relationships/fontTable" Target="fontTable.xml"/><Relationship Id="rId27" Type="http://schemas.openxmlformats.org/officeDocument/2006/relationships/settings" Target="settings.xml"/><Relationship Id="rId2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Pages>
  <Words>1603</Words>
  <Characters>7180</Characters>
  <CharactersWithSpaces>8637</CharactersWithSpaces>
  <Paragraphs>161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2026-08-16T17:09:42Z</dcterms:created>
  <dc:creator>ghaemiyeh.com</dc:creator>
  <dc:description/>
  <dc:language>en-US</dc:language>
  <cp:lastModifiedBy/>
  <dcterms:modified xsi:type="dcterms:W3CDTF">2026-08-16T20:39:43Z</dcterms:modified>
  <cp:revision>1</cp:revision>
  <dc:subject/>
  <dc:title>اس_رار الحج</dc:title>
</cp:coreProperties>
</file>

<file path=docProps/custom.xml><?xml version="1.0" encoding="utf-8"?>
<Properties xmlns="http://schemas.openxmlformats.org/officeDocument/2006/custom-properties" xmlns:vt="http://schemas.openxmlformats.org/officeDocument/2006/docPropsVTypes"/>
</file>