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اسراف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16745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16747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416749_2116733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416751_211673320">
            <w:r>
              <w:rPr>
                <w:webHidden/>
                <w:rStyle w:val="IndexLink"/>
                <w:rtl w:val="true"/>
              </w:rPr>
              <w:t>راهکارهای مقابله و نجات از اسراف</w:t>
            </w:r>
            <w:r>
              <w:rPr>
                <w:rStyle w:val="IndexLink"/>
                <w:rtl w:val="true"/>
              </w:rPr>
              <w:tab/>
            </w:r>
            <w:r>
              <w:rPr>
                <w:rStyle w:val="IndexLink"/>
              </w:rPr>
              <w:t>17</w:t>
            </w:r>
          </w:hyperlink>
        </w:p>
        <w:p>
          <w:pPr>
            <w:pStyle w:val="Contents3"/>
            <w:tabs>
              <w:tab w:val="clear" w:pos="8459"/>
              <w:tab w:val="right" w:pos="9026" w:leader="dot"/>
            </w:tabs>
            <w:rPr/>
          </w:pPr>
          <w:hyperlink w:anchor="__RefHeading___Toc2416753_211673320">
            <w:r>
              <w:rPr>
                <w:webHidden/>
                <w:rStyle w:val="IndexLink"/>
                <w:rtl w:val="true"/>
              </w:rPr>
              <w:t>الف</w:t>
            </w:r>
            <w:r>
              <w:rPr>
                <w:rStyle w:val="IndexLink"/>
                <w:rtl w:val="true"/>
              </w:rPr>
              <w:t xml:space="preserve">) </w:t>
            </w:r>
            <w:r>
              <w:rPr>
                <w:rStyle w:val="IndexLink"/>
                <w:rtl w:val="true"/>
              </w:rPr>
              <w:t>راهکارهای ملّی</w:t>
            </w:r>
            <w:r>
              <w:rPr>
                <w:rStyle w:val="IndexLink"/>
                <w:rtl w:val="true"/>
              </w:rPr>
              <w:tab/>
            </w:r>
            <w:r>
              <w:rPr>
                <w:rStyle w:val="IndexLink"/>
              </w:rPr>
              <w:t>17</w:t>
            </w:r>
          </w:hyperlink>
        </w:p>
        <w:p>
          <w:pPr>
            <w:pStyle w:val="Contents3"/>
            <w:tabs>
              <w:tab w:val="clear" w:pos="8459"/>
              <w:tab w:val="right" w:pos="9026" w:leader="dot"/>
            </w:tabs>
            <w:rPr/>
          </w:pPr>
          <w:hyperlink w:anchor="__RefHeading___Toc2416755_211673320">
            <w:r>
              <w:rPr>
                <w:webHidden/>
                <w:rStyle w:val="IndexLink"/>
                <w:rtl w:val="true"/>
              </w:rPr>
              <w:t>ب</w:t>
            </w:r>
            <w:r>
              <w:rPr>
                <w:rStyle w:val="IndexLink"/>
                <w:rtl w:val="true"/>
              </w:rPr>
              <w:t xml:space="preserve">) </w:t>
            </w:r>
            <w:r>
              <w:rPr>
                <w:rStyle w:val="IndexLink"/>
                <w:rtl w:val="true"/>
              </w:rPr>
              <w:t>نظارت بر تولیدات غذایی به ویژه نان</w:t>
            </w:r>
            <w:r>
              <w:rPr>
                <w:rStyle w:val="IndexLink"/>
                <w:rtl w:val="true"/>
              </w:rPr>
              <w:tab/>
            </w:r>
            <w:r>
              <w:rPr>
                <w:rStyle w:val="IndexLink"/>
              </w:rPr>
              <w:t>17</w:t>
            </w:r>
          </w:hyperlink>
        </w:p>
        <w:p>
          <w:pPr>
            <w:pStyle w:val="Contents3"/>
            <w:tabs>
              <w:tab w:val="clear" w:pos="8459"/>
              <w:tab w:val="right" w:pos="9026" w:leader="dot"/>
            </w:tabs>
            <w:rPr/>
          </w:pPr>
          <w:hyperlink w:anchor="__RefHeading___Toc2416757_211673320">
            <w:r>
              <w:rPr>
                <w:webHidden/>
                <w:rStyle w:val="IndexLink"/>
                <w:rtl w:val="true"/>
              </w:rPr>
              <w:t>ت</w:t>
            </w:r>
            <w:r>
              <w:rPr>
                <w:rStyle w:val="IndexLink"/>
                <w:rtl w:val="true"/>
              </w:rPr>
              <w:t xml:space="preserve">) </w:t>
            </w:r>
            <w:r>
              <w:rPr>
                <w:rStyle w:val="IndexLink"/>
                <w:rtl w:val="true"/>
              </w:rPr>
              <w:t>نقش مهم زنان و مادران در خانواده</w:t>
            </w:r>
            <w:r>
              <w:rPr>
                <w:rStyle w:val="IndexLink"/>
                <w:rtl w:val="true"/>
              </w:rPr>
              <w:tab/>
            </w:r>
            <w:r>
              <w:rPr>
                <w:rStyle w:val="IndexLink"/>
              </w:rPr>
              <w:t>18</w:t>
            </w:r>
          </w:hyperlink>
        </w:p>
        <w:p>
          <w:pPr>
            <w:pStyle w:val="Contents3"/>
            <w:tabs>
              <w:tab w:val="clear" w:pos="8459"/>
              <w:tab w:val="right" w:pos="9026" w:leader="dot"/>
            </w:tabs>
            <w:rPr/>
          </w:pPr>
          <w:hyperlink w:anchor="__RefHeading___Toc2416759_211673320">
            <w:r>
              <w:rPr>
                <w:webHidden/>
                <w:rStyle w:val="IndexLink"/>
                <w:rtl w:val="true"/>
              </w:rPr>
              <w:t>ج</w:t>
            </w:r>
            <w:r>
              <w:rPr>
                <w:rStyle w:val="IndexLink"/>
                <w:rtl w:val="true"/>
              </w:rPr>
              <w:t xml:space="preserve">) </w:t>
            </w:r>
            <w:r>
              <w:rPr>
                <w:rStyle w:val="IndexLink"/>
                <w:rtl w:val="true"/>
              </w:rPr>
              <w:t>راهنمایی و ارشاد گرفتن از کسانی که مورد اعتمادند و مردم به سخن آنان گوش می دهند</w:t>
            </w:r>
            <w:r>
              <w:rPr>
                <w:rStyle w:val="IndexLink"/>
                <w:rtl w:val="true"/>
              </w:rPr>
              <w:tab/>
            </w:r>
            <w:r>
              <w:rPr>
                <w:rStyle w:val="IndexLink"/>
              </w:rPr>
              <w:t>19</w:t>
            </w:r>
          </w:hyperlink>
        </w:p>
        <w:p>
          <w:pPr>
            <w:pStyle w:val="Contents3"/>
            <w:tabs>
              <w:tab w:val="clear" w:pos="8459"/>
              <w:tab w:val="right" w:pos="9026" w:leader="dot"/>
            </w:tabs>
            <w:rPr/>
          </w:pPr>
          <w:hyperlink w:anchor="__RefHeading___Toc2416761_211673320">
            <w:r>
              <w:rPr>
                <w:webHidden/>
                <w:rStyle w:val="IndexLink"/>
                <w:rtl w:val="true"/>
              </w:rPr>
              <w:t>چ</w:t>
            </w:r>
            <w:r>
              <w:rPr>
                <w:rStyle w:val="IndexLink"/>
                <w:rtl w:val="true"/>
              </w:rPr>
              <w:t xml:space="preserve">) </w:t>
            </w:r>
            <w:r>
              <w:rPr>
                <w:rStyle w:val="IndexLink"/>
                <w:rtl w:val="true"/>
              </w:rPr>
              <w:t>مطالعه هشدارهای قرآن وحدیث</w:t>
            </w:r>
            <w:r>
              <w:rPr>
                <w:rStyle w:val="IndexLink"/>
                <w:rtl w:val="true"/>
              </w:rPr>
              <w:tab/>
            </w:r>
            <w:r>
              <w:rPr>
                <w:rStyle w:val="IndexLink"/>
              </w:rPr>
              <w:t>20</w:t>
            </w:r>
          </w:hyperlink>
        </w:p>
        <w:p>
          <w:pPr>
            <w:pStyle w:val="Contents3"/>
            <w:tabs>
              <w:tab w:val="clear" w:pos="8459"/>
              <w:tab w:val="right" w:pos="9026" w:leader="dot"/>
            </w:tabs>
            <w:rPr/>
          </w:pPr>
          <w:hyperlink w:anchor="__RefHeading___Toc2416763_211673320">
            <w:r>
              <w:rPr>
                <w:webHidden/>
                <w:rStyle w:val="IndexLink"/>
                <w:rtl w:val="true"/>
              </w:rPr>
              <w:t>ح</w:t>
            </w:r>
            <w:r>
              <w:rPr>
                <w:rStyle w:val="IndexLink"/>
                <w:rtl w:val="true"/>
              </w:rPr>
              <w:t xml:space="preserve">) </w:t>
            </w:r>
            <w:r>
              <w:rPr>
                <w:rStyle w:val="IndexLink"/>
                <w:rtl w:val="true"/>
              </w:rPr>
              <w:t>توجه به عقوبت های اسراف</w:t>
            </w:r>
            <w:r>
              <w:rPr>
                <w:rStyle w:val="IndexLink"/>
                <w:rtl w:val="true"/>
              </w:rPr>
              <w:tab/>
            </w:r>
            <w:r>
              <w:rPr>
                <w:rStyle w:val="IndexLink"/>
              </w:rPr>
              <w:t>21</w:t>
            </w:r>
          </w:hyperlink>
        </w:p>
        <w:p>
          <w:pPr>
            <w:pStyle w:val="Contents4"/>
            <w:tabs>
              <w:tab w:val="clear" w:pos="8176"/>
              <w:tab w:val="right" w:pos="9026" w:leader="dot"/>
            </w:tabs>
            <w:rPr/>
          </w:pPr>
          <w:hyperlink w:anchor="__RefHeading___Toc2416765_211673320">
            <w:r>
              <w:rPr>
                <w:webHidden/>
                <w:rStyle w:val="IndexLink"/>
                <w:rtl w:val="true"/>
              </w:rPr>
              <w:t>محرومیت و ابعاد آن</w:t>
            </w:r>
            <w:r>
              <w:rPr>
                <w:rStyle w:val="IndexLink"/>
                <w:rtl w:val="true"/>
              </w:rPr>
              <w:tab/>
            </w:r>
            <w:r>
              <w:rPr>
                <w:rStyle w:val="IndexLink"/>
              </w:rPr>
              <w:t>21</w:t>
            </w:r>
          </w:hyperlink>
        </w:p>
        <w:p>
          <w:pPr>
            <w:pStyle w:val="Contents5"/>
            <w:tabs>
              <w:tab w:val="clear" w:pos="7892"/>
              <w:tab w:val="right" w:pos="9026" w:leader="dot"/>
            </w:tabs>
            <w:rPr/>
          </w:pPr>
          <w:hyperlink w:anchor="__RefHeading___Toc2416767_211673320">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2416769_211673320">
            <w:r>
              <w:rPr>
                <w:webHidden/>
                <w:rStyle w:val="IndexLink"/>
              </w:rPr>
              <w:t>1</w:t>
            </w:r>
            <w:r>
              <w:rPr>
                <w:rStyle w:val="IndexLink"/>
                <w:rtl w:val="true"/>
              </w:rPr>
              <w:t xml:space="preserve"> - </w:t>
            </w:r>
            <w:r>
              <w:rPr>
                <w:rStyle w:val="IndexLink"/>
                <w:rtl w:val="true"/>
              </w:rPr>
              <w:t>محرومیت از هدایت</w:t>
            </w:r>
            <w:r>
              <w:rPr>
                <w:rStyle w:val="IndexLink"/>
                <w:rtl w:val="true"/>
              </w:rPr>
              <w:tab/>
            </w:r>
            <w:r>
              <w:rPr>
                <w:rStyle w:val="IndexLink"/>
              </w:rPr>
              <w:t>22</w:t>
            </w:r>
          </w:hyperlink>
        </w:p>
        <w:p>
          <w:pPr>
            <w:pStyle w:val="Contents5"/>
            <w:tabs>
              <w:tab w:val="clear" w:pos="7892"/>
              <w:tab w:val="right" w:pos="9026" w:leader="dot"/>
            </w:tabs>
            <w:rPr/>
          </w:pPr>
          <w:hyperlink w:anchor="__RefHeading___Toc2416771_211673320">
            <w:r>
              <w:rPr>
                <w:webHidden/>
                <w:rStyle w:val="IndexLink"/>
              </w:rPr>
              <w:t>2</w:t>
            </w:r>
            <w:r>
              <w:rPr>
                <w:rStyle w:val="IndexLink"/>
                <w:rtl w:val="true"/>
              </w:rPr>
              <w:t xml:space="preserve"> - </w:t>
            </w:r>
            <w:r>
              <w:rPr>
                <w:rStyle w:val="IndexLink"/>
                <w:rtl w:val="true"/>
              </w:rPr>
              <w:t>عذاب های سخت آسمانی</w:t>
            </w:r>
            <w:r>
              <w:rPr>
                <w:rStyle w:val="IndexLink"/>
                <w:rtl w:val="true"/>
              </w:rPr>
              <w:tab/>
            </w:r>
            <w:r>
              <w:rPr>
                <w:rStyle w:val="IndexLink"/>
              </w:rPr>
              <w:t>22</w:t>
            </w:r>
          </w:hyperlink>
        </w:p>
        <w:p>
          <w:pPr>
            <w:pStyle w:val="Contents5"/>
            <w:tabs>
              <w:tab w:val="clear" w:pos="7892"/>
              <w:tab w:val="right" w:pos="9026" w:leader="dot"/>
            </w:tabs>
            <w:rPr/>
          </w:pPr>
          <w:hyperlink w:anchor="__RefHeading___Toc2416773_211673320">
            <w:r>
              <w:rPr>
                <w:webHidden/>
                <w:rStyle w:val="IndexLink"/>
              </w:rPr>
              <w:t>3</w:t>
            </w:r>
            <w:r>
              <w:rPr>
                <w:rStyle w:val="IndexLink"/>
                <w:rtl w:val="true"/>
              </w:rPr>
              <w:t xml:space="preserve"> - </w:t>
            </w:r>
            <w:r>
              <w:rPr>
                <w:rStyle w:val="IndexLink"/>
                <w:rtl w:val="true"/>
              </w:rPr>
              <w:t>قحطی و کمبود در مواد اساسی مورد نیاز</w:t>
            </w:r>
            <w:r>
              <w:rPr>
                <w:rStyle w:val="IndexLink"/>
                <w:rtl w:val="true"/>
              </w:rPr>
              <w:tab/>
            </w:r>
            <w:r>
              <w:rPr>
                <w:rStyle w:val="IndexLink"/>
              </w:rPr>
              <w:t>23</w:t>
            </w:r>
          </w:hyperlink>
        </w:p>
        <w:p>
          <w:pPr>
            <w:pStyle w:val="Contents3"/>
            <w:tabs>
              <w:tab w:val="clear" w:pos="8459"/>
              <w:tab w:val="right" w:pos="9026" w:leader="dot"/>
            </w:tabs>
            <w:rPr/>
          </w:pPr>
          <w:hyperlink w:anchor="__RefHeading___Toc2416775_211673320">
            <w:r>
              <w:rPr>
                <w:webHidden/>
                <w:rStyle w:val="IndexLink"/>
                <w:rtl w:val="true"/>
              </w:rPr>
              <w:t>د</w:t>
            </w:r>
            <w:r>
              <w:rPr>
                <w:rStyle w:val="IndexLink"/>
                <w:rtl w:val="true"/>
              </w:rPr>
              <w:t xml:space="preserve">) </w:t>
            </w:r>
            <w:r>
              <w:rPr>
                <w:rStyle w:val="IndexLink"/>
                <w:rtl w:val="true"/>
              </w:rPr>
              <w:t>تغییر در ذهنیت نسبت به دارایی ها</w:t>
            </w:r>
            <w:r>
              <w:rPr>
                <w:rStyle w:val="IndexLink"/>
                <w:rtl w:val="true"/>
              </w:rPr>
              <w:tab/>
            </w:r>
            <w:r>
              <w:rPr>
                <w:rStyle w:val="IndexLink"/>
              </w:rPr>
              <w:t>25</w:t>
            </w:r>
          </w:hyperlink>
        </w:p>
        <w:p>
          <w:pPr>
            <w:pStyle w:val="Contents3"/>
            <w:tabs>
              <w:tab w:val="clear" w:pos="8459"/>
              <w:tab w:val="right" w:pos="9026" w:leader="dot"/>
            </w:tabs>
            <w:rPr/>
          </w:pPr>
          <w:hyperlink w:anchor="__RefHeading___Toc2416777_211673320">
            <w:r>
              <w:rPr>
                <w:webHidden/>
                <w:rStyle w:val="IndexLink"/>
                <w:rtl w:val="true"/>
              </w:rPr>
              <w:t>ذ</w:t>
            </w:r>
            <w:r>
              <w:rPr>
                <w:rStyle w:val="IndexLink"/>
                <w:rtl w:val="true"/>
              </w:rPr>
              <w:t xml:space="preserve">) </w:t>
            </w:r>
            <w:r>
              <w:rPr>
                <w:rStyle w:val="IndexLink"/>
                <w:rtl w:val="true"/>
              </w:rPr>
              <w:t>ذکر الگوهای سازنده و تأثیرگذار از مراقبت وشكر نعمت ها</w:t>
            </w:r>
            <w:r>
              <w:rPr>
                <w:rStyle w:val="IndexLink"/>
                <w:rtl w:val="true"/>
              </w:rPr>
              <w:tab/>
            </w:r>
            <w:r>
              <w:rPr>
                <w:rStyle w:val="IndexLink"/>
              </w:rPr>
              <w:t>26</w:t>
            </w:r>
          </w:hyperlink>
        </w:p>
        <w:p>
          <w:pPr>
            <w:pStyle w:val="Contents3"/>
            <w:tabs>
              <w:tab w:val="clear" w:pos="8459"/>
              <w:tab w:val="right" w:pos="9026" w:leader="dot"/>
            </w:tabs>
            <w:rPr/>
          </w:pPr>
          <w:hyperlink w:anchor="__RefHeading___Toc2416779_211673320">
            <w:r>
              <w:rPr>
                <w:webHidden/>
                <w:rStyle w:val="IndexLink"/>
                <w:rtl w:val="true"/>
              </w:rPr>
              <w:t>ر</w:t>
            </w:r>
            <w:r>
              <w:rPr>
                <w:rStyle w:val="IndexLink"/>
                <w:rtl w:val="true"/>
              </w:rPr>
              <w:t xml:space="preserve">) </w:t>
            </w:r>
            <w:r>
              <w:rPr>
                <w:rStyle w:val="IndexLink"/>
                <w:rtl w:val="true"/>
              </w:rPr>
              <w:t>ذکر ثواب های جذاب و تشویق کننده</w:t>
            </w:r>
            <w:r>
              <w:rPr>
                <w:rStyle w:val="IndexLink"/>
                <w:rtl w:val="true"/>
              </w:rPr>
              <w:tab/>
            </w:r>
            <w:r>
              <w:rPr>
                <w:rStyle w:val="IndexLink"/>
              </w:rPr>
              <w:t>27</w:t>
            </w:r>
          </w:hyperlink>
        </w:p>
        <w:p>
          <w:pPr>
            <w:pStyle w:val="Contents3"/>
            <w:tabs>
              <w:tab w:val="clear" w:pos="8459"/>
              <w:tab w:val="right" w:pos="9026" w:leader="dot"/>
            </w:tabs>
            <w:rPr/>
          </w:pPr>
          <w:hyperlink w:anchor="__RefHeading___Toc2416781_211673320">
            <w:r>
              <w:rPr>
                <w:webHidden/>
                <w:rStyle w:val="IndexLink"/>
                <w:rtl w:val="true"/>
              </w:rPr>
              <w:t>ز</w:t>
            </w:r>
            <w:r>
              <w:rPr>
                <w:rStyle w:val="IndexLink"/>
                <w:rtl w:val="true"/>
              </w:rPr>
              <w:t xml:space="preserve">) </w:t>
            </w:r>
            <w:r>
              <w:rPr>
                <w:rStyle w:val="IndexLink"/>
                <w:rtl w:val="true"/>
              </w:rPr>
              <w:t>مصونیت از بیماری ها و پیری زودرس</w:t>
            </w:r>
            <w:r>
              <w:rPr>
                <w:rStyle w:val="IndexLink"/>
                <w:rtl w:val="true"/>
              </w:rPr>
              <w:tab/>
            </w:r>
            <w:r>
              <w:rPr>
                <w:rStyle w:val="IndexLink"/>
              </w:rPr>
              <w:t>29</w:t>
            </w:r>
          </w:hyperlink>
        </w:p>
        <w:p>
          <w:pPr>
            <w:pStyle w:val="Contents2"/>
            <w:tabs>
              <w:tab w:val="clear" w:pos="8743"/>
              <w:tab w:val="right" w:pos="9026" w:leader="dot"/>
            </w:tabs>
            <w:rPr/>
          </w:pPr>
          <w:hyperlink w:anchor="__RefHeading___Toc2416783_211673320">
            <w:r>
              <w:rPr>
                <w:webHidden/>
                <w:rStyle w:val="IndexLink"/>
                <w:rtl w:val="true"/>
              </w:rPr>
              <w:t>فهرست کتاب های انتشارات مسجد مقدس جمکران</w:t>
            </w:r>
            <w:r>
              <w:rPr>
                <w:rStyle w:val="IndexLink"/>
                <w:rtl w:val="true"/>
              </w:rPr>
              <w:tab/>
            </w:r>
            <w:r>
              <w:rPr>
                <w:rStyle w:val="IndexLink"/>
              </w:rPr>
              <w:t>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7_1238"/>
      <w:bookmarkStart w:id="1" w:name="pg267_1238"/>
      <w:bookmarkEnd w:id="1"/>
    </w:p>
    <w:p>
      <w:pPr>
        <w:pStyle w:val="Heading2"/>
        <w:numPr>
          <w:ilvl w:val="1"/>
          <w:numId w:val="1"/>
        </w:numPr>
        <w:rPr/>
      </w:pPr>
      <w:bookmarkStart w:id="2" w:name="pg267_1238"/>
      <w:bookmarkStart w:id="3" w:name="__RefHeading___Toc241674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عزیز الله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الله حیدری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راهکارهای دوری از گناه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BP250/35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297/632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1875540</w:t>
      </w:r>
    </w:p>
    <w:p>
      <w:pPr>
        <w:pStyle w:val="BookText"/>
        <w:rPr/>
      </w:pPr>
      <w:r>
        <w:rPr>
          <w:rFonts w:ascii="IRNazanin" w:hAnsi="IRNazanin" w:eastAsia="IRNazanin"/>
          <w:color w:val="111111"/>
          <w:sz w:val="28"/>
          <w:sz w:val="28"/>
          <w:szCs w:val="28"/>
          <w:rtl w:val="true"/>
          <w:lang w:bidi="fa-IR"/>
        </w:rPr>
        <w:t xml:space="preserve">سلسله مباحث راه کارهای دوری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عزیزالله حیدری</w:t>
      </w:r>
    </w:p>
    <w:p>
      <w:pPr>
        <w:pStyle w:val="BookText"/>
        <w:rPr/>
      </w:pPr>
      <w:r>
        <w:rPr>
          <w:rFonts w:ascii="IRNazanin" w:hAnsi="IRNazanin" w:eastAsia="IRNazanin"/>
          <w:color w:val="111111"/>
          <w:sz w:val="28"/>
          <w:sz w:val="28"/>
          <w:szCs w:val="28"/>
          <w:rtl w:val="true"/>
          <w:lang w:bidi="fa-IR"/>
        </w:rPr>
        <w:t xml:space="preserve">صفحه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سعید سعیدی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 xml:space="preserve">چاپخانه و شمارگان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نوبت و تاریخ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 xml:space="preserve">تلفن و نمابر </w:t>
      </w:r>
      <w:r>
        <w:rPr>
          <w:rFonts w:eastAsia="IRNazanin" w:cs="IRNazanin"/>
          <w:color w:val="111111"/>
          <w:sz w:val="28"/>
          <w:szCs w:val="28"/>
          <w:rtl w:val="true"/>
          <w:lang w:bidi="fa-IR"/>
        </w:rPr>
        <w:t xml:space="preserve">: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مددکاری امام زمان عجل الله تعالی</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16747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اسراف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67_1245"/>
      <w:bookmarkStart w:id="8" w:name="pg267_1245"/>
      <w:bookmarkEnd w:id="8"/>
    </w:p>
    <w:p>
      <w:pPr>
        <w:pStyle w:val="Heading2"/>
        <w:numPr>
          <w:ilvl w:val="1"/>
          <w:numId w:val="1"/>
        </w:numPr>
        <w:rPr/>
      </w:pPr>
      <w:bookmarkStart w:id="9" w:name="pg267_1245"/>
      <w:bookmarkStart w:id="10" w:name="__RefHeading___Toc2416749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راهکارهای مقابله و نجات از اسراف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ملی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بر تولیدات غذایی به ویژه نان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مهم زنان و مادران در خانواده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و ارشاد گرفتن از کسانی که مورد اعتمادند و</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هشدار های قرآن و حدیث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عقوبت های اسراف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محرومیت و ابعاد آن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محرومیت از هدایت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های سخت آسمانی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قحطی و کمبود در مواد اساسی مورد نیاز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در ذهنیت نسبت به دارایی ها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الگوهای سازنده و تأثیرگذار از مراقبت و شکر نعمت ها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ثواب های جذاب و تشویق کننده </w:t>
      </w:r>
      <w:r>
        <w:rPr>
          <w:rFonts w:eastAsia="IRNazanin" w:cs="IRNazanin"/>
          <w:color w:val="111111"/>
          <w:sz w:val="28"/>
          <w:szCs w:val="28"/>
          <w:lang w:bidi="fa-IR"/>
        </w:rPr>
        <w:t>24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مصونیت از بیماری ها و پیری زودرس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قبل از آنکه درباره اسراف و تعاریف و نمونه ها و راهکارهای بازدارنده بررسی کنیم؛ لازم است بدانیم که همۀ کردارها در بینش اسلامی با اندیشه و عقاید رابطه دارند پس هیچ عملی بدون رابطه با یک ذهنیت و فکر نیست</w:t>
      </w:r>
    </w:p>
    <w:p>
      <w:pPr>
        <w:pStyle w:val="BookText"/>
        <w:rPr/>
      </w:pPr>
      <w:r>
        <w:rPr>
          <w:rFonts w:ascii="IRNazanin" w:hAnsi="IRNazanin" w:eastAsia="IRNazanin"/>
          <w:color w:val="111111"/>
          <w:sz w:val="28"/>
          <w:sz w:val="28"/>
          <w:szCs w:val="28"/>
          <w:rtl w:val="true"/>
          <w:lang w:bidi="fa-IR"/>
        </w:rPr>
        <w:t>به همین دلیل باید اسراف را در ظرفیتی بیشتر بررسی کنیم؛ زیرا در قرآن کریم انسان یک موجود امانت دار است و نعمت ها نیز از یک نسبت ویژه ای از این امانت هستند همین دقت باعث می شود که انسان مؤمن از حساسیتی در برابر نعمت ها و مصرف آنها برخوردار می شود؛ چنان که حتی یک تکه نان هم برای او دغدغه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روایت شگفت دقت کنید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امام سجاد و به روایتی دیگر امام حسین علیه السلام قصد کرد به دستشویی برود، آنجا تکه ای نان را بر زمین دیدند، برداشته و به خادم خویش داده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را نگه دار تا من بیرون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p>
    <w:p>
      <w:pPr>
        <w:pStyle w:val="BookText"/>
        <w:rPr/>
      </w:pPr>
      <w:r>
        <w:rPr>
          <w:rFonts w:ascii="IRNazanin" w:hAnsi="IRNazanin" w:eastAsia="IRNazanin"/>
          <w:color w:val="111111"/>
          <w:sz w:val="28"/>
          <w:sz w:val="28"/>
          <w:szCs w:val="28"/>
          <w:rtl w:val="true"/>
          <w:lang w:bidi="fa-IR"/>
        </w:rPr>
        <w:t>امام علیه السلام بیرون آمد، سراغ نان را گرفت؛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نان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از امام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کار، او را آزاد کردید؟ امام علیه السلام پاسخ جالبی دادند و فرمودند کسی که چنین به نان احترام کند از آتش جهنم آزاد شده، پس من چرا او را آزاد نکنم</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این حدیث نشان می دهد، انسان باید برای نسبتی که بین او و نعمت هاست، دچار دغدغه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دغدغه از آنجا شروع می شود که انسان، خود نعمتی بزرگ؛ بلکه وجودش بزرگترین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خودش را به بهترین وجه و بهترین جهت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مسأله حساس نباشد و کوتاهی کند، بزرگ ترین اسراف اتفاق افتاده است و بدترین شرور که اسراف یکی از آنهاست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هانت عليه نفسه فلا تأمن شره؛</w:t>
      </w:r>
    </w:p>
    <w:p>
      <w:pPr>
        <w:pStyle w:val="BookText"/>
        <w:rPr/>
      </w:pPr>
      <w:r>
        <w:rPr>
          <w:rFonts w:ascii="IRNazanin" w:hAnsi="IRNazanin" w:eastAsia="IRNazanin"/>
          <w:color w:val="111111"/>
          <w:sz w:val="28"/>
          <w:sz w:val="28"/>
          <w:szCs w:val="28"/>
          <w:rtl w:val="true"/>
          <w:lang w:bidi="fa-IR"/>
        </w:rPr>
        <w:t>کسی که برای خودش ارزشی قائل نباشد، از شر او در امان نباش</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چنین است که قرآن بزرگ و هدایت تمام،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درباره وجود خودتان اسراف نموده اید، از رحمت خداوند ناامید نشوید، خداوند همه گناهان را می آمرزد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می بینیم که گناه قوم لوط را یک اسراف و آلوده ها به گناه لواط را جزء مسرفین نام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جا می بینیم که قرآن هدایت گر، قبل از آنکه به اسراف اشیاء ضروری زندگی، مانند آب و خوراک و پوشاک بپردازد، از این اسراف گفتگو می کند؛ زیرا این گم گشتگی و ضلالت انسانی درباره خویش است که اسراف های دیگر را شکل می دهد و سرمایه های بزرگ را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یک حقیقت بزرگ پرده بر می دارد که وقتی انسان و انسانیت ارزش خویش را از دست داد، آنگاه احساس مسؤولیت دربارهٔ نعمت ها نمی کند و می بینیم چه آمارهای وحشتناکی از اسراف در جهان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در کشور برای بیماریهای ناشی از سیگار هزینه می شود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سالانه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نخ سیگار در ایران مصرف می شود که با کاغذ مصرفی آن می توان کتاب های درسی دانش آموزان را تأمین کرد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باندهای مافیایی سالانه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از قاچاق زنان درآمد کسب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درآمد ناشی از تجارت زنان شرقی به عنوان بردگان هزاره سوم، سالانه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سالانه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تریلیون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سیگار در جهان به فروش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حاصله از خرید سیگار این افراد بالغ بر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هر سال بیش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نوجوان و جوان شهروند کشورهای عضو اتحادیه اروپا بر اثر مصرف نوشیدنی های الکلی، جان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تهران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واحد مسکونی خالی وجود دارد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مطالب همگی مرتبط با جهان بینی شخص، نسبت به انسان است و به همین دلیل، ابتدا باید از اهمیت استعدادهای انسانی و هدف برتر او و خلاصه حیات متعالی او سخن گفت، تا آنگاه نسبت به نعمت هایی؛ مثل آب و نان و برق و گاز و سایر انرژی ها قناعت بورزد و به مصرف صحیح روی آورد؛ زیرا انسانی که نسبت به نعمت های بزرگ؛ مثل وجود خویش و آثار اعمال خویش حساسیت پیدا کرد نمی تواند اسراف در نعمت های کوچک دیگر را تحمل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استاد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عاشق حق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خلق می شود، که عاشقم بر همه عالم که همه عالم از اوست و این عشق میشود زیربنای مبارزه و امر به معروف و نهی از منکر کسی که عاشق شد خواستار بهروزی و بهزیستی و رشد و حرکت و کمال 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 حتی یک پر سبزی و یک ورق کاغذ هم هدر نمی شود و ضایع نمی گردد که باید هر چیز به رشد و کمال خود برسد و این خودداری از اسراف، براساس این اعتقاد استوار می شود، نه فقط براساس یک بخل و یا یک دید اقتصادی</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کسی که یک پر سبزی را هدر نمی کند و اسراف نمی کند، چگونه میتواند شاهد از دست رفتن استعدادهای خلق باشد؟ چگونه می تواند خودش باتلاق خلق بشود و آنها را مطیع و مرید و برده خود بسازد؟ چگونه می تواند که شاهد اسارت و بردگی و در باتلاق رفتن خلق باشد و آرام بگیرد؟</w:t>
      </w:r>
    </w:p>
    <w:p>
      <w:pPr>
        <w:pStyle w:val="BookText"/>
        <w:rPr/>
      </w:pPr>
      <w:r>
        <w:rPr>
          <w:rFonts w:ascii="IRNazanin" w:hAnsi="IRNazanin" w:eastAsia="IRNazanin"/>
          <w:color w:val="111111"/>
          <w:sz w:val="28"/>
          <w:sz w:val="28"/>
          <w:szCs w:val="28"/>
          <w:rtl w:val="true"/>
          <w:lang w:bidi="fa-IR"/>
        </w:rPr>
        <w:t>با این مبنا نه تنها می توانیم الگوهای مصرف را تغییر دهیم و از اسراف بکاهیم؛ بلکه می توانیم این بینش را متعالی نمود یا به قول</w:t>
      </w:r>
    </w:p>
    <w:p>
      <w:pPr>
        <w:pStyle w:val="BookText"/>
        <w:rPr/>
      </w:pPr>
      <w:r>
        <w:rPr>
          <w:rFonts w:ascii="IRNazanin" w:hAnsi="IRNazanin" w:eastAsia="IRNazanin"/>
          <w:color w:val="111111"/>
          <w:sz w:val="28"/>
          <w:sz w:val="28"/>
          <w:szCs w:val="28"/>
          <w:rtl w:val="true"/>
          <w:lang w:bidi="fa-IR"/>
        </w:rPr>
        <w:t>روانشناسان تصعید ببخشیم که احساس مسؤولیت درباره انسان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استعدادها، وقت ها، نیز به جنبش درآید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دیدگاه عمیق می توانیم بفهمیم، چرا حضرت علی علیه السلام در کنار فرات به شخصی که آب را بیهوده به اطراف می ریخت،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بفهمیم که چرا مرحوم آیت الله کاشانی و مرحوم مدرس رحمه الله یادداشت ها و توصیه ها را در کاغذ کوچک؛ مثل کاغذ یک سیگار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فرد از شخصیت های مملکت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حکمت کار امام خمینی رحمه الله روشن می گردد که نیم خورده آب در لیوان را نگه می داشت، این گونه حکایات از سیره ها می تواند بسیار سازنده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مرحوم سبزواری، نویسندهٔ منظومه نوشته 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دختر ایشان غذای خوبی از مرغ پخت و پدر را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کمال تعجب دید که پدر از همان غذای ساده؛ مثل نان و ماست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حکیم سبزوار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من ثابت می کنم که لازم است شما از این مرغ بخورید؛ چون این مرغ در بدن شما تبدیل به فکر می شود و به کمال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سبزواری گفت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همین تردید دارم</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شکی نیست که خداوند استفاده از نعمت ها را تحریم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دید که نسبت نعمت ها چقدر از نظر انسان مؤمن و عارف دقیق است و چقدر باید شکرگزار باشد؟ </w:t>
      </w:r>
    </w:p>
    <w:p>
      <w:pPr>
        <w:pStyle w:val="BookText"/>
        <w:rPr/>
      </w:pPr>
      <w:r>
        <w:rPr>
          <w:rFonts w:ascii="IRNazanin" w:hAnsi="IRNazanin" w:eastAsia="IRNazanin"/>
          <w:color w:val="111111"/>
          <w:sz w:val="28"/>
          <w:sz w:val="28"/>
          <w:szCs w:val="28"/>
          <w:rtl w:val="true"/>
          <w:lang w:bidi="fa-IR"/>
        </w:rPr>
        <w:t>از قدرشناسی نعمت ها و تعظیم آنها حکایتی از شیخ انصاری رحمه الله است که شگفتی انسان را بر می انگیزد؛ روزی شیخ مشغول خوردن نان بود، کسی از او پرسید چه میل می کنید؟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 تازه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چقدر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نگفت، نان خالی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روش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تازگی را جزء خورش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بینش هاست که اسراف را کنترل می کنند و در ضمن انگیزه ای متعالی نیز در بردارد وگرنه استان ها به خاطر جلب نفع و دفع ضرر خودشان، در این دغدغه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اجلاس ها دیده شد، سفیر چین چند برنج ریخته شده روی میز را جمع کرد و خورد و هنگامی که با نگاههای سرزنش آمیز مواجه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تعجب کنید؛ زیرا با جمعیتی که ما داریم، اگر هر کسی چند برنج دور بریزد می دانید، چه حجمی از برنج خواهد شد؟</w:t>
      </w:r>
    </w:p>
    <w:p>
      <w:pPr>
        <w:pStyle w:val="BookText"/>
        <w:rPr/>
      </w:pPr>
      <w:r>
        <w:rPr>
          <w:rFonts w:ascii="IRNazanin" w:hAnsi="IRNazanin" w:eastAsia="IRNazanin"/>
          <w:color w:val="111111"/>
          <w:sz w:val="28"/>
          <w:sz w:val="28"/>
          <w:szCs w:val="28"/>
          <w:rtl w:val="true"/>
          <w:lang w:bidi="fa-IR"/>
        </w:rPr>
        <w:t xml:space="preserve">سوگمندانه باید اعتراف کنیم که ما مردم اسرافکاری هستیم و حتی در بین برخی از کشورها هم شناخته شده ایم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جانباز که برای معالجه به آلمان رفته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اجاره منزل به مردم مراجعه می کردم، از اجاره به ایرانی ها امتناع </w:t>
      </w:r>
      <w:bookmarkStart w:id="12" w:name="pg267_1264"/>
    </w:p>
    <w:p>
      <w:pPr>
        <w:pStyle w:val="BookText"/>
        <w:rPr/>
      </w:pPr>
      <w:bookmarkEnd w:id="12"/>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دلیل آن را پرسیدیم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ایرانی ها انرژی را از پنجره بیرون می ریزید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منظورشان را پرسیدم، می گفتند وقتی شما گرمتان می شود، به جای بستن شیر شوفاژ، پنجره ها را باز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این مقدار هشدار برای درک ابعاد اسراف کافی باشد</w:t>
      </w:r>
      <w:r>
        <w:rPr>
          <w:rFonts w:eastAsia="IRNazanin" w:cs="IRNazanin"/>
          <w:color w:val="111111"/>
          <w:sz w:val="28"/>
          <w:szCs w:val="28"/>
          <w:rtl w:val="true"/>
          <w:lang w:bidi="fa-IR"/>
        </w:rPr>
        <w:t>.</w:t>
      </w:r>
    </w:p>
    <w:p>
      <w:pPr>
        <w:pStyle w:val="Heading2"/>
        <w:numPr>
          <w:ilvl w:val="1"/>
          <w:numId w:val="1"/>
        </w:numPr>
        <w:rPr/>
      </w:pPr>
      <w:bookmarkStart w:id="13" w:name="__RefHeading___Toc2416751_211673320"/>
      <w:bookmarkStart w:id="14" w:name="_Toc4"/>
      <w:bookmarkEnd w:id="13"/>
      <w:r>
        <w:rPr>
          <w:rtl w:val="true"/>
        </w:rPr>
        <w:t>راهکارهای مقابله و نجات از اسراف</w:t>
      </w:r>
      <w:bookmarkEnd w:id="14"/>
    </w:p>
    <w:p>
      <w:pPr>
        <w:pStyle w:val="Heading3"/>
        <w:numPr>
          <w:ilvl w:val="2"/>
          <w:numId w:val="1"/>
        </w:numPr>
        <w:rPr/>
      </w:pPr>
      <w:bookmarkStart w:id="15" w:name="__RefHeading___Toc2416753_211673320"/>
      <w:bookmarkStart w:id="16" w:name="_Toc5"/>
      <w:bookmarkEnd w:id="15"/>
      <w:r>
        <w:rPr>
          <w:rtl w:val="true"/>
        </w:rPr>
        <w:t>الف</w:t>
      </w:r>
      <w:r>
        <w:rPr>
          <w:rtl w:val="true"/>
        </w:rPr>
        <w:t xml:space="preserve">) </w:t>
      </w:r>
      <w:r>
        <w:rPr>
          <w:rtl w:val="true"/>
        </w:rPr>
        <w:t>راهکارهای ملّی</w:t>
      </w:r>
      <w:bookmarkEnd w:id="16"/>
    </w:p>
    <w:p>
      <w:pPr>
        <w:pStyle w:val="BookText"/>
        <w:rPr/>
      </w:pPr>
      <w:r>
        <w:rPr>
          <w:rFonts w:ascii="IRNazanin" w:hAnsi="IRNazanin" w:eastAsia="IRNazanin"/>
          <w:color w:val="111111"/>
          <w:sz w:val="28"/>
          <w:sz w:val="28"/>
          <w:szCs w:val="28"/>
          <w:rtl w:val="true"/>
          <w:lang w:bidi="fa-IR"/>
        </w:rPr>
        <w:t>مجری این گونه طرح ها، دولت جمهوری اسلامی می باشد که می تواند در میدان وسیع و طرح های کلان به صرفه جویی در سطحی گسترده اقدام کند و امکانات زیادی را جذب نموده و از اسراف آنها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نهم در موارد زیادی، موفق بوده و باید این را ادامه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سوخت به ویژه بنزین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مسافرت ها و رانت های دولتی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همایش های بیفایده و جوایز بدون استحقاق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های رسانه ای به ویژه تلویزیون درباره مصرف آب و گاز</w:t>
      </w:r>
    </w:p>
    <w:p>
      <w:pPr>
        <w:pStyle w:val="Heading3"/>
        <w:numPr>
          <w:ilvl w:val="2"/>
          <w:numId w:val="1"/>
        </w:numPr>
        <w:rPr/>
      </w:pPr>
      <w:bookmarkStart w:id="17" w:name="__RefHeading___Toc2416755_211673320"/>
      <w:bookmarkStart w:id="18" w:name="_Toc6"/>
      <w:bookmarkEnd w:id="17"/>
      <w:r>
        <w:rPr>
          <w:rtl w:val="true"/>
        </w:rPr>
        <w:t>ب</w:t>
      </w:r>
      <w:r>
        <w:rPr>
          <w:rtl w:val="true"/>
        </w:rPr>
        <w:t xml:space="preserve">) </w:t>
      </w:r>
      <w:r>
        <w:rPr>
          <w:rtl w:val="true"/>
        </w:rPr>
        <w:t>نظارت بر تولیدات غذایی به ویژه نان</w:t>
      </w:r>
      <w:bookmarkEnd w:id="1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گوناگون دربارۀ اسراف نان نشان داده شده که پخت خوب نان، </w:t>
      </w:r>
      <w:bookmarkStart w:id="19" w:name="pg267_1266"/>
    </w:p>
    <w:p>
      <w:pPr>
        <w:pStyle w:val="BookText"/>
        <w:rPr/>
      </w:pPr>
      <w:bookmarkEnd w:id="19"/>
      <w:r>
        <w:rPr>
          <w:rFonts w:ascii="IRNazanin" w:hAnsi="IRNazanin" w:eastAsia="IRNazanin"/>
          <w:color w:val="111111"/>
          <w:sz w:val="28"/>
          <w:sz w:val="28"/>
          <w:szCs w:val="28"/>
          <w:rtl w:val="true"/>
          <w:lang w:bidi="fa-IR"/>
        </w:rPr>
        <w:t>باعث کنترل مصارف بی رویه و دورریزی می شود و مصرف کننده کم ترین تقصیر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هایی که با کیفیت پخت و تحویل مشتری داده می شوند تقریباً به طور کامل مورد استفاده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راهکارهایی مثل تشویق و تنبیه در این معضل بزرگ که آمارهای وحشتناکی از ضایعات نان داده می شود می توان به وضعیت مطلوبی رسید</w:t>
      </w:r>
      <w:r>
        <w:rPr>
          <w:rFonts w:eastAsia="IRNazanin" w:cs="IRNazanin"/>
          <w:color w:val="111111"/>
          <w:sz w:val="28"/>
          <w:szCs w:val="28"/>
          <w:rtl w:val="true"/>
          <w:lang w:bidi="fa-IR"/>
        </w:rPr>
        <w:t>.</w:t>
      </w:r>
    </w:p>
    <w:p>
      <w:pPr>
        <w:pStyle w:val="Heading3"/>
        <w:numPr>
          <w:ilvl w:val="2"/>
          <w:numId w:val="1"/>
        </w:numPr>
        <w:rPr/>
      </w:pPr>
      <w:bookmarkStart w:id="20" w:name="__RefHeading___Toc2416757_211673320"/>
      <w:bookmarkStart w:id="21" w:name="_Toc7"/>
      <w:bookmarkEnd w:id="20"/>
      <w:r>
        <w:rPr>
          <w:rtl w:val="true"/>
        </w:rPr>
        <w:t>ت</w:t>
      </w:r>
      <w:r>
        <w:rPr>
          <w:rtl w:val="true"/>
        </w:rPr>
        <w:t xml:space="preserve">) </w:t>
      </w:r>
      <w:r>
        <w:rPr>
          <w:rtl w:val="true"/>
        </w:rPr>
        <w:t>نقش مهم زنان و مادران در خانواده</w:t>
      </w:r>
      <w:bookmarkEnd w:id="21"/>
    </w:p>
    <w:p>
      <w:pPr>
        <w:pStyle w:val="BookText"/>
        <w:rPr/>
      </w:pPr>
      <w:r>
        <w:rPr>
          <w:rFonts w:ascii="IRNazanin" w:hAnsi="IRNazanin" w:eastAsia="IRNazanin"/>
          <w:color w:val="111111"/>
          <w:sz w:val="28"/>
          <w:sz w:val="28"/>
          <w:szCs w:val="28"/>
          <w:rtl w:val="true"/>
          <w:lang w:bidi="fa-IR"/>
        </w:rPr>
        <w:t xml:space="preserve">زنان در جنس خود گرایش به زینت ها دارند </w:t>
      </w:r>
      <w:r>
        <w:rPr>
          <w:rStyle w:val="FootnoteAnchor"/>
          <w:rtl w:val="true"/>
        </w:rPr>
        <w:footnoteReference w:id="11"/>
      </w:r>
      <w:r>
        <w:rPr>
          <w:rFonts w:ascii="IRNazanin" w:hAnsi="IRNazanin" w:eastAsia="IRNazanin"/>
          <w:color w:val="111111"/>
          <w:sz w:val="28"/>
          <w:sz w:val="28"/>
          <w:szCs w:val="28"/>
          <w:rtl w:val="true"/>
          <w:lang w:bidi="fa-IR"/>
        </w:rPr>
        <w:t>و این خصلت می تواند مصرف های بی جا و خصلت بیمارگونه چشم و هم چشمی را شعله ور کند، اما وقتی زنی مؤمن شد طبیعت خویش را متحول می کند؛ همان طور که مرد بعد از باور، متفاوت می شود و خصلت های طبیعی به تعالی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زنان می توانند نقش بسیار مهمی را جاری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می فرماید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ايما امرءة أدخلت على زوجها في أمر النفقة وكلّفه ما لا يطيق لا يقبل الله منها</w:t>
      </w:r>
      <w:r>
        <w:rPr>
          <w:rFonts w:eastAsia="Amiri" w:cs="Amiri" w:ascii="Amiri" w:hAnsi="Amiri"/>
          <w:color w:val="111111"/>
          <w:sz w:val="28"/>
          <w:szCs w:val="28"/>
          <w:rtl w:val="true"/>
          <w:lang w:bidi="ar-SA"/>
        </w:rPr>
        <w:t xml:space="preserve">.... </w:t>
      </w:r>
      <w:bookmarkStart w:id="22" w:name="pg267_1268"/>
    </w:p>
    <w:p>
      <w:pPr>
        <w:pStyle w:val="BookText"/>
        <w:rPr/>
      </w:pPr>
      <w:bookmarkEnd w:id="22"/>
      <w:r>
        <w:rPr>
          <w:rFonts w:ascii="IRNazanin" w:hAnsi="IRNazanin" w:eastAsia="IRNazanin"/>
          <w:color w:val="111111"/>
          <w:sz w:val="28"/>
          <w:sz w:val="28"/>
          <w:szCs w:val="28"/>
          <w:rtl w:val="true"/>
          <w:lang w:bidi="fa-IR"/>
        </w:rPr>
        <w:t>آن زنی که همسرش را در امور نفقه در فشار بگذارد و مخارجی را که در توانش نیست تحمیل کند، خداوند هیچ کار خیری را از این زن قبول نمی کند؛ مگر آنکه توبه کند و از مرد چیزی را بخواهد که در طاقت اوست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دربارهٔ زنان بد آمده است که خراجه هستند؛ یعنی خرج تراش یا خیلی خرج کننده</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درباره زنان خوب نیز آمده است که برترین زنان؛ آسان گیرترین آنها در مخارج زندگی است و محافظت می کند از خویشتن در مال همسرش</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23" w:name="__RefHeading___Toc2416759_211673320"/>
      <w:bookmarkStart w:id="24" w:name="_Toc8"/>
      <w:bookmarkEnd w:id="23"/>
      <w:r>
        <w:rPr>
          <w:rtl w:val="true"/>
        </w:rPr>
        <w:t>ج</w:t>
      </w:r>
      <w:r>
        <w:rPr>
          <w:rtl w:val="true"/>
        </w:rPr>
        <w:t xml:space="preserve">) </w:t>
      </w:r>
      <w:r>
        <w:rPr>
          <w:rtl w:val="true"/>
        </w:rPr>
        <w:t>راهنمایی و ارشاد گرفتن از کسانی که مورد اعتمادند و مردم به سخن آنان گوش می دهند</w:t>
      </w:r>
      <w:bookmarkEnd w:id="24"/>
    </w:p>
    <w:p>
      <w:pPr>
        <w:pStyle w:val="BookText"/>
        <w:rPr/>
      </w:pPr>
      <w:r>
        <w:rPr>
          <w:rFonts w:ascii="IRNazanin" w:hAnsi="IRNazanin" w:eastAsia="IRNazanin"/>
          <w:color w:val="111111"/>
          <w:sz w:val="28"/>
          <w:sz w:val="28"/>
          <w:szCs w:val="28"/>
          <w:rtl w:val="true"/>
          <w:lang w:bidi="fa-IR"/>
        </w:rPr>
        <w:t xml:space="preserve">مردم از چند گروه حرف شنوی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پلیس، پزشک، روحانی، معلم و استاد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سوم و چهارم، باید مردم و دانش آموزان و دانشجویان را به جدیت در این امور راهنمایی کنند </w:t>
      </w:r>
      <w:r>
        <w:rPr>
          <w:rFonts w:eastAsia="IRNazanin" w:cs="IRNazanin"/>
          <w:color w:val="111111"/>
          <w:sz w:val="28"/>
          <w:szCs w:val="28"/>
          <w:rtl w:val="true"/>
          <w:lang w:bidi="fa-IR"/>
        </w:rPr>
        <w:t xml:space="preserve">. </w:t>
      </w:r>
      <w:bookmarkStart w:id="25" w:name="pg267_1270"/>
    </w:p>
    <w:p>
      <w:pPr>
        <w:pStyle w:val="Heading3"/>
        <w:numPr>
          <w:ilvl w:val="2"/>
          <w:numId w:val="1"/>
        </w:numPr>
        <w:rPr/>
      </w:pPr>
      <w:bookmarkStart w:id="26" w:name="__RefHeading___Toc2416761_211673320"/>
      <w:bookmarkStart w:id="27" w:name="_Toc9"/>
      <w:bookmarkEnd w:id="25"/>
      <w:bookmarkEnd w:id="26"/>
      <w:r>
        <w:rPr>
          <w:rtl w:val="true"/>
        </w:rPr>
        <w:t>چ</w:t>
      </w:r>
      <w:r>
        <w:rPr>
          <w:rtl w:val="true"/>
        </w:rPr>
        <w:t xml:space="preserve">) </w:t>
      </w:r>
      <w:r>
        <w:rPr>
          <w:rtl w:val="true"/>
        </w:rPr>
        <w:t>مطالعه هشدارهای قرآن وحدیث</w:t>
      </w:r>
      <w:bookmarkEnd w:id="27"/>
    </w:p>
    <w:p>
      <w:pPr>
        <w:pStyle w:val="BookText"/>
        <w:rPr/>
      </w:pPr>
      <w:r>
        <w:rPr>
          <w:rFonts w:ascii="IRNazanin" w:hAnsi="IRNazanin" w:eastAsia="IRNazanin"/>
          <w:color w:val="111111"/>
          <w:sz w:val="28"/>
          <w:sz w:val="28"/>
          <w:szCs w:val="28"/>
          <w:rtl w:val="true"/>
          <w:lang w:bidi="fa-IR"/>
        </w:rPr>
        <w:t xml:space="preserve">این بینش ها آنقدر تأثیرگذارند که کسی نمی تواند بخواند و در رفتارش تحوّل پیدا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همین بس نیست که خداوند می فرماید اسراف نکنید خدا اسرافکار را دوست ندارد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بخورید و بیاشامید و اسراف نکنید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اسرافکاران را دوست ندارد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اینجا خداوند خودش را با ضمیر معرفی کرده، گویی رویش را از اسرافکار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دوستدار سخت گیری بر خویشتن و زندگی اطرافیان نیست و نام آن را تقتیر نهاده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ascii="IRNazanin" w:hAnsi="IRNazanin" w:eastAsia="IRNazanin"/>
          <w:color w:val="111111"/>
          <w:sz w:val="28"/>
          <w:sz w:val="28"/>
          <w:szCs w:val="28"/>
          <w:rtl w:val="true"/>
          <w:lang w:bidi="fa-IR"/>
        </w:rPr>
        <w:t xml:space="preserve">؛ یعنی کسانی که وقتی اتفاق می کنند، زیاده روی ننموده و خست به خرج نمی دهند؛ بلکه چیزی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 دهند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بد و تکان دهنده است که انسان اسرافکار در کنار فرعون معرفی شود که قرآن درباره اش می گوید </w:t>
      </w:r>
      <w:r>
        <w:rPr>
          <w:rFonts w:eastAsia="IRNazanin" w:cs="IRNazanin"/>
          <w:color w:val="111111"/>
          <w:sz w:val="28"/>
          <w:szCs w:val="28"/>
          <w:rtl w:val="true"/>
          <w:lang w:bidi="fa-IR"/>
        </w:rPr>
        <w:t xml:space="preserve">: </w:t>
      </w:r>
      <w:bookmarkStart w:id="28" w:name="pg267_1272"/>
    </w:p>
    <w:p>
      <w:pPr>
        <w:pStyle w:val="BookText"/>
        <w:rPr/>
      </w:pPr>
      <w:bookmarkEnd w:id="28"/>
      <w:r>
        <w:rPr>
          <w:rFonts w:ascii="Amiri" w:hAnsi="Amiri" w:eastAsia="Amiri" w:cs="Amiri"/>
          <w:color w:val="111111"/>
          <w:sz w:val="28"/>
          <w:sz w:val="28"/>
          <w:szCs w:val="28"/>
          <w:rtl w:val="true"/>
          <w:lang w:bidi="ar-SA"/>
        </w:rPr>
        <w:t>إِنَّهُ لَمِنَ الْمُسْرِفِينَ</w:t>
      </w:r>
      <w:r>
        <w:rPr>
          <w:rFonts w:ascii="IRNazanin" w:hAnsi="IRNazanin" w:eastAsia="IRNazanin"/>
          <w:color w:val="111111"/>
          <w:sz w:val="28"/>
          <w:sz w:val="28"/>
          <w:szCs w:val="28"/>
          <w:rtl w:val="true"/>
          <w:lang w:bidi="fa-IR"/>
        </w:rPr>
        <w:t xml:space="preserve">؛ به جدیت که فرعون از اسرافکاران بود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چقدر زشت است که انسان در کنار قوم لوط شناسایی شود؛ زیرا قرآن آنان را نیز از اسراف کاران معرفی می کند</w:t>
      </w:r>
      <w:r>
        <w:rPr>
          <w:rFonts w:eastAsia="IRNazanin" w:cs="IRNazanin"/>
          <w:color w:val="111111"/>
          <w:sz w:val="28"/>
          <w:szCs w:val="28"/>
          <w:rtl w:val="true"/>
          <w:lang w:bidi="fa-IR"/>
        </w:rPr>
        <w:t xml:space="preserve">. </w:t>
      </w:r>
      <w:r>
        <w:rPr>
          <w:rStyle w:val="FootnoteAnchor"/>
          <w:rtl w:val="true"/>
        </w:rPr>
        <w:footnoteReference w:id="19"/>
      </w:r>
    </w:p>
    <w:p>
      <w:pPr>
        <w:pStyle w:val="Heading3"/>
        <w:numPr>
          <w:ilvl w:val="2"/>
          <w:numId w:val="1"/>
        </w:numPr>
        <w:rPr/>
      </w:pPr>
      <w:bookmarkStart w:id="29" w:name="__RefHeading___Toc2416763_211673320"/>
      <w:bookmarkStart w:id="30" w:name="_Toc10"/>
      <w:bookmarkEnd w:id="29"/>
      <w:r>
        <w:rPr>
          <w:rtl w:val="true"/>
        </w:rPr>
        <w:t>ح</w:t>
      </w:r>
      <w:r>
        <w:rPr>
          <w:rtl w:val="true"/>
        </w:rPr>
        <w:t xml:space="preserve">) </w:t>
      </w:r>
      <w:r>
        <w:rPr>
          <w:rtl w:val="true"/>
        </w:rPr>
        <w:t>توجه به عقوبت های اسراف</w:t>
      </w:r>
      <w:bookmarkEnd w:id="30"/>
    </w:p>
    <w:p>
      <w:pPr>
        <w:pStyle w:val="Heading4"/>
        <w:numPr>
          <w:ilvl w:val="3"/>
          <w:numId w:val="1"/>
        </w:numPr>
        <w:rPr/>
      </w:pPr>
      <w:bookmarkStart w:id="31" w:name="__RefHeading___Toc2416765_211673320"/>
      <w:bookmarkStart w:id="32" w:name="_Toc11"/>
      <w:bookmarkEnd w:id="31"/>
      <w:r>
        <w:rPr>
          <w:rtl w:val="true"/>
        </w:rPr>
        <w:t>محرومیت و ابعاد آن</w:t>
      </w:r>
      <w:bookmarkEnd w:id="32"/>
    </w:p>
    <w:p>
      <w:pPr>
        <w:pStyle w:val="Heading5"/>
        <w:numPr>
          <w:ilvl w:val="4"/>
          <w:numId w:val="1"/>
        </w:numPr>
        <w:rPr/>
      </w:pPr>
      <w:bookmarkStart w:id="33" w:name="__RefHeading___Toc2416767_211673320"/>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شب پنجشنبه ای می خواستند در مسجد قبا افطار کنند، پس پرسیدند آیا شربتی هست؟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 بن خوله انصاری، شیری آورد که مخلوطی از عسل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پیامبر صلی الله علیه وآله آن را چشید کنار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شربت برای خورنده اش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نمی خورم، اما تحریم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تواضع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فروتنی برای خدا کند، خدا بلندش می گرداند و هر کس تکبر نماید پستش می نماید</w:t>
      </w:r>
      <w:r>
        <w:rPr>
          <w:rFonts w:eastAsia="IRNazanin" w:cs="IRNazanin"/>
          <w:color w:val="111111"/>
          <w:sz w:val="28"/>
          <w:szCs w:val="28"/>
          <w:rtl w:val="true"/>
          <w:lang w:bidi="fa-IR"/>
        </w:rPr>
        <w:t xml:space="preserve">. </w:t>
      </w:r>
      <w:bookmarkStart w:id="35" w:name="pg267_1274"/>
    </w:p>
    <w:p>
      <w:pPr>
        <w:pStyle w:val="BookText"/>
        <w:rPr/>
      </w:pPr>
      <w:bookmarkEnd w:id="35"/>
      <w:r>
        <w:rPr>
          <w:rFonts w:ascii="IRNazanin" w:hAnsi="IRNazanin" w:eastAsia="IRNazanin"/>
          <w:color w:val="111111"/>
          <w:sz w:val="28"/>
          <w:sz w:val="28"/>
          <w:szCs w:val="28"/>
          <w:rtl w:val="true"/>
          <w:lang w:bidi="fa-IR"/>
        </w:rPr>
        <w:t>و هر کس در معاش میانه روی کند، خداوند روزی اش میدهد و هر کس بریز و بپاش کند، خداوند محرومش می کند و هر کس یاد مرگ کند، خداوند دوستش می دارد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هم اکنون به ابعاد این محرومیت می پردازیم </w:t>
      </w:r>
      <w:r>
        <w:rPr>
          <w:rFonts w:eastAsia="IRNazanin" w:cs="IRNazanin"/>
          <w:color w:val="111111"/>
          <w:sz w:val="28"/>
          <w:szCs w:val="28"/>
          <w:rtl w:val="true"/>
          <w:lang w:bidi="fa-IR"/>
        </w:rPr>
        <w:t>:</w:t>
      </w:r>
    </w:p>
    <w:p>
      <w:pPr>
        <w:pStyle w:val="Heading5"/>
        <w:numPr>
          <w:ilvl w:val="4"/>
          <w:numId w:val="1"/>
        </w:numPr>
        <w:rPr/>
      </w:pPr>
      <w:bookmarkStart w:id="36" w:name="__RefHeading___Toc2416769_211673320"/>
      <w:bookmarkStart w:id="37" w:name="_Toc13"/>
      <w:bookmarkEnd w:id="36"/>
      <w:r>
        <w:rPr/>
        <w:t>1</w:t>
      </w:r>
      <w:r>
        <w:rPr>
          <w:rtl w:val="true"/>
        </w:rPr>
        <w:t xml:space="preserve"> - </w:t>
      </w:r>
      <w:r>
        <w:rPr>
          <w:rtl w:val="true"/>
        </w:rPr>
        <w:t>محرومیت از هدایت</w:t>
      </w:r>
      <w:bookmarkEnd w:id="37"/>
    </w:p>
    <w:p>
      <w:pPr>
        <w:pStyle w:val="BookText"/>
        <w:rPr/>
      </w:pPr>
      <w:r>
        <w:rPr>
          <w:rFonts w:ascii="IRNazanin" w:hAnsi="IRNazanin" w:eastAsia="IRNazanin"/>
          <w:color w:val="111111"/>
          <w:sz w:val="28"/>
          <w:sz w:val="28"/>
          <w:szCs w:val="28"/>
          <w:rtl w:val="true"/>
          <w:lang w:bidi="fa-IR"/>
        </w:rPr>
        <w:t>بزرگ ترین تنبیه محرومیت از هدایت، برای آدم اسرافکار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يَهْدِى مَنْ هُوَ مُسْرِفُ كَذَّابٌ</w:t>
      </w:r>
      <w:r>
        <w:rPr>
          <w:rFonts w:ascii="IRNazanin" w:hAnsi="IRNazanin" w:eastAsia="IRNazanin"/>
          <w:color w:val="111111"/>
          <w:sz w:val="28"/>
          <w:sz w:val="28"/>
          <w:szCs w:val="28"/>
          <w:rtl w:val="true"/>
          <w:lang w:bidi="fa-IR"/>
        </w:rPr>
        <w:t>؛ خداوند اسرافکار دروغگو را هدایت نمی کند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بدتر از این خدا او را گمراه می کند که البته این یک گمراهی جزایی و عقوبتی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عقوبتی برای اسراف و شکاک بودن</w:t>
      </w:r>
      <w:r>
        <w:rPr>
          <w:rFonts w:eastAsia="IRNazanin" w:cs="IRNazanin"/>
          <w:color w:val="111111"/>
          <w:sz w:val="28"/>
          <w:szCs w:val="28"/>
          <w:rtl w:val="true"/>
          <w:lang w:bidi="fa-IR"/>
        </w:rPr>
        <w:t>.</w:t>
      </w:r>
    </w:p>
    <w:p>
      <w:pPr>
        <w:pStyle w:val="Heading5"/>
        <w:numPr>
          <w:ilvl w:val="4"/>
          <w:numId w:val="1"/>
        </w:numPr>
        <w:rPr/>
      </w:pPr>
      <w:bookmarkStart w:id="38" w:name="__RefHeading___Toc2416771_211673320"/>
      <w:bookmarkStart w:id="39" w:name="_Toc14"/>
      <w:bookmarkEnd w:id="38"/>
      <w:r>
        <w:rPr/>
        <w:t>2</w:t>
      </w:r>
      <w:r>
        <w:rPr>
          <w:rtl w:val="true"/>
        </w:rPr>
        <w:t xml:space="preserve"> - </w:t>
      </w:r>
      <w:r>
        <w:rPr>
          <w:rtl w:val="true"/>
        </w:rPr>
        <w:t>عذاب های سخت آسمانی</w:t>
      </w:r>
      <w:bookmarkEnd w:id="39"/>
    </w:p>
    <w:p>
      <w:pPr>
        <w:pStyle w:val="BookText"/>
        <w:rPr/>
      </w:pPr>
      <w:r>
        <w:rPr>
          <w:rFonts w:ascii="IRNazanin" w:hAnsi="IRNazanin" w:eastAsia="IRNazanin"/>
          <w:color w:val="111111"/>
          <w:sz w:val="28"/>
          <w:sz w:val="28"/>
          <w:szCs w:val="28"/>
          <w:rtl w:val="true"/>
          <w:lang w:bidi="fa-IR"/>
        </w:rPr>
        <w:t>حضرت 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فرستادگان مأموریت شما چیست؟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مردمی مجرم و پلیدکار فرستاده شده ایم، تا سنگ هایی از گل رُس بر آنان فرو فرستیم که نزد پروردگارت برای اسرافکاران نشانه گذاری شده است</w:t>
      </w:r>
      <w:r>
        <w:rPr>
          <w:rFonts w:eastAsia="IRNazanin" w:cs="IRNazanin"/>
          <w:color w:val="111111"/>
          <w:sz w:val="28"/>
          <w:szCs w:val="28"/>
          <w:rtl w:val="true"/>
          <w:lang w:bidi="fa-IR"/>
        </w:rPr>
        <w:t xml:space="preserve">. </w:t>
      </w:r>
      <w:r>
        <w:rPr>
          <w:rStyle w:val="FootnoteAnchor"/>
          <w:rtl w:val="true"/>
        </w:rPr>
        <w:footnoteReference w:id="22"/>
      </w:r>
      <w:bookmarkStart w:id="40" w:name="pg267_1276"/>
    </w:p>
    <w:p>
      <w:pPr>
        <w:pStyle w:val="Heading5"/>
        <w:numPr>
          <w:ilvl w:val="4"/>
          <w:numId w:val="1"/>
        </w:numPr>
        <w:rPr/>
      </w:pPr>
      <w:bookmarkStart w:id="41" w:name="__RefHeading___Toc2416773_211673320"/>
      <w:bookmarkStart w:id="42" w:name="_Toc15"/>
      <w:bookmarkEnd w:id="40"/>
      <w:bookmarkEnd w:id="41"/>
      <w:r>
        <w:rPr/>
        <w:t>3</w:t>
      </w:r>
      <w:r>
        <w:rPr>
          <w:rtl w:val="true"/>
        </w:rPr>
        <w:t xml:space="preserve"> - </w:t>
      </w:r>
      <w:r>
        <w:rPr>
          <w:rtl w:val="true"/>
        </w:rPr>
        <w:t>قحطی و کمبود در مواد اساسی مورد نیاز</w:t>
      </w:r>
      <w:bookmarkEnd w:id="42"/>
    </w:p>
    <w:p>
      <w:pPr>
        <w:pStyle w:val="BookText"/>
        <w:rPr/>
      </w:pPr>
      <w:r>
        <w:rPr>
          <w:rFonts w:ascii="IRNazanin" w:hAnsi="IRNazanin" w:eastAsia="IRNazanin"/>
          <w:color w:val="111111"/>
          <w:sz w:val="28"/>
          <w:sz w:val="28"/>
          <w:szCs w:val="28"/>
          <w:rtl w:val="true"/>
          <w:lang w:bidi="fa-IR"/>
        </w:rPr>
        <w:t>درباره این موضوع، تردیدی نیست که چنین عقوبتی کاملاً منطقی است؛ زیرا محدودیت منابع با اسراف و زیاده روی نسبت مستقیم دارد و مصرف خارج از حد، می تواند به خطر جدی در منابع غذایی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مهم تر عقوبتی است که خداوند خودش اقدام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از بنی اسرائیل که به اهل نهر ثرثار مشهور بودند، در شرایطی خوب از آب و زمین زندگی می کردند که محصول بسیار زیاد و مرغوب از گندم داشتند و از این گندم مرغوب نان هایی می پختند، نازک و سفید؛ مثل پارچه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زیاد آنقدر آنان را مغرور و اسرافکار نموده بود که زنان به جای پارچه از همان نان ها برای پاک کردن مدفوع بچه ها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 صالحی زنی را دید که طفل خود را با نان پاک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نعمت خدا را از خود بر نگردانید،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w:t>
      </w:r>
    </w:p>
    <w:p>
      <w:pPr>
        <w:pStyle w:val="BookText"/>
        <w:rPr/>
      </w:pPr>
      <w:r>
        <w:rPr>
          <w:rFonts w:ascii="IRNazanin" w:hAnsi="IRNazanin" w:eastAsia="IRNazanin"/>
          <w:color w:val="111111"/>
          <w:sz w:val="28"/>
          <w:sz w:val="28"/>
          <w:szCs w:val="28"/>
          <w:rtl w:val="true"/>
          <w:lang w:bidi="fa-IR"/>
        </w:rPr>
        <w:t>گرسنگی می ترسانی؟ تا این نهر جاری است ما از گرسنگی نمی 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آنقدر این کار را انجام دادند که انباشتی عظیم، چون کوه در خارج از شهر از این نان ها ایجاد شد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خداوند بر آنها قحطی را با منع باران و گیاه زمین، نازل نمود </w:t>
      </w:r>
    </w:p>
    <w:p>
      <w:pPr>
        <w:pStyle w:val="BookText"/>
        <w:rPr/>
      </w:pPr>
      <w:r>
        <w:rPr>
          <w:rFonts w:ascii="IRNazanin" w:hAnsi="IRNazanin" w:eastAsia="IRNazanin"/>
          <w:color w:val="111111"/>
          <w:sz w:val="28"/>
          <w:sz w:val="28"/>
          <w:szCs w:val="28"/>
          <w:rtl w:val="true"/>
          <w:lang w:bidi="fa-IR"/>
        </w:rPr>
        <w:t>و چنان که به کمبود و نایابی غذا و به ویژه نان، دچار شدند که مجبور شدند، برای استفاده از همان نان ها در خارج شهر صف بکشند و نوبت بگیرند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قرآن از این موضوع چنین یاد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وَضَرَبَ اللهُ مَثَلاً قَرْيَةً كَانَتْ آمِنَةً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که کفران نعمت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زده است منطقهٔ آبادی را که امن و آرام و مطمئن بوده و همواره روزی اش به طور فراوان از هر کسانی می رسیده، اما نعمت خدا را کفران کردند و خداوند به خاطر اعمالی که انجام می دادند، لباس گرسنگی و ترس به اندامشان پوشاند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امام صادق علیه السلام در این باره فرمودند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بنی اسرائیل آنقدر زندگی مرفهی داشتند که حتی از مواد غذایی، مجسمه های کوچک نمی ساختند و گاهی بدن خود را با آن پاک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کار آنها به جایی رسید که مجبور شدند، همان مواد غذایی آلوده را بخورند و این همان است که خداوند در قرآن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وَضَرَبَ اللهُ مَثَلاً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bookmarkStart w:id="43" w:name="pg267_1281"/>
    </w:p>
    <w:p>
      <w:pPr>
        <w:pStyle w:val="BookText"/>
        <w:rPr/>
      </w:pPr>
      <w:bookmarkEnd w:id="43"/>
      <w:r>
        <w:rPr>
          <w:rFonts w:ascii="IRNazanin" w:hAnsi="IRNazanin" w:eastAsia="IRNazanin"/>
          <w:color w:val="111111"/>
          <w:sz w:val="28"/>
          <w:sz w:val="28"/>
          <w:szCs w:val="28"/>
          <w:rtl w:val="true"/>
          <w:lang w:bidi="fa-IR"/>
        </w:rPr>
        <w:t>نکته زیبا در قرآن این است که توصیف گرفتاری و قطحی را با این تعبیر یاد می کند، خداوند لباس گرسنگی را به آنها 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لباس چشیدنی است؟ منظور قرآن از شمول و فراگیری این بدبختی و قطحی، چنان است که همان طور که لباس همه جای وجود را در بر می گیرد و انسان با پوست و گوشتش آن را حس می کند، پس آن قحطی در اثر عقوبت چنان فراگیر شد، مانند لباسی که به تن انسان می چسبد، ناراحتی آن را چشیدند</w:t>
      </w:r>
      <w:r>
        <w:rPr>
          <w:rFonts w:eastAsia="IRNazanin" w:cs="IRNazanin"/>
          <w:color w:val="111111"/>
          <w:sz w:val="28"/>
          <w:szCs w:val="28"/>
          <w:rtl w:val="true"/>
          <w:lang w:bidi="fa-IR"/>
        </w:rPr>
        <w:t>.</w:t>
      </w:r>
    </w:p>
    <w:p>
      <w:pPr>
        <w:pStyle w:val="Heading3"/>
        <w:numPr>
          <w:ilvl w:val="2"/>
          <w:numId w:val="1"/>
        </w:numPr>
        <w:rPr/>
      </w:pPr>
      <w:bookmarkStart w:id="44" w:name="__RefHeading___Toc2416775_211673320"/>
      <w:bookmarkStart w:id="45" w:name="_Toc16"/>
      <w:bookmarkEnd w:id="44"/>
      <w:r>
        <w:rPr>
          <w:rtl w:val="true"/>
        </w:rPr>
        <w:t>د</w:t>
      </w:r>
      <w:r>
        <w:rPr>
          <w:rtl w:val="true"/>
        </w:rPr>
        <w:t xml:space="preserve">) </w:t>
      </w:r>
      <w:r>
        <w:rPr>
          <w:rtl w:val="true"/>
        </w:rPr>
        <w:t>تغییر در ذهنیت نسبت به دارایی ها</w:t>
      </w:r>
      <w:bookmarkEnd w:id="45"/>
    </w:p>
    <w:p>
      <w:pPr>
        <w:pStyle w:val="BookText"/>
        <w:rPr/>
      </w:pPr>
      <w:r>
        <w:rPr>
          <w:rFonts w:ascii="IRNazanin" w:hAnsi="IRNazanin" w:eastAsia="IRNazanin"/>
          <w:color w:val="111111"/>
          <w:sz w:val="28"/>
          <w:sz w:val="28"/>
          <w:szCs w:val="28"/>
          <w:rtl w:val="true"/>
          <w:lang w:bidi="fa-IR"/>
        </w:rPr>
        <w:t>یکی از عوامل نجات از ،اسراف توجه به این نکته است که برخورداری از امکانات مالی و مادی را یک امتیاز برای خود ندانیم؛ زیرا از انگیزه های مهم غفلت و رفتارهای اسراف گرانه همین احساس خود ممتاز 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این حالت را بسیار زیبا توصیف نموده که دیگر نیازی به توضیح ما نیست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گمان می کنی، خدا به کسی که مال داده به نسبت احترام اوست و یا به کسی نداده، به واسطهٔ پستی اوست؟ نه چنین است؛ بلکه مال،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امانت نزد شخص قرار می دهد و اذن داده که به طور میانه روی از آن بخورد و بیاشامد و لباس بپوشد و ازدواج کند</w:t>
      </w:r>
      <w:r>
        <w:rPr>
          <w:rFonts w:eastAsia="IRNazanin" w:cs="IRNazanin"/>
          <w:color w:val="111111"/>
          <w:sz w:val="28"/>
          <w:szCs w:val="28"/>
          <w:rtl w:val="true"/>
          <w:lang w:bidi="fa-IR"/>
        </w:rPr>
        <w:t xml:space="preserve">. </w:t>
      </w:r>
      <w:bookmarkStart w:id="46" w:name="pg267_1283"/>
    </w:p>
    <w:p>
      <w:pPr>
        <w:pStyle w:val="BookText"/>
        <w:rPr/>
      </w:pPr>
      <w:bookmarkEnd w:id="46"/>
      <w:r>
        <w:rPr>
          <w:rFonts w:ascii="IRNazanin" w:hAnsi="IRNazanin" w:eastAsia="IRNazanin"/>
          <w:color w:val="111111"/>
          <w:sz w:val="28"/>
          <w:sz w:val="28"/>
          <w:szCs w:val="28"/>
          <w:rtl w:val="true"/>
          <w:lang w:bidi="fa-IR"/>
        </w:rPr>
        <w:t>بر مرکب سوار شود و زیادتی آن مال را به فقرا برساند و رفع احتیاجشان کند پس هر کس به این دستور عمل نموده، آنچه را خورده و آشامیده و پوشیده و سوار شده و نکاح نموده، تمام بر او حلال است و اگر چنین نکرده، تمام بر او حرام است پس آیه شریفه را خواند که اسراف نکنید خداوند اسراف کنندگان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مالی به عنوان امانت به کسی داد، پس او اسبی برای خود بخرد به مبلغ ده هزار دینار؛ در حالی که می توانست اسبی به مبلغ بیست دینار بخرد و كاملاً كفايتش می کرد و کنیزی را سه هزار دینار بخرد؛ در حالی که می توانست کنیزی به بیست دینار بگیرد و او را کافی بود؛ در حالی که خداوند فرموده اسراف نکنید</w:t>
      </w:r>
      <w:r>
        <w:rPr>
          <w:rFonts w:eastAsia="IRNazanin" w:cs="IRNazanin"/>
          <w:color w:val="111111"/>
          <w:sz w:val="28"/>
          <w:szCs w:val="28"/>
          <w:rtl w:val="true"/>
          <w:lang w:bidi="fa-IR"/>
        </w:rPr>
        <w:t xml:space="preserve">. </w:t>
      </w:r>
      <w:r>
        <w:rPr>
          <w:rStyle w:val="FootnoteAnchor"/>
          <w:rtl w:val="true"/>
        </w:rPr>
        <w:footnoteReference w:id="26"/>
      </w:r>
    </w:p>
    <w:p>
      <w:pPr>
        <w:pStyle w:val="Heading3"/>
        <w:numPr>
          <w:ilvl w:val="2"/>
          <w:numId w:val="1"/>
        </w:numPr>
        <w:rPr/>
      </w:pPr>
      <w:bookmarkStart w:id="47" w:name="__RefHeading___Toc2416777_211673320"/>
      <w:bookmarkStart w:id="48" w:name="_Toc17"/>
      <w:bookmarkEnd w:id="47"/>
      <w:r>
        <w:rPr>
          <w:rtl w:val="true"/>
        </w:rPr>
        <w:t>ذ</w:t>
      </w:r>
      <w:r>
        <w:rPr>
          <w:rtl w:val="true"/>
        </w:rPr>
        <w:t xml:space="preserve">) </w:t>
      </w:r>
      <w:r>
        <w:rPr>
          <w:rtl w:val="true"/>
        </w:rPr>
        <w:t>ذکر الگوهای سازنده و تأثیرگذار از مراقبت وشكر نعمت ها</w:t>
      </w:r>
      <w:bookmarkEnd w:id="48"/>
    </w:p>
    <w:p>
      <w:pPr>
        <w:pStyle w:val="BookText"/>
        <w:rPr/>
      </w:pPr>
      <w:r>
        <w:rPr>
          <w:rFonts w:ascii="IRNazanin" w:hAnsi="IRNazanin" w:eastAsia="IRNazanin"/>
          <w:color w:val="111111"/>
          <w:sz w:val="28"/>
          <w:sz w:val="28"/>
          <w:szCs w:val="28"/>
          <w:rtl w:val="true"/>
          <w:lang w:bidi="fa-IR"/>
        </w:rPr>
        <w:t xml:space="preserve">امام صادق علیه السلام می فرمایند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ناراحت می شد از اینکه بخواهد دستش را که آغشته به غذا بود با دستمال پاک کند؛ بلکه به خاطر احترام غذا دست خود را می مکید و یا اگر کودکی در کنار او بود و چیزی در ظرفش باقی مانده بود، ظرف او </w:t>
      </w:r>
      <w:bookmarkStart w:id="49" w:name="pg267_1285"/>
    </w:p>
    <w:p>
      <w:pPr>
        <w:pStyle w:val="BookText"/>
        <w:rPr/>
      </w:pPr>
      <w:bookmarkEnd w:id="49"/>
      <w:r>
        <w:rPr>
          <w:rFonts w:ascii="IRNazanin" w:hAnsi="IRNazanin" w:eastAsia="IRNazanin"/>
          <w:color w:val="111111"/>
          <w:sz w:val="28"/>
          <w:sz w:val="28"/>
          <w:szCs w:val="28"/>
          <w:rtl w:val="true"/>
          <w:lang w:bidi="fa-IR"/>
        </w:rPr>
        <w:t>را پاک می کرد و حتی خودش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می شود غذای کمی از سفره بیرون می افتد و من به جستجوی آن می پردازم، به حدی که خادم منزل می خندد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دنبال یک ذره غذا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 جمعیتی پیش از شما می زیستند که خداوند به آنها نعمت فراوان داد، اما ناشکری کردند و مواد غذایی را بی جهت از میان بردند و خداوند بركات خود را از آنها گرفت و به قحطی گرفتارشان کرد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خودمان استادی بزرگ را شاهد بودیم که سفره را به زیبایی و دقت پاک می نمود و نان های خشک که قابل استفاده بود را جمع می نمود و سپس با غذایی مثل اشکنه و آبدوغ همه آن نان ها را به مصرف می رساند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من این است که تا به حال نان، به نان خشکی ها نداده ام و به راستی که تا زنده بود ما چنین منظره ای را در خانه او ندیدیم </w:t>
      </w:r>
      <w:r>
        <w:rPr>
          <w:rFonts w:eastAsia="IRNazanin" w:cs="IRNazanin"/>
          <w:color w:val="111111"/>
          <w:sz w:val="28"/>
          <w:szCs w:val="28"/>
          <w:rtl w:val="true"/>
          <w:lang w:bidi="fa-IR"/>
        </w:rPr>
        <w:t>.</w:t>
      </w:r>
    </w:p>
    <w:p>
      <w:pPr>
        <w:pStyle w:val="Heading3"/>
        <w:numPr>
          <w:ilvl w:val="2"/>
          <w:numId w:val="1"/>
        </w:numPr>
        <w:rPr/>
      </w:pPr>
      <w:bookmarkStart w:id="50" w:name="__RefHeading___Toc2416779_211673320"/>
      <w:bookmarkStart w:id="51" w:name="_Toc18"/>
      <w:bookmarkEnd w:id="50"/>
      <w:r>
        <w:rPr>
          <w:rtl w:val="true"/>
        </w:rPr>
        <w:t>ر</w:t>
      </w:r>
      <w:r>
        <w:rPr>
          <w:rtl w:val="true"/>
        </w:rPr>
        <w:t xml:space="preserve">) </w:t>
      </w:r>
      <w:r>
        <w:rPr>
          <w:rtl w:val="true"/>
        </w:rPr>
        <w:t>ذکر ثواب های جذاب و تشویق کننده</w:t>
      </w:r>
      <w:bookmarkEnd w:id="5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دربارهٔ مواد غذایی و مراقبت از مصرف بی رویه و اسراف و دور ریختنی هایی که در سطح کلان به مبالغ هنگفتی می رسد، می توان به آداب طعام خوردن در اسلام مراجعه کرد در این باره علامه مجلسی رحمه الله بابی گشوده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حدیثی از علی علیه السلام آمده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سفره می ریزد، بخورید که در خوردن آن شفاست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نکنیم که آن مسؤول چینی در خوردن چند دانه برنج 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امام صادق علیه السلام از دردی شکایت کرد و حضرت برای شفا، خوردن همین غذاهای ریخته در سفره را پیشنهاد نمود و او استفاده کرده و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خوردن این ریزههای سفره فقر و پریشانی را برطرف میکند و فرموده اند هر که پاره نانی را بردارد و بخورد یک حسنه دارد و اگر پاره نانی را از جای آلوده بردارد و تمیز کند، هفتاد حسنه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برای خوردن دیگر موجودات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اند خورده ریزها در بیابان را برای حيوانات و پرندگان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خدمت حضرت صادق علیه السلام بودم دیدم که بعد از طعام می گردد و آنچه روی زمین افتاده بر می دارد، حتی کنجد و امثال آن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این ها را جمع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ها روزی توست، مگذار برای دیگری که شفایند از هر دردی </w:t>
      </w:r>
      <w:r>
        <w:rPr>
          <w:rFonts w:eastAsia="IRNazanin" w:cs="IRNazanin"/>
          <w:color w:val="111111"/>
          <w:sz w:val="28"/>
          <w:szCs w:val="28"/>
          <w:rtl w:val="true"/>
          <w:lang w:bidi="fa-IR"/>
        </w:rPr>
        <w:t xml:space="preserve">. </w:t>
      </w:r>
      <w:bookmarkStart w:id="52" w:name="pg267_1289"/>
    </w:p>
    <w:p>
      <w:pPr>
        <w:pStyle w:val="BookText"/>
        <w:rPr/>
      </w:pPr>
      <w:bookmarkEnd w:id="52"/>
      <w:r>
        <w:rPr>
          <w:rFonts w:ascii="IRNazanin" w:hAnsi="IRNazanin" w:eastAsia="IRNazanin"/>
          <w:color w:val="111111"/>
          <w:sz w:val="28"/>
          <w:sz w:val="28"/>
          <w:szCs w:val="28"/>
          <w:rtl w:val="true"/>
          <w:lang w:bidi="fa-IR"/>
        </w:rPr>
        <w:t xml:space="preserve">در حدیث دیگر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کردن غذاهای ریخته شده فقر را برطرف می کند؛ حتی برای فرزندان آینده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برای برداشتن نان و خرما وعده بهشت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لطیف دیگری، خوردن آنچه از سفره ریخته، مهریه حورالعین محسوب گردیده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علیه السلام 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انگشتان خود را بعد از طعام می لیسم، به طوری که خادمان من گمان می کنند که این از حرص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داستان نهر ثرثار را که در صفحات قبل گذشت، یادآوری فرمود</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53" w:name="__RefHeading___Toc2416781_211673320"/>
      <w:bookmarkStart w:id="54" w:name="_Toc19"/>
      <w:bookmarkEnd w:id="53"/>
      <w:r>
        <w:rPr>
          <w:rtl w:val="true"/>
        </w:rPr>
        <w:t>ز</w:t>
      </w:r>
      <w:r>
        <w:rPr>
          <w:rtl w:val="true"/>
        </w:rPr>
        <w:t xml:space="preserve">) </w:t>
      </w:r>
      <w:r>
        <w:rPr>
          <w:rtl w:val="true"/>
        </w:rPr>
        <w:t>مصونیت از بیماری ها و پیری زودرس</w:t>
      </w:r>
      <w:bookmarkEnd w:id="54"/>
    </w:p>
    <w:p>
      <w:pPr>
        <w:pStyle w:val="BookText"/>
        <w:rPr/>
      </w:pPr>
      <w:r>
        <w:rPr>
          <w:rFonts w:ascii="IRNazanin" w:hAnsi="IRNazanin" w:eastAsia="IRNazanin"/>
          <w:color w:val="111111"/>
          <w:sz w:val="28"/>
          <w:sz w:val="28"/>
          <w:szCs w:val="28"/>
          <w:rtl w:val="true"/>
          <w:lang w:bidi="fa-IR"/>
        </w:rPr>
        <w:t>این موضوع در پزشکی به ثبوت رسیده که ریشه بیشتر بیماری ها در اثر عدم رعایت اصول خورد و خوراک است؛ چنان که پیامبر صلی الله علیه وآله و طب اسلامی خبر داده بود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حکایت شگفت و عبرت آموزی را بخوانید که امیرالمؤمنین علی علیه السلام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عیسی علیه السلام به شهری رسید که مرد و زنی با هم دعوا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من همسر نیکوکار و خوبی است، اما من او را دوست ندارم، چون صورتش زود پیر شده و طراوتش را از دست داده بی آنکه پیر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از 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چهره ات با طراوت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می خوری سیر نخور، چون وقتی غذا در معده به جوش آمد تازگی از چهره می رود، آن زن دستور را انجام داد و طراوت صورتش بازگشت و محبوب شوهرش شد</w:t>
      </w:r>
      <w:r>
        <w:rPr>
          <w:rFonts w:eastAsia="IRNazanin" w:cs="IRNazanin"/>
          <w:color w:val="111111"/>
          <w:sz w:val="28"/>
          <w:szCs w:val="28"/>
          <w:rtl w:val="true"/>
          <w:lang w:bidi="fa-IR"/>
        </w:rPr>
        <w:t xml:space="preserve">. </w:t>
      </w:r>
      <w:r>
        <w:rPr>
          <w:rStyle w:val="FootnoteAnchor"/>
          <w:rtl w:val="true"/>
        </w:rPr>
        <w:footnoteReference w:id="30"/>
      </w:r>
      <w:bookmarkStart w:id="55" w:name="pg267_1293"/>
    </w:p>
    <w:p>
      <w:pPr>
        <w:pStyle w:val="Heading2"/>
        <w:numPr>
          <w:ilvl w:val="1"/>
          <w:numId w:val="1"/>
        </w:numPr>
        <w:rPr/>
      </w:pPr>
      <w:bookmarkStart w:id="56" w:name="__RefHeading___Toc2416783_211673320"/>
      <w:bookmarkStart w:id="57" w:name="_Toc20"/>
      <w:bookmarkEnd w:id="55"/>
      <w:bookmarkEnd w:id="56"/>
      <w:r>
        <w:rPr>
          <w:rtl w:val="true"/>
        </w:rPr>
        <w:t>فهرست کتاب های انتشارات مسجد مقدس جمکران</w:t>
      </w:r>
      <w:bookmarkEnd w:id="57"/>
    </w:p>
    <w:p>
      <w:pPr>
        <w:pStyle w:val="BookText"/>
        <w:rPr/>
      </w:pPr>
      <w:r>
        <w:rPr>
          <w:rFonts w:ascii="IRNazanin" w:hAnsi="IRNazanin" w:eastAsia="IRNazanin"/>
          <w:color w:val="111111"/>
          <w:sz w:val="28"/>
          <w:sz w:val="28"/>
          <w:szCs w:val="28"/>
          <w:rtl w:val="true"/>
          <w:lang w:bidi="fa-IR"/>
        </w:rPr>
        <w:t>تاریخ مسجد مقدس جمکران</w:t>
      </w:r>
    </w:p>
    <w:p>
      <w:pPr>
        <w:pStyle w:val="BookText"/>
        <w:rPr/>
      </w:pPr>
      <w:r>
        <w:rPr>
          <w:rFonts w:ascii="IRNazanin" w:hAnsi="IRNazanin" w:eastAsia="IRNazanin"/>
          <w:color w:val="111111"/>
          <w:sz w:val="28"/>
          <w:sz w:val="28"/>
          <w:szCs w:val="28"/>
          <w:rtl w:val="true"/>
          <w:lang w:bidi="fa-IR"/>
        </w:rPr>
        <w:t>آئینه اسرار حسین کریمی قمی</w:t>
      </w:r>
    </w:p>
    <w:p>
      <w:pPr>
        <w:pStyle w:val="BookText"/>
        <w:rPr/>
      </w:pP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تحقيقات</w:t>
      </w:r>
    </w:p>
    <w:p>
      <w:pPr>
        <w:pStyle w:val="BookText"/>
        <w:rPr/>
      </w:pP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تحقيقات</w:t>
      </w:r>
    </w:p>
    <w:p>
      <w:pPr>
        <w:pStyle w:val="BookText"/>
        <w:rPr/>
      </w:pPr>
      <w:r>
        <w:rPr>
          <w:rFonts w:ascii="IRNazanin" w:hAnsi="IRNazanin" w:eastAsia="IRNazanin"/>
          <w:color w:val="111111"/>
          <w:sz w:val="28"/>
          <w:sz w:val="28"/>
          <w:szCs w:val="28"/>
          <w:rtl w:val="true"/>
          <w:lang w:bidi="fa-IR"/>
        </w:rPr>
        <w:t>سخنرانی مراجع در مسجد جمکران واحد پژوهش</w:t>
      </w:r>
    </w:p>
    <w:p>
      <w:pPr>
        <w:pStyle w:val="BookText"/>
        <w:rPr/>
      </w:pPr>
      <w:r>
        <w:rPr>
          <w:rFonts w:ascii="IRNazanin" w:hAnsi="IRNazanin" w:eastAsia="IRNazanin"/>
          <w:color w:val="111111"/>
          <w:sz w:val="28"/>
          <w:sz w:val="28"/>
          <w:szCs w:val="28"/>
          <w:rtl w:val="true"/>
          <w:lang w:bidi="fa-IR"/>
        </w:rPr>
        <w:t>مسجد مقدس جمکران تجلیگاه صاحب الزمان علیه السلام سید جعفر میرعظیمی</w:t>
      </w:r>
    </w:p>
    <w:p>
      <w:pPr>
        <w:pStyle w:val="BookText"/>
        <w:rPr/>
      </w:pPr>
      <w:r>
        <w:rPr>
          <w:rFonts w:ascii="IRNazanin" w:hAnsi="IRNazanin" w:eastAsia="IRNazanin"/>
          <w:color w:val="111111"/>
          <w:sz w:val="28"/>
          <w:sz w:val="28"/>
          <w:szCs w:val="28"/>
          <w:rtl w:val="true"/>
          <w:lang w:bidi="fa-IR"/>
        </w:rPr>
        <w:t>پیامبر صلی الله علیه وآله</w:t>
      </w:r>
    </w:p>
    <w:p>
      <w:pPr>
        <w:pStyle w:val="BookText"/>
        <w:rPr/>
      </w:pPr>
      <w:r>
        <w:rPr>
          <w:rFonts w:ascii="IRNazanin" w:hAnsi="IRNazanin" w:eastAsia="IRNazanin"/>
          <w:color w:val="111111"/>
          <w:sz w:val="28"/>
          <w:sz w:val="28"/>
          <w:szCs w:val="28"/>
          <w:rtl w:val="true"/>
          <w:lang w:bidi="fa-IR"/>
        </w:rPr>
        <w:t>الگوی رستگاران حسین احمدی</w:t>
      </w:r>
    </w:p>
    <w:p>
      <w:pPr>
        <w:pStyle w:val="BookText"/>
        <w:rPr/>
      </w:pPr>
      <w:r>
        <w:rPr>
          <w:rFonts w:ascii="IRNazanin" w:hAnsi="IRNazanin" w:eastAsia="IRNazanin"/>
          <w:color w:val="111111"/>
          <w:sz w:val="28"/>
          <w:sz w:val="28"/>
          <w:szCs w:val="28"/>
          <w:rtl w:val="true"/>
          <w:lang w:bidi="fa-IR"/>
        </w:rPr>
        <w:t xml:space="preserve">اوصاف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اسامى و 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سعیدی</w:t>
      </w:r>
    </w:p>
    <w:p>
      <w:pPr>
        <w:pStyle w:val="BookText"/>
        <w:rPr/>
      </w:pPr>
      <w:r>
        <w:rPr>
          <w:rFonts w:ascii="IRNazanin" w:hAnsi="IRNazanin" w:eastAsia="IRNazanin"/>
          <w:color w:val="111111"/>
          <w:sz w:val="28"/>
          <w:sz w:val="28"/>
          <w:szCs w:val="28"/>
          <w:rtl w:val="true"/>
          <w:lang w:bidi="fa-IR"/>
        </w:rPr>
        <w:t>پیامبر اعظم صلى الله عليه وسلم و تروریسم و خشنونت طلبی علی اصغر رضوانی</w:t>
      </w:r>
    </w:p>
    <w:p>
      <w:pPr>
        <w:pStyle w:val="BookText"/>
        <w:rPr/>
      </w:pPr>
      <w:r>
        <w:rPr>
          <w:rFonts w:ascii="IRNazanin" w:hAnsi="IRNazanin" w:eastAsia="IRNazanin"/>
          <w:color w:val="111111"/>
          <w:sz w:val="28"/>
          <w:sz w:val="28"/>
          <w:szCs w:val="28"/>
          <w:rtl w:val="true"/>
          <w:lang w:bidi="fa-IR"/>
        </w:rPr>
        <w:t>پیامبر اعظم صلى الله عليه وسلم و جهاد و برده داری علی اصغر رضوانی</w:t>
      </w:r>
    </w:p>
    <w:p>
      <w:pPr>
        <w:pStyle w:val="BookText"/>
        <w:rPr/>
      </w:pPr>
      <w:r>
        <w:rPr>
          <w:rFonts w:ascii="IRNazanin" w:hAnsi="IRNazanin" w:eastAsia="IRNazanin"/>
          <w:color w:val="111111"/>
          <w:sz w:val="28"/>
          <w:sz w:val="28"/>
          <w:szCs w:val="28"/>
          <w:rtl w:val="true"/>
          <w:lang w:bidi="fa-IR"/>
        </w:rPr>
        <w:t>پیامبر اعظم صلى الله عليه وسلم و حقوق اقلیت ها و ارتداد علی اصغر رضوانی</w:t>
      </w:r>
    </w:p>
    <w:p>
      <w:pPr>
        <w:pStyle w:val="BookText"/>
        <w:rPr/>
      </w:pPr>
      <w:r>
        <w:rPr>
          <w:rFonts w:ascii="IRNazanin" w:hAnsi="IRNazanin" w:eastAsia="IRNazanin"/>
          <w:color w:val="111111"/>
          <w:sz w:val="28"/>
          <w:sz w:val="28"/>
          <w:szCs w:val="28"/>
          <w:rtl w:val="true"/>
          <w:lang w:bidi="fa-IR"/>
        </w:rPr>
        <w:t>پیامبر اعظم صلى الله عليه وسلم و حقوق زن علی اصغر رضوانی</w:t>
      </w:r>
    </w:p>
    <w:p>
      <w:pPr>
        <w:pStyle w:val="BookText"/>
        <w:rPr/>
      </w:pPr>
      <w:r>
        <w:rPr>
          <w:rFonts w:ascii="IRNazanin" w:hAnsi="IRNazanin" w:eastAsia="IRNazanin"/>
          <w:color w:val="111111"/>
          <w:sz w:val="28"/>
          <w:sz w:val="28"/>
          <w:szCs w:val="28"/>
          <w:rtl w:val="true"/>
          <w:lang w:bidi="fa-IR"/>
        </w:rPr>
        <w:t>پیامبر اعظم صلى الله عليه وسلم و صلح طلبی علی اصغر رضوانی</w:t>
      </w:r>
    </w:p>
    <w:p>
      <w:pPr>
        <w:pStyle w:val="BookText"/>
        <w:rPr/>
      </w:pPr>
      <w:r>
        <w:rPr>
          <w:rFonts w:ascii="IRNazanin" w:hAnsi="IRNazanin" w:eastAsia="IRNazanin"/>
          <w:color w:val="111111"/>
          <w:sz w:val="28"/>
          <w:sz w:val="28"/>
          <w:szCs w:val="28"/>
          <w:rtl w:val="true"/>
          <w:lang w:bidi="fa-IR"/>
        </w:rPr>
        <w:t>پیامبر رحمت سعید منصوری</w:t>
      </w:r>
    </w:p>
    <w:p>
      <w:pPr>
        <w:pStyle w:val="BookText"/>
        <w:rPr/>
      </w:pPr>
      <w:r>
        <w:rPr>
          <w:rFonts w:ascii="IRNazanin" w:hAnsi="IRNazanin" w:eastAsia="IRNazanin"/>
          <w:color w:val="111111"/>
          <w:sz w:val="28"/>
          <w:sz w:val="28"/>
          <w:szCs w:val="28"/>
          <w:rtl w:val="true"/>
          <w:lang w:bidi="fa-IR"/>
        </w:rPr>
        <w:t xml:space="preserve">تاریخ پیامبر اسلام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صفایی حائری</w:t>
      </w:r>
    </w:p>
    <w:p>
      <w:pPr>
        <w:pStyle w:val="BookText"/>
        <w:rPr/>
      </w:pPr>
      <w:r>
        <w:rPr>
          <w:rFonts w:ascii="IRNazanin" w:hAnsi="IRNazanin" w:eastAsia="IRNazanin"/>
          <w:color w:val="111111"/>
          <w:sz w:val="28"/>
          <w:sz w:val="28"/>
          <w:szCs w:val="28"/>
          <w:rtl w:val="true"/>
          <w:lang w:bidi="fa-IR"/>
        </w:rPr>
        <w:t>چهل حدیث برگزیده از پیامبر اعظم صلی الله علیه وآله احمد سعیدی</w:t>
      </w:r>
    </w:p>
    <w:p>
      <w:pPr>
        <w:pStyle w:val="BookText"/>
        <w:rPr/>
      </w:pPr>
      <w:r>
        <w:rPr>
          <w:rFonts w:ascii="IRNazanin" w:hAnsi="IRNazanin" w:eastAsia="IRNazanin"/>
          <w:color w:val="111111"/>
          <w:sz w:val="28"/>
          <w:sz w:val="28"/>
          <w:szCs w:val="28"/>
          <w:rtl w:val="true"/>
          <w:lang w:bidi="fa-IR"/>
        </w:rPr>
        <w:t>حکومت بر دل ها شفیعی مازندرانی</w:t>
      </w:r>
    </w:p>
    <w:p>
      <w:pPr>
        <w:pStyle w:val="BookText"/>
        <w:rPr/>
      </w:pPr>
      <w:r>
        <w:rPr>
          <w:rFonts w:ascii="IRNazanin" w:hAnsi="IRNazanin" w:eastAsia="IRNazanin"/>
          <w:color w:val="111111"/>
          <w:sz w:val="28"/>
          <w:sz w:val="28"/>
          <w:szCs w:val="28"/>
          <w:rtl w:val="true"/>
          <w:lang w:bidi="fa-IR"/>
        </w:rPr>
        <w:t>راه و رسم زندگی در کلام پیامبر اعظم صلى الله عليه وسلم خير الله سليم زاده</w:t>
      </w:r>
    </w:p>
    <w:p>
      <w:pPr>
        <w:pStyle w:val="BookText"/>
        <w:rPr/>
      </w:pPr>
      <w:r>
        <w:rPr>
          <w:rFonts w:ascii="IRNazanin" w:hAnsi="IRNazanin" w:eastAsia="IRNazanin"/>
          <w:color w:val="111111"/>
          <w:sz w:val="28"/>
          <w:sz w:val="28"/>
          <w:szCs w:val="28"/>
          <w:rtl w:val="true"/>
          <w:lang w:bidi="fa-IR"/>
        </w:rPr>
        <w:t>روزشمار تاریخ پیامبر اعظم صلی الله علیه وآله احمد سعیدی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رسول الله واحد پژوهش </w:t>
      </w:r>
    </w:p>
    <w:p>
      <w:pPr>
        <w:pStyle w:val="BookText"/>
        <w:rPr/>
      </w:pPr>
      <w:r>
        <w:rPr>
          <w:rFonts w:ascii="IRNazanin" w:hAnsi="IRNazanin" w:eastAsia="IRNazanin"/>
          <w:color w:val="111111"/>
          <w:sz w:val="28"/>
          <w:sz w:val="28"/>
          <w:szCs w:val="28"/>
          <w:rtl w:val="true"/>
          <w:lang w:bidi="fa-IR"/>
        </w:rPr>
        <w:t>اهل بیت علیهم السلام</w:t>
      </w:r>
    </w:p>
    <w:p>
      <w:pPr>
        <w:pStyle w:val="BookText"/>
        <w:rPr/>
      </w:pPr>
      <w:r>
        <w:rPr>
          <w:rFonts w:ascii="IRNazanin" w:hAnsi="IRNazanin" w:eastAsia="IRNazanin"/>
          <w:color w:val="111111"/>
          <w:sz w:val="28"/>
          <w:sz w:val="28"/>
          <w:szCs w:val="28"/>
          <w:rtl w:val="true"/>
          <w:lang w:bidi="fa-IR"/>
        </w:rPr>
        <w:t>آخرین خورشید پیدا واحد تحقيقات</w:t>
      </w:r>
    </w:p>
    <w:p>
      <w:pPr>
        <w:pStyle w:val="BookText"/>
        <w:rPr/>
      </w:pPr>
      <w:r>
        <w:rPr>
          <w:rFonts w:ascii="IRNazanin" w:hAnsi="IRNazanin" w:eastAsia="IRNazanin"/>
          <w:color w:val="111111"/>
          <w:sz w:val="28"/>
          <w:sz w:val="28"/>
          <w:szCs w:val="28"/>
          <w:rtl w:val="true"/>
          <w:lang w:bidi="fa-IR"/>
        </w:rPr>
        <w:t>امام رضا علیه السلام در رزمگاه ادیان سهراب علوی</w:t>
      </w:r>
    </w:p>
    <w:p>
      <w:pPr>
        <w:pStyle w:val="BookText"/>
        <w:rPr/>
      </w:pP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ascii="IRNazanin" w:hAnsi="IRNazanin" w:eastAsia="IRNazanin"/>
          <w:color w:val="111111"/>
          <w:sz w:val="28"/>
          <w:sz w:val="28"/>
          <w:szCs w:val="28"/>
          <w:rtl w:val="true"/>
          <w:lang w:bidi="fa-IR"/>
        </w:rPr>
        <w:t>پیشوایان معصوم آیت الله سیّد محسن خرازی</w:t>
      </w:r>
    </w:p>
    <w:p>
      <w:pPr>
        <w:pStyle w:val="BookText"/>
        <w:rPr/>
      </w:pPr>
      <w:r>
        <w:rPr>
          <w:rFonts w:ascii="IRNazanin" w:hAnsi="IRNazanin" w:eastAsia="IRNazanin"/>
          <w:color w:val="111111"/>
          <w:sz w:val="28"/>
          <w:sz w:val="28"/>
          <w:szCs w:val="28"/>
          <w:rtl w:val="true"/>
          <w:lang w:bidi="fa-IR"/>
        </w:rPr>
        <w:t>دفاع از حریم امامت و ولایت کریم شنی</w:t>
      </w:r>
    </w:p>
    <w:p>
      <w:pPr>
        <w:pStyle w:val="BookText"/>
        <w:rPr/>
      </w:pPr>
      <w:r>
        <w:rPr>
          <w:rFonts w:ascii="IRNazanin" w:hAnsi="IRNazanin" w:eastAsia="IRNazanin"/>
          <w:color w:val="111111"/>
          <w:sz w:val="28"/>
          <w:sz w:val="28"/>
          <w:szCs w:val="28"/>
          <w:rtl w:val="true"/>
          <w:lang w:bidi="fa-IR"/>
        </w:rPr>
        <w:t>شرح زیارت جامعه کبیره محمد حسین نائیجی</w:t>
      </w:r>
    </w:p>
    <w:p>
      <w:pPr>
        <w:pStyle w:val="BookText"/>
        <w:rPr/>
      </w:pPr>
      <w:r>
        <w:rPr>
          <w:rFonts w:ascii="IRNazanin" w:hAnsi="IRNazanin" w:eastAsia="IRNazanin"/>
          <w:color w:val="111111"/>
          <w:sz w:val="28"/>
          <w:sz w:val="28"/>
          <w:szCs w:val="28"/>
          <w:rtl w:val="true"/>
          <w:lang w:bidi="fa-IR"/>
        </w:rPr>
        <w:t>عمه سادات سید ابوالقاسم حمیدی</w:t>
      </w:r>
    </w:p>
    <w:p>
      <w:pPr>
        <w:pStyle w:val="BookText"/>
        <w:rPr/>
      </w:pPr>
      <w:r>
        <w:rPr>
          <w:rFonts w:ascii="IRNazanin" w:hAnsi="IRNazanin" w:eastAsia="IRNazanin"/>
          <w:color w:val="111111"/>
          <w:sz w:val="28"/>
          <w:sz w:val="28"/>
          <w:szCs w:val="28"/>
          <w:rtl w:val="true"/>
          <w:lang w:bidi="fa-IR"/>
        </w:rPr>
        <w:t>کهکشان راه نیلی حسن بیاتانی</w:t>
      </w:r>
    </w:p>
    <w:p>
      <w:pPr>
        <w:pStyle w:val="BookText"/>
        <w:rPr/>
      </w:pPr>
      <w:r>
        <w:rPr>
          <w:rFonts w:ascii="IRNazanin" w:hAnsi="IRNazanin" w:eastAsia="IRNazanin"/>
          <w:color w:val="111111"/>
          <w:sz w:val="28"/>
          <w:sz w:val="28"/>
          <w:szCs w:val="28"/>
          <w:rtl w:val="true"/>
          <w:lang w:bidi="fa-IR"/>
        </w:rPr>
        <w:t>ماه مدینه واحد پژوهش</w:t>
      </w:r>
    </w:p>
    <w:p>
      <w:pPr>
        <w:pStyle w:val="BookText"/>
        <w:rPr/>
      </w:pPr>
      <w:r>
        <w:rPr>
          <w:rFonts w:ascii="IRNazanin" w:hAnsi="IRNazanin" w:eastAsia="IRNazanin"/>
          <w:color w:val="111111"/>
          <w:sz w:val="28"/>
          <w:sz w:val="28"/>
          <w:szCs w:val="28"/>
          <w:rtl w:val="true"/>
          <w:lang w:bidi="fa-IR"/>
        </w:rPr>
        <w:t>ویژگی های حضرت زینب علیها السلام سید نورالدین جزائری</w:t>
      </w:r>
    </w:p>
    <w:p>
      <w:pPr>
        <w:pStyle w:val="BookText"/>
        <w:rPr/>
      </w:pPr>
      <w:r>
        <w:rPr>
          <w:rFonts w:ascii="IRNazanin" w:hAnsi="IRNazanin" w:eastAsia="IRNazanin"/>
          <w:color w:val="111111"/>
          <w:sz w:val="28"/>
          <w:sz w:val="28"/>
          <w:szCs w:val="28"/>
          <w:rtl w:val="true"/>
          <w:lang w:bidi="fa-IR"/>
        </w:rPr>
        <w:t>پاسخ به شبهات</w:t>
      </w:r>
    </w:p>
    <w:p>
      <w:pPr>
        <w:pStyle w:val="BookText"/>
        <w:rPr/>
      </w:pPr>
      <w:r>
        <w:rPr>
          <w:rFonts w:ascii="IRNazanin" w:hAnsi="IRNazanin" w:eastAsia="IRNazanin"/>
          <w:color w:val="111111"/>
          <w:sz w:val="28"/>
          <w:sz w:val="28"/>
          <w:szCs w:val="28"/>
          <w:rtl w:val="true"/>
          <w:lang w:bidi="fa-IR"/>
        </w:rPr>
        <w:t>اسلام شناسی و پاسخ به شبهات علی اصغر رضوانی</w:t>
      </w:r>
    </w:p>
    <w:p>
      <w:pPr>
        <w:pStyle w:val="BookText"/>
        <w:rPr/>
      </w:pPr>
      <w:r>
        <w:rPr>
          <w:rFonts w:ascii="IRNazanin" w:hAnsi="IRNazanin" w:eastAsia="IRNazanin"/>
          <w:color w:val="111111"/>
          <w:sz w:val="28"/>
          <w:sz w:val="28"/>
          <w:szCs w:val="28"/>
          <w:rtl w:val="true"/>
          <w:lang w:bidi="fa-IR"/>
        </w:rPr>
        <w:t>اصول عقاید از دیدگاه اهل بیت علیهم السلام علی اصغر رضوانی</w:t>
      </w:r>
    </w:p>
    <w:p>
      <w:pPr>
        <w:pStyle w:val="BookText"/>
        <w:rPr/>
      </w:pPr>
      <w:r>
        <w:rPr>
          <w:rFonts w:ascii="IRNazanin" w:hAnsi="IRNazanin" w:eastAsia="IRNazanin"/>
          <w:color w:val="111111"/>
          <w:sz w:val="28"/>
          <w:sz w:val="28"/>
          <w:szCs w:val="28"/>
          <w:rtl w:val="true"/>
          <w:lang w:bidi="fa-IR"/>
        </w:rPr>
        <w:t xml:space="preserve">امام شناسی و پاسخ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ascii="IRNazanin" w:hAnsi="IRNazanin" w:eastAsia="IRNazanin"/>
          <w:color w:val="111111"/>
          <w:sz w:val="28"/>
          <w:sz w:val="28"/>
          <w:szCs w:val="28"/>
          <w:rtl w:val="true"/>
          <w:lang w:bidi="fa-IR"/>
        </w:rPr>
        <w:t xml:space="preserve">امام شناسی و پاسخ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ascii="IRNazanin" w:hAnsi="IRNazanin" w:eastAsia="IRNazanin"/>
          <w:color w:val="111111"/>
          <w:sz w:val="28"/>
          <w:sz w:val="28"/>
          <w:szCs w:val="28"/>
          <w:rtl w:val="true"/>
          <w:lang w:bidi="fa-IR"/>
        </w:rPr>
        <w:t>دفاع از تشیع و پاسخ به شبهات علی اصغر رضوانی</w:t>
      </w:r>
    </w:p>
    <w:p>
      <w:pPr>
        <w:pStyle w:val="BookText"/>
        <w:rPr/>
      </w:pPr>
      <w:r>
        <w:rPr>
          <w:rFonts w:ascii="IRNazanin" w:hAnsi="IRNazanin" w:eastAsia="IRNazanin"/>
          <w:color w:val="111111"/>
          <w:sz w:val="28"/>
          <w:sz w:val="28"/>
          <w:szCs w:val="28"/>
          <w:rtl w:val="true"/>
          <w:lang w:bidi="fa-IR"/>
        </w:rPr>
        <w:t xml:space="preserve">سلفی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pStyle w:val="BookText"/>
        <w:rPr/>
      </w:pPr>
      <w:r>
        <w:rPr>
          <w:rFonts w:ascii="IRNazanin" w:hAnsi="IRNazanin" w:eastAsia="IRNazanin"/>
          <w:color w:val="111111"/>
          <w:sz w:val="28"/>
          <w:sz w:val="28"/>
          <w:szCs w:val="28"/>
          <w:rtl w:val="true"/>
          <w:lang w:bidi="fa-IR"/>
        </w:rPr>
        <w:t>غدیرشناسی و پاسخ به شبهات علی اصغر رضوانی</w:t>
      </w:r>
    </w:p>
    <w:p>
      <w:pPr>
        <w:pStyle w:val="BookText"/>
        <w:rPr/>
      </w:pPr>
      <w:r>
        <w:rPr>
          <w:rFonts w:ascii="IRNazanin" w:hAnsi="IRNazanin" w:eastAsia="IRNazanin"/>
          <w:color w:val="111111"/>
          <w:sz w:val="28"/>
          <w:sz w:val="28"/>
          <w:szCs w:val="28"/>
          <w:rtl w:val="true"/>
          <w:lang w:bidi="fa-IR"/>
        </w:rPr>
        <w:t xml:space="preserve">مرجعیت دینی اهل بیت علیهم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ascii="IRNazanin" w:hAnsi="IRNazanin" w:eastAsia="IRNazanin"/>
          <w:color w:val="111111"/>
          <w:sz w:val="28"/>
          <w:sz w:val="28"/>
          <w:szCs w:val="28"/>
          <w:rtl w:val="true"/>
          <w:lang w:bidi="fa-IR"/>
        </w:rPr>
        <w:t>نگاهی به مسیحیت و پاسخ به شبهات علی اصغر رضوانی</w:t>
      </w:r>
    </w:p>
    <w:p>
      <w:pPr>
        <w:pStyle w:val="BookText"/>
        <w:rPr/>
      </w:pPr>
      <w:r>
        <w:rPr>
          <w:rFonts w:ascii="IRNazanin" w:hAnsi="IRNazanin" w:eastAsia="IRNazanin"/>
          <w:color w:val="111111"/>
          <w:sz w:val="28"/>
          <w:sz w:val="28"/>
          <w:szCs w:val="28"/>
          <w:rtl w:val="true"/>
          <w:lang w:bidi="fa-IR"/>
        </w:rPr>
        <w:t>واقعه عاشورا و پاسخ به شبهات علی اصغر رضوانی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 السلام از دیدگاه اهل سنت علی اصغر رضوانی </w:t>
      </w:r>
    </w:p>
    <w:p>
      <w:pPr>
        <w:pStyle w:val="BookText"/>
        <w:rPr/>
      </w:pPr>
      <w:r>
        <w:rPr>
          <w:rFonts w:ascii="IRNazanin" w:hAnsi="IRNazanin" w:eastAsia="IRNazanin"/>
          <w:color w:val="111111"/>
          <w:sz w:val="28"/>
          <w:sz w:val="28"/>
          <w:szCs w:val="28"/>
          <w:rtl w:val="true"/>
          <w:lang w:bidi="fa-IR"/>
        </w:rPr>
        <w:t>اماکن مقدسه مرتبط با حضرت مهدی علیه السلام علی اصغر رضوانی</w:t>
      </w:r>
    </w:p>
    <w:p>
      <w:pPr>
        <w:pStyle w:val="BookText"/>
        <w:rPr/>
      </w:pPr>
      <w:r>
        <w:rPr>
          <w:rFonts w:ascii="IRNazanin" w:hAnsi="IRNazanin" w:eastAsia="IRNazanin"/>
          <w:color w:val="111111"/>
          <w:sz w:val="28"/>
          <w:sz w:val="28"/>
          <w:szCs w:val="28"/>
          <w:rtl w:val="true"/>
          <w:lang w:bidi="fa-IR"/>
        </w:rPr>
        <w:t>امامت در سنین کودکی علی اصغر رضوانی</w:t>
      </w:r>
    </w:p>
    <w:p>
      <w:pPr>
        <w:pStyle w:val="BookText"/>
        <w:rPr/>
      </w:pPr>
      <w:r>
        <w:rPr>
          <w:rFonts w:ascii="IRNazanin" w:hAnsi="IRNazanin" w:eastAsia="IRNazanin"/>
          <w:color w:val="111111"/>
          <w:sz w:val="28"/>
          <w:sz w:val="28"/>
          <w:szCs w:val="28"/>
          <w:rtl w:val="true"/>
          <w:lang w:bidi="fa-IR"/>
        </w:rPr>
        <w:t>امامت و غیبت علی اصغر رضوانی</w:t>
      </w:r>
    </w:p>
    <w:p>
      <w:pPr>
        <w:pStyle w:val="BookText"/>
        <w:rPr/>
      </w:pPr>
      <w:r>
        <w:rPr>
          <w:rFonts w:ascii="IRNazanin" w:hAnsi="IRNazanin" w:eastAsia="IRNazanin"/>
          <w:color w:val="111111"/>
          <w:sz w:val="28"/>
          <w:sz w:val="28"/>
          <w:szCs w:val="28"/>
          <w:rtl w:val="true"/>
          <w:lang w:bidi="fa-IR"/>
        </w:rPr>
        <w:t>بررسی دعای ندبه علی اصغر رضوانی</w:t>
      </w:r>
    </w:p>
    <w:p>
      <w:pPr>
        <w:pStyle w:val="BookText"/>
        <w:rPr/>
      </w:pPr>
      <w:r>
        <w:rPr>
          <w:rFonts w:ascii="IRNazanin" w:hAnsi="IRNazanin" w:eastAsia="IRNazanin"/>
          <w:color w:val="111111"/>
          <w:sz w:val="28"/>
          <w:sz w:val="28"/>
          <w:szCs w:val="28"/>
          <w:rtl w:val="true"/>
          <w:lang w:bidi="fa-IR"/>
        </w:rPr>
        <w:t>تولد حضرت مهدی علیه السلام علی اصغر رضوانی</w:t>
      </w:r>
    </w:p>
    <w:p>
      <w:pPr>
        <w:pStyle w:val="BookText"/>
        <w:rPr/>
      </w:pPr>
      <w:r>
        <w:rPr>
          <w:rFonts w:ascii="IRNazanin" w:hAnsi="IRNazanin" w:eastAsia="IRNazanin"/>
          <w:color w:val="111111"/>
          <w:sz w:val="28"/>
          <w:sz w:val="28"/>
          <w:szCs w:val="28"/>
          <w:rtl w:val="true"/>
          <w:lang w:bidi="fa-IR"/>
        </w:rPr>
        <w:t>حکومت حضرت مهدی علیه السلام علی اصغر رضوانی</w:t>
      </w:r>
    </w:p>
    <w:p>
      <w:pPr>
        <w:pStyle w:val="BookText"/>
        <w:rPr/>
      </w:pPr>
      <w:r>
        <w:rPr>
          <w:rFonts w:ascii="IRNazanin" w:hAnsi="IRNazanin" w:eastAsia="IRNazanin"/>
          <w:color w:val="111111"/>
          <w:sz w:val="28"/>
          <w:sz w:val="28"/>
          <w:szCs w:val="28"/>
          <w:rtl w:val="true"/>
          <w:lang w:bidi="fa-IR"/>
        </w:rPr>
        <w:t>دفاع از مهدویت علی اصغر رضوانی</w:t>
      </w:r>
    </w:p>
    <w:p>
      <w:pPr>
        <w:pStyle w:val="BookText"/>
        <w:rPr/>
      </w:pPr>
      <w:r>
        <w:rPr>
          <w:rFonts w:ascii="IRNazanin" w:hAnsi="IRNazanin" w:eastAsia="IRNazanin"/>
          <w:color w:val="111111"/>
          <w:sz w:val="28"/>
          <w:sz w:val="28"/>
          <w:szCs w:val="28"/>
          <w:rtl w:val="true"/>
          <w:lang w:bidi="fa-IR"/>
        </w:rPr>
        <w:t>دکترین مهدویت تنها راه نجات بشر علی اصغر رضوانی</w:t>
      </w:r>
    </w:p>
    <w:p>
      <w:pPr>
        <w:pStyle w:val="BookText"/>
        <w:rPr/>
      </w:pPr>
      <w:r>
        <w:rPr>
          <w:rFonts w:ascii="IRNazanin" w:hAnsi="IRNazanin" w:eastAsia="IRNazanin"/>
          <w:color w:val="111111"/>
          <w:sz w:val="28"/>
          <w:sz w:val="28"/>
          <w:szCs w:val="28"/>
          <w:rtl w:val="true"/>
          <w:lang w:bidi="fa-IR"/>
        </w:rPr>
        <w:t>علایم ظهور علی اصغر رضوانی</w:t>
      </w:r>
    </w:p>
    <w:p>
      <w:pPr>
        <w:pStyle w:val="BookText"/>
        <w:rPr/>
      </w:pPr>
      <w:r>
        <w:rPr>
          <w:rFonts w:ascii="IRNazanin" w:hAnsi="IRNazanin" w:eastAsia="IRNazanin"/>
          <w:color w:val="111111"/>
          <w:sz w:val="28"/>
          <w:sz w:val="28"/>
          <w:szCs w:val="28"/>
          <w:rtl w:val="true"/>
          <w:lang w:bidi="fa-IR"/>
        </w:rPr>
        <w:t>غیبت صغری علی اصغر رضوانی</w:t>
      </w:r>
    </w:p>
    <w:p>
      <w:pPr>
        <w:pStyle w:val="BookText"/>
        <w:rPr/>
      </w:pPr>
      <w:r>
        <w:rPr>
          <w:rFonts w:ascii="IRNazanin" w:hAnsi="IRNazanin" w:eastAsia="IRNazanin"/>
          <w:color w:val="111111"/>
          <w:sz w:val="28"/>
          <w:sz w:val="28"/>
          <w:szCs w:val="28"/>
          <w:rtl w:val="true"/>
          <w:lang w:bidi="fa-IR"/>
        </w:rPr>
        <w:t>غیبت کبری علی اصغر رضوانی</w:t>
      </w:r>
    </w:p>
    <w:p>
      <w:pPr>
        <w:pStyle w:val="BookText"/>
        <w:rPr/>
      </w:pPr>
      <w:r>
        <w:rPr>
          <w:rFonts w:ascii="IRNazanin" w:hAnsi="IRNazanin" w:eastAsia="IRNazanin"/>
          <w:color w:val="111111"/>
          <w:sz w:val="28"/>
          <w:sz w:val="28"/>
          <w:szCs w:val="28"/>
          <w:rtl w:val="true"/>
          <w:lang w:bidi="fa-IR"/>
        </w:rPr>
        <w:t>فلسفه حکومت عدل جهانی علی اصغر رضوانی</w:t>
      </w:r>
    </w:p>
    <w:p>
      <w:pPr>
        <w:pStyle w:val="BookText"/>
        <w:rPr/>
      </w:pPr>
      <w:r>
        <w:rPr>
          <w:rFonts w:ascii="IRNazanin" w:hAnsi="IRNazanin" w:eastAsia="IRNazanin"/>
          <w:color w:val="111111"/>
          <w:sz w:val="28"/>
          <w:sz w:val="28"/>
          <w:szCs w:val="28"/>
          <w:rtl w:val="true"/>
          <w:lang w:bidi="fa-IR"/>
        </w:rPr>
        <w:t>قرآن و ظهور حضرت مهدی علیه السلام علی اصغر رضوانی</w:t>
      </w:r>
    </w:p>
    <w:p>
      <w:pPr>
        <w:pStyle w:val="BookText"/>
        <w:rPr/>
      </w:pPr>
      <w:r>
        <w:rPr>
          <w:rFonts w:ascii="IRNazanin" w:hAnsi="IRNazanin" w:eastAsia="IRNazanin"/>
          <w:color w:val="111111"/>
          <w:sz w:val="28"/>
          <w:sz w:val="28"/>
          <w:szCs w:val="28"/>
          <w:rtl w:val="true"/>
          <w:lang w:bidi="fa-IR"/>
        </w:rPr>
        <w:t>منجی از دیدگاه ادیان علی اصغر رضوانی</w:t>
      </w:r>
    </w:p>
    <w:p>
      <w:pPr>
        <w:pStyle w:val="BookText"/>
        <w:rPr/>
      </w:pPr>
      <w:r>
        <w:rPr>
          <w:rFonts w:ascii="IRNazanin" w:hAnsi="IRNazanin" w:eastAsia="IRNazanin"/>
          <w:color w:val="111111"/>
          <w:sz w:val="28"/>
          <w:sz w:val="28"/>
          <w:szCs w:val="28"/>
          <w:rtl w:val="true"/>
          <w:lang w:bidi="fa-IR"/>
        </w:rPr>
        <w:t>مهدویت و جهانی سازی علی اصغر رضوانی</w:t>
      </w:r>
    </w:p>
    <w:p>
      <w:pPr>
        <w:pStyle w:val="BookText"/>
        <w:rPr/>
      </w:pPr>
      <w:r>
        <w:rPr>
          <w:rFonts w:ascii="IRNazanin" w:hAnsi="IRNazanin" w:eastAsia="IRNazanin"/>
          <w:color w:val="111111"/>
          <w:sz w:val="28"/>
          <w:sz w:val="28"/>
          <w:szCs w:val="28"/>
          <w:rtl w:val="true"/>
          <w:lang w:bidi="fa-IR"/>
        </w:rPr>
        <w:t>نظریه پردازی درباره آینده جهان علی اصغر رضوانی</w:t>
      </w:r>
    </w:p>
    <w:p>
      <w:pPr>
        <w:pStyle w:val="BookText"/>
        <w:rPr/>
      </w:pPr>
      <w:r>
        <w:rPr>
          <w:rFonts w:ascii="IRNazanin" w:hAnsi="IRNazanin" w:eastAsia="IRNazanin"/>
          <w:color w:val="111111"/>
          <w:sz w:val="28"/>
          <w:sz w:val="28"/>
          <w:szCs w:val="28"/>
          <w:rtl w:val="true"/>
          <w:lang w:bidi="fa-IR"/>
        </w:rPr>
        <w:t xml:space="preserve">وجود امام مهدی علیه السلام از منظر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ascii="IRNazanin" w:hAnsi="IRNazanin" w:eastAsia="IRNazanin"/>
          <w:color w:val="111111"/>
          <w:sz w:val="28"/>
          <w:sz w:val="28"/>
          <w:szCs w:val="28"/>
          <w:rtl w:val="true"/>
          <w:lang w:bidi="fa-IR"/>
        </w:rPr>
        <w:t>وجود امام مهدی علیه السلام در پرتو عقل علی اصغر رضوانی</w:t>
      </w:r>
    </w:p>
    <w:p>
      <w:pPr>
        <w:pStyle w:val="BookText"/>
        <w:rPr/>
      </w:pPr>
      <w:r>
        <w:rPr>
          <w:rFonts w:ascii="IRNazanin" w:hAnsi="IRNazanin" w:eastAsia="IRNazanin"/>
          <w:color w:val="111111"/>
          <w:sz w:val="28"/>
          <w:sz w:val="28"/>
          <w:szCs w:val="28"/>
          <w:rtl w:val="true"/>
          <w:lang w:bidi="fa-IR"/>
        </w:rPr>
        <w:t>وظایف ما در عصر غیبت علی اصغر رضوانی</w:t>
      </w:r>
    </w:p>
    <w:p>
      <w:pPr>
        <w:pStyle w:val="BookText"/>
        <w:rPr/>
      </w:pPr>
      <w:r>
        <w:rPr>
          <w:rFonts w:ascii="IRNazanin" w:hAnsi="IRNazanin" w:eastAsia="IRNazanin"/>
          <w:color w:val="111111"/>
          <w:sz w:val="28"/>
          <w:sz w:val="28"/>
          <w:szCs w:val="28"/>
          <w:rtl w:val="true"/>
          <w:lang w:bidi="fa-IR"/>
        </w:rPr>
        <w:t>هنگامه ظهور علی اصغر رضوانی</w:t>
      </w:r>
    </w:p>
    <w:p>
      <w:pPr>
        <w:pStyle w:val="BookText"/>
        <w:rPr/>
      </w:pPr>
      <w:r>
        <w:rPr>
          <w:rFonts w:ascii="IRNazanin" w:hAnsi="IRNazanin" w:eastAsia="IRNazanin"/>
          <w:color w:val="111111"/>
          <w:sz w:val="28"/>
          <w:sz w:val="28"/>
          <w:szCs w:val="28"/>
          <w:rtl w:val="true"/>
          <w:lang w:bidi="fa-IR"/>
        </w:rPr>
        <w:t>سلسله مباحث شناخت وهابیت</w:t>
      </w:r>
    </w:p>
    <w:p>
      <w:pPr>
        <w:pStyle w:val="BookText"/>
        <w:rPr/>
      </w:pPr>
      <w:r>
        <w:rPr>
          <w:rFonts w:ascii="IRNazanin" w:hAnsi="IRNazanin" w:eastAsia="IRNazanin"/>
          <w:color w:val="111111"/>
          <w:sz w:val="28"/>
          <w:sz w:val="28"/>
          <w:szCs w:val="28"/>
          <w:rtl w:val="true"/>
          <w:lang w:bidi="fa-IR"/>
        </w:rPr>
        <w:t>ابن تیمیه مؤسس افکار وهابیت علی اصغر رضوانی</w:t>
      </w:r>
    </w:p>
    <w:p>
      <w:pPr>
        <w:pStyle w:val="BookText"/>
        <w:rPr/>
      </w:pPr>
      <w:r>
        <w:rPr>
          <w:rFonts w:ascii="IRNazanin" w:hAnsi="IRNazanin" w:eastAsia="IRNazanin"/>
          <w:color w:val="111111"/>
          <w:sz w:val="28"/>
          <w:sz w:val="28"/>
          <w:szCs w:val="28"/>
          <w:rtl w:val="true"/>
          <w:lang w:bidi="fa-IR"/>
        </w:rPr>
        <w:t>برپایی مراسم جشن و عزا علی اصغر رضوانی</w:t>
      </w:r>
    </w:p>
    <w:p>
      <w:pPr>
        <w:pStyle w:val="BookText"/>
        <w:rPr/>
      </w:pPr>
      <w:r>
        <w:rPr>
          <w:rFonts w:ascii="IRNazanin" w:hAnsi="IRNazanin" w:eastAsia="IRNazanin"/>
          <w:color w:val="111111"/>
          <w:sz w:val="28"/>
          <w:sz w:val="28"/>
          <w:szCs w:val="28"/>
          <w:rtl w:val="true"/>
          <w:lang w:bidi="fa-IR"/>
        </w:rPr>
        <w:t>توسل از دیدگاه و هابیان علی اصغر رضوانی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از دیدگاه وهابیان علی اصغر رضوانی </w:t>
      </w:r>
    </w:p>
    <w:p>
      <w:pPr>
        <w:pStyle w:val="BookText"/>
        <w:rPr/>
      </w:pPr>
      <w:r>
        <w:rPr>
          <w:rFonts w:ascii="IRNazanin" w:hAnsi="IRNazanin" w:eastAsia="IRNazanin"/>
          <w:color w:val="111111"/>
          <w:sz w:val="28"/>
          <w:sz w:val="28"/>
          <w:szCs w:val="28"/>
          <w:rtl w:val="true"/>
          <w:lang w:bidi="fa-IR"/>
        </w:rPr>
        <w:t>زیارت قبور از دیدگاه وهابیان علی اصغر رضوانی</w:t>
      </w:r>
    </w:p>
    <w:p>
      <w:pPr>
        <w:pStyle w:val="BookText"/>
        <w:rPr/>
      </w:pPr>
      <w:r>
        <w:rPr>
          <w:rFonts w:ascii="IRNazanin" w:hAnsi="IRNazanin" w:eastAsia="IRNazanin"/>
          <w:color w:val="111111"/>
          <w:sz w:val="28"/>
          <w:sz w:val="28"/>
          <w:szCs w:val="28"/>
          <w:rtl w:val="true"/>
          <w:lang w:bidi="fa-IR"/>
        </w:rPr>
        <w:t xml:space="preserve">شناخت سلفی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ascii="IRNazanin" w:hAnsi="IRNazanin" w:eastAsia="IRNazanin"/>
          <w:color w:val="111111"/>
          <w:sz w:val="28"/>
          <w:sz w:val="28"/>
          <w:szCs w:val="28"/>
          <w:rtl w:val="true"/>
          <w:lang w:bidi="fa-IR"/>
        </w:rPr>
        <w:t>فتنه وهابیت علی اصغر رضوانی</w:t>
      </w:r>
    </w:p>
    <w:p>
      <w:pPr>
        <w:pStyle w:val="BookText"/>
        <w:rPr/>
      </w:pPr>
      <w:r>
        <w:rPr>
          <w:rFonts w:ascii="IRNazanin" w:hAnsi="IRNazanin" w:eastAsia="IRNazanin"/>
          <w:color w:val="111111"/>
          <w:sz w:val="28"/>
          <w:sz w:val="28"/>
          <w:szCs w:val="28"/>
          <w:rtl w:val="true"/>
          <w:lang w:bidi="fa-IR"/>
        </w:rPr>
        <w:t>مبانی اعتقادی و هابیان علی اصغر رضوانی</w:t>
      </w:r>
    </w:p>
    <w:p>
      <w:pPr>
        <w:pStyle w:val="BookText"/>
        <w:rPr/>
      </w:pPr>
      <w:r>
        <w:rPr>
          <w:rFonts w:ascii="IRNazanin" w:hAnsi="IRNazanin" w:eastAsia="IRNazanin"/>
          <w:color w:val="111111"/>
          <w:sz w:val="28"/>
          <w:sz w:val="28"/>
          <w:szCs w:val="28"/>
          <w:rtl w:val="true"/>
          <w:lang w:bidi="fa-IR"/>
        </w:rPr>
        <w:t>موارد شرک از دیدگاه و هابیان علی اصغر رضوانی</w:t>
      </w:r>
    </w:p>
    <w:p>
      <w:pPr>
        <w:pStyle w:val="BookText"/>
        <w:rPr/>
      </w:pPr>
      <w:r>
        <w:rPr>
          <w:rFonts w:ascii="IRNazanin" w:hAnsi="IRNazanin" w:eastAsia="IRNazanin"/>
          <w:color w:val="111111"/>
          <w:sz w:val="28"/>
          <w:sz w:val="28"/>
          <w:szCs w:val="28"/>
          <w:rtl w:val="true"/>
          <w:lang w:bidi="fa-IR"/>
        </w:rPr>
        <w:t>اخلاقی، تربیتی</w:t>
      </w:r>
    </w:p>
    <w:p>
      <w:pPr>
        <w:pStyle w:val="BookText"/>
        <w:rPr/>
      </w:pPr>
      <w:r>
        <w:rPr>
          <w:rFonts w:ascii="IRNazanin" w:hAnsi="IRNazanin" w:eastAsia="IRNazanin"/>
          <w:color w:val="111111"/>
          <w:sz w:val="28"/>
          <w:sz w:val="28"/>
          <w:szCs w:val="28"/>
          <w:rtl w:val="true"/>
          <w:lang w:bidi="fa-IR"/>
        </w:rPr>
        <w:t>آثار گناه در زندگی و راه جبران علی اکبر صمدی</w:t>
      </w:r>
    </w:p>
    <w:p>
      <w:pPr>
        <w:pStyle w:val="BookText"/>
        <w:rPr/>
      </w:pPr>
      <w:r>
        <w:rPr>
          <w:rFonts w:ascii="IRNazanin" w:hAnsi="IRNazanin" w:eastAsia="IRNazanin"/>
          <w:color w:val="111111"/>
          <w:sz w:val="28"/>
          <w:sz w:val="28"/>
          <w:szCs w:val="28"/>
          <w:rtl w:val="true"/>
          <w:lang w:bidi="fa-IR"/>
        </w:rPr>
        <w:t>اخلاق عملی آیت الله مهدوی کنی</w:t>
      </w:r>
    </w:p>
    <w:p>
      <w:pPr>
        <w:pStyle w:val="BookText"/>
        <w:rPr/>
      </w:pPr>
      <w:r>
        <w:rPr>
          <w:rFonts w:ascii="IRNazanin" w:hAnsi="IRNazanin" w:eastAsia="IRNazanin"/>
          <w:color w:val="111111"/>
          <w:sz w:val="28"/>
          <w:sz w:val="28"/>
          <w:szCs w:val="28"/>
          <w:rtl w:val="true"/>
          <w:lang w:bidi="fa-IR"/>
        </w:rPr>
        <w:t>اقتصاد خانواده شفیعی مازندرانی</w:t>
      </w:r>
    </w:p>
    <w:p>
      <w:pPr>
        <w:pStyle w:val="BookText"/>
        <w:rPr/>
      </w:pPr>
      <w:r>
        <w:rPr>
          <w:rFonts w:ascii="IRNazanin" w:hAnsi="IRNazanin" w:eastAsia="IRNazanin"/>
          <w:color w:val="111111"/>
          <w:sz w:val="28"/>
          <w:sz w:val="28"/>
          <w:szCs w:val="28"/>
          <w:rtl w:val="true"/>
          <w:lang w:bidi="fa-IR"/>
        </w:rPr>
        <w:t>حلية المتقين محمد باقر مجلسی</w:t>
      </w:r>
    </w:p>
    <w:p>
      <w:pPr>
        <w:pStyle w:val="BookText"/>
        <w:rPr/>
      </w:pPr>
      <w:r>
        <w:rPr>
          <w:rFonts w:ascii="IRNazanin" w:hAnsi="IRNazanin" w:eastAsia="IRNazanin"/>
          <w:color w:val="111111"/>
          <w:sz w:val="28"/>
          <w:sz w:val="28"/>
          <w:szCs w:val="28"/>
          <w:rtl w:val="true"/>
          <w:lang w:bidi="fa-IR"/>
        </w:rPr>
        <w:t xml:space="preserve">راه کارهای دوری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الله حیدری</w:t>
      </w:r>
    </w:p>
    <w:p>
      <w:pPr>
        <w:pStyle w:val="BookText"/>
        <w:rPr/>
      </w:pPr>
      <w:r>
        <w:rPr>
          <w:rFonts w:ascii="IRNazanin" w:hAnsi="IRNazanin" w:eastAsia="IRNazanin"/>
          <w:color w:val="111111"/>
          <w:sz w:val="28"/>
          <w:sz w:val="28"/>
          <w:szCs w:val="28"/>
          <w:rtl w:val="true"/>
          <w:lang w:bidi="fa-IR"/>
        </w:rPr>
        <w:t xml:space="preserve">راه کارهای دوری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چرانی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الله حیدری</w:t>
      </w:r>
    </w:p>
    <w:p>
      <w:pPr>
        <w:pStyle w:val="BookText"/>
        <w:rPr/>
      </w:pPr>
      <w:r>
        <w:rPr>
          <w:rFonts w:ascii="IRNazanin" w:hAnsi="IRNazanin" w:eastAsia="IRNazanin"/>
          <w:color w:val="111111"/>
          <w:sz w:val="28"/>
          <w:sz w:val="28"/>
          <w:szCs w:val="28"/>
          <w:rtl w:val="true"/>
          <w:lang w:bidi="fa-IR"/>
        </w:rPr>
        <w:t xml:space="preserve">راه کارهای دوری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 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الله حیدری</w:t>
      </w:r>
    </w:p>
    <w:p>
      <w:pPr>
        <w:pStyle w:val="BookText"/>
        <w:rPr/>
      </w:pPr>
      <w:r>
        <w:rPr>
          <w:rFonts w:ascii="IRNazanin" w:hAnsi="IRNazanin" w:eastAsia="IRNazanin"/>
          <w:color w:val="111111"/>
          <w:sz w:val="28"/>
          <w:sz w:val="28"/>
          <w:szCs w:val="28"/>
          <w:rtl w:val="true"/>
          <w:lang w:bidi="fa-IR"/>
        </w:rPr>
        <w:t xml:space="preserve">راه کارهای دوری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الله حیدری</w:t>
      </w:r>
    </w:p>
    <w:p>
      <w:pPr>
        <w:pStyle w:val="BookText"/>
        <w:rPr/>
      </w:pPr>
      <w:r>
        <w:rPr>
          <w:rFonts w:ascii="IRNazanin" w:hAnsi="IRNazanin" w:eastAsia="IRNazanin"/>
          <w:color w:val="111111"/>
          <w:sz w:val="28"/>
          <w:sz w:val="28"/>
          <w:szCs w:val="28"/>
          <w:rtl w:val="true"/>
          <w:lang w:bidi="fa-IR"/>
        </w:rPr>
        <w:t>خانواده و تحول در تربیت رضا فرهادیان</w:t>
      </w:r>
    </w:p>
    <w:p>
      <w:pPr>
        <w:pStyle w:val="BookText"/>
        <w:rPr/>
      </w:pPr>
      <w:r>
        <w:rPr>
          <w:rFonts w:ascii="IRNazanin" w:hAnsi="IRNazanin" w:eastAsia="IRNazanin"/>
          <w:color w:val="111111"/>
          <w:sz w:val="28"/>
          <w:sz w:val="28"/>
          <w:szCs w:val="28"/>
          <w:rtl w:val="true"/>
          <w:lang w:bidi="fa-IR"/>
        </w:rPr>
        <w:t>درس هایی از طبیعت محمد رضا اکبری</w:t>
      </w:r>
    </w:p>
    <w:p>
      <w:pPr>
        <w:pStyle w:val="BookText"/>
        <w:rPr/>
      </w:pPr>
      <w:r>
        <w:rPr>
          <w:rFonts w:ascii="IRNazanin" w:hAnsi="IRNazanin" w:eastAsia="IRNazanin"/>
          <w:color w:val="111111"/>
          <w:sz w:val="28"/>
          <w:sz w:val="28"/>
          <w:szCs w:val="28"/>
          <w:rtl w:val="true"/>
          <w:lang w:bidi="fa-IR"/>
        </w:rPr>
        <w:t>صفات شیعه شیخ صدوق</w:t>
      </w:r>
    </w:p>
    <w:p>
      <w:pPr>
        <w:pStyle w:val="BookText"/>
        <w:rPr/>
      </w:pPr>
      <w:r>
        <w:rPr>
          <w:rFonts w:ascii="IRNazanin" w:hAnsi="IRNazanin" w:eastAsia="IRNazanin"/>
          <w:color w:val="111111"/>
          <w:sz w:val="28"/>
          <w:sz w:val="28"/>
          <w:szCs w:val="28"/>
          <w:rtl w:val="true"/>
          <w:lang w:bidi="fa-IR"/>
        </w:rPr>
        <w:t>عبرت های ماندگار محمد رضا اکبری</w:t>
      </w:r>
    </w:p>
    <w:p>
      <w:pPr>
        <w:pStyle w:val="BookText"/>
        <w:rPr/>
      </w:pP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ascii="IRNazanin" w:hAnsi="IRNazanin" w:eastAsia="IRNazanin"/>
          <w:color w:val="111111"/>
          <w:sz w:val="28"/>
          <w:sz w:val="28"/>
          <w:szCs w:val="28"/>
          <w:rtl w:val="true"/>
          <w:lang w:bidi="fa-IR"/>
        </w:rPr>
        <w:t>فرهنگ صفات عباس اسماعیلی یزدی</w:t>
      </w:r>
    </w:p>
    <w:p>
      <w:pPr>
        <w:pStyle w:val="BookText"/>
        <w:rPr/>
      </w:pPr>
      <w:r>
        <w:rPr>
          <w:rFonts w:ascii="IRNazanin" w:hAnsi="IRNazanin" w:eastAsia="IRNazanin"/>
          <w:color w:val="111111"/>
          <w:sz w:val="28"/>
          <w:sz w:val="28"/>
          <w:szCs w:val="28"/>
          <w:rtl w:val="true"/>
          <w:lang w:bidi="fa-IR"/>
        </w:rPr>
        <w:t>فضایل شیعه شیخ صدوق</w:t>
      </w:r>
    </w:p>
    <w:p>
      <w:pPr>
        <w:pStyle w:val="BookText"/>
        <w:rPr/>
      </w:pPr>
      <w:r>
        <w:rPr>
          <w:rFonts w:ascii="IRNazanin" w:hAnsi="IRNazanin" w:eastAsia="IRNazanin"/>
          <w:color w:val="111111"/>
          <w:sz w:val="28"/>
          <w:sz w:val="28"/>
          <w:szCs w:val="28"/>
          <w:rtl w:val="true"/>
          <w:lang w:bidi="fa-IR"/>
        </w:rPr>
        <w:t>قصه های تربیتی محمد رضا اکبری</w:t>
      </w:r>
    </w:p>
    <w:p>
      <w:pPr>
        <w:pStyle w:val="BookText"/>
        <w:rPr/>
      </w:pPr>
      <w:r>
        <w:rPr>
          <w:rFonts w:ascii="IRNazanin" w:hAnsi="IRNazanin" w:eastAsia="IRNazanin"/>
          <w:color w:val="111111"/>
          <w:sz w:val="28"/>
          <w:sz w:val="28"/>
          <w:szCs w:val="28"/>
          <w:rtl w:val="true"/>
          <w:lang w:bidi="fa-IR"/>
        </w:rPr>
        <w:t xml:space="preserve">مبانی تربیت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فرهادیان</w:t>
      </w:r>
    </w:p>
    <w:p>
      <w:pPr>
        <w:pStyle w:val="BookText"/>
        <w:rPr/>
      </w:pPr>
      <w:r>
        <w:rPr>
          <w:rFonts w:ascii="IRNazanin" w:hAnsi="IRNazanin" w:eastAsia="IRNazanin"/>
          <w:color w:val="111111"/>
          <w:sz w:val="28"/>
          <w:sz w:val="28"/>
          <w:szCs w:val="28"/>
          <w:rtl w:val="true"/>
          <w:lang w:bidi="fa-IR"/>
        </w:rPr>
        <w:t xml:space="preserve">معلم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فرهادیان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زندگی رضا فرهادیان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المتقين، علامه مجلسى رحمه الله ، باب آداب طعام خوردن،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لقمان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آمارها، علی اصغر جدایی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آمارها، علی اصغر جدایی،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 تفسیر سوره عصر، دیداری تازه با قرآن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هایی از زندگی علما، محمدتقی صرفی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چاپ بیروت،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81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المتقين، علامه مجلسى رحمه الله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لقمان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دستغیب،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مستدرک الوسائل، باب نکاح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المتقين، علّامه مجلسی رحمه الله چاپ هجرت،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زیادی در این مضمون داریم که معده آدمی خانۀ دردهاست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این اصول در كتاب حلية المتقين بخش آداب خوردن و آشامیدن بخوانیم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المتقين علامه مجلسی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چاپ و نشر لقمان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image" Target="media/image2.jpeg"/><Relationship Id="rId38" Type="http://schemas.openxmlformats.org/officeDocument/2006/relationships/image" Target="media/image2.jpeg"/><Relationship Id="rId39" Type="http://schemas.openxmlformats.org/officeDocument/2006/relationships/footer" Target="footer32.xml"/><Relationship Id="rId40" Type="http://schemas.openxmlformats.org/officeDocument/2006/relationships/footnotes" Target="footnotes.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Pages>
  <Words>5134</Words>
  <Characters>18976</Characters>
  <CharactersWithSpaces>23816</CharactersWithSpaces>
  <Paragraphs>369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2026-08-16T02:32:55Z</dcterms:created>
  <dc:creator>ghaemiyeh.com</dc:creator>
  <dc:description/>
  <dc:language>en-US</dc:language>
  <cp:lastModifiedBy/>
  <dcterms:modified xsi:type="dcterms:W3CDTF">2026-08-16T06:02:57Z</dcterms:modified>
  <cp:revision>1</cp:revision>
  <dc:subject/>
  <dc:title>اسراف</dc:title>
</cp:coreProperties>
</file>

<file path=docProps/custom.xml><?xml version="1.0" encoding="utf-8"?>
<Properties xmlns="http://schemas.openxmlformats.org/officeDocument/2006/custom-properties" xmlns:vt="http://schemas.openxmlformats.org/officeDocument/2006/docPropsVTypes"/>
</file>