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فروغ ولایت در دعای ندبه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367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1367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13675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913677_21167332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913679_211673320">
            <w:r>
              <w:rPr>
                <w:webHidden/>
                <w:rStyle w:val="IndexLink"/>
                <w:rtl w:val="true"/>
              </w:rPr>
              <w:t>دعاى ندبه</w:t>
            </w:r>
            <w:r>
              <w:rPr>
                <w:rStyle w:val="IndexLink"/>
                <w:rtl w:val="true"/>
              </w:rPr>
              <w:tab/>
            </w:r>
            <w:r>
              <w:rPr>
                <w:rStyle w:val="IndexLink"/>
              </w:rPr>
              <w:t>17</w:t>
            </w:r>
          </w:hyperlink>
        </w:p>
        <w:p>
          <w:pPr>
            <w:pStyle w:val="Contents2"/>
            <w:tabs>
              <w:tab w:val="clear" w:pos="8743"/>
              <w:tab w:val="right" w:pos="9026" w:leader="dot"/>
            </w:tabs>
            <w:rPr/>
          </w:pPr>
          <w:hyperlink w:anchor="__RefHeading___Toc1913681_211673320">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1913683_211673320">
            <w:r>
              <w:rPr>
                <w:webHidden/>
                <w:rStyle w:val="IndexLink"/>
                <w:rtl w:val="true"/>
              </w:rPr>
              <w:t>امام‌صادق علیه السلام و ندبه بر حضرت مهدى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913685_211673320">
            <w:r>
              <w:rPr>
                <w:webHidden/>
                <w:rStyle w:val="IndexLink"/>
                <w:rtl w:val="true"/>
              </w:rPr>
              <w:t>فرمايش سيد بن طاووس</w:t>
            </w:r>
            <w:r>
              <w:rPr>
                <w:rStyle w:val="IndexLink"/>
                <w:rtl w:val="true"/>
              </w:rPr>
              <w:tab/>
            </w:r>
            <w:r>
              <w:rPr>
                <w:rStyle w:val="IndexLink"/>
              </w:rPr>
              <w:t>23</w:t>
            </w:r>
          </w:hyperlink>
        </w:p>
        <w:p>
          <w:pPr>
            <w:pStyle w:val="Contents3"/>
            <w:tabs>
              <w:tab w:val="clear" w:pos="8459"/>
              <w:tab w:val="right" w:pos="9026" w:leader="dot"/>
            </w:tabs>
            <w:rPr/>
          </w:pPr>
          <w:hyperlink w:anchor="__RefHeading___Toc1913687_211673320">
            <w:r>
              <w:rPr>
                <w:webHidden/>
                <w:rStyle w:val="IndexLink"/>
                <w:rtl w:val="true"/>
              </w:rPr>
              <w:t>پرسش هايى كه پيرامون دعاى ندبه مى‌شود</w:t>
            </w:r>
            <w:r>
              <w:rPr>
                <w:rStyle w:val="IndexLink"/>
                <w:rtl w:val="true"/>
              </w:rPr>
              <w:tab/>
            </w:r>
            <w:r>
              <w:rPr>
                <w:rStyle w:val="IndexLink"/>
              </w:rPr>
              <w:t>24</w:t>
            </w:r>
          </w:hyperlink>
        </w:p>
        <w:p>
          <w:pPr>
            <w:pStyle w:val="Contents3"/>
            <w:tabs>
              <w:tab w:val="clear" w:pos="8459"/>
              <w:tab w:val="right" w:pos="9026" w:leader="dot"/>
            </w:tabs>
            <w:rPr/>
          </w:pPr>
          <w:hyperlink w:anchor="__RefHeading___Toc1913689_211673320">
            <w:r>
              <w:rPr>
                <w:webHidden/>
                <w:rStyle w:val="IndexLink"/>
                <w:rtl w:val="true"/>
              </w:rPr>
              <w:t>تذكّر مهم</w:t>
            </w:r>
            <w:r>
              <w:rPr>
                <w:rStyle w:val="IndexLink"/>
                <w:rtl w:val="true"/>
              </w:rPr>
              <w:tab/>
            </w:r>
            <w:r>
              <w:rPr>
                <w:rStyle w:val="IndexLink"/>
              </w:rPr>
              <w:t>32</w:t>
            </w:r>
          </w:hyperlink>
        </w:p>
        <w:p>
          <w:pPr>
            <w:pStyle w:val="Contents2"/>
            <w:tabs>
              <w:tab w:val="clear" w:pos="8743"/>
              <w:tab w:val="right" w:pos="9026" w:leader="dot"/>
            </w:tabs>
            <w:rPr/>
          </w:pPr>
          <w:hyperlink w:anchor="__RefHeading___Toc1913691_211673320">
            <w:r>
              <w:rPr>
                <w:webHidden/>
                <w:rStyle w:val="IndexLink"/>
                <w:rtl w:val="true"/>
              </w:rPr>
              <w:t>پاسخ به چهارده پرسش پيرامون دعای ندبه</w:t>
            </w:r>
            <w:r>
              <w:rPr>
                <w:rStyle w:val="IndexLink"/>
                <w:rtl w:val="true"/>
              </w:rPr>
              <w:tab/>
            </w:r>
            <w:r>
              <w:rPr>
                <w:rStyle w:val="IndexLink"/>
              </w:rPr>
              <w:t>34</w:t>
            </w:r>
          </w:hyperlink>
        </w:p>
        <w:p>
          <w:pPr>
            <w:pStyle w:val="Contents2"/>
            <w:tabs>
              <w:tab w:val="clear" w:pos="8743"/>
              <w:tab w:val="right" w:pos="9026" w:leader="dot"/>
            </w:tabs>
            <w:rPr/>
          </w:pPr>
          <w:hyperlink w:anchor="__RefHeading___Toc1913693_211673320">
            <w:r>
              <w:rPr>
                <w:webHidden/>
                <w:rStyle w:val="IndexLink"/>
              </w:rPr>
              <w:t>1</w:t>
            </w:r>
            <w:r>
              <w:rPr>
                <w:rStyle w:val="IndexLink"/>
                <w:rtl w:val="true"/>
              </w:rPr>
              <w:t xml:space="preserve">- </w:t>
            </w:r>
            <w:r>
              <w:rPr>
                <w:rStyle w:val="IndexLink"/>
                <w:rtl w:val="true"/>
              </w:rPr>
              <w:t>اعتبار سند دعاى ندبه</w:t>
            </w:r>
            <w:r>
              <w:rPr>
                <w:rStyle w:val="IndexLink"/>
                <w:rtl w:val="true"/>
              </w:rPr>
              <w:tab/>
            </w:r>
            <w:r>
              <w:rPr>
                <w:rStyle w:val="IndexLink"/>
              </w:rPr>
              <w:t>36</w:t>
            </w:r>
          </w:hyperlink>
        </w:p>
        <w:p>
          <w:pPr>
            <w:pStyle w:val="Contents3"/>
            <w:tabs>
              <w:tab w:val="clear" w:pos="8459"/>
              <w:tab w:val="right" w:pos="9026" w:leader="dot"/>
            </w:tabs>
            <w:rPr/>
          </w:pPr>
          <w:hyperlink w:anchor="__RefHeading___Toc1913695_2116733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913697_211673320">
            <w:r>
              <w:rPr>
                <w:webHidden/>
                <w:rStyle w:val="IndexLink"/>
                <w:rtl w:val="true"/>
              </w:rPr>
              <w:t xml:space="preserve">اخبار </w:t>
            </w:r>
            <w:r>
              <w:rPr>
                <w:rStyle w:val="IndexLink"/>
                <w:rtl w:val="true"/>
              </w:rPr>
              <w:t>«</w:t>
            </w:r>
            <w:r>
              <w:rPr>
                <w:rStyle w:val="IndexLink"/>
                <w:rtl w:val="true"/>
              </w:rPr>
              <w:t>مَن بَلَغ</w:t>
            </w:r>
            <w:r>
              <w:rPr>
                <w:rStyle w:val="IndexLink"/>
                <w:rtl w:val="true"/>
              </w:rPr>
              <w:t xml:space="preserve">» </w:t>
            </w:r>
            <w:r>
              <w:rPr>
                <w:rStyle w:val="IndexLink"/>
                <w:rtl w:val="true"/>
              </w:rPr>
              <w:t>و تسامح در ادلّه سنن</w:t>
            </w:r>
            <w:r>
              <w:rPr>
                <w:rStyle w:val="IndexLink"/>
                <w:rtl w:val="true"/>
              </w:rPr>
              <w:tab/>
            </w:r>
            <w:r>
              <w:rPr>
                <w:rStyle w:val="IndexLink"/>
              </w:rPr>
              <w:t>45</w:t>
            </w:r>
          </w:hyperlink>
        </w:p>
        <w:p>
          <w:pPr>
            <w:pStyle w:val="Contents2"/>
            <w:tabs>
              <w:tab w:val="clear" w:pos="8743"/>
              <w:tab w:val="right" w:pos="9026" w:leader="dot"/>
            </w:tabs>
            <w:rPr/>
          </w:pPr>
          <w:hyperlink w:anchor="__RefHeading___Toc1913699_211673320">
            <w:r>
              <w:rPr>
                <w:webHidden/>
                <w:rStyle w:val="IndexLink"/>
              </w:rPr>
              <w:t>2</w:t>
            </w:r>
            <w:r>
              <w:rPr>
                <w:rStyle w:val="IndexLink"/>
                <w:rtl w:val="true"/>
              </w:rPr>
              <w:t xml:space="preserve">- </w:t>
            </w:r>
            <w:r>
              <w:rPr>
                <w:rStyle w:val="IndexLink"/>
                <w:rtl w:val="true"/>
              </w:rPr>
              <w:t>ارتباط امام علیه السلام با ذى‌طوى و رضوى</w:t>
            </w:r>
            <w:r>
              <w:rPr>
                <w:rStyle w:val="IndexLink"/>
                <w:rtl w:val="true"/>
              </w:rPr>
              <w:tab/>
            </w:r>
            <w:r>
              <w:rPr>
                <w:rStyle w:val="IndexLink"/>
              </w:rPr>
              <w:t>47</w:t>
            </w:r>
          </w:hyperlink>
        </w:p>
        <w:p>
          <w:pPr>
            <w:pStyle w:val="Contents3"/>
            <w:tabs>
              <w:tab w:val="clear" w:pos="8459"/>
              <w:tab w:val="right" w:pos="9026" w:leader="dot"/>
            </w:tabs>
            <w:rPr/>
          </w:pPr>
          <w:hyperlink w:anchor="__RefHeading___Toc1913701_2116733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913703_211673320">
            <w:r>
              <w:rPr>
                <w:webHidden/>
                <w:rStyle w:val="IndexLink"/>
                <w:rtl w:val="true"/>
              </w:rPr>
              <w:t>ارتباط امام علیه السلام با ذى‌طوى و رضوى</w:t>
            </w:r>
            <w:r>
              <w:rPr>
                <w:rStyle w:val="IndexLink"/>
                <w:rtl w:val="true"/>
              </w:rPr>
              <w:tab/>
            </w:r>
            <w:r>
              <w:rPr>
                <w:rStyle w:val="IndexLink"/>
              </w:rPr>
              <w:t>50</w:t>
            </w:r>
          </w:hyperlink>
        </w:p>
        <w:p>
          <w:pPr>
            <w:pStyle w:val="Contents3"/>
            <w:tabs>
              <w:tab w:val="clear" w:pos="8459"/>
              <w:tab w:val="right" w:pos="9026" w:leader="dot"/>
            </w:tabs>
            <w:rPr/>
          </w:pPr>
          <w:hyperlink w:anchor="__RefHeading___Toc1913705_211673320">
            <w:r>
              <w:rPr>
                <w:webHidden/>
                <w:rStyle w:val="IndexLink"/>
                <w:rtl w:val="true"/>
              </w:rPr>
              <w:t>نكته قابل‌توجه</w:t>
            </w:r>
            <w:r>
              <w:rPr>
                <w:rStyle w:val="IndexLink"/>
                <w:rtl w:val="true"/>
              </w:rPr>
              <w:tab/>
            </w:r>
            <w:r>
              <w:rPr>
                <w:rStyle w:val="IndexLink"/>
              </w:rPr>
              <w:t>55</w:t>
            </w:r>
          </w:hyperlink>
        </w:p>
        <w:p>
          <w:pPr>
            <w:pStyle w:val="Contents2"/>
            <w:tabs>
              <w:tab w:val="clear" w:pos="8743"/>
              <w:tab w:val="right" w:pos="9026" w:leader="dot"/>
            </w:tabs>
            <w:rPr/>
          </w:pPr>
          <w:hyperlink w:anchor="__RefHeading___Toc1913707_211673320">
            <w:r>
              <w:rPr>
                <w:webHidden/>
                <w:rStyle w:val="IndexLink"/>
              </w:rPr>
              <w:t>3</w:t>
            </w:r>
            <w:r>
              <w:rPr>
                <w:rStyle w:val="IndexLink"/>
                <w:rtl w:val="true"/>
              </w:rPr>
              <w:t xml:space="preserve">- </w:t>
            </w:r>
            <w:r>
              <w:rPr>
                <w:rStyle w:val="IndexLink"/>
                <w:rtl w:val="true"/>
              </w:rPr>
              <w:t>دعاى ندبه و امامت ائمّه اثنى‌عشر علیهم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913709_2116733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913711_211673320">
            <w:r>
              <w:rPr>
                <w:webHidden/>
                <w:rStyle w:val="IndexLink"/>
                <w:rtl w:val="true"/>
              </w:rPr>
              <w:t>توضيح ديگر</w:t>
            </w:r>
            <w:r>
              <w:rPr>
                <w:rStyle w:val="IndexLink"/>
                <w:rtl w:val="true"/>
              </w:rPr>
              <w:tab/>
            </w:r>
            <w:r>
              <w:rPr>
                <w:rStyle w:val="IndexLink"/>
              </w:rPr>
              <w:t>59</w:t>
            </w:r>
          </w:hyperlink>
        </w:p>
        <w:p>
          <w:pPr>
            <w:pStyle w:val="Contents2"/>
            <w:tabs>
              <w:tab w:val="clear" w:pos="8743"/>
              <w:tab w:val="right" w:pos="9026" w:leader="dot"/>
            </w:tabs>
            <w:rPr/>
          </w:pPr>
          <w:hyperlink w:anchor="__RefHeading___Toc1913713_211673320">
            <w:r>
              <w:rPr>
                <w:webHidden/>
                <w:rStyle w:val="IndexLink"/>
              </w:rPr>
              <w:t>4</w:t>
            </w:r>
            <w:r>
              <w:rPr>
                <w:rStyle w:val="IndexLink"/>
                <w:rtl w:val="true"/>
              </w:rPr>
              <w:t xml:space="preserve">- </w:t>
            </w:r>
            <w:r>
              <w:rPr>
                <w:rStyle w:val="IndexLink"/>
                <w:rtl w:val="true"/>
              </w:rPr>
              <w:t>دعاى ندبه و معراج جسمانى</w:t>
            </w:r>
            <w:r>
              <w:rPr>
                <w:rStyle w:val="IndexLink"/>
                <w:rtl w:val="true"/>
              </w:rPr>
              <w:tab/>
            </w:r>
            <w:r>
              <w:rPr>
                <w:rStyle w:val="IndexLink"/>
              </w:rPr>
              <w:t>60</w:t>
            </w:r>
          </w:hyperlink>
        </w:p>
        <w:p>
          <w:pPr>
            <w:pStyle w:val="Contents3"/>
            <w:tabs>
              <w:tab w:val="clear" w:pos="8459"/>
              <w:tab w:val="right" w:pos="9026" w:leader="dot"/>
            </w:tabs>
            <w:rPr/>
          </w:pPr>
          <w:hyperlink w:anchor="__RefHeading___Toc1913715_2116733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913717_211673320">
            <w:r>
              <w:rPr>
                <w:webHidden/>
                <w:rStyle w:val="IndexLink"/>
                <w:rtl w:val="true"/>
              </w:rPr>
              <w:t>كلام تحقيقى يكى از اساتيد بزرگ علم و ادب</w:t>
            </w:r>
            <w:r>
              <w:rPr>
                <w:rStyle w:val="IndexLink"/>
                <w:rtl w:val="true"/>
              </w:rPr>
              <w:tab/>
            </w:r>
            <w:r>
              <w:rPr>
                <w:rStyle w:val="IndexLink"/>
              </w:rPr>
              <w:t>62</w:t>
            </w:r>
          </w:hyperlink>
        </w:p>
        <w:p>
          <w:pPr>
            <w:pStyle w:val="Contents2"/>
            <w:tabs>
              <w:tab w:val="clear" w:pos="8743"/>
              <w:tab w:val="right" w:pos="9026" w:leader="dot"/>
            </w:tabs>
            <w:rPr/>
          </w:pPr>
          <w:hyperlink w:anchor="__RefHeading___Toc1913719_211673320">
            <w:r>
              <w:rPr>
                <w:webHidden/>
                <w:rStyle w:val="IndexLink"/>
              </w:rPr>
              <w:t>5</w:t>
            </w:r>
            <w:r>
              <w:rPr>
                <w:rStyle w:val="IndexLink"/>
                <w:rtl w:val="true"/>
              </w:rPr>
              <w:t xml:space="preserve">- </w:t>
            </w:r>
            <w:r>
              <w:rPr>
                <w:rStyle w:val="IndexLink"/>
                <w:rtl w:val="true"/>
              </w:rPr>
              <w:t>دعاى ندبه و امكان انتساب آن به ائمّه علیهم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913721_211673320">
            <w:r>
              <w:rPr>
                <w:webHidden/>
                <w:rStyle w:val="IndexLink"/>
              </w:rPr>
              <w:t>6</w:t>
            </w:r>
            <w:r>
              <w:rPr>
                <w:rStyle w:val="IndexLink"/>
                <w:rtl w:val="true"/>
              </w:rPr>
              <w:t xml:space="preserve">- </w:t>
            </w:r>
            <w:r>
              <w:rPr>
                <w:rStyle w:val="IndexLink"/>
                <w:rtl w:val="true"/>
              </w:rPr>
              <w:t>دعاى ندبه و بدعت</w:t>
            </w:r>
            <w:r>
              <w:rPr>
                <w:rStyle w:val="IndexLink"/>
                <w:rtl w:val="true"/>
              </w:rPr>
              <w:tab/>
            </w:r>
            <w:r>
              <w:rPr>
                <w:rStyle w:val="IndexLink"/>
              </w:rPr>
              <w:t>72</w:t>
            </w:r>
          </w:hyperlink>
        </w:p>
        <w:p>
          <w:pPr>
            <w:pStyle w:val="Contents2"/>
            <w:tabs>
              <w:tab w:val="clear" w:pos="8743"/>
              <w:tab w:val="right" w:pos="9026" w:leader="dot"/>
            </w:tabs>
            <w:rPr/>
          </w:pPr>
          <w:hyperlink w:anchor="__RefHeading___Toc1913723_211673320">
            <w:r>
              <w:rPr>
                <w:webHidden/>
                <w:rStyle w:val="IndexLink"/>
              </w:rPr>
              <w:t>7</w:t>
            </w:r>
            <w:r>
              <w:rPr>
                <w:rStyle w:val="IndexLink"/>
                <w:rtl w:val="true"/>
              </w:rPr>
              <w:t xml:space="preserve">- </w:t>
            </w:r>
            <w:r>
              <w:rPr>
                <w:rStyle w:val="IndexLink"/>
                <w:rtl w:val="true"/>
              </w:rPr>
              <w:t>دعاى ندبه و آيه</w:t>
            </w:r>
            <w:r>
              <w:rPr>
                <w:rStyle w:val="IndexLink"/>
                <w:rtl w:val="true"/>
              </w:rPr>
              <w:t xml:space="preserve">: </w:t>
            </w:r>
            <w:r>
              <w:rPr>
                <w:rStyle w:val="IndexLink"/>
                <w:rtl w:val="true"/>
              </w:rPr>
              <w:t>وَاجْعَلْ لِي لِسَانَ صِدْقٍ فِي الْآخِرِينَ</w:t>
            </w:r>
            <w:r>
              <w:rPr>
                <w:rStyle w:val="IndexLink"/>
                <w:rtl w:val="true"/>
              </w:rPr>
              <w:tab/>
            </w:r>
            <w:r>
              <w:rPr>
                <w:rStyle w:val="IndexLink"/>
              </w:rPr>
              <w:t>80</w:t>
            </w:r>
          </w:hyperlink>
        </w:p>
        <w:p>
          <w:pPr>
            <w:pStyle w:val="Contents2"/>
            <w:tabs>
              <w:tab w:val="clear" w:pos="8743"/>
              <w:tab w:val="right" w:pos="9026" w:leader="dot"/>
            </w:tabs>
            <w:rPr/>
          </w:pPr>
          <w:hyperlink w:anchor="__RefHeading___Toc1913725_211673320">
            <w:r>
              <w:rPr>
                <w:webHidden/>
                <w:rStyle w:val="IndexLink"/>
              </w:rPr>
              <w:t>8</w:t>
            </w:r>
            <w:r>
              <w:rPr>
                <w:rStyle w:val="IndexLink"/>
                <w:rtl w:val="true"/>
              </w:rPr>
              <w:t xml:space="preserve">- </w:t>
            </w:r>
            <w:r>
              <w:rPr>
                <w:rStyle w:val="IndexLink"/>
                <w:rtl w:val="true"/>
              </w:rPr>
              <w:t>قرآن مجيد و جمله</w:t>
            </w:r>
            <w:r>
              <w:rPr>
                <w:rStyle w:val="IndexLink"/>
                <w:rtl w:val="true"/>
              </w:rPr>
              <w:t>: «</w:t>
            </w:r>
            <w:r>
              <w:rPr>
                <w:rStyle w:val="IndexLink"/>
                <w:rtl w:val="true"/>
              </w:rPr>
              <w:t>وَأَوْطَأْتَهُ مَشَارِقَكَ وَمَغَارِبَكَ</w:t>
            </w:r>
            <w:r>
              <w:rPr>
                <w:rStyle w:val="IndexLink"/>
                <w:rtl w:val="true"/>
              </w:rPr>
              <w:t>»</w:t>
              <w:tab/>
            </w:r>
            <w:r>
              <w:rPr>
                <w:rStyle w:val="IndexLink"/>
              </w:rPr>
              <w:t>85</w:t>
            </w:r>
          </w:hyperlink>
        </w:p>
        <w:p>
          <w:pPr>
            <w:pStyle w:val="Contents3"/>
            <w:tabs>
              <w:tab w:val="clear" w:pos="8459"/>
              <w:tab w:val="right" w:pos="9026" w:leader="dot"/>
            </w:tabs>
            <w:rPr/>
          </w:pPr>
          <w:hyperlink w:anchor="__RefHeading___Toc1913727_21167332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913729_211673320">
            <w:r>
              <w:rPr>
                <w:webHidden/>
                <w:rStyle w:val="IndexLink"/>
                <w:rtl w:val="true"/>
              </w:rPr>
              <w:t>يك نكته راجع به قرآن</w:t>
            </w:r>
            <w:r>
              <w:rPr>
                <w:rStyle w:val="IndexLink"/>
                <w:rtl w:val="true"/>
              </w:rPr>
              <w:tab/>
            </w:r>
            <w:r>
              <w:rPr>
                <w:rStyle w:val="IndexLink"/>
              </w:rPr>
              <w:t>88</w:t>
            </w:r>
          </w:hyperlink>
        </w:p>
        <w:p>
          <w:pPr>
            <w:pStyle w:val="Contents2"/>
            <w:tabs>
              <w:tab w:val="clear" w:pos="8743"/>
              <w:tab w:val="right" w:pos="9026" w:leader="dot"/>
            </w:tabs>
            <w:rPr/>
          </w:pPr>
          <w:hyperlink w:anchor="__RefHeading___Toc1913731_211673320">
            <w:r>
              <w:rPr>
                <w:webHidden/>
                <w:rStyle w:val="IndexLink"/>
              </w:rPr>
              <w:t>9</w:t>
            </w:r>
            <w:r>
              <w:rPr>
                <w:rStyle w:val="IndexLink"/>
                <w:rtl w:val="true"/>
              </w:rPr>
              <w:t xml:space="preserve">- </w:t>
            </w:r>
            <w:r>
              <w:rPr>
                <w:rStyle w:val="IndexLink"/>
                <w:rtl w:val="true"/>
              </w:rPr>
              <w:t>دعاى ندبه و علم پيغمبر و امام</w:t>
            </w:r>
            <w:r>
              <w:rPr>
                <w:rStyle w:val="IndexLink"/>
                <w:rtl w:val="true"/>
              </w:rPr>
              <w:tab/>
            </w:r>
            <w:r>
              <w:rPr>
                <w:rStyle w:val="IndexLink"/>
              </w:rPr>
              <w:t>90</w:t>
            </w:r>
          </w:hyperlink>
        </w:p>
        <w:p>
          <w:pPr>
            <w:pStyle w:val="Contents3"/>
            <w:tabs>
              <w:tab w:val="clear" w:pos="8459"/>
              <w:tab w:val="right" w:pos="9026" w:leader="dot"/>
            </w:tabs>
            <w:rPr/>
          </w:pPr>
          <w:hyperlink w:anchor="__RefHeading___Toc1913733_2116733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913735_211673320">
            <w:r>
              <w:rPr>
                <w:webHidden/>
                <w:rStyle w:val="IndexLink"/>
                <w:rtl w:val="true"/>
              </w:rPr>
              <w:t>آیات دسته اول</w:t>
            </w:r>
            <w:r>
              <w:rPr>
                <w:rStyle w:val="IndexLink"/>
                <w:rtl w:val="true"/>
              </w:rPr>
              <w:tab/>
            </w:r>
            <w:r>
              <w:rPr>
                <w:rStyle w:val="IndexLink"/>
              </w:rPr>
              <w:t>96</w:t>
            </w:r>
          </w:hyperlink>
        </w:p>
        <w:p>
          <w:pPr>
            <w:pStyle w:val="Contents3"/>
            <w:tabs>
              <w:tab w:val="clear" w:pos="8459"/>
              <w:tab w:val="right" w:pos="9026" w:leader="dot"/>
            </w:tabs>
            <w:rPr/>
          </w:pPr>
          <w:hyperlink w:anchor="__RefHeading___Toc1913737_211673320">
            <w:r>
              <w:rPr>
                <w:webHidden/>
                <w:rStyle w:val="IndexLink"/>
                <w:rtl w:val="true"/>
              </w:rPr>
              <w:t>آيات دسته دوم</w:t>
            </w:r>
            <w:r>
              <w:rPr>
                <w:rStyle w:val="IndexLink"/>
                <w:rtl w:val="true"/>
              </w:rPr>
              <w:tab/>
            </w:r>
            <w:r>
              <w:rPr>
                <w:rStyle w:val="IndexLink"/>
              </w:rPr>
              <w:t>106</w:t>
            </w:r>
          </w:hyperlink>
        </w:p>
        <w:p>
          <w:pPr>
            <w:pStyle w:val="Contents4"/>
            <w:tabs>
              <w:tab w:val="clear" w:pos="8176"/>
              <w:tab w:val="right" w:pos="9026" w:leader="dot"/>
            </w:tabs>
            <w:rPr/>
          </w:pPr>
          <w:hyperlink w:anchor="__RefHeading___Toc1913739_2116733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913741_211673320">
            <w:r>
              <w:rPr>
                <w:webHidden/>
                <w:rStyle w:val="IndexLink"/>
                <w:rtl w:val="true"/>
              </w:rPr>
              <w:t>تحقيق درباره يك حديث</w:t>
            </w:r>
            <w:r>
              <w:rPr>
                <w:rStyle w:val="IndexLink"/>
                <w:rtl w:val="true"/>
              </w:rPr>
              <w:tab/>
            </w:r>
            <w:r>
              <w:rPr>
                <w:rStyle w:val="IndexLink"/>
              </w:rPr>
              <w:t>113</w:t>
            </w:r>
          </w:hyperlink>
        </w:p>
        <w:p>
          <w:pPr>
            <w:pStyle w:val="Contents4"/>
            <w:tabs>
              <w:tab w:val="clear" w:pos="8176"/>
              <w:tab w:val="right" w:pos="9026" w:leader="dot"/>
            </w:tabs>
            <w:rPr/>
          </w:pPr>
          <w:hyperlink w:anchor="__RefHeading___Toc1913743_211673320">
            <w:r>
              <w:rPr>
                <w:webHidden/>
                <w:rStyle w:val="IndexLink"/>
                <w:rtl w:val="true"/>
              </w:rPr>
              <w:t>پرسش از حكمت</w:t>
            </w:r>
            <w:r>
              <w:rPr>
                <w:rStyle w:val="IndexLink"/>
                <w:rtl w:val="true"/>
              </w:rPr>
              <w:t>:</w:t>
              <w:tab/>
            </w:r>
            <w:r>
              <w:rPr>
                <w:rStyle w:val="IndexLink"/>
              </w:rPr>
              <w:t>117</w:t>
            </w:r>
          </w:hyperlink>
        </w:p>
        <w:p>
          <w:pPr>
            <w:pStyle w:val="Contents2"/>
            <w:tabs>
              <w:tab w:val="clear" w:pos="8743"/>
              <w:tab w:val="right" w:pos="9026" w:leader="dot"/>
            </w:tabs>
            <w:rPr/>
          </w:pPr>
          <w:hyperlink w:anchor="__RefHeading___Toc1913745_211673320">
            <w:r>
              <w:rPr>
                <w:webHidden/>
                <w:rStyle w:val="IndexLink"/>
              </w:rPr>
              <w:t>10</w:t>
            </w:r>
            <w:r>
              <w:rPr>
                <w:rStyle w:val="IndexLink"/>
                <w:rtl w:val="true"/>
              </w:rPr>
              <w:t xml:space="preserve">- </w:t>
            </w:r>
            <w:r>
              <w:rPr>
                <w:rStyle w:val="IndexLink"/>
                <w:rtl w:val="true"/>
              </w:rPr>
              <w:t>دعاى ندبه و آيه مودّت</w:t>
            </w:r>
            <w:r>
              <w:rPr>
                <w:rStyle w:val="IndexLink"/>
                <w:rtl w:val="true"/>
              </w:rPr>
              <w:tab/>
            </w:r>
            <w:r>
              <w:rPr>
                <w:rStyle w:val="IndexLink"/>
              </w:rPr>
              <w:t>121</w:t>
            </w:r>
          </w:hyperlink>
        </w:p>
        <w:p>
          <w:pPr>
            <w:pStyle w:val="Contents3"/>
            <w:tabs>
              <w:tab w:val="clear" w:pos="8459"/>
              <w:tab w:val="right" w:pos="9026" w:leader="dot"/>
            </w:tabs>
            <w:rPr/>
          </w:pPr>
          <w:hyperlink w:anchor="__RefHeading___Toc1913747_2116733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913749_211673320">
            <w:r>
              <w:rPr>
                <w:webHidden/>
                <w:rStyle w:val="IndexLink"/>
              </w:rPr>
              <w:t>1</w:t>
            </w:r>
            <w:r>
              <w:rPr>
                <w:rStyle w:val="IndexLink"/>
                <w:rtl w:val="true"/>
              </w:rPr>
              <w:t xml:space="preserve">. </w:t>
            </w:r>
            <w:r>
              <w:rPr>
                <w:rStyle w:val="IndexLink"/>
                <w:rtl w:val="true"/>
              </w:rPr>
              <w:t>مكان نزول آيه مودّت</w:t>
            </w:r>
            <w:r>
              <w:rPr>
                <w:rStyle w:val="IndexLink"/>
                <w:rtl w:val="true"/>
              </w:rPr>
              <w:tab/>
            </w:r>
            <w:r>
              <w:rPr>
                <w:rStyle w:val="IndexLink"/>
              </w:rPr>
              <w:t>124</w:t>
            </w:r>
          </w:hyperlink>
        </w:p>
        <w:p>
          <w:pPr>
            <w:pStyle w:val="Contents3"/>
            <w:tabs>
              <w:tab w:val="clear" w:pos="8459"/>
              <w:tab w:val="right" w:pos="9026" w:leader="dot"/>
            </w:tabs>
            <w:rPr/>
          </w:pPr>
          <w:hyperlink w:anchor="__RefHeading___Toc1913751_211673320">
            <w:r>
              <w:rPr>
                <w:webHidden/>
                <w:rStyle w:val="IndexLink"/>
              </w:rPr>
              <w:t>2</w:t>
            </w:r>
            <w:r>
              <w:rPr>
                <w:rStyle w:val="IndexLink"/>
                <w:rtl w:val="true"/>
              </w:rPr>
              <w:t xml:space="preserve">. </w:t>
            </w:r>
            <w:r>
              <w:rPr>
                <w:rStyle w:val="IndexLink"/>
                <w:rtl w:val="true"/>
              </w:rPr>
              <w:t>تفسير آيه مودّت</w:t>
            </w:r>
            <w:r>
              <w:rPr>
                <w:rStyle w:val="IndexLink"/>
                <w:rtl w:val="true"/>
              </w:rPr>
              <w:tab/>
            </w:r>
            <w:r>
              <w:rPr>
                <w:rStyle w:val="IndexLink"/>
              </w:rPr>
              <w:t>128</w:t>
            </w:r>
          </w:hyperlink>
        </w:p>
        <w:p>
          <w:pPr>
            <w:pStyle w:val="Contents4"/>
            <w:tabs>
              <w:tab w:val="clear" w:pos="8176"/>
              <w:tab w:val="right" w:pos="9026" w:leader="dot"/>
            </w:tabs>
            <w:rPr/>
          </w:pPr>
          <w:hyperlink w:anchor="__RefHeading___Toc1913753_21167332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913755_211673320">
            <w:r>
              <w:rPr>
                <w:webHidden/>
                <w:rStyle w:val="IndexLink"/>
                <w:rtl w:val="true"/>
              </w:rPr>
              <w:t>تفسير اهل‌بيت علیهم السلام درباره آیه مودت</w:t>
            </w:r>
            <w:r>
              <w:rPr>
                <w:rStyle w:val="IndexLink"/>
                <w:rtl w:val="true"/>
              </w:rPr>
              <w:tab/>
            </w:r>
            <w:r>
              <w:rPr>
                <w:rStyle w:val="IndexLink"/>
              </w:rPr>
              <w:t>130</w:t>
            </w:r>
          </w:hyperlink>
        </w:p>
        <w:p>
          <w:pPr>
            <w:pStyle w:val="Contents3"/>
            <w:tabs>
              <w:tab w:val="clear" w:pos="8459"/>
              <w:tab w:val="right" w:pos="9026" w:leader="dot"/>
            </w:tabs>
            <w:rPr/>
          </w:pPr>
          <w:hyperlink w:anchor="__RefHeading___Toc1913757_211673320">
            <w:r>
              <w:rPr>
                <w:webHidden/>
                <w:rStyle w:val="IndexLink"/>
              </w:rPr>
              <w:t>3</w:t>
            </w:r>
            <w:r>
              <w:rPr>
                <w:rStyle w:val="IndexLink"/>
                <w:rtl w:val="true"/>
              </w:rPr>
              <w:t xml:space="preserve">. </w:t>
            </w:r>
            <w:r>
              <w:rPr>
                <w:rStyle w:val="IndexLink"/>
                <w:rtl w:val="true"/>
              </w:rPr>
              <w:t>ملاحظه تفسير آيه با آيات ديگر</w:t>
            </w:r>
            <w:r>
              <w:rPr>
                <w:rStyle w:val="IndexLink"/>
                <w:rtl w:val="true"/>
              </w:rPr>
              <w:tab/>
            </w:r>
            <w:r>
              <w:rPr>
                <w:rStyle w:val="IndexLink"/>
              </w:rPr>
              <w:t>131</w:t>
            </w:r>
          </w:hyperlink>
        </w:p>
        <w:p>
          <w:pPr>
            <w:pStyle w:val="Contents3"/>
            <w:tabs>
              <w:tab w:val="clear" w:pos="8459"/>
              <w:tab w:val="right" w:pos="9026" w:leader="dot"/>
            </w:tabs>
            <w:rPr/>
          </w:pPr>
          <w:hyperlink w:anchor="__RefHeading___Toc1913759_211673320">
            <w:r>
              <w:rPr>
                <w:webHidden/>
                <w:rStyle w:val="IndexLink"/>
              </w:rPr>
              <w:t>4</w:t>
            </w:r>
            <w:r>
              <w:rPr>
                <w:rStyle w:val="IndexLink"/>
                <w:rtl w:val="true"/>
              </w:rPr>
              <w:t xml:space="preserve">. </w:t>
            </w:r>
            <w:r>
              <w:rPr>
                <w:rStyle w:val="IndexLink"/>
                <w:rtl w:val="true"/>
              </w:rPr>
              <w:t>روايات اهل‌سنّت در تفسیر آیه مودّت</w:t>
            </w:r>
            <w:r>
              <w:rPr>
                <w:rStyle w:val="IndexLink"/>
                <w:rtl w:val="true"/>
              </w:rPr>
              <w:tab/>
            </w:r>
            <w:r>
              <w:rPr>
                <w:rStyle w:val="IndexLink"/>
              </w:rPr>
              <w:t>134</w:t>
            </w:r>
          </w:hyperlink>
        </w:p>
        <w:p>
          <w:pPr>
            <w:pStyle w:val="Contents2"/>
            <w:tabs>
              <w:tab w:val="clear" w:pos="8743"/>
              <w:tab w:val="right" w:pos="9026" w:leader="dot"/>
            </w:tabs>
            <w:rPr/>
          </w:pPr>
          <w:hyperlink w:anchor="__RefHeading___Toc1913761_211673320">
            <w:r>
              <w:rPr>
                <w:webHidden/>
                <w:rStyle w:val="IndexLink"/>
              </w:rPr>
              <w:t>11</w:t>
            </w:r>
            <w:r>
              <w:rPr>
                <w:rStyle w:val="IndexLink"/>
                <w:rtl w:val="true"/>
              </w:rPr>
              <w:t xml:space="preserve">- </w:t>
            </w:r>
            <w:r>
              <w:rPr>
                <w:rStyle w:val="IndexLink"/>
                <w:rtl w:val="true"/>
              </w:rPr>
              <w:t>دعاى ندبه و عقل</w:t>
            </w:r>
            <w:r>
              <w:rPr>
                <w:rStyle w:val="IndexLink"/>
                <w:rtl w:val="true"/>
              </w:rPr>
              <w:tab/>
            </w:r>
            <w:r>
              <w:rPr>
                <w:rStyle w:val="IndexLink"/>
              </w:rPr>
              <w:t>147</w:t>
            </w:r>
          </w:hyperlink>
        </w:p>
        <w:p>
          <w:pPr>
            <w:pStyle w:val="Contents2"/>
            <w:tabs>
              <w:tab w:val="clear" w:pos="8743"/>
              <w:tab w:val="right" w:pos="9026" w:leader="dot"/>
            </w:tabs>
            <w:rPr/>
          </w:pPr>
          <w:hyperlink w:anchor="__RefHeading___Toc1913763_211673320">
            <w:r>
              <w:rPr>
                <w:webHidden/>
                <w:rStyle w:val="IndexLink"/>
              </w:rPr>
              <w:t>12</w:t>
            </w:r>
            <w:r>
              <w:rPr>
                <w:rStyle w:val="IndexLink"/>
                <w:rtl w:val="true"/>
              </w:rPr>
              <w:t xml:space="preserve">- </w:t>
            </w:r>
            <w:r>
              <w:rPr>
                <w:rStyle w:val="IndexLink"/>
                <w:rtl w:val="true"/>
              </w:rPr>
              <w:t>بررسى جمله</w:t>
            </w:r>
            <w:r>
              <w:rPr>
                <w:rStyle w:val="IndexLink"/>
                <w:rtl w:val="true"/>
              </w:rPr>
              <w:t>: «</w:t>
            </w:r>
            <w:r>
              <w:rPr>
                <w:rStyle w:val="IndexLink"/>
                <w:rtl w:val="true"/>
              </w:rPr>
              <w:t>يَا ابْنَ الطُّورِ وَالْعَادِيَاتِ</w:t>
            </w:r>
            <w:r>
              <w:rPr>
                <w:rStyle w:val="IndexLink"/>
                <w:rtl w:val="true"/>
              </w:rPr>
              <w:t>»</w:t>
              <w:tab/>
            </w:r>
            <w:r>
              <w:rPr>
                <w:rStyle w:val="IndexLink"/>
              </w:rPr>
              <w:t>156</w:t>
            </w:r>
          </w:hyperlink>
        </w:p>
        <w:p>
          <w:pPr>
            <w:pStyle w:val="Contents2"/>
            <w:tabs>
              <w:tab w:val="clear" w:pos="8743"/>
              <w:tab w:val="right" w:pos="9026" w:leader="dot"/>
            </w:tabs>
            <w:rPr/>
          </w:pPr>
          <w:hyperlink w:anchor="__RefHeading___Toc1913765_211673320">
            <w:r>
              <w:rPr>
                <w:webHidden/>
                <w:rStyle w:val="IndexLink"/>
              </w:rPr>
              <w:t>13</w:t>
            </w:r>
            <w:r>
              <w:rPr>
                <w:rStyle w:val="IndexLink"/>
                <w:rtl w:val="true"/>
              </w:rPr>
              <w:t xml:space="preserve">- </w:t>
            </w:r>
            <w:r>
              <w:rPr>
                <w:rStyle w:val="IndexLink"/>
                <w:rtl w:val="true"/>
              </w:rPr>
              <w:t>دعاى ندبه، و كفر و شرك</w:t>
            </w:r>
            <w:r>
              <w:rPr>
                <w:rStyle w:val="IndexLink"/>
                <w:rtl w:val="true"/>
              </w:rPr>
              <w:tab/>
            </w:r>
            <w:r>
              <w:rPr>
                <w:rStyle w:val="IndexLink"/>
              </w:rPr>
              <w:t>159</w:t>
            </w:r>
          </w:hyperlink>
        </w:p>
        <w:p>
          <w:pPr>
            <w:pStyle w:val="Contents2"/>
            <w:tabs>
              <w:tab w:val="clear" w:pos="8743"/>
              <w:tab w:val="right" w:pos="9026" w:leader="dot"/>
            </w:tabs>
            <w:rPr/>
          </w:pPr>
          <w:hyperlink w:anchor="__RefHeading___Toc1913767_211673320">
            <w:r>
              <w:rPr>
                <w:webHidden/>
                <w:rStyle w:val="IndexLink"/>
              </w:rPr>
              <w:t>14</w:t>
            </w:r>
            <w:r>
              <w:rPr>
                <w:rStyle w:val="IndexLink"/>
                <w:rtl w:val="true"/>
              </w:rPr>
              <w:t xml:space="preserve">- </w:t>
            </w:r>
            <w:r>
              <w:rPr>
                <w:rStyle w:val="IndexLink"/>
                <w:rtl w:val="true"/>
              </w:rPr>
              <w:t>دعاى ندبه و ركود فعاليت‌هاى اسلامى</w:t>
            </w:r>
            <w:r>
              <w:rPr>
                <w:rStyle w:val="IndexLink"/>
                <w:rtl w:val="true"/>
              </w:rPr>
              <w:tab/>
            </w:r>
            <w:r>
              <w:rPr>
                <w:rStyle w:val="IndexLink"/>
              </w:rPr>
              <w:t>172</w:t>
            </w:r>
          </w:hyperlink>
        </w:p>
        <w:p>
          <w:pPr>
            <w:pStyle w:val="Contents2"/>
            <w:tabs>
              <w:tab w:val="clear" w:pos="8743"/>
              <w:tab w:val="right" w:pos="9026" w:leader="dot"/>
            </w:tabs>
            <w:rPr/>
          </w:pPr>
          <w:hyperlink w:anchor="__RefHeading___Toc1913769_211673320">
            <w:r>
              <w:rPr>
                <w:webHidden/>
                <w:rStyle w:val="IndexLink"/>
                <w:rtl w:val="true"/>
              </w:rPr>
              <w:t>کتاب‌نامه</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2_2647"/>
      <w:bookmarkStart w:id="1" w:name="pg212_2647"/>
      <w:bookmarkEnd w:id="1"/>
    </w:p>
    <w:p>
      <w:pPr>
        <w:pStyle w:val="Heading2"/>
        <w:numPr>
          <w:ilvl w:val="1"/>
          <w:numId w:val="1"/>
        </w:numPr>
        <w:rPr/>
      </w:pPr>
      <w:bookmarkStart w:id="2" w:name="pg212_2647"/>
      <w:bookmarkStart w:id="3" w:name="__RefHeading___Toc191367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ولایت در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مباحث امامت و مهدویت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BP269/70422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297/774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3407454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367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سلسله مباحث امامت و مهدويت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فروغ ولایت در دعای ندبه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آیت‌الله العظمی صافی گلپایگانی مدظله‌العالی </w:t>
      </w:r>
      <w:bookmarkStart w:id="7" w:name="pg212_2651"/>
    </w:p>
    <w:p>
      <w:pPr>
        <w:pStyle w:val="Heading2"/>
        <w:numPr>
          <w:ilvl w:val="1"/>
          <w:numId w:val="1"/>
        </w:numPr>
        <w:rPr/>
      </w:pPr>
      <w:bookmarkStart w:id="8" w:name="__RefHeading___Toc1913675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امام‌صادق علیه السلام و ندبه بر حضرت مهدى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فرمايش سيد 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پرسش هايى كه پيرامون دعاى ندبه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پاسخ به چهارده پرسش پیرامون 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سند 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تسامح در ادلّه 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امام علیه السلام با ذى‌طوى و رضوى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امّا پاسخ</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ارتباط امام علیه السلام با ذى‌طوى و رضوى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قابل‌توجه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ندبه و امامت ائمّه اثنى‌عشر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توضيح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ندبه و معراج جسمانى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كلام تحقيقى يكى از اساتيد بزرگ علم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ندبه و امكان انتساب آن به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ندبه و بدعت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ندبه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لِسَانَ صِدْقٍ فِي الْآخِرِينَ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 و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وَأَوْطَأْتَهُ مَشَارِقَكَ وَمَغَارِبَكَ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يك نكته راجع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ندبه و علم پيغمبر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آیات دسته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آيات دسته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تحقيق درباره يك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پرسش از حكمت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ندبه و آيه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نزول آيه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آيه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تفسير اهل‌بيت علیهم السلام درباره آیه مودت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تفسير آيه با آيات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اهل‌سنّت در تفسیر آیه مودّت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ندبه و عقل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الطُّورِ وَالْعَادِيَاتِ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ندبه، و كفر و 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ندبه و ركود فعاليت‌هاى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حضرت آيت‌الله العظمى صافى‌گلپایگانی مدظله‌الوارف در يک نگاه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نَبِيِّهِ وَآلِهِ وَسَلَّمَ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وَنَحْنُ عَبِيدُكَ التَّائِقُونَ إِلَى وَلِيِّكَ المُذَكِّرِ بِكَ وَبِنَبِيِّكَ، خَلَقْتَهُ لَنَا عِصْمَةً وَمَلَاذاً، وَأَقَمْتَهُ لَنَا قِوَاماً وَمَعَاذاً، وَجَعَلْتَهُ لِلْمُؤْمِنِينَ مِنَّا إِمَاماً، فَبَلِّغْهُ مِنَّا تَحِيَّةً وَسَلَاماً، وَزِدْنَا بِذَلِكَ يَا رَبِّ إِكْرَاماً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ناتوان توييم كه به ولىّ تو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و يادش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پيغمبرت را به ياد آرد، پناهنده و مشتاقيم، تو او را براى ما پناهگاه و تكيه‌گاه آفريدى و وى را براى بقاى ما ملجأ و نگهدار، و براى مؤمنين از ما، پيشواى مفترض‌الطاعه قرار دادى، پس از ما به حضرت او درود و سلامى فرست و مهربانى و نوازش خود را به ما بدين وسيله افزون فرماي</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دعاى ندبه</w:t>
      </w:r>
      <w:r>
        <w:rPr>
          <w:rFonts w:eastAsia="IRNazanin" w:cs="IRNazanin"/>
          <w:color w:val="111111"/>
          <w:sz w:val="28"/>
          <w:szCs w:val="28"/>
          <w:rtl w:val="true"/>
          <w:lang w:bidi="fa-IR"/>
        </w:rPr>
        <w:t xml:space="preserve">» </w:t>
      </w:r>
      <w:bookmarkStart w:id="10" w:name="pg212_2655"/>
    </w:p>
    <w:p>
      <w:pPr>
        <w:pStyle w:val="Heading2"/>
        <w:numPr>
          <w:ilvl w:val="1"/>
          <w:numId w:val="1"/>
        </w:numPr>
        <w:rPr/>
      </w:pPr>
      <w:bookmarkStart w:id="11" w:name="__RefHeading___Toc1913677_211673320"/>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پروردگار شما كه بخوانيد مرا تا اجابت كنم 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احساسات اصيل و حقيقى بشر كه ريشه فطرى دارد، توجّه به دعا و ارتباط يافتن با عالم غيب و مبدأ آفرينش و قدرت ازلى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به دعا در ذات بشر موجود است، و در هنگام اضطرار و نااميدى از وسايل متعارف و اسباب و قواى مادّى آشكارتر مى‌شود و انسان بى‌اختيار، با جان‌ودل به‌سوى خداوند كريمِ كارساز روى مى‌آورد و از او يارى و مدد مى‌طلبد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بهترين غذاى روح و نشاط‌بخش روان است، و هيچ وسيله‌اى براى اقناع روح وسيع بشر از آن مؤثرتر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سلاح مؤمن است، خستگى‌ها را مى‌برد و فشار مصائب و آلام را سبك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دعا، ضماير را روشن و تيرگى قلوب را برطرف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احساسى از احساس احتياج به دعا بهتر، و براى كمال نفس مفيدتر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دعاكننده ضعف و فقر و نياز و حاجت خود را، كه تمام هويّت هر ممكن است، درك مى‌كند، و به قدرت و توانايى و بى‌نيازى مطلق خداى جهان پناه مى‌برد، و با منبع واقعى تمام قدرت‌ها و بى‌نيازى‌ها و كمالات، ارتباط برقرار مى‌كند و ضعف و فقر و حاجت خود را با آن جبران مى‌نمايد، و با اطمينان و اعتماد، به‌سوى آينده هرچه بهتر گام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نباشد و اگر بشر خدا را نخواند، چگونه مى‌تواند بر حوادث پيروز شود؟ و در سختى‌ها و شدايد، چه پناه‌گاهى دارد؟</w:t>
      </w:r>
    </w:p>
    <w:p>
      <w:pPr>
        <w:pStyle w:val="BookText"/>
        <w:rPr/>
      </w:pPr>
      <w:r>
        <w:rPr>
          <w:rFonts w:ascii="IRNazanin" w:hAnsi="IRNazanin" w:eastAsia="IRNazanin"/>
          <w:color w:val="111111"/>
          <w:sz w:val="28"/>
          <w:sz w:val="28"/>
          <w:szCs w:val="28"/>
          <w:rtl w:val="true"/>
          <w:lang w:bidi="fa-IR"/>
        </w:rPr>
        <w:t>فوايد نفسى و روحى و تربيتى دعا، و حتى تأثير آن در ترقّى فكر و معالجه بيمارى‌هاى روانى ثابت شده است و بشر عصر فضا، به اين فوايد بيشتر از گذشته نياز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دعا براى انسان يك امر فطرى است و شعور هركس به آن مسلّم است، پيشرفت علم و صنعت، بشر را از آن بى‌نياز نساخته؛ بلكه دعا يك امر لازم و ضرورى زندگى انسان شناخته شده، و در </w:t>
      </w:r>
    </w:p>
    <w:p>
      <w:pPr>
        <w:pStyle w:val="BookText"/>
        <w:rPr/>
      </w:pPr>
      <w:r>
        <w:rPr>
          <w:rFonts w:ascii="IRNazanin" w:hAnsi="IRNazanin" w:eastAsia="IRNazanin"/>
          <w:color w:val="111111"/>
          <w:sz w:val="28"/>
          <w:sz w:val="28"/>
          <w:szCs w:val="28"/>
          <w:rtl w:val="true"/>
          <w:lang w:bidi="fa-IR"/>
        </w:rPr>
        <w:t>اجتماعات به‌اصطلاح پيشرفته، توجّه به مظاهر دعا روبه‌افزايش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دعا نيز، مثل نواحى ديگر، انسان محتاج به هدايت‌هاى صحيح و معقول است كه اين احساس فطرى و ضرورت روحى، سبب گمراهى و سقوط او نشود، و وسيله‌اى براى افراد سودجو و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دعا در جاهليت و ميان ملل قبل از اسلام و ملل غيرمسلمان معاصر، مظاهرى بود كه به انحطاط فكرى و اخلاقى و خرافه‌پرستى</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هم‌اكنون در كشورهاى غربى، مردم اعتقاد عجيبى به فال‌گيرها دارند كه متأسفانه غرب‌زدگى، بعضى جرايد ما را نيز مشوق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فرانسه طبق يك خبر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سال، بيش از سيصد‌ميليارد فرانك به فال‌گيرها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رشته‌ها نيز زندگى اين جوامع، پُر است از تضادّ و ضعف قواى عقلانى و اعمال خلاف شرف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همين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13823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آمريكاى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 تا از انحطاط قواى فكرى و معنوى به‌اصطلاح پيشرفته و مافوق بشر مطّلع شويد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كمك مى‌كرد، و تبهكارى‌ها را زياد و اعمال غيرانسانى و وحشيانه را ترويج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آفتاب جهان‌تاب اسلام در جهان تابيد، و پرده‌هاى خرافات را دريد، چنانچه مى‌دانيم انقلاب عظيم آن، همه شئون زندگى اجتماعى، معنوى، اخلاقى، فكرى و سياسى را فرا گرفت، و در همه نواحى وارد شد و تاريكى‌ها را برطرف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نيز از امورى بود كه طبعاً در درجه نخست، مستقيم و غيرمستقيم مشمول اين انقلاب گشت و برنامه آن، طورى ريخته شد كه شايسته شأن هر بشر آزاد و مترقّى و فهميده، و براى همه طبقات و تربيت عموم، مفيد و مدرسه آموزش‌وپرورش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برنامه‌هاى آزادى‌بخش دعا را اجرا كرد، و شخص پيغمبر اكرم صلی الله علیه و آله و اوصياى آن حضرت علیهم السلام برنامه‌هاى دعا را به مسلمانان آموختند، و بسيارى از اهداف عاليه اسلام را درضمن دعا به مردم تعليم و در دسترس جامعه گذاردند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ذخاير بزرگ علمى و تربيتى اسلام را بايد دعا شمرد؛ زيرا مسائل توحيد و الهيات و نبوّت و نظام حكومت و زمامدارى و اخلاق و حقوق مدنى و احكام و آداب مختلف، همه در دعاهايى كه از اهل‌بيت رسالت علیهم السلام رسيده، مطرح شده و به‌طور تحقيق، مدرسه دعاى اهل‌بيت علیهم السلام ، يكى از مدارس عاليه‌اى است كه در رشد فكرى و ترقّى روحى و اجتماعى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عظيم دارد و تا مسلمان اين مدرسه را نبيند، شخصيت اسلامى او كامل نمى‌شود؛ مدرسه‌اى است </w:t>
      </w:r>
      <w:bookmarkStart w:id="13" w:name="pg212_2659"/>
    </w:p>
    <w:p>
      <w:pPr>
        <w:pStyle w:val="BookText"/>
        <w:rPr/>
      </w:pPr>
      <w:bookmarkEnd w:id="13"/>
      <w:r>
        <w:rPr>
          <w:rFonts w:ascii="IRNazanin" w:hAnsi="IRNazanin" w:eastAsia="IRNazanin"/>
          <w:color w:val="111111"/>
          <w:sz w:val="28"/>
          <w:sz w:val="28"/>
          <w:szCs w:val="28"/>
          <w:rtl w:val="true"/>
          <w:lang w:bidi="fa-IR"/>
        </w:rPr>
        <w:t>كه درب آن همواره شب و روز به روى همگان باز، و تكرار درس‌هاى آن، شخص را على‌الدوام از درجه‌اى به درجه بالاتر صعود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نمى‌خواهيم فلسفه و اسرار دعا و ارزش ادعيه مأثوره از اهل‌بيت علیهم السلام ؛ مانند صحيفه سجاديه و نقش دعا را در ساختن شخصيت بيان كنيم و نمونه‌هايى از جمله‌هاى ادعيه و مضامين بلند آنها را در هر موضوع بياوريم،</w:t>
      </w:r>
      <w:r>
        <w:rPr>
          <w:rStyle w:val="FootnoteAnchor"/>
          <w:rtl w:val="true"/>
        </w:rPr>
        <w:footnoteReference w:id="5"/>
      </w:r>
      <w:r>
        <w:rPr>
          <w:rFonts w:ascii="IRNazanin" w:hAnsi="IRNazanin" w:eastAsia="IRNazanin"/>
          <w:color w:val="111111"/>
          <w:sz w:val="28"/>
          <w:sz w:val="28"/>
          <w:szCs w:val="28"/>
          <w:rtl w:val="true"/>
          <w:lang w:bidi="fa-IR"/>
        </w:rPr>
        <w:t>تا معلوم شود دين ما در هر ناحيه تا چه حدّ غنى است و چه سرمايه‌هاى باارزش و وسايل سعادت و نيک‌بختى در دسترس ما قرار دارد و از آن استفاده نمى‌كنيم؛ زيرا اين موضوع محتاج به تأليف كتابى جداگانه است؛ بلكه فقط مى‌خواستيم متوجّه باشيم كه هدايت‌هاى اسلام به حدّ كافى و وافى دعا را نيز فرا گرفته، و به‌طور صحيح تقاضاى فطرت ما را برآورده و برداشت بهترين بهره‌ها را از دعا پيشنهاد كرده است</w:t>
      </w:r>
      <w:r>
        <w:rPr>
          <w:rFonts w:eastAsia="IRNazanin" w:cs="IRNazanin"/>
          <w:color w:val="111111"/>
          <w:sz w:val="28"/>
          <w:szCs w:val="28"/>
          <w:rtl w:val="true"/>
          <w:lang w:bidi="fa-IR"/>
        </w:rPr>
        <w:t>.</w:t>
      </w:r>
    </w:p>
    <w:p>
      <w:pPr>
        <w:pStyle w:val="Heading2"/>
        <w:numPr>
          <w:ilvl w:val="1"/>
          <w:numId w:val="1"/>
        </w:numPr>
        <w:rPr/>
      </w:pPr>
      <w:bookmarkStart w:id="14" w:name="__RefHeading___Toc1913679_211673320"/>
      <w:bookmarkStart w:id="15" w:name="_Toc5"/>
      <w:bookmarkEnd w:id="14"/>
      <w:r>
        <w:rPr>
          <w:rtl w:val="true"/>
        </w:rPr>
        <w:t>دعاى ندبه</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دعاهاى مشهور كه همواره بسيارى از مؤمنان و مشتاقان و منتظران ظهور دولت حقّ و حكومت جهانى عدالت اسلام </w:t>
      </w:r>
    </w:p>
    <w:p>
      <w:pPr>
        <w:pStyle w:val="BookText"/>
        <w:rPr/>
      </w:pPr>
      <w:r>
        <w:rPr>
          <w:rFonts w:ascii="IRNazanin" w:hAnsi="IRNazanin" w:eastAsia="IRNazanin"/>
          <w:color w:val="111111"/>
          <w:sz w:val="28"/>
          <w:sz w:val="28"/>
          <w:szCs w:val="28"/>
          <w:rtl w:val="true"/>
          <w:lang w:bidi="fa-IR"/>
        </w:rPr>
        <w:t>و ارادتمندان درگاه ولايتمدار حضرت بقية‌الله، ناموس‌الدهر و ولى عصر، مولانا و سيدنا صاحب‌الزمان علیه السلام خواندن آن را شعار خود قرار داده و در مناسبت‌ها و فرصت‌هاى معين، با آن رهبر ابرار و سرسلسله اخيار و احرار تجديد عهد نموده و مجالسى پرشور و روحانى، به‌عنوان قرائت آن تشكيل مى‌دهند، دعاى شريف ندبه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بعضى از آقايان عزيز، از اين ناچيز توضيحاتى در مورد اين دعا خواسته‌اند و ردّ تقاضاى آنان را سزاوار نديدم، با كثرت اشتغال و ضعف مزاج، به‌طور مختصر پاسخ پرسش‌هاى ايشان و ديگران را به عرض مى‌رسانم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مورد قبول چاكران آستان ولىّ زمان، و قطب دوران علیه السلام واقع شود</w:t>
      </w:r>
      <w:r>
        <w:rPr>
          <w:rFonts w:eastAsia="IRNazanin" w:cs="IRNazanin"/>
          <w:color w:val="111111"/>
          <w:sz w:val="28"/>
          <w:szCs w:val="28"/>
          <w:rtl w:val="true"/>
          <w:lang w:bidi="fa-IR"/>
        </w:rPr>
        <w:t xml:space="preserve">. </w:t>
      </w:r>
      <w:bookmarkStart w:id="16" w:name="pg212_2661"/>
    </w:p>
    <w:p>
      <w:pPr>
        <w:pStyle w:val="Heading2"/>
        <w:numPr>
          <w:ilvl w:val="1"/>
          <w:numId w:val="1"/>
        </w:numPr>
        <w:rPr/>
      </w:pPr>
      <w:bookmarkStart w:id="17" w:name="__RefHeading___Toc1913681_211673320"/>
      <w:bookmarkStart w:id="18" w:name="_Toc6"/>
      <w:bookmarkEnd w:id="16"/>
      <w:bookmarkEnd w:id="17"/>
      <w:r>
        <w:rPr>
          <w:rtl w:val="true"/>
        </w:rPr>
        <w:t>مقدمه</w:t>
      </w:r>
      <w:bookmarkEnd w:id="18"/>
    </w:p>
    <w:p>
      <w:pPr>
        <w:pStyle w:val="Heading3"/>
        <w:numPr>
          <w:ilvl w:val="2"/>
          <w:numId w:val="1"/>
        </w:numPr>
        <w:rPr/>
      </w:pPr>
      <w:bookmarkStart w:id="19" w:name="__RefHeading___Toc1913683_211673320"/>
      <w:bookmarkStart w:id="20" w:name="_Toc7"/>
      <w:bookmarkEnd w:id="19"/>
      <w:r>
        <w:rPr>
          <w:rtl w:val="true"/>
        </w:rPr>
        <w:t>امام‌صادق علیه السلام و ندبه بر حضرت مهدى علیه السلام</w:t>
      </w:r>
      <w:bookmarkEnd w:id="20"/>
    </w:p>
    <w:p>
      <w:pPr>
        <w:pStyle w:val="BookText"/>
        <w:rPr/>
      </w:pPr>
      <w:r>
        <w:rPr>
          <w:rFonts w:ascii="IRNazanin" w:hAnsi="IRNazanin" w:eastAsia="IRNazanin"/>
          <w:color w:val="111111"/>
          <w:sz w:val="28"/>
          <w:sz w:val="28"/>
          <w:szCs w:val="28"/>
          <w:rtl w:val="true"/>
          <w:lang w:bidi="fa-IR"/>
        </w:rPr>
        <w:t>پوشيده نماند كه ندبه بر حضرت مهدى علیه السلام و اظهار شوق به لقاى آن حضرت، و گريه و ابراز نگرانى از مفارقت و محروم‌بودن از فيض حضور، و دعا براى تعجيل فرج و ظهور و ذكر فضايل و مناقب و اقدامات و برنامه‌هاى انقلابى و اصلاحى آن وجود مبارك، و اظهار تأسف از اوضاع ناهنجار و روى كار بودن حكومت‌هاى باطل و مستبد و روش‌هاى بيدادگرانه، يک سنّت حسنه‌اى است كه همواره شيعه بر آن مداومت داشته و آن را شعار خود قرار داده و تا ظهور دولت حقّ و تأسيس حكومت جهانى اسلام و آزادى و نجات تمام انسان‌ها، اين شعار برقرار و روشنگر خواسته‌هاى ارزنده و باارج و هدف مترقّى و نجات‌بخش اسلام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درضمن، يك نوع اِنكار مُنكَر و محكوم‌كردن باطل و نكوهش ظلم و بيداد و فساد و گناه، و پشتيبانى از حقّ و عدالت، و نشانه زنده‌بودن </w:t>
      </w:r>
    </w:p>
    <w:p>
      <w:pPr>
        <w:pStyle w:val="BookText"/>
        <w:rPr/>
      </w:pPr>
      <w:r>
        <w:rPr>
          <w:rFonts w:ascii="IRNazanin" w:hAnsi="IRNazanin" w:eastAsia="IRNazanin"/>
          <w:color w:val="111111"/>
          <w:sz w:val="28"/>
          <w:sz w:val="28"/>
          <w:szCs w:val="28"/>
          <w:rtl w:val="true"/>
          <w:lang w:bidi="fa-IR"/>
        </w:rPr>
        <w:t>احساسات انسانى پيروان مكتب مبارزه قرآن و تشيّع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إِنْكَارَ الْمُنْكَرِ بِقَلْبِهِ وَيَدِهِ وَلِسَانِهِ، فَهُوَ مَيِّتٌ بَيْنَ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انكار منكَر را ترک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و دست و زبان، پس او مرده‌اى است ميان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اين ندبه را از امامان خود، كه كار و عملشان سرمشق، و پيروى از گفتار و رفتارشان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حديث متواتر ثقلين و احاديث صحيح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هر مسلمان است،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 و ائمه علیهم السلام برحسب روايات، كراراً ضمن آنكه از اوضاع آخرالزمان و فتنه‌هايى كه ظاهر مى‌شود و فشارهايى كه بر اهل حقّ وارد مى‌گردد، خبر مى‌دادند، نگرانى و تأثّر خود را هم اظهار مى‌فرمودند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صدوق و شيخ طوسى رحمهما الله هريك به سند خود، حديث مفصلى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صيرفى</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روايت كرده‌اند</w:t>
      </w:r>
      <w:r>
        <w:rPr>
          <w:rStyle w:val="FootnoteAnchor"/>
          <w:rtl w:val="true"/>
        </w:rPr>
        <w:footnoteReference w:id="8"/>
      </w:r>
      <w:r>
        <w:rPr>
          <w:rFonts w:ascii="IRNazanin" w:hAnsi="IRNazanin" w:eastAsia="IRNazanin"/>
          <w:color w:val="111111"/>
          <w:sz w:val="28"/>
          <w:sz w:val="28"/>
          <w:szCs w:val="28"/>
          <w:rtl w:val="true"/>
          <w:lang w:bidi="fa-IR"/>
        </w:rPr>
        <w:t>كه در آن، گريه و ندبه امام جعفرصادق علیه السلام بر غيبت صاحب‌الزمان علیه 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w:t>
      </w:r>
    </w:p>
    <w:p>
      <w:pPr>
        <w:pStyle w:val="BookText"/>
        <w:rPr/>
      </w:pPr>
      <w:r>
        <w:rPr>
          <w:rFonts w:ascii="Amiri" w:hAnsi="Amiri" w:eastAsia="Amiri" w:cs="Amiri"/>
          <w:color w:val="111111"/>
          <w:sz w:val="28"/>
          <w:sz w:val="28"/>
          <w:szCs w:val="28"/>
          <w:rtl w:val="true"/>
          <w:lang w:bidi="ar-SA"/>
        </w:rPr>
        <w:t>رعايت اختصار، جمله‌ها و مضمون قسمتى از اين حديث شريف را كه ارتباط با ندبه دارد، در اينجا نقل مى‌نماييم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سُدير صيرفى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ابوبصير و ابان بن تغلب به محضر آقايمان حضرت صادق علیه السلام شرفياب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حضرت بر روى خاك نشسته و لباسى كه از مو بافته شده و طوق‌دار و بى‌گريبان بود، پوشيده است و مانند فرزند مرده جگرسوخته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حزن و اندوه از گونه و رخسارش آشكار، و اشک كاسه چشم‌هايش را پر كرده بود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غَيْبَتُكَ نَفَتْ رُقَادِي، وَضَيَّقَتْ عَلَيَّ مِهَادِي، وَابْتَزَّتْ مِنِّي رَاحَةَ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غَيْبَتُكَ أَوْصَلَتْ مُصَابِي بِفَجَائِعِ الْأَبَدِ، وَفَقْدُ الْوَاحِدِ بَعْدَ الْوَاحِدِ يَفْنِي الْجَمْعَ وَالْعَدَدَ، فَمَا أُحِسُّ بِدَمْعَةٍ تَرْقَأُ مِنْ عَيْنِي وَأَنِينٍ يَفْتُرُ مِنْ صَدْرِي عَنْ دَوَارِجِ الرَّزَايَا وَسَوَالِفِ الْبَلَايَا إِلَّا مَثَّلَ بِعَيْنِي عَنْ غَوَابِرَ أَعْظَمِهَا وَأَفْظَعِهَا وَبَوَاقِيَ أَشَدِّهَا وَأَنْكَرِهَا، وَنَوَائِبَ مَخْلُوطَةٍ بِغَضَبِكَ، وَنَوَازِلَمَعْجُونَةٍ بِسَخَطِكَ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خوابم را گرفته و خوابگاهم را بر من تنگ كرده و آرامش و راحت </w:t>
      </w:r>
    </w:p>
    <w:p>
      <w:pPr>
        <w:pStyle w:val="BookText"/>
        <w:rPr/>
      </w:pPr>
      <w:r>
        <w:rPr>
          <w:rFonts w:ascii="IRNazanin" w:hAnsi="IRNazanin" w:eastAsia="IRNazanin"/>
          <w:color w:val="111111"/>
          <w:sz w:val="28"/>
          <w:sz w:val="28"/>
          <w:szCs w:val="28"/>
          <w:rtl w:val="true"/>
          <w:lang w:bidi="fa-IR"/>
        </w:rPr>
        <w:t>دلم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تو مصيبتم را به مصيبت‌هاى دردناك ابدى پيوسته، و از دست‌دادن يكى پس از ديگرى، جمع و عدد را فانى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احساس نمى‌كنم به اشكى كه در چشمم خشك مى‌گردد و ناله‌اى كه در سينه‌ام آرام مى‌گيرد، مگر آنكه مصائب بزرگ‌تر و دل‌خراش‌تر و پيشامدهاى سخت‌تر و ناشناخته‌تر در برابر ديده‌ام مجسّم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سر ما پريد و دل‌هاى ما از غم و اندوه اين پيشامد هولناک و حادثه خطرناک پاره شد، و گمان كرديم از اتّفاق ناگوار كوبنده‌اى اين‌چنين گريان و سوگوار است، يا از روزگار به او مصيبتى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ديدگانت را نگرياند اى پسر خيرالورى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پيشامدى اين‌گونه گريانى و از ديده اشک مى‌بارى؟ چه حالى روى داده كه اين‌گونه سوگوارى؟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چنان آه عميقى كشيد كه ناراحتى‌اش از آن افزون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بامداد امروز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كردم و آنكتابى است كه علم مرگ‌ها و بلاها و آنچه واقع شده و تا روز قيامت واقع مى‌شود، در آن مندرج است و خداى، محمّد صلی الله علیه و آله و امامان بعد از او را به آن اختصاص داده است و تأمّل كردم در موضوع ولادت غايب </w:t>
      </w:r>
      <w:bookmarkStart w:id="21" w:name="pg212_2665"/>
    </w:p>
    <w:p>
      <w:pPr>
        <w:pStyle w:val="BookText"/>
        <w:rPr/>
      </w:pPr>
      <w:bookmarkEnd w:id="21"/>
      <w:r>
        <w:rPr>
          <w:rFonts w:ascii="Amiri" w:hAnsi="Amiri" w:eastAsia="Amiri" w:cs="Amiri"/>
          <w:color w:val="111111"/>
          <w:sz w:val="28"/>
          <w:sz w:val="28"/>
          <w:szCs w:val="28"/>
          <w:rtl w:val="true"/>
          <w:lang w:bidi="ar-SA"/>
        </w:rPr>
        <w:t>ما و غيبت و طول عمر او</w:t>
      </w:r>
      <w:r>
        <w:rPr>
          <w:rStyle w:val="FootnoteAnchor"/>
          <w:rtl w:val="true"/>
        </w:rPr>
        <w:footnoteReference w:id="10"/>
      </w:r>
      <w:r>
        <w:rPr>
          <w:rFonts w:ascii="IRNazanin" w:hAnsi="IRNazanin" w:eastAsia="IRNazanin"/>
          <w:color w:val="111111"/>
          <w:sz w:val="28"/>
          <w:sz w:val="28"/>
          <w:szCs w:val="28"/>
          <w:rtl w:val="true"/>
          <w:lang w:bidi="fa-IR"/>
        </w:rPr>
        <w:t xml:space="preserve">و گرفتارى‌هاى مؤمنان در آن زمان، و شک‌هايى كه از جهت طول غيبت در دل‌هايشان پيدا مى‌شود، و اينكه بيشتر آنها از دين برگردند و رشته اسلام را از گردن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 كه طولانى و مفصل است و مشتمل است بر دليل بر طول عمر آن حضرت و اينكه خداوند متعال نسبت به حضرت قائم علیه السلام سه برنامه را كه در مورد سه پيغمبر جارى شده اجرا فرموده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2" w:name="__RefHeading___Toc1913685_211673320"/>
      <w:bookmarkStart w:id="23" w:name="_Toc8"/>
      <w:bookmarkEnd w:id="22"/>
      <w:r>
        <w:rPr>
          <w:rtl w:val="true"/>
        </w:rPr>
        <w:t>فرمايش سيد بن طاووس</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اجلّ، اورع، ازهد، صاحب كرامات، سيّد رضى‌الدين ابوالقاسم على بن موسى بن جعفر بن طاووس حسنى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مستطاب اقبال‌الاعمال، پس از ذكر دعاهاى وداع ماه رمضان، بياناتى فرموده كه ترجمه‌اش بدين مضمون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وظايف شيعه اماميه؛ بلكه از وظايف امّت محمّدى اين است كه در اين اوقات و اين فرصت‌ها متأسف و اندوهناک باشند براى محروم‌بودن از بركات فيض حضور، و سعادت ظهور حضرت مهدى علیه السلام تا خدا ببيند كه بر قدم صفا و وفا و اخلاص و ارادت به آن رهبران </w:t>
      </w:r>
      <w:bookmarkStart w:id="24" w:name="pg212_2666"/>
    </w:p>
    <w:p>
      <w:pPr>
        <w:pStyle w:val="BookText"/>
        <w:rPr/>
      </w:pPr>
      <w:bookmarkEnd w:id="24"/>
      <w:r>
        <w:rPr>
          <w:rFonts w:ascii="IRNazanin" w:hAnsi="IRNazanin" w:eastAsia="IRNazanin"/>
          <w:color w:val="111111"/>
          <w:sz w:val="28"/>
          <w:sz w:val="28"/>
          <w:szCs w:val="28"/>
          <w:rtl w:val="true"/>
          <w:lang w:bidi="fa-IR"/>
        </w:rPr>
        <w:t>بزرگ ثابت و استوارند، و بايد مضمون اين شعر را از روى تأسف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أُرَدِّدُ طَرْفَيْ فِي الدِّيَارِ فَلَا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أَحِبَّائِي الَّذِينَ أُرِيدُ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زيرا مصيبت هجران و حرمان از لقاى امام علیه السلام ، از مصيبت گذشتن ماه رمضان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فراق پدر مهربان يا برادر پشتيبان، يا فرزند عزيز گرفتار شوند، وحشت‌زده و ناراحت و غمناك مى‌شوند، درحالى‌كه بهره و انتفاع از پدر و برادر و فرزند، در برابر بركات و انتفاعات مهم ما از حضرت مهدى علیه السلام كه خليفه خاتم‌الانبياء صلی الله علیه و آله و امام حضرت عيسى علیه السلام در نماز و ولىّ امور و برطرف‌كننده انواع گرفتارى‌ها و بليّات و مصلح تمام كارها است، ارزشى ندارد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5" w:name="__RefHeading___Toc1913687_211673320"/>
      <w:bookmarkStart w:id="26" w:name="_Toc9"/>
      <w:bookmarkEnd w:id="25"/>
      <w:r>
        <w:rPr>
          <w:rtl w:val="true"/>
        </w:rPr>
        <w:t>پرسش هايى كه پيرامون دعاى ندبه مى‌شود</w:t>
      </w:r>
      <w:bookmarkEnd w:id="26"/>
    </w:p>
    <w:p>
      <w:pPr>
        <w:pStyle w:val="BookText"/>
        <w:rPr/>
      </w:pPr>
      <w:r>
        <w:rPr>
          <w:rFonts w:ascii="IRNazanin" w:hAnsi="IRNazanin" w:eastAsia="IRNazanin"/>
          <w:color w:val="111111"/>
          <w:sz w:val="28"/>
          <w:sz w:val="28"/>
          <w:szCs w:val="28"/>
          <w:rtl w:val="true"/>
          <w:lang w:bidi="fa-IR"/>
        </w:rPr>
        <w:t>پرسش هايى كه پيرامون دعاى ندبه مى‌شود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سنّت‌هاى دينى و دستورات اسلامى تا مى‌توانند خرده‌گيرى‌هاى ناهنجار و بى‌معنا مى‌نمايند و از فلسفه و فايده آنها مى‌پرسند؛ ولى عادات و آداب اجانب را در لباس و خوراك و مو و سبيل و امور اجتماعى و خانوادگى و فرهنگى ندانسته و بدون اينكه فايده‌اى از آن در نظر بگيرند، سرمشق خود قرار داده و بلكه غالباً با علم به ضرر، از بيگانگان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احاديثى كه در كتاب‌هاى معتبر روايت شده و مردان خبير و اهل فن و اطّلاع به آن اعتماد كرده‌اند شبهه مى‌كنند و نمى‌پذيرند درحالى‌كه خبرهاى مؤسسات خبرسازى و شايعه‌پردازى را با‌وجود هزار علّت و احتمال جعل و دروغ، قبول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حال ناشى از ضعف اخلاق و جهل و غفلت و خودباختگى و تسليم كوركورانه افكار و عادات بيگانگان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هم پيدا شده‌اند كه با القاى شبهه و استهزا و مسخره‌كردن آداب دينى يا خوددارى از انجام وظايف اسلامى، مى‌خواهند خود را در جمع روشنفكران وارد و اهل تحقيق و منطق معرفى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در سطح‌هاى مختلف و پيرامون موضوعات متنوع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اصول دين و الهيّات و محرمات و مستحبات و مكروهات سخنى مى‌گويند و به‌طور تحقيرآميز و استفهام پرسش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ديده‌ايم بيشتر اين افراد يا از صلاحيت علمى محروم و عامى و بى‌سوادند و يا اينكه مى‌خواهند با اين روش خود را نوانديش معرفى كرده و در جمع برخى جوانان و كسانى كه با مسائل دينى آشنايى كامل ندارند و باوركردن بسيارى از حقايق برايشان دشوار است، جايى باز كنند و صاحب مكتبى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بيشتر براى فريفتن و اِغفال افراد خام و نپخته، حتى از الفاظ داغ و اصطلاحات و لغات انگليسى و فرانسه و اسامى مكتب‌هاى گوناگون نيز استفاده كرده و كسانى را كه غرب‌زده و عاشق الفاظ فرنگى‌مآبانه هستند، فريفته و در اشتباه مى‌اندازند؛ چون اگر ساده و بى‌پيرايه سخن بگويند، مقاصدى كه دارند آشكار شده و بيشتر مردم ملتفت مى‌شوند و كالاى آنها را نمى‌خرند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افكارشان را در لابلاى الفاظ و لغات بيگانه يا اصطلاحات جديد مى‌گويند تا افراد غيروارد، گمان كنند سخن آنها مبتنى بر يك اساس مسلّم علمى جديد، و فلسفه پذيرفته‌شدة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درعين‌حال كه معتقديم بايد باب بحث و نظر و پى‌جويى و تعقل و بررسى آزاد، به روى همه باز باشد و ازاين‌جهت از كسى گله نمى‌كنيم؛ بلكه از آن استقبال كرده و آن را سبب تنوير افكار و روشن‌شدن حقايق و تجلّى هرچه بيشتر انوار معارف اسلام مى‌دانيم، به اين اشخاص نيز نصيحت مى‌كنيم كه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اشتباه‌كارى و تدليس و اظهار شك و ترديد، شبهه‌سازى و مسخره‌كردن حقايق و سست‌كردن عقايد عامّه از راه تمسخر و استهزا، و بيانات جسارت‌آميز و حمله به اين و آن، دشنام‌دادن و مردم را به‌هم بدگمان‌كردن و سرگردان‌نمودن و انديشه‌هاى سوء را رشد‌دادن،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مشكل و دشوار است و كار همه‌كس نيست مردم را بر يك اصول صحيح استوارداشتن، و متّحدكردن و از شبهه و شك خارج‌گردانيدن و به‌سوى يك مسير معقول و مقرون به خير و سعادت دنيا و آخرت راهنمايى‌كردن است كه فقط انبيا و اوليا و رجال الهى از عهده اين خدمت برآمده‌اند و حتى فلاسفه و حكما نيز در جنبه ايجابى و مثبت اين موضوع نتوانستند مقام سازنده و مؤثر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نقش مخرّب را بازى كرده و خواستند اين كاخ باعظمت و اين يگانه پناه‌گاهى را كه انبيا به امر خدا براى مردم ساختند خراب و ويران سازند، سرانجام جز ايجاد نابسامانى و بى‌مأخذى و بى‌مقصدى و لامسلكى چه دردى را درمان كردند؟ و بر كجاى اين‌همه زخم‌هايى كه پيكر جامعه انسانيت از دست جهل و نادانى و فساد اخلاقى و تكبر و حسد و غرور و جاه‌پرستى برداشته، مرهمى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بيان اين نكته بيش از حدّ اين كتاب سخن طولانى شد، براى اين است كه معلوم باشد حقيقت‌جويى و تلاش براى بالابردن سطح معرفت و بصيرت و روشن‌شدن اذهان و تحصيل يقين كامل‌تر و همچنين مجاهده براى جستن حقّ، يك مطلب است و شبهه‌سازى و مسخره‌كردن حقايق و اتّكا به غرور و دانستن يك سلسله الفاظ فريبنده و توخالى، مطلب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رجال قهرمان آن ميدان مقدّس هستند، با افرادى كه در ميدان دوم خودنمايى مى‌كنند از زمين تا آسمان فرق دارند و نبايد آنها را باهم اشتباه كرد و شبهه‌سازى را حقيقت‌جويى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ابليس آدم‌رو 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دستى نبايد داد دست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بسا ابليس آدم‌وار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برد انسان به دوزخ نه بهشت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پرسش‌هايى كه پيرامون اين دعا مى‌شود، چهارده پرسش است به اين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دعا از جهت سند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شِعْرِي أَيْنَ اسْتَقَرَّتْ بِكَ النَّوَى؛ بَلْ أَيُّپرسش‌هايى كه پيرامون اين دعا مى‌شود، چهارده پرسش است به اين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دعا از جهت سند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أَيْنَ اسْتَقَرَّتْ بِكَ النَّوَى؛ بَلْ أَيُّأَرْضٍ تُقِلُّكَ أَوْ 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بِرَضْوَى أَوْ غَيْرِهَا أَمْ ذِي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مى‌دانستم در كدام زمين قرار دارى، آيا در كوه رضوايی يا غير آن يا در سرزمين ذى‌طوى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ارتباط به امام‌زمان علیه السلام دارد، و چرا سراغ آن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مى‌گيرند، و حال آنكه به عقيدۀ فرقه كيسانيه،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محل اختفا و غيبت محمّد حنفيه است و معتقد بودند كه در اين كوه از انظار مخفى و از آنجا ظهور خواهد كرد؛ و حال آنكه امام‌زمان علیه السلام ؛ نه در غيبت صغرى و نه در غيبت كبرى و نه پس از ظهور، هيچ رابطه‌اى با اين كوه ندارد و اساساً غيبت آن حضرت به اين صورت نيست كه در جاى مخصوصى قرار گرفته باشند؛ بلكه در همه‌جا و هر مكان بخواهند حاضر مى‌شوند و اين ما هستيم كه آن ولىّ خدا را نمى‌شناسيم و تشخيص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سؤال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كدام جايگاه مخفى به‌سر مى‌برى؟ ظاهراً با نوع غيبت حضرت مهدى موعود از ديدگاه شيعه اماميه سازگار 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مطالعه دقيق متن دعا، كه از ائمه اثنى‌عشر علیهم السلام به تصريح و ترتيب نام برده نشده، و پس از حضرت اميرالمؤمنين علیه السلام ، كه به تفصيل از مناقب و فضايل آن حضرت سخن مى‌گويد، ناگهان و بی‌واسطه به امام غايب خطاب مى‌كند، باز اين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ذهن طرح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وَعَرَجْتَ بِرُوحِهِ إِلَى سَمَائِكَ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او را به آسمانت عروج دادى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نيز با اجماع و اتفاق و آيات قرآن مجيد و اخبار و احاديث كه دلالت بر جسمانى‌بودن معراج حضرت رسول خدا صلی الله علیه و آله دارند،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ممكن است اين دعا منسوب به يكى از امامان باشد كه همه عاقل و كامل بودند؟ چگونه بااينكه هنوز امام‌زمان علیه السلام به دنيا نيامده بود، در اين دعا به او خطاب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أَيْنَ اسْتَقَرَّتْ بِكَ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 مى‌دانستم در كجا سكونت دارى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ندبه بعد از رسول خدا و ائمه هدى علیهم السلام پيدا شده و به ايشان نسبت داده شده و بدعت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جمله 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وَسَأَلَكَ لِسَانَ صِدْقٍ فِي الْآخِرِينَ، فَأَجَبْتَهُ وَجَعَلْتَ ذَلِكَ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براى خويش نام نيك بين آيندگانخواست، پس او را اجابت كردى و آن را عالى و بلندمرتبه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 مخالف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وَأَوْطَأْتَهُ مَشَارِقَكَ وَمَغَارِبَكَ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شرق و غرب عالم را تحت سلطه‌اش قرار دادی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مخالف با قرآن مجيد است؟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وَأَوْدَعْتَهُ عِلْمَ مَا كَانَ وَمَا يَكُونُ إِلَى انْقِضَاءِ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گذشته و آينده تا پايان آفرينشت را به وى وديعه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نيز با قرآن مخالفت دارد؟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جَعَلْتَ أَجْرَ مُحَمَّدٍ صَلَوَاتُكَ عَلَيْهِ وَآلِهِ مَوَدَّتَهُمْ فِي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اجر محمّد صلی الله علیه و آله را در كتاب خويش مودّت و دوستى و پيوند با ايشان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با قرآن سازگار نيست؟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در هزار مسجد و مكان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علیه السلام در همه‌جا حاضر و شنوا و لامكان و حاضر در هر مكان است، مانند خدا؟ البته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همه‌جا حاضر نيست، چرا در دعا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السَّادَةِ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النُّجَبَاءِ الْأَكْرَمِينَ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زاده آقايان مقرّب درگاه خدا، اى زاده نجيبان گرامى</w:t>
      </w:r>
      <w:r>
        <w:rPr>
          <w:rFonts w:eastAsia="IRNazanin" w:cs="IRNazanin"/>
          <w:color w:val="111111"/>
          <w:sz w:val="28"/>
          <w:szCs w:val="28"/>
          <w:rtl w:val="true"/>
          <w:lang w:bidi="fa-IR"/>
        </w:rPr>
        <w:t xml:space="preserve">». </w:t>
      </w:r>
      <w:bookmarkStart w:id="27" w:name="pg212_2673"/>
    </w:p>
    <w:p>
      <w:pPr>
        <w:pStyle w:val="BookText"/>
        <w:rPr/>
      </w:pPr>
      <w:bookmarkEnd w:id="27"/>
      <w:r>
        <w:rPr>
          <w:rFonts w:ascii="IRNazanin" w:hAnsi="IRNazanin" w:eastAsia="IRNazanin"/>
          <w:color w:val="111111"/>
          <w:sz w:val="28"/>
          <w:sz w:val="28"/>
          <w:szCs w:val="28"/>
          <w:rtl w:val="true"/>
          <w:lang w:bidi="fa-IR"/>
        </w:rPr>
        <w:t>پس اين دعا خلاف عقل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موارد ديگر كه مخالف با عقل است، اين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يس وَالذَّارِيَاتِ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الطُّورِ وَالْعَادِيَاتِ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ياسين و ذاريات، ای فرزند طور و عاديات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غيرخدا شرك است و چون در اين دعا، امام خوانده مى‌شود؛ پس خواندن آن كفر و شرك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اين دعا، سبب ركود فعاليت‌هاى اسلامى و خمود و تخدير افكار و اقناع نفوس به ندبه و گريه و مانع از اشتعال آتش ناراحتى‌ها و نارضايتى‌ها و انقلاب و قيام عليه اهل باطل مى‌شود و افراد را از امر به معروف و نهى از منكر و تلاش و كوشش براى برقراری نظم صحيح اسلامى و حركت و اقدام باز مى‌دارد؟شايد پرسش‌هايى كه پيرامون اين دعاى شريف مى‌شود، بيش از اين چهارده سؤال نباشد كه ما به حول و قوه الهى، به هريک جداگانه پاسخ مى‌دهيم</w:t>
      </w:r>
      <w:r>
        <w:rPr>
          <w:rFonts w:eastAsia="IRNazanin" w:cs="IRNazanin"/>
          <w:color w:val="111111"/>
          <w:sz w:val="28"/>
          <w:szCs w:val="28"/>
          <w:rtl w:val="true"/>
          <w:lang w:bidi="fa-IR"/>
        </w:rPr>
        <w:t>.</w:t>
      </w:r>
    </w:p>
    <w:p>
      <w:pPr>
        <w:pStyle w:val="Heading3"/>
        <w:numPr>
          <w:ilvl w:val="2"/>
          <w:numId w:val="1"/>
        </w:numPr>
        <w:rPr/>
      </w:pPr>
      <w:bookmarkStart w:id="28" w:name="__RefHeading___Toc1913689_211673320"/>
      <w:bookmarkStart w:id="29" w:name="_Toc10"/>
      <w:bookmarkEnd w:id="28"/>
      <w:r>
        <w:rPr>
          <w:rtl w:val="true"/>
        </w:rPr>
        <w:t>تذكّر مهم</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معتبردانستن دعاى شريف ندبه از اصول دين نيست، و معتبرنشناختن آن، به صحّت عقايد و اصولى كه در نزد شيعه معتبر است، خللى وارد نمى‌آورد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موضوع يك مسئله فرعى است و اظهارنظر درباره آن، براى كسى كه اهل اجتهاد باشد، آزاد است و من دوست نمى‌دارم اين‌هم يك عنوانى باشد كه سبب تشكيل دو جبهه موافق و مخالف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بعضى از شبهاتى كه بر عدم اعتبار اين دعا القا شده، و حكايت از دارابودن يك سليقه و روش‌هاى خاص مذهبى و گرايش به آراى فرقه وهابيت و نواصب و دشمنان عترت پيغمبر خدا صلی الله علیه و آله دارد، مخالف مذهب شيعه و طريقه اهل‌بيت رسالت علیهم السلام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عَصَمَنَا اللهُ وَجَمِيعَ إِخْوَانِنَا مِنَ الزَّلَّاتِ وَهَدَانَا إِلَى صِرَاطِهِ الْمُسْتَقِيمِ</w:t>
      </w:r>
      <w:r>
        <w:rPr>
          <w:rFonts w:eastAsia="Amiri" w:cs="Amiri" w:ascii="Amiri" w:hAnsi="Amiri"/>
          <w:color w:val="111111"/>
          <w:sz w:val="28"/>
          <w:szCs w:val="28"/>
          <w:rtl w:val="true"/>
          <w:lang w:bidi="ar-SA"/>
        </w:rPr>
        <w:t xml:space="preserve">. </w:t>
      </w:r>
      <w:bookmarkStart w:id="30" w:name="pg212_26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913691_211673320"/>
      <w:bookmarkStart w:id="32" w:name="_Toc11"/>
      <w:bookmarkEnd w:id="30"/>
      <w:bookmarkEnd w:id="31"/>
      <w:r>
        <w:rPr>
          <w:rtl w:val="true"/>
        </w:rPr>
        <w:t>پاسخ به چهارده پرسش پيرامون دعای ندبه</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212_2677"/>
      <w:bookmarkStart w:id="34" w:name="pg212_2677"/>
      <w:bookmarkEnd w:id="34"/>
    </w:p>
    <w:p>
      <w:pPr>
        <w:pStyle w:val="Heading2"/>
        <w:numPr>
          <w:ilvl w:val="1"/>
          <w:numId w:val="1"/>
        </w:numPr>
        <w:rPr/>
      </w:pPr>
      <w:bookmarkStart w:id="35" w:name="pg212_2677"/>
      <w:bookmarkStart w:id="36" w:name="__RefHeading___Toc1913693_211673320"/>
      <w:bookmarkStart w:id="37" w:name="_Toc12"/>
      <w:bookmarkEnd w:id="35"/>
      <w:bookmarkEnd w:id="36"/>
      <w:r>
        <w:rPr/>
        <w:t>1</w:t>
      </w:r>
      <w:r>
        <w:rPr>
          <w:rtl w:val="true"/>
        </w:rPr>
        <w:t xml:space="preserve">- </w:t>
      </w:r>
      <w:r>
        <w:rPr>
          <w:rtl w:val="true"/>
        </w:rPr>
        <w:t>اعتبار سند دعاى ندبه</w:t>
      </w:r>
      <w:bookmarkEnd w:id="37"/>
    </w:p>
    <w:p>
      <w:pPr>
        <w:pStyle w:val="Heading3"/>
        <w:numPr>
          <w:ilvl w:val="2"/>
          <w:numId w:val="1"/>
        </w:numPr>
        <w:rPr/>
      </w:pPr>
      <w:bookmarkStart w:id="38" w:name="__RefHeading___Toc1913695_211673320"/>
      <w:bookmarkStart w:id="39" w:name="_Toc13"/>
      <w:bookmarkEnd w:id="38"/>
      <w:r>
        <w:rPr>
          <w:rtl w:val="true"/>
        </w:rPr>
        <w:t>اشاره</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حجّيت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به صدور، ميزانِ اعتبار، شناخته شده و روش عرف و عقلا نيز بر همين نحو قرار دارد؛ بلكه به اخبار تاريخى و نقل‌هايى كه بسا ازنظر محدّث مورد اعتماد نيست، اعتماد مى‌كنند، و همين‌قدر كه تاريخ معتبر يا مشهورى واقعه‌اى را نقل كرده باشد، آن را قبول مى‌نمايند؛ ولى علماى اسلام در اخبار و احاديث، به‌خصوص راجع به احكام شرع، تعيين هدف‌ها، تعاليم دين و تفسير قرآن و فقه، از اين روش عرف، پا را فراتر نهاده و تحقيق و دقّت و رسيدگى بيشترى مى‌كنند و در رجال سند احاديث و عدالت و ثِقه‌بودن راوى و سوابق اخلاقى، و عقيده و مسلك سياسى او، كاملاً كنجكاوى مى‌نمايند و تا اطمينان پيدا نكنند، به حديث عمل نمى‌نمايند و اصولى كه در اين موضوع مراعات مى‌شود، حاكى از نهايت دقّت و تفحص و اعتناى شيعه به واقع‌جويى و حقيقت‌پژوهى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فحص و رسيدگى و تحصيل اطمينان به صدور حديث، در مورد احاديثى كه راجع به حكم الزامى شرعى مثل واجب و حرام، يا معاملات و امور مالى و حقوقى و سياسى باشد، بيشتر انجام می‌شود و معمولاً در احاديث ديگر، مانند اخبار مربوط به اصول عقايد</w:t>
      </w:r>
      <w:r>
        <w:rPr>
          <w:rStyle w:val="FootnoteAnchor"/>
          <w:rtl w:val="true"/>
        </w:rPr>
        <w:footnoteReference w:id="15"/>
      </w:r>
      <w:r>
        <w:rPr>
          <w:rFonts w:ascii="IRNazanin" w:hAnsi="IRNazanin" w:eastAsia="IRNazanin"/>
          <w:color w:val="111111"/>
          <w:sz w:val="28"/>
          <w:sz w:val="28"/>
          <w:szCs w:val="28"/>
          <w:rtl w:val="true"/>
          <w:lang w:bidi="fa-IR"/>
        </w:rPr>
        <w:t>و مستحبات، به اين مقدار رسيدگى و دقّت، نياز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دعا هم، درصورتى‌كه مضامين آن مقبول و شرع‌پسند باشد، اگر سند آن معتبر نباشد و ورود آن بالخصوص ثابت نشد؛ چون به نحو عموم، دعا وارد و راجح و از عبادات مؤكّده است، خواندن آن برحسب عمومات قرآن مجيد و روايات دعا، راجح و مستحبّ است و در مقام عمل، حاجت زيادى به معرفت سند دعا نيست، و به همين قصد خوانده مى‌شود و براى درك فيض و ثواب مخصوص آن نيز برحسب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هم كه بخوانند، به آن نايل مى‌شوند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متن و الفاظ و مضامين هم، بر اعتبار دعا مى‌افزايد و سخن‌شناسان و كسانى كه با اخبار و سخنان اهل‌بيت علیهم السلام و دعاهايى كه از ايشان رسيده مأنوس هستند، آن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جمله‌بند‌ی‌هاى سست و مضامين كوتاه بعضى از دعاها مى‌فهمند كه از اهل‌بيت علیهم السلام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اين مقدّمه فشرده و مختصر، راجع به اعتبار دعاى شريف ندبه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از حيث سند، اگرچه مسند نباشد، مع‌ذلك اطمينان‌بخش و معتبر است و براى اينكه آن را بخوانيم و مانند يكى از دعاهاى مشهور و متداول مواظبت بر آن داشته باشيم، به اعتبار بيشتر نيازى نيست؛ زيرا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دعا را سيّد جليل، صاحب مناقب و 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رضى‌الدين على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اعلام قرن هفتم هجرى و از رجال بزرگ شيعه و در علم و ورع و زهد و عبادت معروف و بااطّلاع از كتب و تصنيفات بوده، در كتاب مستطاب اقبال‌الاعمال</w:t>
      </w:r>
      <w:r>
        <w:rPr>
          <w:rStyle w:val="FootnoteAnchor"/>
          <w:rtl w:val="true"/>
        </w:rPr>
        <w:footnoteReference w:id="16"/>
      </w:r>
      <w:r>
        <w:rPr>
          <w:rFonts w:ascii="Amiri" w:hAnsi="Amiri" w:eastAsia="Amiri" w:cs="Amiri"/>
          <w:color w:val="111111"/>
          <w:sz w:val="28"/>
          <w:sz w:val="28"/>
          <w:szCs w:val="28"/>
          <w:rtl w:val="true"/>
          <w:lang w:bidi="ar-SA"/>
        </w:rPr>
        <w:t>و در كتاب مصباح‌الزائر فصل هفتم</w:t>
      </w:r>
      <w:r>
        <w:rPr>
          <w:rStyle w:val="FootnoteAnchor"/>
          <w:rtl w:val="true"/>
        </w:rPr>
        <w:footnoteReference w:id="17"/>
      </w:r>
      <w:r>
        <w:rPr>
          <w:rFonts w:ascii="IRNazanin" w:hAnsi="IRNazanin" w:eastAsia="IRNazanin"/>
          <w:color w:val="111111"/>
          <w:sz w:val="28"/>
          <w:sz w:val="28"/>
          <w:szCs w:val="28"/>
          <w:rtl w:val="true"/>
          <w:lang w:bidi="fa-IR"/>
        </w:rPr>
        <w:t xml:space="preserve">، و شيخ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على مشهدى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قرن ششم در کتاب المزار</w:t>
      </w:r>
      <w:r>
        <w:rPr>
          <w:rStyle w:val="FootnoteAnchor"/>
          <w:rtl w:val="true"/>
        </w:rPr>
        <w:footnoteReference w:id="18"/>
      </w:r>
      <w:r>
        <w:rPr>
          <w:rFonts w:ascii="Amiri" w:hAnsi="Amiri" w:eastAsia="Amiri" w:cs="Amiri"/>
          <w:color w:val="111111"/>
          <w:sz w:val="28"/>
          <w:sz w:val="28"/>
          <w:szCs w:val="28"/>
          <w:rtl w:val="true"/>
          <w:lang w:bidi="ar-SA"/>
        </w:rPr>
        <w:t>معروف به مزار محمّد بن مشهدى كه علاّمه مجلسى آن را المزارالكبير ناميده</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صدوهفتم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كرده‌اند و همچنين در مزار قديم كه ظاهراً از تأليفات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نقل شده و نقل دعا در مثل هريك از اين سه كتاب، دليل اين است كه اين شخصيت‌هاى بزرگ و متبحّر و حديث‌شناس، اين دعا را معتبر شناخته‌اند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مدركى براى اين دعا جز كتاب سيّد بن طاووس نيست و سيد هم اين دعا را از بعضى شيعيان مجهول‌الحال نقل كرده است؛ زيرا عبارت او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كِتَابِ مُحَمَّدِ بْنِ الْحُسَيْنِ بْنِ سُفْيَانِ الْبَزَوفَرِيِّ دُعَاءَ النُّدْبَةِ وَذَكَرَ أَنَّهُ الدُّعَاءُ لِصَاحِبِ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يُدْعَى بِهِ فِي الْأَعْيَادِ الْأَرْبَعَةِ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جواب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 و پس از اين هم خواهيم گفت، در كتاب‌هايى كه پيش از عصر سيّد تأليف شده، اين دعا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چون سيّد بن طاووس، از مجهول‌الحال، به اين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مشعر بر تعظيم و احترام است، نقل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اهل فن باشد، ملتفت مى‌شود كه مراد ايشان 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بن مشهدى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المزارالكبير است و عبارت او در المزارالكبير كه دعاى صدوهفتم آن است، اين است كه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لِلنُّدْبَةِ، قَالَ مُحَمَّدُ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كِتَابِ أَبِي جَعْفَر مُحَمَّدِ بْنِ الْحُسَيْنِ بْنِ </w:t>
      </w:r>
    </w:p>
    <w:p>
      <w:pPr>
        <w:pStyle w:val="BookText"/>
        <w:rPr/>
      </w:pPr>
      <w:r>
        <w:rPr>
          <w:rFonts w:ascii="Amiri" w:hAnsi="Amiri" w:eastAsia="Amiri" w:cs="Amiri"/>
          <w:color w:val="111111"/>
          <w:sz w:val="28"/>
          <w:sz w:val="28"/>
          <w:szCs w:val="28"/>
          <w:rtl w:val="true"/>
          <w:lang w:bidi="ar-SA"/>
        </w:rPr>
        <w:t>سُفْيَانِالْبَزَوْفَرِيِّ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وَذَكَرَ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وَعَجَّلَ اللهُ تَعَالَى فَرَجَهُ وَفَرَجَنَا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يُدْعَى بِهِ فِي الْأَعْيَادِ الْأَرْبَعَةِ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اين عبارت را با عبارت سيّد بن طاووس پيش هم بگذاريد، و خودتان داورى كنيد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اين سه بزرگوار، شيخ جليل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محمّد بن على بن يعقوب بن اسحاق بن ابى‌قرّه قنانى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نجاشى از شيوخ و بزرگان قرن پنجم، در كتاب دعايى كه شيخ محمّد بن مشهدى در كتاب المزار، و سيد بن طاووس در مصباح‌الزائر و اقبال‌الاعمال، از آن بسيار نقل كرده و بر آن اعتماد فرموده‌اند، و همچنين از مآخذ كتاب مزار قديم مى‌باشد، اين دعا را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از رجال شيعه مى‌باشد و علاوه بر كتاب دعاى مذكور، كتاب ديگرى به نام التهجد</w:t>
      </w:r>
      <w:r>
        <w:rPr>
          <w:rStyle w:val="FootnoteAnchor"/>
          <w:rtl w:val="true"/>
        </w:rPr>
        <w:footnoteReference w:id="22"/>
      </w:r>
      <w:r>
        <w:rPr>
          <w:rFonts w:ascii="Amiri" w:hAnsi="Amiri" w:eastAsia="Amiri" w:cs="Amiri"/>
          <w:color w:val="111111"/>
          <w:sz w:val="28"/>
          <w:sz w:val="28"/>
          <w:szCs w:val="28"/>
          <w:rtl w:val="true"/>
          <w:lang w:bidi="ar-SA"/>
        </w:rPr>
        <w:t>دارد، و در كتبى مثل رجال نجاشى</w:t>
      </w:r>
      <w:r>
        <w:rPr>
          <w:rStyle w:val="FootnoteAnchor"/>
          <w:rtl w:val="true"/>
        </w:rPr>
        <w:footnoteReference w:id="23"/>
      </w:r>
      <w:r>
        <w:rPr>
          <w:rFonts w:ascii="Amiri" w:hAnsi="Amiri" w:eastAsia="Amiri" w:cs="Amiri"/>
          <w:color w:val="111111"/>
          <w:sz w:val="28"/>
          <w:sz w:val="28"/>
          <w:szCs w:val="28"/>
          <w:rtl w:val="true"/>
          <w:lang w:bidi="ar-SA"/>
        </w:rPr>
        <w:t>و علاّمه</w:t>
      </w:r>
      <w:r>
        <w:rPr>
          <w:rStyle w:val="FootnoteAnchor"/>
          <w:rtl w:val="true"/>
        </w:rPr>
        <w:footnoteReference w:id="24"/>
      </w:r>
      <w:r>
        <w:rPr>
          <w:rFonts w:ascii="Amiri" w:hAnsi="Amiri" w:eastAsia="Amiri" w:cs="Amiri"/>
          <w:color w:val="111111"/>
          <w:sz w:val="28"/>
          <w:sz w:val="28"/>
          <w:szCs w:val="28"/>
          <w:rtl w:val="true"/>
          <w:lang w:bidi="ar-SA"/>
        </w:rPr>
        <w:t xml:space="preserve">توثيق شده است و نقل ايشان نيز دليل اين است كه اين دعا </w:t>
      </w:r>
    </w:p>
    <w:p>
      <w:pPr>
        <w:pStyle w:val="BookText"/>
        <w:rPr/>
      </w:pPr>
      <w:r>
        <w:rPr>
          <w:rFonts w:ascii="IRNazanin" w:hAnsi="IRNazanin" w:eastAsia="IRNazanin"/>
          <w:color w:val="111111"/>
          <w:sz w:val="28"/>
          <w:sz w:val="28"/>
          <w:szCs w:val="28"/>
          <w:rtl w:val="true"/>
          <w:lang w:bidi="fa-IR"/>
        </w:rPr>
        <w:t>را معتبر شناخته و بلكه استحباب خواندن آن را در اعياد اربعه تأييد كرده است، چنانچه ظاهر اين است كه سيّد بن طاووس و شيخ محمّد بن 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به‌خصوص مستحب مى‌دانسته‌اند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جليل ثقه، ابوجعفر محمّد بن حسين بن سفيان بزوفرى</w:t>
      </w:r>
      <w:r>
        <w:rPr>
          <w:rStyle w:val="FootnoteAnchor"/>
          <w:rtl w:val="true"/>
        </w:rPr>
        <w:footnoteReference w:id="26"/>
      </w:r>
      <w:r>
        <w:rPr>
          <w:rFonts w:ascii="Amiri" w:hAnsi="Amiri" w:eastAsia="Amiri" w:cs="Amiri"/>
          <w:color w:val="111111"/>
          <w:sz w:val="28"/>
          <w:sz w:val="28"/>
          <w:szCs w:val="28"/>
          <w:rtl w:val="true"/>
          <w:lang w:bidi="ar-SA"/>
        </w:rPr>
        <w:t>در كتاب دعاى خود، دعاى ندبه را روايت كرده است و ايشان از مشايخ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27"/>
      </w:r>
      <w:r>
        <w:rPr>
          <w:rFonts w:ascii="Amiri" w:hAnsi="Amiri" w:eastAsia="Amiri" w:cs="Amiri"/>
          <w:color w:val="111111"/>
          <w:sz w:val="28"/>
          <w:sz w:val="28"/>
          <w:szCs w:val="28"/>
          <w:rtl w:val="true"/>
          <w:lang w:bidi="ar-SA"/>
        </w:rPr>
        <w:t>كه برحسب اسانيد روايات كتاب امالى شيخ ابى‌على طوسى، شيخ مفيد از او بسيار روايت كرده و براى او طلب رحمت نموده است،</w:t>
      </w:r>
      <w:r>
        <w:rPr>
          <w:rStyle w:val="FootnoteAnchor"/>
          <w:rtl w:val="true"/>
        </w:rPr>
        <w:footnoteReference w:id="28"/>
      </w:r>
      <w:r>
        <w:rPr>
          <w:rFonts w:ascii="IRNazanin" w:hAnsi="IRNazanin" w:eastAsia="IRNazanin"/>
          <w:color w:val="111111"/>
          <w:sz w:val="28"/>
          <w:sz w:val="28"/>
          <w:szCs w:val="28"/>
          <w:rtl w:val="true"/>
          <w:lang w:bidi="fa-IR"/>
        </w:rPr>
        <w:t>و محدّث نورى، در خاتمة مستدرك‌الوسائل، او را چهل‌وچهارمين شيخ از مشايخ شيخ مفيد شمرده، و وثاقت و جلالت قدر او را گواهى فرموده است</w:t>
      </w:r>
      <w:r>
        <w:rPr>
          <w:rStyle w:val="FootnoteAnchor"/>
          <w:rtl w:val="true"/>
        </w:rPr>
        <w:footnoteReference w:id="29"/>
      </w:r>
      <w:r>
        <w:rPr>
          <w:rFonts w:ascii="Amiri" w:hAnsi="Amiri" w:eastAsia="Amiri" w:cs="Amiri"/>
          <w:color w:val="111111"/>
          <w:sz w:val="28"/>
          <w:sz w:val="28"/>
          <w:szCs w:val="28"/>
          <w:rtl w:val="true"/>
          <w:lang w:bidi="ar-SA"/>
        </w:rPr>
        <w:t>، و اين شيخ جليل نيز صريحاً به استحباب خواندن اين دعا فتوا داده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كتب رجال، محمّد بن حسين بزوفرى را مجهول‌الحال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تحقيق آن شد، ايشان معلوم‌الحال و از مشايخ شيخ مفيد بوده، و آن مرد بزرگ از او بسيار روايت كرده</w:t>
      </w:r>
      <w:r>
        <w:rPr>
          <w:rStyle w:val="FootnoteAnchor"/>
          <w:rtl w:val="true"/>
        </w:rPr>
        <w:footnoteReference w:id="30"/>
      </w:r>
      <w:r>
        <w:rPr>
          <w:rFonts w:ascii="IRNazanin" w:hAnsi="IRNazanin" w:eastAsia="IRNazanin"/>
          <w:color w:val="111111"/>
          <w:sz w:val="28"/>
          <w:sz w:val="28"/>
          <w:szCs w:val="28"/>
          <w:rtl w:val="true"/>
          <w:lang w:bidi="fa-IR"/>
        </w:rPr>
        <w:t xml:space="preserve">و براى او طلب رحمت نموده است، چنانچه محمّد بن مشهدى و سيد بن طاووس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بزوفرى در عصر ائمه علیهم السلام نبوده تا از امام علیه السلام اين دعا را اخذ كرده باشد، و معلوم نيست از چه كسى و از كجا اين دعا را گرفته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بن سفيان بزوفرى، بدون‌واسطه اين دعا را از امام علیه السلام روايت كرده است؟ مگر لازم است هركس روايتى را از امام علیه السلام روايت مى‌كند، معاصر با ائمه علیهم السلام باشد؟ مگر نمى‌شود حديثى را با سند در كتاب خود روايت كرده باشد، يا روايت معتبر و مسلّمى را با حذف سند به‌طور ارسال نقل نمايد؟ بلكه چون در آن اعصار كه نزديك به عصر ائمه علیهم السلام بوده، رسم بر اين نبوده است كه در كتاب‌ها روايتى بدون سند بياورند، و اگر هم بدون سند مى‌آوردند، عين متن راذكر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اطمينان حاصل است كه يا اين دعا در كتاب بزوفرى با سند بوده و پس از اينكه از كتاب او نقل شده، مسامحتاً سند آن را نقل نكرده‌اند، و يا اينكه آن‌قدر معروف و مشهور بوده كه بزوفرى هم خود را از ذكر سند آن بى‌نياز مى‌شمرده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حدس زد خواندن اين دعا، در اعصار نزديك به عصر ائمه علیهم السلام و غيبت صغرى هم، مثل عصر ما، بين شيعه متداول و مرسوم بوده و اين شعارى است كه دست به دست رسيده و اَخلاف از اَسلاف و بازماندگان از گذشتگان آن را گرفته و در محضر و منظر محدّثين و شيوخ آن اعصار كه همه متبحر در علم حديث، و استاد فن بوده و از خواندن دعاهاى بى‌مأخذ و پيروى از روش‌هاى بى‌مدرك به‌شدّت ممانعت مى‌فرمودند، خوانده مى‌شده و كسى بر اعتبار آن ايرادى نداشته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مجلسى با دقت و تتبّع و احاطه و اطّلاع وسيع و فوق‌العاده‌اى كه در اخبار و احاديث و رجال روايات و معرفت اسانيد دارد، علاوه بر آنكه اين دعا را در كتاب‌هايى مثل بحارالانوار و تحفةالزائر</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مقدّمه به اعتبار سند ادعيه آن شهادت دادهاست</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فرموده، صريحاً و بالخصوص، اعتبار سند دعاى ندبه را </w:t>
      </w:r>
    </w:p>
    <w:p>
      <w:pPr>
        <w:pStyle w:val="BookText"/>
        <w:rPr/>
      </w:pPr>
      <w:r>
        <w:rPr>
          <w:rFonts w:ascii="IRNazanin" w:hAnsi="IRNazanin" w:eastAsia="IRNazanin"/>
          <w:color w:val="111111"/>
          <w:sz w:val="28"/>
          <w:sz w:val="28"/>
          <w:szCs w:val="28"/>
          <w:rtl w:val="true"/>
          <w:lang w:bidi="fa-IR"/>
        </w:rPr>
        <w:t>كه منتهى به امام جعفر صادق علیهم السلام مى‌شود، تصديق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اين افتخار عالم اسلام و نابغه جهان علم، در كتاب مستطاب زادالمعاد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دعاى ندبه كه مشتمل است بر عقايد حقّه، و تأسف بر غيبت حضرت قائم علیه السلام به سند معتبر، از امام جعفر صادق علیه السلام منقول است، و مستحب است اين دعاى ندبه را در چهار عيد بخوانند؛ يعنى جمعه، عيد فطر، عيد قربان و عيد غدير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محقق است كه ايشان، چنين كلام صريح و شهادت محكمى را بدون مأخذ و مصدر معتبر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ايشان، سيّد جليل علاّمه صدرالدين محمّد طباطبائى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ابتداى شرحى كه بر دعاى ندبه مرقوم فرموده، استناد به روايت مرويه از امام جعفر صادق علیه السلام نموده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باتوجّه‌به مجموع مطالبى كه عرض شد، اعتبار اين دعا، به‌خصوص به ملاحظه متن آن، مُحرز و صدور آن از امام علیه السلام مورد اطمينان است و استحباب خواندن آن نيز بالخصوص و حداقل از جهت ادلّه عامّه مسلّم و ثابت است و محل هيچ گونه اشكالى نمى‌باشد و محتاجبه تمسك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bookmarkStart w:id="40" w:name="pg212_2686"/>
    </w:p>
    <w:p>
      <w:pPr>
        <w:pStyle w:val="Heading3"/>
        <w:numPr>
          <w:ilvl w:val="2"/>
          <w:numId w:val="1"/>
        </w:numPr>
        <w:rPr/>
      </w:pPr>
      <w:bookmarkStart w:id="41" w:name="__RefHeading___Toc1913697_211673320"/>
      <w:bookmarkStart w:id="42" w:name="_Toc14"/>
      <w:bookmarkEnd w:id="40"/>
      <w:bookmarkEnd w:id="41"/>
      <w:r>
        <w:rPr>
          <w:rtl w:val="true"/>
        </w:rPr>
        <w:t xml:space="preserve">اخبار </w:t>
      </w:r>
      <w:r>
        <w:rPr>
          <w:rtl w:val="true"/>
        </w:rPr>
        <w:t>«</w:t>
      </w:r>
      <w:r>
        <w:rPr>
          <w:rtl w:val="true"/>
        </w:rPr>
        <w:t>مَن بَلَغ</w:t>
      </w:r>
      <w:r>
        <w:rPr>
          <w:rtl w:val="true"/>
        </w:rPr>
        <w:t xml:space="preserve">» </w:t>
      </w:r>
      <w:r>
        <w:rPr>
          <w:rtl w:val="true"/>
        </w:rPr>
        <w:t>و تسامح در ادلّه سنن</w:t>
      </w:r>
      <w:bookmarkEnd w:id="42"/>
    </w:p>
    <w:p>
      <w:pPr>
        <w:pStyle w:val="BookText"/>
        <w:rPr/>
      </w:pPr>
      <w:r>
        <w:rPr>
          <w:rFonts w:ascii="IRNazanin" w:hAnsi="IRNazanin" w:eastAsia="IRNazanin"/>
          <w:color w:val="111111"/>
          <w:sz w:val="28"/>
          <w:sz w:val="28"/>
          <w:szCs w:val="28"/>
          <w:rtl w:val="true"/>
          <w:lang w:bidi="fa-IR"/>
        </w:rPr>
        <w:t>بعضى گمان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كسانى كه اين دعا را در كتاب‌هاى خود نقل كرده و فتوا به استحباب خواندن آن داده‌اند،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تسامح در ادلّه سنن است؛ لذا اشكال كرده‌اند كه تسامح در ادلّه سنن در جايى است كه با سند ضعيفى به معصوم برسد و براى دعاى ندبه سندى كه منتهى به معصوم بشود، ذكر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اشكال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صدور اين دعا از معصوم علیه السلام مورد اطمينان است، و آن چيزى كه ملاك حجيّت خبر واحد است، اطمينان به صدور است و لذا به اخبار موقوفه هم گاهى در فقه اعتماد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 اطلاق ادلّه عامّه دعا، استحباب اين دعا هم ثابت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تسامح در ادلّه سنن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است كه بايد بلوغ با سند متصل به معصوم باشد؛ بلكه بلوغ و رسيدن به هر نحو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يا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قاعده و احاديث، بى‌دليل حاشيه مى‌زنيد و اطلاق آن را مقيد مى‌سازيد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فتواى فقيه به رجحان عمل، اگر استناد او به روايتى محتمل باشد، نيز در بلوغ كافى است، چنانچه شيخ اعظم، شيخ مرتضى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 تنبيه پنجم از تنبيهات رساله‌اى كه در جواز تسامح در ادلّه سنن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مرقوم فرموده، تصريح كرده است</w:t>
      </w:r>
      <w:r>
        <w:rPr>
          <w:rStyle w:val="FootnoteAnchor"/>
          <w:rtl w:val="true"/>
        </w:rPr>
        <w:footnoteReference w:id="34"/>
      </w:r>
      <w:r>
        <w:rPr>
          <w:rFonts w:ascii="Amiri" w:hAnsi="Amiri" w:eastAsia="Amiri" w:cs="Amiri"/>
          <w:color w:val="111111"/>
          <w:sz w:val="28"/>
          <w:sz w:val="28"/>
          <w:szCs w:val="28"/>
          <w:rtl w:val="true"/>
          <w:lang w:bidi="ar-SA"/>
        </w:rPr>
        <w:t>و اولى به اعتبار، فتواى فقهايى است كه در كتب فتوايى نيز متون روايات را ذكر مى‌كرده‌اند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كه قُدما به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بابويه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 فقدان نصّ يا به زبان 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اعواز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مى‌كردند، در مورد مستحبات باوجود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مطلق خبر، و فتواى فقيه به‌طريق‌اولى كافى است</w:t>
      </w:r>
      <w:r>
        <w:rPr>
          <w:rFonts w:eastAsia="Amiri" w:cs="Amiri" w:ascii="Amiri" w:hAnsi="Amiri"/>
          <w:color w:val="111111"/>
          <w:sz w:val="28"/>
          <w:szCs w:val="28"/>
          <w:rtl w:val="true"/>
          <w:lang w:bidi="ar-SA"/>
        </w:rPr>
        <w:t xml:space="preserve">. </w:t>
      </w:r>
      <w:bookmarkStart w:id="43" w:name="pg212_2688"/>
    </w:p>
    <w:p>
      <w:pPr>
        <w:pStyle w:val="Heading2"/>
        <w:numPr>
          <w:ilvl w:val="1"/>
          <w:numId w:val="1"/>
        </w:numPr>
        <w:rPr/>
      </w:pPr>
      <w:bookmarkStart w:id="44" w:name="__RefHeading___Toc1913699_211673320"/>
      <w:bookmarkStart w:id="45" w:name="_Toc15"/>
      <w:bookmarkEnd w:id="43"/>
      <w:bookmarkEnd w:id="44"/>
      <w:r>
        <w:rPr/>
        <w:t>2</w:t>
      </w:r>
      <w:r>
        <w:rPr>
          <w:rtl w:val="true"/>
        </w:rPr>
        <w:t xml:space="preserve">- </w:t>
      </w:r>
      <w:r>
        <w:rPr>
          <w:rtl w:val="true"/>
        </w:rPr>
        <w:t>ارتباط امام علیه السلام با ذى‌طوى و رضوى</w:t>
      </w:r>
      <w:bookmarkEnd w:id="45"/>
    </w:p>
    <w:p>
      <w:pPr>
        <w:pStyle w:val="Heading3"/>
        <w:numPr>
          <w:ilvl w:val="2"/>
          <w:numId w:val="1"/>
        </w:numPr>
        <w:rPr/>
      </w:pPr>
      <w:bookmarkStart w:id="46" w:name="__RefHeading___Toc1913701_211673320"/>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براى بررسى بهتر اين پرسش، لازم است نخست ذی‌طوى و رضوى، اين دو مكان مقدّس را بشناسيم و سپس جواب را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مجمع‌البحرين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طاء و ضمّ؛ امّا ضمّ مشهورتر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است در داخل حرم، در يك فرسخى مكّه كه از آنجا خانه‌هاى مكّه ديده مى‌شود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قاموس‌المحیط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مثلثةالطاء كه گاهى هم با تنوين تلفظ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است نزديك مكّه</w:t>
      </w:r>
      <w:r>
        <w:rPr>
          <w:rFonts w:eastAsia="IRNazanin" w:cs="IRNazanin"/>
          <w:color w:val="111111"/>
          <w:sz w:val="28"/>
          <w:szCs w:val="28"/>
          <w:rtl w:val="true"/>
          <w:lang w:bidi="fa-IR"/>
        </w:rPr>
        <w:t>.</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معجم‌البلدان از جوهرى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موضعى است نزديك مكّه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اخبار مكة</w:t>
      </w:r>
      <w:r>
        <w:rPr>
          <w:rStyle w:val="FootnoteAnchor"/>
          <w:rtl w:val="true"/>
        </w:rPr>
        <w:footnoteReference w:id="38"/>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ذوطوى نمازگاه پيغمبر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آن حضرت به مكّه تشريف مى‌آوردند در ذى‌طوى فرود مى‌آمدند و شب را در آنجا توقف فرموده، نماز صبح را در آنجا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اخبار مكة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ذوطوى بطن مكّه؛ يعنى زمين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به هريك از اين دو معنا كه مراد باشد، ذوطوى مكانى است مقدّس و محترم و مبارك و محل نزول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سَكرى؛ كوهى است مقدّس و مبارك كه از كوه‌هاى مدينه طيبه بوده و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داراى درّه‌ها و زمين‌ها و مسيل‌ها و آب‌ها و درخت‌ها مى‌باشد و آن، ابتداى كوه‌هاى تهامه است و تا مدينه چهار شب راه است و در مدح و فضل آن رواياتى وارد شده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امام علیه السلام به اين صورت نيست كه درمكان مخصوصى منزل گزيده باشد و از آنجا بيرون نرود، سخنى حقّ </w:t>
      </w:r>
    </w:p>
    <w:p>
      <w:pPr>
        <w:pStyle w:val="BookText"/>
        <w:rPr/>
      </w:pPr>
      <w:r>
        <w:rPr>
          <w:rFonts w:ascii="IRNazanin" w:hAnsi="IRNazanin" w:eastAsia="IRNazanin"/>
          <w:color w:val="111111"/>
          <w:sz w:val="28"/>
          <w:sz w:val="28"/>
          <w:szCs w:val="28"/>
          <w:rtl w:val="true"/>
          <w:lang w:bidi="fa-IR"/>
        </w:rPr>
        <w:t>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در رضوى و ذى‌طوى، و نه در سرداب غيبت، چنانچه بعضى از اهل‌سنّت به شيعه افترا بسته‌اند، پنهان نمى‌باشند و اين سخن كه آن حضرت در سرداب غايب شده و از آنجا ظاهر مى‌شود و شيعه انتظار بيرون‌آمدن ايشان را از سرداب مى‌کشند، يكى از افتراهاى شاخ‌دار آشكار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موضوع رضوى و ذى‌طوى نيز مطلب به همين قرار است؛ يعنى اين دو محل نيز جايگاه حضرت صاحب‌الزمان علیه السلام در طول زمان غيبت نمى‌باشد؛ نه شيعه اماميه اين را گفته و حتى اهل‌سنّت هم به ايشان آن را نسبت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محمّد حنفيه نقل شده، كه برخى از فِرَق كيسانيه،</w:t>
      </w:r>
      <w:r>
        <w:rPr>
          <w:rStyle w:val="FootnoteAnchor"/>
          <w:rtl w:val="true"/>
        </w:rPr>
        <w:footnoteReference w:id="42"/>
      </w:r>
      <w:r>
        <w:rPr>
          <w:rFonts w:ascii="IRNazanin" w:hAnsi="IRNazanin" w:eastAsia="IRNazanin"/>
          <w:color w:val="111111"/>
          <w:sz w:val="28"/>
          <w:sz w:val="28"/>
          <w:szCs w:val="28"/>
          <w:rtl w:val="true"/>
          <w:lang w:bidi="fa-IR"/>
        </w:rPr>
        <w:t>كه قرن‌هاست منقرض شده و از بين رفته‌اند، اين عقيده را داشته‌اند كه وى در كوه رضوى اقامت گزيده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مطلب نيز كه آن حضرت در عصر غيبت، در مكان معيّنى قرار </w:t>
      </w:r>
      <w:bookmarkStart w:id="48" w:name="pg212_2691"/>
    </w:p>
    <w:p>
      <w:pPr>
        <w:pStyle w:val="BookText"/>
        <w:rPr/>
      </w:pPr>
      <w:bookmarkEnd w:id="48"/>
      <w:r>
        <w:rPr>
          <w:rFonts w:ascii="Amiri" w:hAnsi="Amiri" w:eastAsia="Amiri" w:cs="Amiri"/>
          <w:color w:val="111111"/>
          <w:sz w:val="28"/>
          <w:sz w:val="28"/>
          <w:szCs w:val="28"/>
          <w:rtl w:val="true"/>
          <w:lang w:bidi="ar-SA"/>
        </w:rPr>
        <w:t>ندارند؛ بلكه به هرجا و هر مكان بخواهند تشريف مى‌برند و وظايفى را كه دارند انجام مى‌دهند و اين ما هستيم كه آن حضرت را نمى‌بينيم، صحيح است و در همين دعاى ندبه در اين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مُغَيَّبٍ لَمْ يَخْلُ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فدايت اى كه از چشم ما نهانى؛ ولى از اجتماع ما به دور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معنا تصريح شده است، و از نهج‌البلاغه</w:t>
      </w:r>
      <w:r>
        <w:rPr>
          <w:rStyle w:val="FootnoteAnchor"/>
          <w:rtl w:val="true"/>
        </w:rPr>
        <w:footnoteReference w:id="44"/>
      </w:r>
      <w:r>
        <w:rPr>
          <w:rFonts w:ascii="IRNazanin" w:hAnsi="IRNazanin" w:eastAsia="IRNazanin"/>
          <w:color w:val="111111"/>
          <w:sz w:val="28"/>
          <w:sz w:val="28"/>
          <w:szCs w:val="28"/>
          <w:rtl w:val="true"/>
          <w:lang w:bidi="fa-IR"/>
        </w:rPr>
        <w:t>و اخبار و احاديث ديگر</w:t>
      </w:r>
      <w:r>
        <w:rPr>
          <w:rStyle w:val="FootnoteAnchor"/>
          <w:rtl w:val="true"/>
        </w:rPr>
        <w:footnoteReference w:id="45"/>
      </w:r>
      <w:r>
        <w:rPr>
          <w:rFonts w:ascii="Amiri" w:hAnsi="Amiri" w:eastAsia="Amiri" w:cs="Amiri"/>
          <w:color w:val="111111"/>
          <w:sz w:val="28"/>
          <w:sz w:val="28"/>
          <w:szCs w:val="28"/>
          <w:rtl w:val="true"/>
          <w:lang w:bidi="ar-SA"/>
        </w:rPr>
        <w:t>نيز استفاده مى‌شود و در عبارت يكى از زيارات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الْإِمَامِ الْغَائِبِ عَنِ الْأَبْصَارِ وَالْحَاضِرِ فِي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امامى كه از چشم‌ها پنهان و حاضر در شهرها است</w:t>
      </w:r>
      <w:r>
        <w:rPr>
          <w:rFonts w:eastAsia="IRNazanin" w:cs="IRNazanin"/>
          <w:color w:val="111111"/>
          <w:sz w:val="28"/>
          <w:szCs w:val="28"/>
          <w:rtl w:val="true"/>
          <w:lang w:bidi="fa-IR"/>
        </w:rPr>
        <w:t>».</w:t>
      </w:r>
    </w:p>
    <w:p>
      <w:pPr>
        <w:pStyle w:val="Heading3"/>
        <w:numPr>
          <w:ilvl w:val="2"/>
          <w:numId w:val="1"/>
        </w:numPr>
        <w:rPr/>
      </w:pPr>
      <w:bookmarkStart w:id="49" w:name="__RefHeading___Toc1913703_211673320"/>
      <w:bookmarkStart w:id="50" w:name="_Toc17"/>
      <w:bookmarkEnd w:id="49"/>
      <w:r>
        <w:rPr>
          <w:rtl w:val="true"/>
        </w:rPr>
        <w:t>ارتباط امام علیه السلام با ذى‌طوى و رضوى</w:t>
      </w:r>
      <w:bookmarkEnd w:id="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معلوم شد كه امام علیه السلام در ذى‌طوى و دررضوى قرار ندارند و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لَيْتَ شِعْرِي أَيْنَ اسْتَقَرَّتْ بِكَ النَّوَى؛ بَلْ أَيُّ أَرْضٍ </w:t>
      </w:r>
    </w:p>
    <w:p>
      <w:pPr>
        <w:pStyle w:val="BookText"/>
        <w:rPr/>
      </w:pPr>
      <w:r>
        <w:rPr>
          <w:rFonts w:ascii="Amiri" w:hAnsi="Amiri" w:eastAsia="Amiri" w:cs="Amiri"/>
          <w:color w:val="111111"/>
          <w:sz w:val="28"/>
          <w:sz w:val="28"/>
          <w:szCs w:val="28"/>
          <w:rtl w:val="true"/>
          <w:lang w:bidi="ar-SA"/>
        </w:rPr>
        <w:t>تُقِلُّكَ أَوْ ثَرَى؟</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هم پرسش از قرارگاه دائمى آن حضرت نمی‌باشد و پرسش از زمان حال و همان هنگام خطاب و دعاست؛ بلكه پرسش و استفهام حقيقى نيست؛ زيرا برحسب احاديث، كسى بر قرارگاه آن حضرت مطّلع نيست</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و عبارات و استفهام‌هايى كه در اين دعاست، همين موضوع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جمله دلالت دارد كه آن حضرت قرارگاه مشخص و معينى ندارند و با عقيده كيسانيه، كه يك فرقه از بين رفته و منقرض شده‌اند، ارتباطى ندارد؛ بلكه اين جمله و بسيارى از جمله‌هاى اين دعا، صريحاً عقيده كيسانيه را ابطال مى‌كند و اين استبعادى را كه شده است، ردّ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اين جمله‌ها با عقايد كيسانيه و يا محمّد حنفيه چه ارتباطى دارد و غير از اين است كه صريحاً عقايد كيسانيه و امامت و مهدويت محمّد حنفيه را رد مى‌كند؟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الْحَسَنُ أَيْنَ الْحُسَيْنُ؟ أَيْنَ أَبْنَاءُ الْحُسَيْنِ؟ صَالِحٌ بَعْدَ صَالِحٍ، وَصَادِقٌ بَعْدَ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السَّبِيلُ بَعْدَ السَّبِيلِ؟ أَيْنَ الْخِيَرَةُ بَعْدَ الْخِيَرَةِ؟ أَيْنَالشُّمُوسُ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النَّبِيِّ </w:t>
      </w:r>
    </w:p>
    <w:p>
      <w:pPr>
        <w:pStyle w:val="BookText"/>
        <w:rPr/>
      </w:pPr>
      <w:r>
        <w:rPr>
          <w:rFonts w:ascii="Amiri" w:hAnsi="Amiri" w:eastAsia="Amiri" w:cs="Amiri"/>
          <w:color w:val="111111"/>
          <w:sz w:val="28"/>
          <w:sz w:val="28"/>
          <w:szCs w:val="28"/>
          <w:rtl w:val="true"/>
          <w:lang w:bidi="ar-SA"/>
        </w:rPr>
        <w:t>الْمُصْطَفَى وَابْنُ عَلِيٍّ الْمُرْتَضَى، وَابْنُ خَدِيجَةَ الْغَرَّاءِ وَابنُ فَاطِمَةَ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وَنَفْسِي لَكَ الْوِقَاءُ وَالْحِمَى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السَّادَةِ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النُّجَبَاءِ الْأَكْرَمِينَ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امام‌حسن و چه شد امام‌حسين و چه شدند فرزندان حسين كه هريك پس از ديگرى خلف صالح از سلف صالح و جانشين راستين پس از پيشواى راستين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راهنماى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فرزند پيامبر مصطفى و على مرتضى؟ كجاست فرزند خديجه غرّاء و فاطمه كبرى؟ جان من و پدر و مادرم در راهت نثار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از اين‌گونه جمله‌ها كه همه موافق با مذهب شيعه اثنى‌عشرى است و كيسانيه و قائلين به امامت محمّد حنفيه را رد مى‌كند، در اين دعا موجود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بااينكه به‌طوريقين اين جمله هيچ تأييدى از عقيده كيسانيه ندارد، و خود اين جمله و ساير جملات مذكور به‌صراحت، بطلان عقيده آنها را اعلام مى‌كند، پس ارتباط حضرت صاحب‌الزمان علیه السلام با اين دو مكان از چه جهت است، و چرا اين دو مكانبالخصوص در دعا ذكر شده است؟ </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 حضرت با اين دو مكان، مانند ارتباط ايشان با ساير اماكن مقدّسه و متبرّكه ديگر است كه پرستش و عبادت خدا در آن اماكن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مسجدالحرام و مسجد مدينه طيّبه و مشهد غروى و حسينى و مسجد كوفه و سهله كه معلوم شده است حضرت در اين اماكن رفت‌وآمد دارند و اين دو مكان را نيز به‌واسطه همين دو خصوصيت در دعا نام مى‌برند؛ زيرا چنانچه از بعضى اخبار استفاده مى‌شود، در غيبت صغرى و كبرى، كوه رضوى نيز يكى از مقامات آن حضرت، و از اماكنى است كه گاهى آنجا تشريف مى‌برند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نكته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مكانى كه در اين دعا نام برده شده – علاوه بر اينكه ممكن است اشاره به اشتباه كيسانيه در تعيين مهدى باشد، و اينكه آن موعودى كه همه در انتظار ظهور او با هم شريكند، از عترت پيغمبر و از اولاد على و فاطمه و فرزند امامان و حجت‌هاى الهى است – نكته‌اى ادبى است؛ زيرا در مقام ندبه و اظهار تأثّر از بى‌اطّلاعى از جا و مكان آن حضرت، ذكر اين دو مكان مناسب‌تر و در قلوب نافذتر است تا اماكن ديگر، مانند خانه آن حضرت در سامرّا يا مسجدالحرام يا مسجد پيغمبر صلی الله علیه و آله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اينكه اگر بخواهيم محبوب سفركرده‌اى را ياد كنيم و از سوزشآتش هجران و فِراق او بناليم و از بى‌خبرى از حال و جا و مكان </w:t>
      </w:r>
    </w:p>
    <w:p>
      <w:pPr>
        <w:pStyle w:val="BookText"/>
        <w:rPr/>
      </w:pPr>
      <w:r>
        <w:rPr>
          <w:rFonts w:ascii="IRNazanin" w:hAnsi="IRNazanin" w:eastAsia="IRNazanin"/>
          <w:color w:val="111111"/>
          <w:sz w:val="28"/>
          <w:sz w:val="28"/>
          <w:szCs w:val="28"/>
          <w:rtl w:val="true"/>
          <w:lang w:bidi="fa-IR"/>
        </w:rPr>
        <w:t>و آسايشگاهش اظهار نگرانى كنيم، سراغ آن مسافر عزيز را در كوه و دريا و بيابان و هوا مى‌گيريم، نمى‌گوييم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نمى‌دانيم اكنون در كجايى، به منزل رسيده‌اى يا در بستر خواب آرميده‌اى يا در اطاق يا كنار جويبار و سبزه نشسته‌اى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مضمون‌ها ندبه را تسكين مى‌دهد؛ بلكه مناسب اين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نمى‌دانيم اكنون در كجايى، در حال حركتى يا در بيابان و در كوه و دور از آبادى، ناراحت و تنها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بلاغت و تكلم به مقتضاى حال، بايد اين‌گونه جمله‌ها در حال ندبه آورده شود و ذوق سليم و طبع مستقيم و مأنوس با ادب، اين نكات را درك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ذكر اماكنى مثل رضوى و ذى‌طوى براى اشاره به اين باشد كه همه مكان‌هاى مقدّس، حتى ذى‌طوى و رضوى هم كه موردنظر كيسانيه بوده، تحت تصرف امام و آمدوشد آن حضرت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ديگرى نيز بعد از اين سه احتمال هست،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ذىطوى، چنانچه از اخبار مكة هم نقل شد،</w:t>
      </w:r>
      <w:r>
        <w:rPr>
          <w:rStyle w:val="FootnoteAnchor"/>
          <w:rtl w:val="true"/>
        </w:rPr>
        <w:footnoteReference w:id="51"/>
      </w:r>
      <w:r>
        <w:rPr>
          <w:rFonts w:ascii="Amiri" w:hAnsi="Amiri" w:eastAsia="Amiri" w:cs="Amiri"/>
          <w:color w:val="111111"/>
          <w:sz w:val="28"/>
          <w:sz w:val="28"/>
          <w:szCs w:val="28"/>
          <w:rtl w:val="true"/>
          <w:lang w:bidi="ar-SA"/>
        </w:rPr>
        <w:t>خود مكّه معظمه و مراد از رضوى، مدينه طيّبه باشد</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ذكر اين دو مكان در مثل اين دعا به رعايت اين‌گونه نكاتادبى يا معنايى است و به‌هيچ‌وجه، متن آن را سست نمى‌سازد و به </w:t>
      </w:r>
      <w:bookmarkStart w:id="51" w:name="pg212_2696"/>
    </w:p>
    <w:p>
      <w:pPr>
        <w:pStyle w:val="BookText"/>
        <w:rPr/>
      </w:pPr>
      <w:bookmarkEnd w:id="51"/>
      <w:r>
        <w:rPr>
          <w:rFonts w:ascii="IRNazanin" w:hAnsi="IRNazanin" w:eastAsia="IRNazanin"/>
          <w:color w:val="111111"/>
          <w:sz w:val="28"/>
          <w:sz w:val="28"/>
          <w:szCs w:val="28"/>
          <w:rtl w:val="true"/>
          <w:lang w:bidi="fa-IR"/>
        </w:rPr>
        <w:t xml:space="preserve">خصوص باتوجّه‌به جمله‌هايى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ذِي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صراحت دارند بر اينكه سراغ آن حضرت را در مكان معينى نمى‌گيريم و هم اينكه آن حضرت قرارگاه معلومى ندارند، معلوم مى‌شود كه بالمرّه با عقايد كيسانيه بى‌ارتباط است</w:t>
      </w:r>
      <w:r>
        <w:rPr>
          <w:rFonts w:eastAsia="IRNazanin" w:cs="IRNazanin"/>
          <w:color w:val="111111"/>
          <w:sz w:val="28"/>
          <w:szCs w:val="28"/>
          <w:rtl w:val="true"/>
          <w:lang w:bidi="fa-IR"/>
        </w:rPr>
        <w:t>.</w:t>
      </w:r>
    </w:p>
    <w:p>
      <w:pPr>
        <w:pStyle w:val="Heading3"/>
        <w:numPr>
          <w:ilvl w:val="2"/>
          <w:numId w:val="1"/>
        </w:numPr>
        <w:rPr/>
      </w:pPr>
      <w:bookmarkStart w:id="52" w:name="__RefHeading___Toc1913705_211673320"/>
      <w:bookmarkStart w:id="53" w:name="_Toc18"/>
      <w:bookmarkEnd w:id="52"/>
      <w:r>
        <w:rPr>
          <w:rtl w:val="true"/>
        </w:rPr>
        <w:t>نكته قابل‌توجه</w:t>
      </w:r>
      <w:bookmarkEnd w:id="53"/>
    </w:p>
    <w:p>
      <w:pPr>
        <w:pStyle w:val="BookText"/>
        <w:rPr/>
      </w:pPr>
      <w:r>
        <w:rPr>
          <w:rFonts w:ascii="IRNazanin" w:hAnsi="IRNazanin" w:eastAsia="IRNazanin"/>
          <w:color w:val="111111"/>
          <w:sz w:val="28"/>
          <w:sz w:val="28"/>
          <w:szCs w:val="28"/>
          <w:rtl w:val="true"/>
          <w:lang w:bidi="fa-IR"/>
        </w:rPr>
        <w:t xml:space="preserve">اين جمله پرسش‌آميز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زيارت‌هاى ديگر نيز وارد شده و علاوه بر علاّمه مجلسى در بحارالانوار،</w:t>
      </w:r>
      <w:r>
        <w:rPr>
          <w:rStyle w:val="FootnoteAnchor"/>
          <w:rtl w:val="true"/>
        </w:rPr>
        <w:footnoteReference w:id="53"/>
      </w:r>
      <w:r>
        <w:rPr>
          <w:rFonts w:ascii="Amiri" w:hAnsi="Amiri" w:eastAsia="Amiri" w:cs="Amiri"/>
          <w:color w:val="111111"/>
          <w:sz w:val="28"/>
          <w:sz w:val="28"/>
          <w:szCs w:val="28"/>
          <w:rtl w:val="true"/>
          <w:lang w:bidi="ar-SA"/>
        </w:rPr>
        <w:t>علاّمه متبحر سيّد عبدالله شبّر نيز از مشايخ خود، درضمن يكى از زيارت‌ها روايت فرموده است، به اين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أَيْنَ اسْتَقَرَّتْ بِكَ النَّوَى؛ أَمْ أَيُّ أَرْضٍ تُقِلُّكَ أَوْ 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أَبِرَضْوَى أَنْتَ أَمْ ذِي طُوَى؟</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صحّت و اعتبار اين جمله از اين راه نيز تأييد مى‌شود و به‌اصطلاح اهل فن، حديث از غرابت متن هم خارج مى‌شود</w:t>
      </w:r>
      <w:r>
        <w:rPr>
          <w:rFonts w:eastAsia="Amiri" w:cs="Amiri" w:ascii="Amiri" w:hAnsi="Amiri"/>
          <w:color w:val="111111"/>
          <w:sz w:val="28"/>
          <w:szCs w:val="28"/>
          <w:rtl w:val="true"/>
          <w:lang w:bidi="ar-SA"/>
        </w:rPr>
        <w:t xml:space="preserve">. </w:t>
      </w:r>
      <w:bookmarkStart w:id="54" w:name="pg212_2697"/>
    </w:p>
    <w:p>
      <w:pPr>
        <w:pStyle w:val="Heading2"/>
        <w:numPr>
          <w:ilvl w:val="1"/>
          <w:numId w:val="1"/>
        </w:numPr>
        <w:rPr/>
      </w:pPr>
      <w:bookmarkStart w:id="55" w:name="__RefHeading___Toc1913707_211673320"/>
      <w:bookmarkStart w:id="56" w:name="_Toc19"/>
      <w:bookmarkEnd w:id="54"/>
      <w:bookmarkEnd w:id="55"/>
      <w:r>
        <w:rPr/>
        <w:t>3</w:t>
      </w:r>
      <w:r>
        <w:rPr>
          <w:rtl w:val="true"/>
        </w:rPr>
        <w:t xml:space="preserve">- </w:t>
      </w:r>
      <w:r>
        <w:rPr>
          <w:rtl w:val="true"/>
        </w:rPr>
        <w:t>دعاى ندبه و امامت ائمّه اثنى‌عشر علیهم السلام</w:t>
      </w:r>
      <w:bookmarkEnd w:id="56"/>
    </w:p>
    <w:p>
      <w:pPr>
        <w:pStyle w:val="Heading3"/>
        <w:numPr>
          <w:ilvl w:val="2"/>
          <w:numId w:val="1"/>
        </w:numPr>
        <w:rPr/>
      </w:pPr>
      <w:bookmarkStart w:id="57" w:name="__RefHeading___Toc1913709_211673320"/>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تصريح نداشتن دعا به نام و عدد ائمّه اثنى‌عشر علیهم السلام از قوّت متن آن چيزى نمى‌كاهد و ازاين‌جهت، در اعتبار آن خللى وارد نمى‌شود، و عدم تصريح در اينجا مفهوم ندارد، خصوصاً كه تصريح يا اشاره به مطلبى كه خلاف مذهب شيعه اثنى‌عشرى باشد، به‌هيچ‌وجه در دعا وجود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دعاى ندبه، مطالب عمده و حسّاس و ارزنده‌اى در موضوع نبوّت مطرح شده و سپس مسئله خلافت و ولايت على علیه السلام و بعضى از نصوص و ادلّه اين موضوع، و مجاهدات و فداكارى‌ها و فضايل و مناقب آن حضرت عنوان شده و همچنين به مخالفت‌ها و دشمنى‌هايى كه اهل كينه و نفاق و جاه‌پرستان با آن خليفه منصوب و تعيين‌شده از جانب خدا و رسول كردند، و مسير واقعى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منتهى به سعادت و آزادى همه انسان‌ها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 آنچه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واقعى اسلام را خانه‌نشين ساختند، اشاره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بديهى است مسئله اساسى و مهم كه بيشتر در احاديث و اخبار و ادعيه مورد تعرّض قرار مى‌گيرد، مسئله زمامدارى است كه ترك تمسّك به امام منصوب و تعيين‌شده از آغاز كار و روز اوّل، سنّت سيّئه زمامدارى نااهلان را چون عصر جاهليت جلو آورد، و اجراى برنامه‌هاى نجات‌دهنده و آزادى‌بخش اسلام را به‌طور يكپارچه و دربست و جهانى تا ظهور حضرت بقية‌الله صاحب‌الزمان علیه السلام به تأخير و تعويق انداخت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مصيبت از هر مصيبت بالاتر بود كه باآن‌همه سفارش‌هاى پيغمبر صلی الله علیه و آله و اعلام‌هاى متعدد و با آن تعيين رسمى و تاريخى غدير، و باآن‌همه تأكيدات رسا، براى حبّ جاه و كينه‌هايى كه از مولاى متقيان على علیه السلام از غزوه بدر و احد و خيبر و حنين و احزاب و غير اينها در دل داشتند، آن يگانه مرد حقّ و عدالت و پيشواى لايق و عالم و فاتح را كنار گذاشتند و چون خويشاوندان مشرک و مستبد و استثمارگر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سدّ راه نجات جوامع محروم و مانع از پيشرفت دين توحيد و برنامه‌هاى الهى و مترقّى اسلام و مهاجم به حوزه دين و دعوت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برداشته بود، با او به مخالفت برخاستند و با اشتباه‌كارى و نيرنگ و اغفال مردم، يكى از اساسى‌ترين برنامه‌هاى اسلام را پايمال كرده و جامعه را تا امروز، گرفتار اين‌همه مفاسد و دردسرها و نابسامانى‌ها ساختند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ساير مفاسد هم از اينجا ايجاد شد و موضوعى كه بايد به آن توجّه بيشتر شود،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دعاى انقلابى و سياسى ندبه هم در مقدمه، همين مصيبت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مع‌ذلك، در جمله‌هايى از اين دعا، سخن از امامان ديگر و مصائبى كه در راه هدايت خلق متحمل شدند، نيز گفته شده، ازجمله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يُمْتَثَلْ أَمْرُ رَسُولِ اللّٰهِ صَلَّی اللّٰهُ عَلَیْهِ وَآلِهِ فِي الْهَادِينَ بَعْدَ الْهَادِينَ،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قُتِلَ، وَسُبِيَ مَنْ سُبِيَ، وَأُقْصِيَ مَنْ أُقْصِيَ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رسول خدا صلی الله علیه و آله درباره هدايت‌كنندگان پى‌درپى اطاعت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شخصيت‌هايى كشته شدند، عدّه‌اى اسير گشتند و دسته‌اى از وطن آواره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جمله‌هاى بعد، همه تذكّر مصائب اهل‌بيت علیهم السلام و مطابق مذهب شيعه است كه امامت را در فرزندان حسين علیه السلام مى‌دانند؛ مانند اين جمله‌ها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الْحَسَنُ أَيْنَ الْحُسَيْنُ؟ أَيْنَ أَبْنَاءُ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بالجمله فقرات دعا در مورد مصائب و فضايل ائمّه و خصوصيات و نشانه‌هاى حضرت ولى عصر علیه السلام همه متضمّن مطالبى است كه در روايات و احاديث كثير، صحّت آن مسلم و ثابت شده است و يكى از جهاتى </w:t>
      </w:r>
      <w:bookmarkStart w:id="59" w:name="pg212_2700"/>
    </w:p>
    <w:p>
      <w:pPr>
        <w:pStyle w:val="BookText"/>
        <w:rPr/>
      </w:pPr>
      <w:bookmarkEnd w:id="59"/>
      <w:r>
        <w:rPr>
          <w:rFonts w:ascii="IRNazanin" w:hAnsi="IRNazanin" w:eastAsia="IRNazanin"/>
          <w:color w:val="111111"/>
          <w:sz w:val="28"/>
          <w:sz w:val="28"/>
          <w:szCs w:val="28"/>
          <w:rtl w:val="true"/>
          <w:lang w:bidi="fa-IR"/>
        </w:rPr>
        <w:t>كه موجب قوّت اين دعا شده، همين متن محكم و پر از نكات اعتقادى و مهيّج عواطف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علماى حديث مى‌فرمايند، گاهى متن سبب قوت اعتبار سند و گاهى به‌عكس، سبب ضعف مى‌گردد و اينجا از همان مواردى است كه سبب قوّت مى‌شود</w:t>
      </w:r>
      <w:r>
        <w:rPr>
          <w:rFonts w:eastAsia="IRNazanin" w:cs="IRNazanin"/>
          <w:color w:val="111111"/>
          <w:sz w:val="28"/>
          <w:szCs w:val="28"/>
          <w:rtl w:val="true"/>
          <w:lang w:bidi="fa-IR"/>
        </w:rPr>
        <w:t>.</w:t>
      </w:r>
    </w:p>
    <w:p>
      <w:pPr>
        <w:pStyle w:val="Heading3"/>
        <w:numPr>
          <w:ilvl w:val="2"/>
          <w:numId w:val="1"/>
        </w:numPr>
        <w:rPr/>
      </w:pPr>
      <w:bookmarkStart w:id="60" w:name="__RefHeading___Toc1913711_211673320"/>
      <w:bookmarkStart w:id="61" w:name="_Toc21"/>
      <w:bookmarkEnd w:id="60"/>
      <w:r>
        <w:rPr>
          <w:rtl w:val="true"/>
        </w:rPr>
        <w:t>توضيح ديگر</w:t>
      </w:r>
      <w:bookmarkEnd w:id="6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براى ندبه است، و در چنين دعايى، شرح تمام مناقب ائمّه علیهم السلام موجب طولانى‌شدن كلام و خلاف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بيان عقايد حقّه به‌طور تفصيل نيست؛ بلكه غرض دعا و ندبه با اشاره به بعضى مطالب است كه خواننده به‌واسطه انس و سابقه ذهنى مى‌فهمد كه مراد و مقصود از آن چيست، هرچند بعضى جمله‌ها فشرده باشد، لذا مثلاً وقتى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الْحَسَنُ أَيْنَ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مصائب اين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مى‌آورد و در ذهنش مجسم مى‌شود</w:t>
      </w:r>
      <w:r>
        <w:rPr>
          <w:rFonts w:eastAsia="IRNazanin" w:cs="IRNazanin"/>
          <w:color w:val="111111"/>
          <w:sz w:val="28"/>
          <w:szCs w:val="28"/>
          <w:rtl w:val="true"/>
          <w:lang w:bidi="fa-IR"/>
        </w:rPr>
        <w:t xml:space="preserve">. </w:t>
      </w:r>
      <w:bookmarkStart w:id="62" w:name="pg212_2701"/>
    </w:p>
    <w:p>
      <w:pPr>
        <w:pStyle w:val="Heading2"/>
        <w:numPr>
          <w:ilvl w:val="1"/>
          <w:numId w:val="1"/>
        </w:numPr>
        <w:rPr/>
      </w:pPr>
      <w:bookmarkStart w:id="63" w:name="__RefHeading___Toc1913713_211673320"/>
      <w:bookmarkStart w:id="64" w:name="_Toc22"/>
      <w:bookmarkEnd w:id="62"/>
      <w:bookmarkEnd w:id="63"/>
      <w:r>
        <w:rPr/>
        <w:t>4</w:t>
      </w:r>
      <w:r>
        <w:rPr>
          <w:rtl w:val="true"/>
        </w:rPr>
        <w:t xml:space="preserve">- </w:t>
      </w:r>
      <w:r>
        <w:rPr>
          <w:rtl w:val="true"/>
        </w:rPr>
        <w:t>دعاى ندبه و معراج جسمانى</w:t>
      </w:r>
      <w:bookmarkEnd w:id="64"/>
    </w:p>
    <w:p>
      <w:pPr>
        <w:pStyle w:val="Heading3"/>
        <w:numPr>
          <w:ilvl w:val="2"/>
          <w:numId w:val="1"/>
        </w:numPr>
        <w:rPr/>
      </w:pPr>
      <w:bookmarkStart w:id="65" w:name="__RefHeading___Toc1913715_21167332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چنان‌كه گفته شد، پرسش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بِرُوحِهِ إِلَى سَمَائِكَ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اجماع و اتفاق آيات و اخبار كه دلالت دارند بر جسمانى‌بودن معراج رسول اكرم صلی الله علیه و آله مخالفت دارد و به اين جهت، متن دعا ضعيف و موجب عدم اطمينان به صدور آن از امام علیه السلام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نزد اهل فنّ على التحقيق تحريف شده، كه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بِهِ إِلَى سَمَائِكَ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محدّث 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تحيّةالزائر</w:t>
      </w:r>
      <w:r>
        <w:rPr>
          <w:rStyle w:val="FootnoteAnchor"/>
          <w:rtl w:val="true"/>
        </w:rPr>
        <w:footnoteReference w:id="56"/>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المزار محمّد بن مشهدى</w:t>
      </w:r>
      <w:r>
        <w:rPr>
          <w:rStyle w:val="FootnoteAnchor"/>
          <w:rtl w:val="true"/>
        </w:rPr>
        <w:footnoteReference w:id="57"/>
      </w:r>
      <w:r>
        <w:rPr>
          <w:rFonts w:ascii="IRNazanin" w:hAnsi="IRNazanin" w:eastAsia="IRNazanin"/>
          <w:color w:val="111111"/>
          <w:sz w:val="28"/>
          <w:sz w:val="28"/>
          <w:szCs w:val="28"/>
          <w:rtl w:val="true"/>
          <w:lang w:bidi="fa-IR"/>
        </w:rPr>
        <w:t xml:space="preserve">و كتاب مزار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 هر دو مدّت‌ها قبل از تأليف مصباح‌الزائر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دعا چنين است كه نقل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بِهِ إِلَى سَمَائِكَ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بعضى از نُسخ مصباح‌الزائر كه حقير ديدم </w:t>
      </w:r>
    </w:p>
    <w:p>
      <w:pPr>
        <w:pStyle w:val="BookText"/>
        <w:rPr/>
      </w:pPr>
      <w:r>
        <w:rPr>
          <w:rFonts w:ascii="IRNazanin" w:hAnsi="IRNazanin" w:eastAsia="IRNazanin"/>
          <w:color w:val="111111"/>
          <w:sz w:val="28"/>
          <w:sz w:val="28"/>
          <w:szCs w:val="28"/>
          <w:rtl w:val="true"/>
          <w:lang w:bidi="fa-IR"/>
        </w:rPr>
        <w:t>نيز چنين بود، و ليكن در جمله‌اى از نسخ مصباح، اين فقره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وَعَرَجْتَ بِرُوحِهِ إِلَى سَمَائِكَ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مصباح مجلسى نيز از اين نسخ بوده است</w:t>
      </w:r>
      <w:r>
        <w:rPr>
          <w:rStyle w:val="FootnoteAnchor"/>
          <w:rtl w:val="true"/>
        </w:rPr>
        <w:footnoteReference w:id="58"/>
      </w:r>
      <w:r>
        <w:rPr>
          <w:rFonts w:ascii="IRNazanin" w:hAnsi="IRNazanin" w:eastAsia="IRNazanin"/>
          <w:color w:val="111111"/>
          <w:sz w:val="28"/>
          <w:sz w:val="28"/>
          <w:szCs w:val="28"/>
          <w:rtl w:val="true"/>
          <w:lang w:bidi="fa-IR"/>
        </w:rPr>
        <w:t>پس معلوم مى‌شود در نسخ مصباح به‌وسيله بعضى از ناسخين كه مبتلا به امراض قلبى و عقايد فاسد بوده‌اند، تحريفى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شيخ عباس محدث قمى نيز در هدية‌الزائرین</w:t>
      </w:r>
      <w:r>
        <w:rPr>
          <w:rStyle w:val="FootnoteAnchor"/>
          <w:rtl w:val="true"/>
        </w:rPr>
        <w:footnoteReference w:id="59"/>
      </w:r>
      <w:r>
        <w:rPr>
          <w:rFonts w:ascii="Amiri" w:hAnsi="Amiri" w:eastAsia="Amiri" w:cs="Amiri"/>
          <w:color w:val="111111"/>
          <w:sz w:val="28"/>
          <w:sz w:val="28"/>
          <w:szCs w:val="28"/>
          <w:rtl w:val="true"/>
          <w:lang w:bidi="ar-SA"/>
        </w:rPr>
        <w:t>همين سخن استاد خود، محدث نورى را شرح داده و تأييد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نسخه خطّى قديمى نفيسى از المزارالكبير محمّد بن مشهدى، كه قبلاً به آن اشاره كرديم،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وَعَرَجْتَ بِهِ إِلَى 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شده است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وَأَوْطَأْتَهُ مَشَارِقَكَ وَمَغَارِبَكَ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شاهد و مؤيد اين است كه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جسمانى‌بودن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وَسَخَّرْتَ لَهُ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معنا را تأييد مى‌كند؛ چون عروج روحى احتياج به مركب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همين دو جمله دلالت دارند بر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وَعَرَجْتَ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باشد، مراد عروج روحى تنها نيست</w:t>
      </w:r>
      <w:r>
        <w:rPr>
          <w:rFonts w:eastAsia="Amiri" w:cs="Amiri" w:ascii="Amiri" w:hAnsi="Amiri"/>
          <w:color w:val="111111"/>
          <w:sz w:val="28"/>
          <w:szCs w:val="28"/>
          <w:rtl w:val="true"/>
          <w:lang w:bidi="ar-SA"/>
        </w:rPr>
        <w:t xml:space="preserve">. </w:t>
      </w:r>
      <w:bookmarkStart w:id="67" w:name="pg212_2703"/>
    </w:p>
    <w:p>
      <w:pPr>
        <w:pStyle w:val="BookText"/>
        <w:rPr/>
      </w:pPr>
      <w:bookmarkEnd w:id="6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وجه پنجم، برفرض صحّت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صراحت ندارد كه معراج فقط با روح بوده است؛ زيرا در زبان عرب و عجم، استعمال لفظ موضوع براى جزء در كلّ بسيار متداول است؛ مانند استعمال لفظ رَقَبَه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همين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رُوحِي لَكَ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جِئْتُكَ بِرُوحِي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نيز استعمال در جان مى‌شود و از آن، اعم از جان و بدن؛ بلكه گاهى خصوص بدن، اراده مى‌شود، مثل اين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جانا هزاران آفرين بر جانت از سر تا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خدايى كه اين وجود آورد بيرون از عدم</w:t>
      </w:r>
    </w:p>
    <w:p>
      <w:pPr>
        <w:pStyle w:val="Heading3"/>
        <w:numPr>
          <w:ilvl w:val="2"/>
          <w:numId w:val="1"/>
        </w:numPr>
        <w:rPr/>
      </w:pPr>
      <w:bookmarkStart w:id="68" w:name="__RefHeading___Toc1913717_211673320"/>
      <w:bookmarkStart w:id="69" w:name="_Toc24"/>
      <w:bookmarkEnd w:id="68"/>
      <w:r>
        <w:rPr>
          <w:rtl w:val="true"/>
        </w:rPr>
        <w:t>كلام تحقيقى يكى از اساتيد بزرگ علم و ادب</w:t>
      </w:r>
      <w:bookmarkEnd w:id="69"/>
    </w:p>
    <w:p>
      <w:pPr>
        <w:pStyle w:val="BookText"/>
        <w:rPr/>
      </w:pPr>
      <w:r>
        <w:rPr>
          <w:rFonts w:ascii="IRNazanin" w:hAnsi="IRNazanin" w:eastAsia="IRNazanin"/>
          <w:color w:val="111111"/>
          <w:sz w:val="28"/>
          <w:sz w:val="28"/>
          <w:szCs w:val="28"/>
          <w:rtl w:val="true"/>
          <w:lang w:bidi="fa-IR"/>
        </w:rPr>
        <w:t xml:space="preserve">براى اينكه اين موضوع كاملاً روشن شود، كلام علاّمه شهير حاج ميرزا ابوالفضل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علوم عقلى و نقلى استاد و از مفاخر فن ادب و شعر و لغت و بلاغت، و ممدوح شاعر بزرگ سيّد حيدر حلّى، و سيد محمّد سعيد حبوبى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نقل مى‌كنيم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اديب دانشمند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روح را به علاقه حالّ و محلّ يا ملابست به معناى جسم با روح استعمال مى‌كنند، چنانچه عرب فعلاً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حجاز، اين استعمالات متعارف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را پوشيد </w:t>
      </w:r>
    </w:p>
    <w:p>
      <w:pPr>
        <w:pStyle w:val="BookText"/>
        <w:rPr/>
      </w:pPr>
      <w:r>
        <w:rPr>
          <w:rFonts w:ascii="IRNazanin" w:hAnsi="IRNazanin" w:eastAsia="IRNazanin"/>
          <w:color w:val="111111"/>
          <w:sz w:val="28"/>
          <w:sz w:val="28"/>
          <w:szCs w:val="28"/>
          <w:rtl w:val="true"/>
          <w:lang w:bidi="fa-IR"/>
        </w:rPr>
        <w:t xml:space="preserve">يا جانش زخم شده و اين علاقه‌اى صحيح و استعمالى است فصيح، و عبارت دعاى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بِرُوحِهِ إِلَى سَمَائِكَ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بر اين است؛ چون ضرورت قائم است بر معراج جسمانى و برهان نيز مساعد اوست، چنانچه در جاى خود مقرر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ايشان پس از تحقيقاتى در شرح اين جمله از 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وَعَلَى الْأَرْوَاحِ الَّتِي حَلَّتْ بِفِنَائِكَ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اينكه مراد از ارواح، همه اصحاب باوفاى حضرت مولانا ابى‌عبدالله علیه السلام مى‌باشد،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حلول و اناخه به آنها به چند اعتبار جايز و در نظر صحيح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مراد از ارواح، همان اجسام مقدّس و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كه روح به اين معنا استعمال مى‌شود، و چون اصحاب آن جناب، البتّه حيات جاودانى دارند كه قدرمتيقّن و مصداق حقيقى از مقتول فى سبيل الله‌اند و خداى تعالى مى‌فرمايد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تَحْسَبَنَّ الَّذِينَ قُتِلُوا فِي سَبِيلِ اللّٰهِ أَمْوَاتاً بَلْ أَحْيآءٌ عِندَ رَبِّهِمْ يُرْزَقُونَ</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گمان مبر کسانی که در راه خدا کشته شدند، مردگانند، بلکه زنده‌اند، و نزدپروردگارشان روزی داده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اطلاق روح و اراده اين اجسام مكرّمه مانعى ندارد، و مؤيد اين وجه است فقره زيارت جابر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المُنِيخَةُ بِقَبْرِ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رحل و فنا، همان قبر و حائر است كه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الارشاد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 نداريم كه اصحاب آن جناب از حائر بيرون نيستند، اگرچه خصوصيات قبور آنها را ندانيم، و قبر حضرت عباس علیه السلام اگرچه دور است؛ ولى داخل در فِنا و رحل سيّدالشهداء علیه السلام است</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و شايد مراد، همان حلول جسمانى در ايام حيات باشد كه در رحل آن حضرت نازل شدند و به ساحت او بار انداختند، و اين معنا با ظاهر رحل و فنا انسب و اقرب است و عبارت زيارت اقبال، شاهد اين احتمال مى‌شود</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و خلاصه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طبق نسخه‌هاى صحيح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غيرثابت و بلكه به فرمايش محدّث نورى تحريف شده است، و هم با اين بيانات دقيق ادبى صاحب شفاء‌الصدور، هيچ شبهه‌اى باقى نمى‌ماند كه مراد از روح در اين جمله، جسم با روح است و با ادلّه معراج جسمانى كاملاً قابل جمع و سازگار است و به‌هرحال، از اين راه خللى به صحّت دعا وارد نمى‌شود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مخفى نماند كه در بيان مراد از اين جمله، علاّمه متبحر سيّد صدرالدين محمّد حسنى طباطبائى وجه دقيق ديگرى را در شرح دعاى ندبه فرموده است كه چون بيش از اين، اطاله كلام را مناسب نديديم، از نقل آن صرف‌نظر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بخواهند به شرح دعاى ندبه ايشان مراجعه نمايند</w:t>
      </w:r>
      <w:r>
        <w:rPr>
          <w:rFonts w:eastAsia="IRNazanin" w:cs="IRNazanin"/>
          <w:color w:val="111111"/>
          <w:sz w:val="28"/>
          <w:szCs w:val="28"/>
          <w:rtl w:val="true"/>
          <w:lang w:bidi="fa-IR"/>
        </w:rPr>
        <w:t>.</w:t>
      </w:r>
      <w:r>
        <w:rPr>
          <w:rStyle w:val="FootnoteAnchor"/>
          <w:rtl w:val="true"/>
        </w:rPr>
        <w:footnoteReference w:id="65"/>
      </w:r>
      <w:bookmarkStart w:id="70" w:name="pg212_2707"/>
    </w:p>
    <w:p>
      <w:pPr>
        <w:pStyle w:val="Heading2"/>
        <w:numPr>
          <w:ilvl w:val="1"/>
          <w:numId w:val="1"/>
        </w:numPr>
        <w:rPr/>
      </w:pPr>
      <w:bookmarkStart w:id="71" w:name="__RefHeading___Toc1913719_211673320"/>
      <w:bookmarkStart w:id="72" w:name="_Toc25"/>
      <w:bookmarkEnd w:id="70"/>
      <w:bookmarkEnd w:id="71"/>
      <w:r>
        <w:rPr/>
        <w:t>5</w:t>
      </w:r>
      <w:r>
        <w:rPr>
          <w:rtl w:val="true"/>
        </w:rPr>
        <w:t xml:space="preserve">- </w:t>
      </w:r>
      <w:r>
        <w:rPr>
          <w:rtl w:val="true"/>
        </w:rPr>
        <w:t>دعاى ندبه و امكان انتساب آن به ائمّه علیهم السلام</w:t>
      </w:r>
      <w:bookmarkEnd w:id="72"/>
    </w:p>
    <w:p>
      <w:pPr>
        <w:pStyle w:val="BookText"/>
        <w:rPr/>
      </w:pPr>
      <w:r>
        <w:rPr>
          <w:rFonts w:ascii="IRNazanin" w:hAnsi="IRNazanin" w:eastAsia="IRNazanin"/>
          <w:color w:val="111111"/>
          <w:sz w:val="28"/>
          <w:sz w:val="28"/>
          <w:szCs w:val="28"/>
          <w:rtl w:val="true"/>
          <w:lang w:bidi="fa-IR"/>
        </w:rPr>
        <w:t>يكى از پرسش‌ها يا ايراداتى كه به دعاى ندبه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اين دعا منسوب به يكى از امامان باشد كه همه عاقل و كامل بودند؟ چگونه بااينكه هنوز امام‌زمان علیه السلام به دنيا نيامده بود، در اين دعا به او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أَيْنَ اسْتَقَرَّتْ بِكَ النَّوَى، أَمْ أَيُّ أَرْضٍ تُقِلُّكَ أَوْ 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أَبِرَضْوَى أَنْتَ أَوْ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مِنْ مُغَيَّبٍ لَمْ يَخْلُ مِنَّا</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مى‌دانستم در كدام زمين قرار دارى، آيا در كوه رضوايي يا غير آن يا در سرزمين ذى‌طوى هستی؟ جانم فدای تو آن امامی‌که از چشم‌ها پنهانی اما از ما دور نيستی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معقول است امام ششم يا دهم يا هر امام ديگر، به نواده‌اش كه هنوز به دنيا نيامده و غايب نشده،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كجايى؟ 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امام‌زمان علیه السلام خودش براى خود، اين دعا را خوانده و از فراق خود ناله كرده، آن‌هم معقول نيست كه آن حضرت جاى خودش را نداند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گفته است كه امامان گذشته اين دعا را مى‌خوانده‌اند و امام ششم يا دهم به حضرت صاحب‌الزمان علیه السلام اين خطابات را فرموده يا خود امام‌زمان علیه السلام به خودشان خطاب فرموده و از فراق خود ناله و ندبه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به سند معتبر از امام جعفر صادق علیه السلام منقول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اين دعا را در چهار عيد بخوانند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از كجاى فرمايش او، و همچنين از کجای سخنان سيّد بن طاووس و شيخ محمّد بن مشهدى و محمّد بن على بن ابى‌قرّه و بزوفرى استفاده مى‌شود كه ائمّه علیهم السلام آن را مى‌خوانده‌اند يا امام‌زمان علیه السلام خودشان براى خود آن را خوانده‌اند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فرمايش اين بزرگان، بيش از اين استفاده نمى‌شود كه دستورالعمل است براى مؤمنانى كه در عصر غيبت زندگى مى‌كنند، اين دعا را در اعياد اربعه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ربطى دارد به اينكه ائمه هدى علیهم السلامهم اين دعا را مى‌خوانده يا نمى‌خوانده‌اند؟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قراردادن كسى كه هنوز به دنيا نيامده و معلوم است كه به دنيا مى‌آيد و نور و حقيقت وجود او آفريده شده، اگرچه هنوز به اين بدن عنصرى تعلق نيافته؛ ولى از كسانى كه با آن عوالم ارتباط دارند، چه مانعى دارد؟ مگر نه برحسب قرآن مجيد در سوره اعراف خداوند به بنى‌آدم در حالى‌كه هنوز وجود پيدا نكرده بودند، خطاب فرموده است،</w:t>
      </w:r>
      <w:r>
        <w:rPr>
          <w:rStyle w:val="FootnoteAnchor"/>
          <w:rtl w:val="true"/>
        </w:rPr>
        <w:footnoteReference w:id="68"/>
      </w:r>
      <w:r>
        <w:rPr>
          <w:rFonts w:ascii="IRNazanin" w:hAnsi="IRNazanin" w:eastAsia="IRNazanin"/>
          <w:color w:val="111111"/>
          <w:sz w:val="28"/>
          <w:sz w:val="28"/>
          <w:szCs w:val="28"/>
          <w:rtl w:val="true"/>
          <w:lang w:bidi="fa-IR"/>
        </w:rPr>
        <w:t>يا اگر بعضى وجود داشتند، اين خطابات كه عامّ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معدومين و موجودين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دعاى ندبه است و در مقام ندبه، مجازاً اين‌گونه خطابات بجا و موافق با ذوق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خود را مانند يكى از كسانى كه در دوره غيبت زندگى مى‌كنند و در آتش فِراق و هجران ولى عصر علیه السلام مى‌سوزند و از ستمگران، ستم و جفا مى‌بينند، فرض مى‌كند و اين خطابات را مى‌نمايد و براى آن دوران و آن روزگار و آن سختى‌ها و امتحانات كه جلو مى‌آيد، ندبه مى‌كند، نه اينكه واقعاً بخواهد جاى امام‌زمان علیه السلام را پيدا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خطابات در آثار ادبى بسيار است كه غايب را حاضر و بعيد را قريب و موجود نشده را موجود مى‌شمارند؛ بلكه به زمان و مكان و غير ذوى‌العقول خطاب مى‌كنند و احساسات خود را اظهار يا آتشدرونى را خاموش و ناراحتى‌ها و آلام روحى را تخفيف مى‌دهند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غرض اين جمله‌ها، همه تعليم ندبه و ابراز علاقه به ولى عصر و اظهار حالت انتظار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هيچ مانعى ندارد و خلاف ذوق و عقل نيست، اگر امامان گذشته هم اين دعاى ندبه را خوانده باشند و يا اينكه خود حضرت صاحب‌الزمان علیه السلام آن را تعليم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باوجوداينكه قبلاً گفتيم، در هيچ‌يك از مدارك و مصادر اين دعا ديده نشده كه يكى از امامان يا خود ولى عصر علیهم السلام آن را خوانده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روايات ديگر از بعضى ائمه علیهم السلام خطاب به آن حضرت و دعا براى ايشان روايت شده است؛ مثل روايت سُدير صيرفى كه قبلاً نقل كرديم و مثل دعاى امام زين‌العابدين علیه السلام براى آن حضرت در دعاى عرفه، و مثل دعايى كه در تعقيب نماز ظهر از امام‌صادق علیه السلام روايت شده است، از عباد بن محمّد مداينى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حضور امام جعفر صادق علیه السلام شرفياب شدم، هنگامى كه از نماز ظهر فراغت يافته، دست‌هاى مبارك را به‌سوى آسمان بلند كرده و عرض مى‌كرد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سَامِعَ كُلِّ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جَامِعَ كُلِّ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بَارِئَ کُلِّ نَفْسٍ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سَيِّدَ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إِلَهَ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جَبَّارَ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الْبَطْشِ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فَعَّالاً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مُحْصِيَ عَدَدِ الْأَنْفَاسِ وَنَقلِ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السِّرُّ عِنْدَهُ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بِحَقِّكَ عَلَى خِيَرَتِكَ مِنْ خَلْقِكَ وَبِحَقِّهِمِ الَّذِي أَوْجَبْتَ لَهُمْ عَلَى نَفْسِكَ أَنْ تُصَلِّيَ عَلى مُحَمَّد وَأَهْلِ بَيْتِهِ، وَأَنْ تَمُنَّ عَلَيَّ السّاعَةَ بِفَكَاكِ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وَأَنْجِزْ لِوَلِيِّكَ الدَّاعِي إِلَيْكَ بِإِذْنِكَ، وَأَمينِكَ فِي خَلْقِكَ، وَعَيْنِكَ فِي عِبَادِكَ، وَحُجَّتِكَ عَلَى خَلْقِكَ عَلَيْهِ صَلَوَاتُكَ وَبَرَكَاتُكَ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أَيِّدْهُ بِنَصْرِكَ وَانْصُرْ عَبْدَكَ، وَقَوِّ أَصْحَابَكَ بِهِ وَصَبِّرْهُمْ وَافْتَحْ لَهُمْ مِنْ لَدُنْكَ سُلْطَاناً نَصِيراً، وَعَجِّلْ فَرَجَهُ وَأَمْكِنْهُ مِنْ أَعْدَائِكَ وَأَعْدَاءِ رَسُولِكَ،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شنونده هر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جمع‌كننده هر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نفوس بعد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برانگيزنده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ارث‌برنده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مى‌كنم تو را به حقّ تو بر برگزيدگانت از خلق تو و به حقى كه براى ايشان بر خودت واجب كردى، كه درود فرستى بر محمّد و اهل‌بيت او، و اينكه منّت گذارى بر من در اين ساعت به آزادى‌ام از آتش و وفا كن از براى ولىّخودت كه دعوت‌كننده به‌سوى تو، به اذن توست </w:t>
      </w:r>
    </w:p>
    <w:p>
      <w:pPr>
        <w:pStyle w:val="BookText"/>
        <w:rPr/>
      </w:pPr>
      <w:r>
        <w:rPr>
          <w:rFonts w:ascii="IRNazanin" w:hAnsi="IRNazanin" w:eastAsia="IRNazanin"/>
          <w:color w:val="111111"/>
          <w:sz w:val="28"/>
          <w:sz w:val="28"/>
          <w:szCs w:val="28"/>
          <w:rtl w:val="true"/>
          <w:lang w:bidi="fa-IR"/>
        </w:rPr>
        <w:t xml:space="preserve">و امين تو در خلق تو و عين و ديده تو در بندگان تو بر خلق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باد صلوات و بركات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وعده دادى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تأييد كن او را به نصرت خودت و يارى كن بنده‌ات را و نيرو بده به‌وسيله او اصحابت را و شكيبا گردان ايشان را و فتح كن براى ايشان از نزد خودت سلطنت و استيلاى يارى‌كننده‌اى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ساز فرج او را و مسلّط ساز او را بر دشمنان خودت و دشمنان پيغمبرت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رحم‌كننده‌ترين رحم‌كنندگان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اين دعاها را شنيد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خود دعا كردى فدايت شوم؟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 لِنُورِ آلِ مُحَمَّدٍ وَسَابِقِهِمْ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وَالْمُنْتَقِمِ بِأَمْرِ اللهِ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نور آل محمّد و سابق ايشان و انتقام‌گيرنده به امر خدا از دشمنانشان دعا كردم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راوى خبر، از علايم ظهور آن حضرت پرسيد و جواب شنيد</w:t>
      </w:r>
      <w:r>
        <w:rPr>
          <w:rStyle w:val="FootnoteAnchor"/>
          <w:rtl w:val="true"/>
        </w:rPr>
        <w:footnoteReference w:id="70"/>
      </w:r>
      <w:r>
        <w:rPr>
          <w:rFonts w:ascii="IRNazanin" w:hAnsi="IRNazanin" w:eastAsia="IRNazanin"/>
          <w:color w:val="111111"/>
          <w:sz w:val="28"/>
          <w:sz w:val="28"/>
          <w:szCs w:val="28"/>
          <w:rtl w:val="true"/>
          <w:lang w:bidi="fa-IR"/>
        </w:rPr>
        <w:t xml:space="preserve">و اين روايت را كه از آن استفاده مى‌شود مراد از ولىّ مطلق در لسان ائمه علیهم السلام حضرت صاحب‌الزمان علیه السلام است، جمعى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شيخ طوسى در مصباح‌المتهجد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r>
        <w:rPr>
          <w:rStyle w:val="FootnoteAnchor"/>
          <w:rtl w:val="true"/>
        </w:rPr>
        <w:footnoteReference w:id="71"/>
      </w:r>
      <w:bookmarkStart w:id="73" w:name="pg212_2713"/>
    </w:p>
    <w:p>
      <w:pPr>
        <w:pStyle w:val="Heading2"/>
        <w:numPr>
          <w:ilvl w:val="1"/>
          <w:numId w:val="1"/>
        </w:numPr>
        <w:rPr/>
      </w:pPr>
      <w:bookmarkStart w:id="74" w:name="__RefHeading___Toc1913721_211673320"/>
      <w:bookmarkStart w:id="75" w:name="_Toc26"/>
      <w:bookmarkEnd w:id="73"/>
      <w:bookmarkEnd w:id="74"/>
      <w:r>
        <w:rPr/>
        <w:t>6</w:t>
      </w:r>
      <w:r>
        <w:rPr>
          <w:rtl w:val="true"/>
        </w:rPr>
        <w:t xml:space="preserve">- </w:t>
      </w:r>
      <w:r>
        <w:rPr>
          <w:rtl w:val="true"/>
        </w:rPr>
        <w:t>دعاى ندبه و بدعت</w:t>
      </w:r>
      <w:bookmarkEnd w:id="75"/>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ندبه بدعت است و بعد از رسول خدا و ائمه هدى علیهم السلام پيدا شده و به ايشان بسته شده و كسانى كه مهديه مى‌سازند و دعاى ندبه براى عوام مى‌خوانند و مردم را سگ امام‌زمان كرده و عوعو مى‌كنند، اهل بدعت و دشمن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 رسول خدا صلی الله علیه و آله مهديه يا زينبيه و يا خانقاه و صومعه در اسلام بوده و آيا شرافت مؤمن سگ‌شدن است و يا آدم حقيقى شدن؟</w:t>
      </w:r>
    </w:p>
    <w:p>
      <w:pPr>
        <w:pStyle w:val="BookText"/>
        <w:rPr/>
      </w:pPr>
      <w:r>
        <w:rPr>
          <w:rFonts w:ascii="IRNazanin" w:hAnsi="IRNazanin" w:eastAsia="IRNazanin"/>
          <w:color w:val="111111"/>
          <w:sz w:val="28"/>
          <w:sz w:val="28"/>
          <w:szCs w:val="28"/>
          <w:rtl w:val="true"/>
          <w:lang w:bidi="fa-IR"/>
        </w:rPr>
        <w:t>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واردكردن كار و روشى است از پيش خود در برنامه‌هاى شرعيه، كه نه بالخصوص از پيغمبر و ائمه علیهم السلام درباره آن دستورى صادر شده و نه عموم يا اطلاق دستورات و اوامر آن بزرگواران شامل آن باشد ولى دعاى ندبه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 بالخصوص وارد شده و اطمينان به صدورش هست و هيچ‌كس از پيش خود آن را نياورده و لااقل كسانى كه مى‌خوانند اطمينان به صدور آن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 آنكه متضمّن حمد و سپاس خدا بر قضاوقدر او و ذكر فضايل و مناقب و مصائب اهل‌بيت علیهم السلام است، عمومات دعا و حمد و ذكر فضايل و مناقب و مصائب شامل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دعاى ندبه را اگر شخص از پيش خود هم انشا كند و بخواند، بدعت نيست، مثل اينكه خطبه يا قصيده‌اى مشتمل بر اين مطالب انشا كند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مردم بخواند، يا مردم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خلاف سنّت پيغمبر اكرم</w:t>
      </w:r>
    </w:p>
    <w:p>
      <w:pPr>
        <w:pStyle w:val="BookText"/>
        <w:rPr/>
      </w:pPr>
      <w:r>
        <w:rPr>
          <w:rFonts w:ascii="IRNazanin" w:hAnsi="IRNazanin" w:eastAsia="IRNazanin"/>
          <w:color w:val="111111"/>
          <w:sz w:val="28"/>
          <w:sz w:val="28"/>
          <w:szCs w:val="28"/>
          <w:rtl w:val="true"/>
          <w:lang w:bidi="fa-IR"/>
        </w:rPr>
        <w:t>صلی الله علیه و آله است و نه بدعت و نه واردكردن چيزى است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اجراى تعاليم و برنامه‌هاى دين است كه به‌حسب صور و مصاديق و مظاهر، مختلف مى‌شود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ساختن مهديه و منتظريه و قائميه نيز بدعت نيست مانند حسينيه؛</w:t>
      </w:r>
      <w:r>
        <w:rPr>
          <w:rStyle w:val="FootnoteAnchor"/>
          <w:rtl w:val="true"/>
        </w:rPr>
        <w:footnoteReference w:id="72"/>
      </w:r>
      <w:r>
        <w:rPr>
          <w:rFonts w:ascii="IRNazanin" w:hAnsi="IRNazanin" w:eastAsia="IRNazanin"/>
          <w:color w:val="111111"/>
          <w:sz w:val="28"/>
          <w:sz w:val="28"/>
          <w:szCs w:val="28"/>
          <w:rtl w:val="true"/>
          <w:lang w:bidi="fa-IR"/>
        </w:rPr>
        <w:t xml:space="preserve">زيرا اگر ما براى ذكر فضايل و مناقب، خانه‌اى بسازيم 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بناميم، يا براى قرائت قرآن و تعليم تجويد خانه‌اى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كنيم، يا براى تعلّم و آموزش علوم اسلامى و فقه و تفسير و حديث، خانه ديگر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بگذاريم، يا براى مطالعه و قرائت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كنيم، يا براى رسيدگى به حال فقرا و مستمندان و جمع‌آورى اعانه، محلى به نام خانه نيكوكارى بسازيم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قربة الى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كنيم همه مشروع و اجراى دستورات اسلام و برنامه‌هاى دين و اطاعت اوامر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وَتَعَاوَنُوا عَلَى الْبِرِّ وَالتَّقْوَى</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و معاونت كنيد بر نيكى و پرهيزكارى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بوده باشد از شما گروهى كه مى‌خوانند به‌سوى خير، و امر مى‌کنند به معروف و نهى مى‌كنند از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 بِالْعَدْلِ وَالْإِحْسَانِ</w:t>
      </w:r>
      <w:r>
        <w:rPr>
          <w:rFonts w:ascii="IRNazanin" w:hAnsi="IRNazanin" w:eastAsia="IRNazanin"/>
          <w:color w:val="111111"/>
          <w:sz w:val="28"/>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به‌درستى‌كه خدا به عدل و احسان فرمان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اوامر ديگر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اينكه در عصر پيغمبر صلی الله علیه و آله اين بناها نبوده، دليل بدعت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غرض كسى از اين بناها، ايجاد تفرقه بين مسلمانان و تشعّب و دودستگى و اغراض شخصى و فردى و هم‌چشمى و رقابت و سوء‌استفاده و جاه‌طلبى باشد، البته مذموم است، و اگر به قصد منصرف‌ساختن مسلمانان از مساجد و ايجاد مابه‌الامتياز مذهبى و اجراى برنامه‌هاى غيرمشترك و غيروارد و خواندن اوراد و اذكارى كه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ذكر جبرئيليه يا يونسيه به عدد مخصوص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مثل خانقاه بسازد، بدعت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جهت را نبايد باهم اشتباه كرد، و بايد متوجّه بود كه دارالحفاظ و دارالضيافة و دارالمعلمين يا دارالوعاظ يا حسينيه و مهديه، با خانقاه و صومعه خيلى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يك فرقه خاصّ و دسته‌اى است كه ملتزم به طريقه مخصوص و شيخ و پيرو و مرشد و سلسله‌اى شده‌اند كه از شرع نرسيده است و آنجا يك مركز آزاد براى همه و بدون قيدوشرط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مع‌ذلك چون مقام، مقام بيان حقيقت است، تذكّر مى‌دهم كه حفظ مركزيت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 خدا و خانه عموم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همه بايد باهم در عمران مساجد به جماعات و مجالس دعاو وعظ و تبليغ و قرائت قرآن و غير اينها همكارى كنند تا باشكوه‌ترين اجتماعات دينى در مساجد تشكيل شود و قدر و منزلت مسجد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مؤسسات را هم به نام آن حضرت در مسجد </w:t>
      </w:r>
    </w:p>
    <w:p>
      <w:pPr>
        <w:pStyle w:val="BookText"/>
        <w:rPr/>
      </w:pPr>
      <w:r>
        <w:rPr>
          <w:rFonts w:ascii="IRNazanin" w:hAnsi="IRNazanin" w:eastAsia="IRNazanin"/>
          <w:color w:val="111111"/>
          <w:sz w:val="28"/>
          <w:sz w:val="28"/>
          <w:szCs w:val="28"/>
          <w:rtl w:val="true"/>
          <w:lang w:bidi="fa-IR"/>
        </w:rPr>
        <w:t>قرار دهند يا رواقى از رواق‌هاى مسجد را به اين عنوان بنامند، يا آنكه مدارس و مراكز تبليغى تأسيس كنند و به نام جامع‌المهدى يا مسجد‌المهدى يا رواق صاحب‌الامر، يا مدرسةالمهدى و مكتبة‌المهدى بنامند، و در موقع خواندن دعاى ندبه يا كميل يا ادعيه ديگر از آنجا استفاده كنند، مناسب‌تر و با نظر مبارك خود آن حضرت موافق‌تر است، به‌علاوه در تأسيس اين اماكن، وضع محيط‌ها و مساجد و مناسبت‌ها را هم بايد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خود يا ديگران را سگ امام مى‌شمارند و شرافت مؤمن به اين است كه آدم حقيقى باشد نه سگ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نمى‌گويد مؤمن سگ است، و اين عبارات كه من سگ درگاه خدا يا سگ در خانه پيغمبر يا امام هستم، معنايش اين نيست كه من سگ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معناى لطيف و دل‌پسندى دارد كه خودبه‌خود در ذهن شنونده وارد مى‌شود و لذا كسى جز شما به گوينده آن اعتراض نمى‌كند كه چرا خود را سگ خواندى و چرا دروغ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اين است كه همان‌گونه كه سگ در خانه صاحبش را رها نمى‌كند و اگر او را براند و دور كند به‌جاى ديگرروى نمى‌آورد و وفا و حق‌شناسى دارد و پاس احترام ولىّ‌نعمت خود را نگاه مى‌دارد و از صاحبش و خانه‌اش دفاع مى‌كند و عنايت كم و لقمه نان صاحبش را بر سفره‌هاى چرب ديگران برمى‌گزيند، من هم </w:t>
      </w:r>
    </w:p>
    <w:p>
      <w:pPr>
        <w:pStyle w:val="BookText"/>
        <w:rPr/>
      </w:pPr>
      <w:r>
        <w:rPr>
          <w:rFonts w:ascii="IRNazanin" w:hAnsi="IRNazanin" w:eastAsia="IRNazanin"/>
          <w:color w:val="111111"/>
          <w:sz w:val="28"/>
          <w:sz w:val="28"/>
          <w:szCs w:val="28"/>
          <w:rtl w:val="true"/>
          <w:lang w:bidi="fa-IR"/>
        </w:rPr>
        <w:t>بر سر كوى شما مقيم شده و در خانه شما را رها نمى‌كنم، و به پاسبانى منزل محبوب و مراد خود افتخار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بسيار عرف‌پسند و شيرين و عاطفى و مهيّج است و در اشعار شعرا و اهل ذوق عرب و عجم، بسيار است كه در درگاه خدا، يا پيغمبر يا امام، حقيرانه خود را سگ مى‌شمارند؛ مانند اين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نانى به اين سگ كن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نگردد از عطايت اى خدا</w:t>
      </w:r>
    </w:p>
    <w:p>
      <w:pPr>
        <w:pStyle w:val="BookText"/>
        <w:rPr/>
      </w:pPr>
      <w:r>
        <w:rPr>
          <w:rFonts w:ascii="IRNazanin" w:hAnsi="IRNazanin" w:eastAsia="IRNazanin"/>
          <w:color w:val="111111"/>
          <w:sz w:val="28"/>
          <w:sz w:val="28"/>
          <w:szCs w:val="28"/>
          <w:rtl w:val="true"/>
          <w:lang w:bidi="fa-IR"/>
        </w:rPr>
        <w:t>شاها چو تو را سگى ببايد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من بُدم آن سگِ تو شايد</w:t>
      </w:r>
    </w:p>
    <w:p>
      <w:pPr>
        <w:pStyle w:val="BookText"/>
        <w:rPr/>
      </w:pPr>
      <w:r>
        <w:rPr>
          <w:rFonts w:ascii="IRNazanin" w:hAnsi="IRNazanin" w:eastAsia="IRNazanin"/>
          <w:color w:val="111111"/>
          <w:sz w:val="28"/>
          <w:sz w:val="28"/>
          <w:szCs w:val="28"/>
          <w:rtl w:val="true"/>
          <w:lang w:bidi="fa-IR"/>
        </w:rPr>
        <w:t>هستم سگكى ز حبس 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شاخ گل هوات بسته</w:t>
      </w:r>
    </w:p>
    <w:p>
      <w:pPr>
        <w:pStyle w:val="BookText"/>
        <w:rPr/>
      </w:pPr>
      <w:r>
        <w:rPr>
          <w:rFonts w:ascii="Amiri" w:hAnsi="Amiri" w:eastAsia="Amiri" w:cs="Amiri"/>
          <w:color w:val="111111"/>
          <w:sz w:val="28"/>
          <w:sz w:val="28"/>
          <w:szCs w:val="28"/>
          <w:rtl w:val="true"/>
          <w:lang w:bidi="ar-SA"/>
        </w:rPr>
        <w:t xml:space="preserve">از مدح تو با قلاده 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زنجير وفا به حلقم اندر</w:t>
      </w:r>
    </w:p>
    <w:p>
      <w:pPr>
        <w:pStyle w:val="BookText"/>
        <w:rPr/>
      </w:pPr>
      <w:r>
        <w:rPr>
          <w:rFonts w:ascii="IRNazanin" w:hAnsi="IRNazanin" w:eastAsia="IRNazanin"/>
          <w:color w:val="111111"/>
          <w:sz w:val="28"/>
          <w:sz w:val="28"/>
          <w:szCs w:val="28"/>
          <w:rtl w:val="true"/>
          <w:lang w:bidi="fa-IR"/>
        </w:rPr>
        <w:t>خود را به قبول رايگانت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بستم به طويله سگانت</w:t>
      </w:r>
    </w:p>
    <w:p>
      <w:pPr>
        <w:pStyle w:val="BookText"/>
        <w:rPr/>
      </w:pPr>
      <w:r>
        <w:rPr>
          <w:rFonts w:ascii="IRNazanin" w:hAnsi="IRNazanin" w:eastAsia="IRNazanin"/>
          <w:color w:val="111111"/>
          <w:sz w:val="28"/>
          <w:sz w:val="28"/>
          <w:szCs w:val="28"/>
          <w:rtl w:val="true"/>
          <w:lang w:bidi="fa-IR"/>
        </w:rPr>
        <w:t>افكن نظرى بر اين سگ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سنگم مزن و مرانم از پيش</w:t>
      </w:r>
    </w:p>
    <w:p>
      <w:pPr>
        <w:pStyle w:val="BookText"/>
        <w:rPr/>
      </w:pPr>
      <w:r>
        <w:rPr>
          <w:rFonts w:ascii="IRNazanin" w:hAnsi="IRNazanin" w:eastAsia="IRNazanin"/>
          <w:color w:val="111111"/>
          <w:sz w:val="28"/>
          <w:sz w:val="28"/>
          <w:szCs w:val="28"/>
          <w:rtl w:val="true"/>
          <w:lang w:bidi="fa-IR"/>
        </w:rPr>
        <w:t>من سگ اصحاب كهفم بر در پاكان 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نيم‌نانى مى‌رسد تا نيم‌جانى در تن است</w:t>
      </w:r>
    </w:p>
    <w:p>
      <w:pPr>
        <w:pStyle w:val="BookText"/>
        <w:rPr/>
      </w:pPr>
      <w:r>
        <w:rPr>
          <w:rFonts w:ascii="IRNazanin" w:hAnsi="IRNazanin" w:eastAsia="IRNazanin"/>
          <w:color w:val="111111"/>
          <w:sz w:val="28"/>
          <w:sz w:val="28"/>
          <w:szCs w:val="28"/>
          <w:rtl w:val="true"/>
          <w:lang w:bidi="fa-IR"/>
        </w:rPr>
        <w:t>و اين ضعيف هم در منظومه مناجات على علیه السلام خطاب به آن حضرت عرض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سنبل گيسوى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فخرم اين بس كه سگ كوى توام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نابغه علم و ادب و افتخار جامعه شيعه و اسلام، شيخ بهاءالدين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مثل شاه‌عباس كبير از بين تمام القاب شاهانه اين لقب را برگزيده و در آغاز كتاب جامع عباسى چنين مى‌فرمايد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توجّه خاطر ملكوت ناظر اشرف اقدس، كلب آستان على بن ابى‌طالب علیه السلام ، شاه‌عباس الحسينى الموسوى</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به نظر ما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 آستان على بن ابى‌طالب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معرفى شاه‌عباس كبير از تمام القاب نفرت‌انگيز و پر از مبالغه‌اى كه براى شاهان صفوى و سلاطين ديگر گفته شده، دلپذيرتر و ارزنده‌تر و جذاب‌تر است و لطفى كه در اين جمله به‌كار رفته در هيچ‌يك از عناوينى كه در ابتداى كتاب‌ها براى پادشاهان نوشته شده،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از تاريخ وفات عضد‌الدوله ديلمى قريب يك‌هزاروبيست سال مى‌گذرد، و اين افتخار درضمن مفاخر او در كتاب‌ها نوشته مى‌شود كه در روى سنگ قبر او در نجف اشرف، در جوار مرقد مطهر مولاى متقيان على علیه السلام اين آيه نوشته شده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وَكَلْبُهُم بَاسِطٌ ذِرَاعَيْهِ بِالْوَصِيدِ</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سگ آنها دست‌های خود را بر دهانۀ غار گشوده بود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مع‌ذلك، ما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گويندگان همه اين‌گونه الفاظ را در هر مجلس و منبر، يا در هر شعر و قصيده تكرار كنند و ازطريق بلاغت و تكلم به مقتضاى حال بيرون روند</w:t>
      </w:r>
      <w:r>
        <w:rPr>
          <w:rFonts w:eastAsia="IRNazanin" w:cs="IRNazanin"/>
          <w:color w:val="111111"/>
          <w:sz w:val="28"/>
          <w:szCs w:val="28"/>
          <w:rtl w:val="true"/>
          <w:lang w:bidi="fa-IR"/>
        </w:rPr>
        <w:t xml:space="preserve">. </w:t>
      </w:r>
      <w:bookmarkStart w:id="76" w:name="pg212_2721"/>
    </w:p>
    <w:p>
      <w:pPr>
        <w:pStyle w:val="Heading2"/>
        <w:numPr>
          <w:ilvl w:val="1"/>
          <w:numId w:val="1"/>
        </w:numPr>
        <w:rPr/>
      </w:pPr>
      <w:bookmarkStart w:id="77" w:name="__RefHeading___Toc1913723_211673320"/>
      <w:bookmarkStart w:id="78" w:name="_Toc27"/>
      <w:bookmarkEnd w:id="76"/>
      <w:bookmarkEnd w:id="77"/>
      <w:r>
        <w:rPr/>
        <w:t>7</w:t>
      </w:r>
      <w:r>
        <w:rPr>
          <w:rtl w:val="true"/>
        </w:rPr>
        <w:t xml:space="preserve">- </w:t>
      </w:r>
      <w:r>
        <w:rPr>
          <w:rtl w:val="true"/>
        </w:rPr>
        <w:t>دعاى ندبه و آيه</w:t>
      </w:r>
      <w:r>
        <w:rPr>
          <w:rtl w:val="true"/>
        </w:rPr>
        <w:t xml:space="preserve">: </w:t>
      </w:r>
      <w:r>
        <w:rPr>
          <w:rtl w:val="true"/>
        </w:rPr>
        <w:t>وَاجْعَلْ لِي لِسَانَ صِدْقٍ فِي الْآخِرِينَ</w:t>
      </w:r>
      <w:bookmarkEnd w:id="78"/>
    </w:p>
    <w:p>
      <w:pPr>
        <w:pStyle w:val="BookText"/>
        <w:rPr/>
      </w:pPr>
      <w:r>
        <w:rPr>
          <w:rFonts w:ascii="Amiri" w:hAnsi="Amiri" w:eastAsia="Amiri" w:cs="Amiri"/>
          <w:color w:val="111111"/>
          <w:sz w:val="28"/>
          <w:sz w:val="28"/>
          <w:szCs w:val="28"/>
          <w:rtl w:val="true"/>
          <w:lang w:bidi="ar-SA"/>
        </w:rPr>
        <w:t>وَاجْعَلْ لِي لِسَانَ صِدْقٍ فِي الْآخِرِينَ</w:t>
      </w:r>
      <w:r>
        <w:rPr>
          <w:rStyle w:val="FootnoteAnchor"/>
          <w:rtl w:val="true"/>
        </w:rPr>
        <w:footnoteReference w:id="78"/>
      </w:r>
      <w:r>
        <w:rPr>
          <w:rFonts w:ascii="IRNazanin" w:hAnsi="IRNazanin" w:eastAsia="IRNazanin"/>
          <w:color w:val="111111"/>
          <w:sz w:val="28"/>
          <w:sz w:val="28"/>
          <w:szCs w:val="28"/>
          <w:rtl w:val="true"/>
          <w:lang w:bidi="fa-IR"/>
        </w:rPr>
        <w:t xml:space="preserve"> ايراد ديگرى به متن دعاى ندبه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كه راجع به حضرت ابراهيم علیه السلام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وَسَأَلَكَ لِسَانَ صِدْقٍ فِي الْآخِرِينَ، فَأَجَبْتَهُ وَجَعَلْتَ ذَلِكَ عَلِيّاً</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قرآن مخالف است، يعنى حضرت ابراهيم علیه السلام از تو سؤال كرد براى او زبان راستى قرار دهى در آيندگان، پس اجابت كردى او را و قرار دادى آن را علىّ و اين افترا به قرآن و حضرت ابراهيم علیه السلام است؛ زيرا حضرت ابراهيم علیه السلام ، چنان‌كه در قرآن،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وَاجْعَلْ لِي لِسانَ صِدْقٍ فِي الْآخِرِينَ</w:t>
      </w:r>
      <w:r>
        <w:rPr>
          <w:rFonts w:ascii="IRNazanin" w:hAnsi="IRNazanin" w:eastAsia="IRNazanin"/>
          <w:color w:val="111111"/>
          <w:sz w:val="28"/>
          <w:sz w:val="28"/>
          <w:szCs w:val="28"/>
          <w:rtl w:val="true"/>
          <w:lang w:bidi="fa-IR"/>
        </w:rPr>
        <w:t xml:space="preserve"> و مقصود او اين بوده است كه آيندگان از امم درباره او خوش‌گفتار باشند و دروغ به او نبندند و تهمت‌هايى كه به حضرت داوود و سليمان و عيسى علیهم السلام زدند به او نزنند و خدا او را اجابت كرده و تمام امّت‌ها، چه يهود و چه نصارى و چه مسلمين، به حضرت ابراهيم علیه السلام خوش‌بين و او را قبول دارند، و او را بت‌شكن مى‌دانند و اين تناسبى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ذَلِكَ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كجاى قرآن حضرت ابراهيم علیه السلام يا مقصود او را على قرار داد؟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على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مريم ارتفاع و بلندى است براى گفتار تمام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دعاى ندبه از قرآن اقتباس شده و دليل بر قوّت متن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و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دقت كنيد و ببينيد دعاى ندبه با اين لطف تعبير چگونه مضمون اين آيات را بيان مى‌كند و قرآن و دعاى ندبه هر دو يك حقيقت را مى‌پرورانند و هيچ‌گونه مخالفتى باهم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 از حضرت ابراهيم علیه السلام نقل مى‌فرمايد كه اين‌گونه از خدا مسئلت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هَبْ لِي حُكْماً وَ أَلْحِقْنِي بِالصَّالِحِينَ٭ وَ اجْعَلْ لِي لِسَانَ صِدْقٍفِي الْآخِرِينَ</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علم و دانش ببخش و مرا به صالحان ملحق کن، و براى من زبان راستى در آيندگان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اعْتَزَلَهُمْ وَمَا يَعْبُدُونَ مِن دُونِ اللّٰهِ وَهَبْنَا لَهُ إِسْحَاقَ وَيَعْقُوبَ وَكُلّاً جَعَلْنَا نَبِيّاً ٭ وَوَهَبْنَا لَهُمْ مِنْ رَحْمَتِنَا وَجَعَلْنَا لَهُمْ لِسَانَ صِدْقٍ عَلِيّاً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ابراهيم از آنها و آنچه كه غير از خدا مى‌پرستيدند كناره‌گيرى كرد، اسحاق و يعقوب را به او بخشيديم و همه را نبىّ گردانيديم و از رحمت خودمان به آنها بخشيديم و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و اسحاق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 علىّ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فرماييد جمله‌اى كه در دعاى ندبه است، مضمون همين آيات است و هيچ مخالفتى با قرآن در آن تصور نمى‌شود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چطور اين جمله را با قرآن مخالف مى‌گيريد؟ برحسب اين آيات، نه سؤال حضرت ابراهيم علیه السلام از خدا قابل‌انكار است و نه اجابت خدا، شما مى‌گوييد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مريم ارتفاع و بلندى براى گفتار تمام انبياست، تا اين دو آيه را از هم جدا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مرجعى كه بايد طبق سياق كلام به آن ارجاعداد، ارجاع نمى‌دهيد؟ </w:t>
      </w:r>
    </w:p>
    <w:p>
      <w:pPr>
        <w:pStyle w:val="BookText"/>
        <w:rPr/>
      </w:pPr>
      <w:r>
        <w:rPr>
          <w:rFonts w:ascii="IRNazanin" w:hAnsi="IRNazanin" w:eastAsia="IRNazanin"/>
          <w:color w:val="111111"/>
          <w:sz w:val="28"/>
          <w:sz w:val="28"/>
          <w:szCs w:val="28"/>
          <w:rtl w:val="true"/>
          <w:lang w:bidi="fa-IR"/>
        </w:rPr>
        <w:t>چرا قرآن را مطابق ميل خودتان تفسير مى‌كنيد و جمله دعا را به نحو ديگر معنا مى‌نماييد، تا مخالفت درست شود و دليل بر بى‌اعتبارى دعاى ندبه بتراشيد، و جمله‌اى را كه حقّاً دليل اعتبار دعاست دليل بى‌اعتبارى آن قرار مى‌دهيد؟</w:t>
      </w:r>
    </w:p>
    <w:p>
      <w:pPr>
        <w:pStyle w:val="BookText"/>
        <w:rPr/>
      </w:pPr>
      <w:r>
        <w:rPr>
          <w:rFonts w:ascii="IRNazanin" w:hAnsi="IRNazanin" w:eastAsia="IRNazanin"/>
          <w:color w:val="111111"/>
          <w:sz w:val="28"/>
          <w:sz w:val="28"/>
          <w:szCs w:val="28"/>
          <w:rtl w:val="true"/>
          <w:lang w:bidi="fa-IR"/>
        </w:rPr>
        <w:t>عجيب است؛ شما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آيات قرآن اين است كه ابراهيم علیه السلام از خدا خواست كه ذكر نيك او در بين امم باقى و نام نيكش بر زبان‌ها جارى باشد و خدا هم اين دعا را مستجاب گردانيد و نام نيك او را بلند، و اسم و آوازه او را على قرار داد و اين جمله دعا را هم به همين معنا حمل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ذَلِكَ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چنان‌كه در آيه </w:t>
      </w:r>
      <w:r>
        <w:rPr>
          <w:rFonts w:ascii="Amiri" w:hAnsi="Amiri" w:eastAsia="Amiri" w:cs="Amiri"/>
          <w:color w:val="111111"/>
          <w:sz w:val="28"/>
          <w:sz w:val="28"/>
          <w:szCs w:val="28"/>
          <w:rtl w:val="true"/>
          <w:lang w:bidi="ar-SA"/>
        </w:rPr>
        <w:t>لِسَانَ صِدْقٍ عَلِيّاً</w:t>
      </w:r>
      <w:r>
        <w:rPr>
          <w:rFonts w:ascii="IRNazanin" w:hAnsi="IRNazanin" w:eastAsia="IRNazanin"/>
          <w:color w:val="111111"/>
          <w:sz w:val="28"/>
          <w:sz w:val="28"/>
          <w:szCs w:val="28"/>
          <w:rtl w:val="true"/>
          <w:lang w:bidi="fa-IR"/>
        </w:rPr>
        <w:t xml:space="preserve"> به معنای على نگفتيد، در جمله دعا هم نگوييد، مختاريد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قرآن را به يك نحو معنا مى‌كنيد و دعاى ندبه را نحو ديگر، و بعد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قرآن مخالف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مى‌گوييد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 لَهُمْ لِسَانَ صِدْق عَلِيّاً</w:t>
      </w:r>
      <w:r>
        <w:rPr>
          <w:rFonts w:ascii="IRNazanin" w:hAnsi="IRNazanin" w:eastAsia="IRNazanin"/>
          <w:color w:val="111111"/>
          <w:sz w:val="28"/>
          <w:sz w:val="28"/>
          <w:szCs w:val="28"/>
          <w:rtl w:val="true"/>
          <w:lang w:bidi="fa-IR"/>
        </w:rPr>
        <w:t xml:space="preserve"> كه امتيازى براى حضرت ابراهيم و اسحاق و يعقوب علیهم السلام در بين انبياى گذشته است، ارتفاع و بلندى گفتار تمام انبيا است، و آيه را برخلاف ظاهرش تفسير مى‌كنيد؟ به‌علاوه اگر هم مربوط به تمام انبيا باشد، چه اشكالى دارد كه اعلام اجابت دعاى حضرت ابراهيم علیه السلام نيز در اينجا مراد باشد؟ مگر دعاى ابراهيم علیه السلام نبايد مستجاب شود؟ </w:t>
      </w:r>
    </w:p>
    <w:p>
      <w:pPr>
        <w:pStyle w:val="BookText"/>
        <w:rPr/>
      </w:pPr>
      <w:r>
        <w:rPr>
          <w:rFonts w:ascii="IRNazanin" w:hAnsi="IRNazanin" w:eastAsia="IRNazanin"/>
          <w:color w:val="111111"/>
          <w:sz w:val="28"/>
          <w:sz w:val="28"/>
          <w:szCs w:val="28"/>
          <w:rtl w:val="true"/>
          <w:lang w:bidi="fa-IR"/>
        </w:rPr>
        <w:t>به‌هرحال يا به اين نحو بگوييد، يا به تفسير مراجعه كنيد و احاديث و روايات اهل‌بيت علیهم السلام را در تفسير قرآن بپذيريد و روايت على بن ابراهيم قمى، از پدرش ابراهيم بن هاشم، از حضرت امام‌حسن عسكرى علیه السلام را ملاحظه كنيد كه امام علیه السلام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لَهُمْ لِسَانَ صِدْقٍ عَلِيّاً</w:t>
      </w:r>
      <w:r>
        <w:rPr>
          <w:rFonts w:ascii="IRNazanin" w:hAnsi="IRNazanin" w:eastAsia="IRNazanin"/>
          <w:color w:val="111111"/>
          <w:sz w:val="28"/>
          <w:sz w:val="28"/>
          <w:szCs w:val="28"/>
          <w:rtl w:val="true"/>
          <w:lang w:bidi="fa-IR"/>
        </w:rPr>
        <w:t xml:space="preserve"> يعنى اميرالمؤمنين علیه السلام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اگر اين حديث را در تفسير آيه مستند قرار دهيم كه طبق احاديث متواتره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بايد همين حديث را مستند تفسير قرار بدهيم، باز هم آيه و جمله دعا باهم مطابق و موافقند، و باز هم اين جمله چون موافق با قرآن و تفسير آن مى‌شود، بر اعتبار دعا مى‌افزايد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كه به هر نحو در تفسير آيه بگوييم، اين موضوع تأييد مى‌شود كه اين جمله دعا از كتاب خدا اخذ شده و با قرآن مجيد موافق است</w:t>
      </w:r>
      <w:r>
        <w:rPr>
          <w:rFonts w:eastAsia="IRNazanin" w:cs="IRNazanin"/>
          <w:color w:val="111111"/>
          <w:sz w:val="28"/>
          <w:szCs w:val="28"/>
          <w:rtl w:val="true"/>
          <w:lang w:bidi="fa-IR"/>
        </w:rPr>
        <w:t xml:space="preserve">. </w:t>
      </w:r>
      <w:bookmarkStart w:id="79" w:name="pg212_2726"/>
    </w:p>
    <w:p>
      <w:pPr>
        <w:pStyle w:val="Heading2"/>
        <w:numPr>
          <w:ilvl w:val="1"/>
          <w:numId w:val="1"/>
        </w:numPr>
        <w:rPr/>
      </w:pPr>
      <w:bookmarkStart w:id="80" w:name="__RefHeading___Toc1913725_211673320"/>
      <w:bookmarkStart w:id="81" w:name="_Toc28"/>
      <w:bookmarkEnd w:id="79"/>
      <w:bookmarkEnd w:id="80"/>
      <w:r>
        <w:rPr/>
        <w:t>8</w:t>
      </w:r>
      <w:r>
        <w:rPr>
          <w:rtl w:val="true"/>
        </w:rPr>
        <w:t xml:space="preserve">- </w:t>
      </w:r>
      <w:r>
        <w:rPr>
          <w:rtl w:val="true"/>
        </w:rPr>
        <w:t>قرآن مجيد و جمله</w:t>
      </w:r>
      <w:r>
        <w:rPr>
          <w:rtl w:val="true"/>
        </w:rPr>
        <w:t>: «</w:t>
      </w:r>
      <w:r>
        <w:rPr>
          <w:rtl w:val="true"/>
        </w:rPr>
        <w:t>وَأَوْطَأْتَهُ مَشَارِقَكَ وَمَغَارِبَكَ</w:t>
      </w:r>
      <w:r>
        <w:rPr>
          <w:rtl w:val="true"/>
        </w:rPr>
        <w:t>»</w:t>
      </w:r>
      <w:bookmarkEnd w:id="81"/>
    </w:p>
    <w:p>
      <w:pPr>
        <w:pStyle w:val="Heading3"/>
        <w:numPr>
          <w:ilvl w:val="2"/>
          <w:numId w:val="1"/>
        </w:numPr>
        <w:rPr/>
      </w:pPr>
      <w:bookmarkStart w:id="82" w:name="__RefHeading___Toc1913727_211673320"/>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اشكال ديگرى كه به متن دعاى ندبه كرده‌اند اين است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وَأَوْطَأْتَهُ مَشَارِقَكَ وَمَغَارِبَكَ</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كه مى‌گويد پيغمبر را داخل كردى به تمام مشرق‌ها و مغرب‌ها، با آيه اوّل سوره اسراء مخالف است؛ زيرا خدا در اين آيه مى‌فرمايد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ascii="IRNazanin" w:hAnsi="IRNazanin" w:eastAsia="IRNazanin"/>
          <w:color w:val="111111"/>
          <w:sz w:val="28"/>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است خدايى كه سير داد بنده خود را از مسجدالحرام تا مسجدالاقصى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 تمام مشرق‌ها و مغرب‌ها و ثانياً زمين، مشرق‌ها و مغرب‌ها دارد؛ امّا براى خدا مشرق‌ها و مغرب‌ها نيست؛ زيرا خدا </w:t>
      </w:r>
    </w:p>
    <w:p>
      <w:pPr>
        <w:pStyle w:val="BookText"/>
        <w:rPr/>
      </w:pPr>
      <w:r>
        <w:rPr>
          <w:rFonts w:ascii="IRNazanin" w:hAnsi="IRNazanin" w:eastAsia="IRNazanin"/>
          <w:color w:val="111111"/>
          <w:sz w:val="28"/>
          <w:sz w:val="28"/>
          <w:szCs w:val="28"/>
          <w:rtl w:val="true"/>
          <w:lang w:bidi="fa-IR"/>
        </w:rPr>
        <w:t>همه‌جا هست و 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دعاى ندبه خدا را در وسط مشرق‌ها و مغرب‌ها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اين اشكال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مشارق و مغارب در اين مقامات، صريح در اينكه مراد تمام مشارق و مغارب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سفر دريا كرده و حيوانات دريايى را ديده يا به فلان شهر رفت و مردم آن شهر را ديد، يا مناظر فلان قارّه را تماشا كرد، يا مملكت شما را ديد، كه غرض اين است كه از اين نقاط ديدن كرده و از وضع فلان شهر يا مناظر فلان قاره يا اوضاع فلان مملكت بااطّلاع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نيز ممكن است مراد اين باشد كه خدا آن حضرت را در مشارق و مغارب وارد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بايد به‌قدرى باشد كه اين اطلاق كه معرض توهّم تمام افراد است، حُسن استعمال داشته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مشارق و مغارب، مشارق و مغارب زمين نيست؛ زيرا مردم ديگر هم اين مشارق و مغارب را كم‌وبيش ديده‌اند و امتيازى براى رسول اكرم صلی الله علیه و آله نمى‌شود، بلكه مراد از اين مشارق و مغارب، مشارق و مغارب كرات و ستارگان و شموس و كهكشان‌ها و عوالمى است كه پيغمبر صلی الله علیه و آله را خدا بر آنها سير داد و امكان دارد كه مراد هم مشارق و مغارب تمام آنها باشد؛ زيرا با اعجاز، همان‌طور كه سيردادن آن حضرت به اكثر اين مشارق و مغارب امكان‌پذير است، به تمام آنها نيزامكان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بيت‌المقدس باشد، با اين جمله از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وَأَوْطَأتَهُ مَشَارِقَكَ وَمَغَارِبَكَ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زيرا اين جمله به ادامه جريان معراج بعد از مسجدالاقصى اشاره مى‌كند، و آيات و اخبار ديگر را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باشد</w:t>
      </w:r>
      <w:r>
        <w:rPr>
          <w:rStyle w:val="FootnoteAnchor"/>
          <w:rtl w:val="true"/>
        </w:rPr>
        <w:footnoteReference w:id="83"/>
      </w:r>
      <w:r>
        <w:rPr>
          <w:rFonts w:ascii="IRNazanin" w:hAnsi="IRNazanin" w:eastAsia="IRNazanin"/>
          <w:color w:val="111111"/>
          <w:sz w:val="28"/>
          <w:sz w:val="28"/>
          <w:szCs w:val="28"/>
          <w:rtl w:val="true"/>
          <w:lang w:bidi="fa-IR"/>
        </w:rPr>
        <w:t>كه خدا پيغمبر صلی الله علیه و آله را به آنجا سير داد، پس سير به مشارق و مغارب كرات ديگر براى آن حضرت حاصل شد و اين جمله موافق با مضمون همين آيه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و به هر نحو كه آيه تفسير شود، به‌هيچ‌وجه دلالت بر عدم ورود پيغمبر صلی الله علیه و آله به مشارق و مغارب ندارد و مخالفتى بين دعا و قرآن از اين نظر فرض نمى‌شود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اندك ذوق و آشنايى به ادب و لسان عرب و عجم داشته باشد، مى‌داند معنای اين اضافه اين نيست كه خدا هم داراى مشرق‌ها و مغرب‌ها است، بلكه مقصود از اين اضافه، اضافه شىء است به مالك و صاحب و مربّى و صانع و خالقش، مثل اينكه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سَمَاؤُكَ وَأَرْضُكَ وَبَحْرُكَ وَبَرُّكَ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آسمان و زمين تو و برّ و بحر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نيست كه ذات خدا آسمان و زمين، دريا و خشكى دارد، يا اينكه آسمان و زمين و برّ و بحر مكان خداست، بلكه معنايش اين است كه او مالك و صاحب‌اختيار و خالق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و مغارب هم‌چون از آيات خداست، به خدا اضافه </w:t>
      </w:r>
      <w:bookmarkStart w:id="84" w:name="pg212_2729"/>
    </w:p>
    <w:p>
      <w:pPr>
        <w:pStyle w:val="BookText"/>
        <w:rPr/>
      </w:pPr>
      <w:bookmarkEnd w:id="84"/>
      <w:r>
        <w:rPr>
          <w:rFonts w:ascii="IRNazanin" w:hAnsi="IRNazanin" w:eastAsia="IRNazanin"/>
          <w:color w:val="111111"/>
          <w:sz w:val="28"/>
          <w:sz w:val="28"/>
          <w:szCs w:val="28"/>
          <w:rtl w:val="true"/>
          <w:lang w:bidi="fa-IR"/>
        </w:rPr>
        <w:t>مى‌شود؛ زيرا او جاعل و قراردهنده نظام مشارق و مغارب و پديدآورنده همه است، و اگر كسى اين معنا را كه بر ذوق هيچ‌كس حتى عوام هم پوشيده نيست، ملتفت نشود واقعاً جاى تعجب است</w:t>
      </w:r>
      <w:r>
        <w:rPr>
          <w:rFonts w:eastAsia="IRNazanin" w:cs="IRNazanin"/>
          <w:color w:val="111111"/>
          <w:sz w:val="28"/>
          <w:szCs w:val="28"/>
          <w:rtl w:val="true"/>
          <w:lang w:bidi="fa-IR"/>
        </w:rPr>
        <w:t>.</w:t>
      </w:r>
    </w:p>
    <w:p>
      <w:pPr>
        <w:pStyle w:val="Heading3"/>
        <w:numPr>
          <w:ilvl w:val="2"/>
          <w:numId w:val="1"/>
        </w:numPr>
        <w:rPr/>
      </w:pPr>
      <w:bookmarkStart w:id="85" w:name="__RefHeading___Toc1913729_211673320"/>
      <w:bookmarkStart w:id="86" w:name="_Toc30"/>
      <w:bookmarkEnd w:id="85"/>
      <w:r>
        <w:rPr>
          <w:rtl w:val="true"/>
        </w:rPr>
        <w:t>يك نكته راجع به قرآن</w:t>
      </w:r>
      <w:bookmarkEnd w:id="86"/>
    </w:p>
    <w:p>
      <w:pPr>
        <w:pStyle w:val="BookText"/>
        <w:rPr/>
      </w:pPr>
      <w:r>
        <w:rPr>
          <w:rFonts w:ascii="Amiri" w:hAnsi="Amiri" w:eastAsia="Amiri" w:cs="Amiri"/>
          <w:color w:val="111111"/>
          <w:sz w:val="28"/>
          <w:sz w:val="28"/>
          <w:szCs w:val="28"/>
          <w:rtl w:val="true"/>
          <w:lang w:bidi="ar-SA"/>
        </w:rPr>
        <w:t xml:space="preserve">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وَأَوْطَأْتَهُ مَشَارِقَكَ وَمَغَارِبَكَ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جمله‌اى است كه از قرآن اقتباس شده، از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السَّمَاوَاتِ وَالْأَرْضِ وَمَا بَيْنَهُمَا وَرَبُّ الْمَشَارِقِ</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زمين و آنچه ميان آنها است و پروردگار مشرق‌ها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أُقْسِمُ بِرَبِّ الْمَشَارِقِ وَالْمَغَارِبِ</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پروردگار مشرق‌ها و مغرب‌ها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دو آيه و آيه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وَأَوْرَثْنَا الْقَوْمَ الَّذِينَ كَانُوايُسْتَضْعَفُونَ مَشَارِقَ الْأَرْضِ وَمَغَارِبَهَا</w:t>
      </w:r>
      <w:r>
        <w:rPr>
          <w:rFonts w:ascii="IRNazanin" w:hAnsi="IRNazanin" w:eastAsia="IRNazanin"/>
          <w:color w:val="111111"/>
          <w:sz w:val="28"/>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ارث داديم قومى را كه استضعاف مى‌شدند، مشرق‌هاى زمين و مغرب‌هاى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معجزات علمى قرآن شمرده شده است؛ زيرا بااينكه در عصر نزول قرآن، كرويت زمين و ساير كرات كشف نشده بود و زمين را ساكن و مركز مى‌دانستند، و براى آن يك مشرق و مغرب حقيقى بيشتر تصور نمى‌كردند و از قارّه جديد اطلاع نداشتند، اين آيات از مشارق و مغارب حقيقى زمين و كرات ديگر و منظومه‌هاى شمسى خبر مى‌دهد، و اعلام مى‌دارد كه به‌طور دائم و متوالى و متعاقب به‌واسطه كرويت زمين و حركت آن به دور خود، طلوع آفتاب بر هر نقطه‌اى از نقاط ارض، حقيقتاً مستلزم غروب آن از نقطه ديگر است تمام نقاط زمين، مشرق و مغرب حقيقى مى‌شود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درضمن، اين آيات از نظام واحدى كه در تمام اين كرات و از مشارق و مغارب صدها ميليون كره و منظومه و كهكشان برقرار است خبر مى‌دهد و نيز خبر مى‌دهد كه پروردگار، و به وجود آورنده اين نظم محيرالعقول، خداى واحد يگانه است و اين معانى در اخبار نيز مطرح شده و اهل‌بيت رسالت علیهم السلام هم كه مفسر قرآن هستند، ازآن خبر داده‌اند</w:t>
      </w:r>
      <w:r>
        <w:rPr>
          <w:rStyle w:val="FootnoteAnchor"/>
          <w:rtl w:val="true"/>
        </w:rPr>
        <w:footnoteReference w:id="87"/>
      </w:r>
      <w:r>
        <w:rPr>
          <w:rFonts w:ascii="Amiri" w:hAnsi="Amiri" w:eastAsia="Amiri" w:cs="Amiri"/>
          <w:color w:val="111111"/>
          <w:sz w:val="28"/>
          <w:sz w:val="28"/>
          <w:szCs w:val="28"/>
          <w:rtl w:val="true"/>
          <w:lang w:bidi="ar-SA"/>
        </w:rPr>
        <w:t>كه اينجا محل بيان تفصيلات آن نيست</w:t>
      </w:r>
      <w:r>
        <w:rPr>
          <w:rFonts w:eastAsia="Amiri" w:cs="Amiri" w:ascii="Amiri" w:hAnsi="Amiri"/>
          <w:color w:val="111111"/>
          <w:sz w:val="28"/>
          <w:szCs w:val="28"/>
          <w:rtl w:val="true"/>
          <w:lang w:bidi="ar-SA"/>
        </w:rPr>
        <w:t xml:space="preserve">. </w:t>
      </w:r>
      <w:bookmarkStart w:id="87" w:name="pg212_2731"/>
    </w:p>
    <w:p>
      <w:pPr>
        <w:pStyle w:val="Heading2"/>
        <w:numPr>
          <w:ilvl w:val="1"/>
          <w:numId w:val="1"/>
        </w:numPr>
        <w:rPr/>
      </w:pPr>
      <w:bookmarkStart w:id="88" w:name="__RefHeading___Toc1913731_211673320"/>
      <w:bookmarkStart w:id="89" w:name="_Toc31"/>
      <w:bookmarkEnd w:id="87"/>
      <w:bookmarkEnd w:id="88"/>
      <w:r>
        <w:rPr/>
        <w:t>9</w:t>
      </w:r>
      <w:r>
        <w:rPr>
          <w:rtl w:val="true"/>
        </w:rPr>
        <w:t xml:space="preserve">- </w:t>
      </w:r>
      <w:r>
        <w:rPr>
          <w:rtl w:val="true"/>
        </w:rPr>
        <w:t>دعاى ندبه و علم پيغمبر و امام</w:t>
      </w:r>
      <w:bookmarkEnd w:id="89"/>
    </w:p>
    <w:p>
      <w:pPr>
        <w:pStyle w:val="Heading3"/>
        <w:numPr>
          <w:ilvl w:val="2"/>
          <w:numId w:val="1"/>
        </w:numPr>
        <w:rPr/>
      </w:pPr>
      <w:bookmarkStart w:id="90" w:name="__RefHeading___Toc1913733_211673320"/>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ايراد ديگرى كه شده است اين است كه در دعاى ندبه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وَأَوْدَعْتَهُ عِلْمَ مَا كَانَ وَمَا يَكُونُ إِلَى انْقِضَاءِ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آنچه بوده و خواهد بود را تا انقراض عالم به او سپردى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چند جاى قرآن ضد اين جمله است؛ در يك‌جا قرآن فرموده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يَسْئَلُونَكَ عَنِ السَّاعَةِ أَيَّانَ مُرْسَاهَا قُلْ إِنَّمَا عِلْمُهَا عِنْدَ رَبِّي‌</w:t>
      </w:r>
      <w:r>
        <w:rPr>
          <w:rFonts w:ascii="IRNazanin" w:hAnsi="IRNazanin" w:eastAsia="IRNazanin"/>
          <w:color w:val="111111"/>
          <w:sz w:val="28"/>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دربارۀ زمان رستاخیز سؤال می‌کنند، کی فرا می‌رسد؟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فقط نزد پرورگار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سوره لقمان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عِنْدَهُ عِلْمُ السَّاعَةِ وَ يُنَزِّلُ الْغَيْثَ وَ يَعْلَمُ مَا فِي الْأَرْحَامِ وَ مَا تَدْرِي‌نَفْسٌ مَا ذَا تَكْسِبُ غَداً وَ مَا تَدْرِي نَفْسٌ بِأَيِّ أَرْضٍ تَمُوتُ إِنَّ اللّٰهَ عَلِيمٌ خَبِيرٌ</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علم به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خداست، و او باران را فرو بارد و او آنچه در رحم‌هاى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و زشت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مى‌داند و هيچ‌كس نمى‌داند كه فردا چه به دست می‌آورد و هيچ‌كس نمى‌داند كه در كدام سرزمين مرگش فرا مى‌رسد پس خدا به همه‌چيز خلايق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علم اين پنج چيز را خدا منحصر به خود قرار داده و حضرت امير علیه السلام درخطبه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چيز را نه پيغمبر مى‌داند، و نه وصى او</w:t>
      </w:r>
      <w:r>
        <w:rPr>
          <w:rStyle w:val="FootnoteAnchor"/>
          <w:rtl w:val="true"/>
        </w:rPr>
        <w:footnoteReference w:id="91"/>
      </w:r>
      <w:r>
        <w:rPr>
          <w:rFonts w:ascii="IRNazanin" w:hAnsi="IRNazanin" w:eastAsia="IRNazanin"/>
          <w:color w:val="111111"/>
          <w:sz w:val="28"/>
          <w:sz w:val="28"/>
          <w:szCs w:val="28"/>
          <w:rtl w:val="true"/>
          <w:lang w:bidi="fa-IR"/>
        </w:rPr>
        <w:t>و در سوره توبه فرموده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أَهْلِ الْمَدِينَةِ مَرَدُوا عَلَى النِّفَاقِ لَا تَعْلَمُهُمْ نَحْنُ نَعْلَمُهُمْ</w:t>
      </w:r>
      <w:r>
        <w:rPr>
          <w:rFonts w:ascii="IRNazanin" w:hAnsi="IRNazanin" w:eastAsia="IRNazanin"/>
          <w:color w:val="111111"/>
          <w:sz w:val="28"/>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مدينه گروهی سخت بر نفاق پای‌بندند تو آنها را نمی‌شناسی ولی ما آنها را می‌شناسيم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مطففين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أَدْرَيٰكَ مَا سِجِّينٌ</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 که سجين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أَدْرَيٰكَ مَا عِلِّيُّونَ</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که علیّون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احقاف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أَدْرِي مَا يُفْعَلُ بِي وَلَا بِكُمْ إِنْ أَتَّبِعُ إِلَّا مَا يُوحَى إليَّ</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نمى دانم با من و شما چه خواهد شد، من پيروى نمى‌كنم مگر آنچه به من وحى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اسراء فرموده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أُوتِيتُمْ مِنَ الْعِلْمِ إِلَّا قَلِيلاً</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نشد به شما مگر كمى از 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تفسیر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وارد شده كه از رسول خدا صلی الله علیه و آله سؤالى كردند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مى‌دهم، ولى ان‌شاء‌الله نگفت، پس تا چهل روز وحى نيامد، و رسول خدا صلی الله علیه و آله ندانست جواب گويد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پس اگر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جواب مى‌داد، پس اين جمله از دعای ندبه ضدّقرآن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در روايات بسيار، به همين لفظ يا مانند آن وارد شده و مى‌توان نسبت به صدور آن دعواى تواتر اجمالى نمود، پس صدور اين متن و دلالت آن بر اينكه پيغمبر و ائمه علیهم السلام داراى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قابل‌انكار نمى‌باشد و وجود آن در دعاى ندبه، سبب ضعف آن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الكافى و الوافى بابى است به اين 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الْأَئِمَّةَ علیهم السلام يَعْلَمُونَ عِلْمَ مَا كَانَ وَمَا يَكُونُ، وَأَنَّهُ لَا يَخْفَى عَلَيْهِمْ الشَّيْءُ 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اينكه امامان علیهم السلام مى‌دانند علم آنچه بوده و آنچه خواهد بود و اينكه پنهان نمى‌گردد از ايشان چيزى، درود خدا بر ايشان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ابواب ديگر و روايات زياد، ساير كتب حديث نيز همه،عنوان اين باب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مسئله علم پيغمبر و امام، از </w:t>
      </w:r>
    </w:p>
    <w:p>
      <w:pPr>
        <w:pStyle w:val="BookText"/>
        <w:rPr/>
      </w:pPr>
      <w:r>
        <w:rPr>
          <w:rFonts w:ascii="IRNazanin" w:hAnsi="IRNazanin" w:eastAsia="IRNazanin"/>
          <w:color w:val="111111"/>
          <w:sz w:val="28"/>
          <w:sz w:val="28"/>
          <w:szCs w:val="28"/>
          <w:rtl w:val="true"/>
          <w:lang w:bidi="fa-IR"/>
        </w:rPr>
        <w:t>مباحث مهم و پيچيده است، ولى اهل فن و كسانى كه آشنا به علوم اهل‌بيت، و حديث‌شناس مى‌باشند، اطراف و جوانب آن را روشن ساخته و در كتب حديث و همچنين كتاب‌هايى كه بالخصوص در علم امام و حدود آن تأليف شده</w:t>
      </w:r>
      <w:r>
        <w:rPr>
          <w:rStyle w:val="FootnoteAnchor"/>
          <w:rtl w:val="true"/>
        </w:rPr>
        <w:footnoteReference w:id="98"/>
      </w:r>
      <w:r>
        <w:rPr>
          <w:rFonts w:ascii="IRNazanin" w:hAnsi="IRNazanin" w:eastAsia="IRNazanin"/>
          <w:color w:val="111111"/>
          <w:sz w:val="28"/>
          <w:sz w:val="28"/>
          <w:szCs w:val="28"/>
          <w:rtl w:val="true"/>
          <w:lang w:bidi="fa-IR"/>
        </w:rPr>
        <w:t>توهم تنافى بين روايات و ظواهر بعضى از آيات قرآن رفع شده است، و چگونه مى‌شود كه اين روايات كه به صدورشان يقين داريم، اگر مخالف با قرآن باشند، از امام علیه السلام كه اعلم مردم به علوم و مقاصد قرآن است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اينكه در همين پنج موردى كه شما گمان كرده‌ايد آيه دلالت بر عدم تعلق علم امام به آن دارد، به‌طورمسلّم در موارد بسيار، پيغمبر و ائمه علیهم السلام خبر داده‌اند، و بلكه برحسب قرآن، از اين موارد ملائكه و انبيا خبر داده و انبياى گذشته از انبياى آينده خبر داده‌اند و همچنين علم آجال خلق در نزد ملك‌الموت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بايد گفت حتى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w:t>
      </w:r>
      <w:r>
        <w:rPr>
          <w:rStyle w:val="FootnoteAnchor"/>
          <w:rtl w:val="true"/>
        </w:rPr>
        <w:footnoteReference w:id="99"/>
      </w:r>
      <w:r>
        <w:rPr>
          <w:rFonts w:ascii="IRNazanin" w:hAnsi="IRNazanin" w:eastAsia="IRNazanin"/>
          <w:color w:val="111111"/>
          <w:sz w:val="28"/>
          <w:sz w:val="28"/>
          <w:szCs w:val="28"/>
          <w:rtl w:val="true"/>
          <w:lang w:bidi="fa-IR"/>
        </w:rPr>
        <w:t>باوجوداين قرائن معلوم، اين‌گونه ظهورى را كه شما گمان مى‌كنيد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طرح پرسش در اين موضوع بايد سؤال از مفاد و تفسير اين آيات كرد به اين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بااينكه به‌طورقطع و يقين، و برحسب تواريخ مسلّم و احاديث معتبر بين اهل اسلام و آيات قرآن مجيد، پيغمبران و ملائكه و ائمه علیهم السلام از موارد مذكور در همين آيه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الْأَرْحَامِ</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در رَحِم‌ها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آجال و آينده اشخاص خبر داده‌اند، پس مراد از اين آيه و ساير آياتى كه ظاهر آن، نفى علم غيب از غيرخدا و اختصاص آن به خداوند متعال است، چيست؟ و معنای اختصاص علم اين امور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به قول ابن ابى‌الحديد معتزلى در شرح نهج‌البلاغه</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خطبه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ايرادكننده به آن استشهاد كرده، خدا پيغمبرش را از حوادث آينده خبر داد، مانند اينكه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به‌زودى مكّه را فتح خواهى كرد</w:t>
      </w:r>
      <w:r>
        <w:rPr>
          <w:rFonts w:eastAsia="Amiri" w:cs="Amiri" w:ascii="Amiri" w:hAnsi="Amiri"/>
          <w:color w:val="111111"/>
          <w:sz w:val="28"/>
          <w:szCs w:val="28"/>
          <w:rtl w:val="true"/>
          <w:lang w:bidi="ar-SA"/>
        </w:rPr>
        <w:t xml:space="preserve">». </w:t>
      </w:r>
      <w:bookmarkStart w:id="92" w:name="pg212_2737"/>
    </w:p>
    <w:p>
      <w:pPr>
        <w:pStyle w:val="BookText"/>
        <w:rPr/>
      </w:pPr>
      <w:bookmarkEnd w:id="92"/>
      <w:r>
        <w:rPr>
          <w:rFonts w:ascii="IRNazanin" w:hAnsi="IRNazanin" w:eastAsia="IRNazanin"/>
          <w:color w:val="111111"/>
          <w:sz w:val="28"/>
          <w:sz w:val="28"/>
          <w:szCs w:val="28"/>
          <w:rtl w:val="true"/>
          <w:lang w:bidi="fa-IR"/>
        </w:rPr>
        <w:t>يا پيغمبر، وصى خود را از آينده و فردايش خبر داد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سَتُقَاتِلُ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به‌زودى با پيمان‌شكنان جنگ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مى‌باشد؟</w:t>
      </w:r>
    </w:p>
    <w:p>
      <w:pPr>
        <w:pStyle w:val="BookText"/>
        <w:rPr/>
      </w:pPr>
      <w:r>
        <w:rPr>
          <w:rFonts w:ascii="Amiri" w:hAnsi="Amiri" w:eastAsia="Amiri" w:cs="Amiri"/>
          <w:color w:val="111111"/>
          <w:sz w:val="28"/>
          <w:sz w:val="28"/>
          <w:szCs w:val="28"/>
          <w:rtl w:val="true"/>
          <w:lang w:bidi="ar-SA"/>
        </w:rPr>
        <w:t>جواب 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بر دو دسته هستند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913735_211673320"/>
      <w:bookmarkStart w:id="94" w:name="_Toc33"/>
      <w:bookmarkEnd w:id="93"/>
      <w:r>
        <w:rPr>
          <w:rtl w:val="true"/>
        </w:rPr>
        <w:t>آیات دسته اول</w:t>
      </w:r>
      <w:bookmarkEnd w:id="94"/>
    </w:p>
    <w:p>
      <w:pPr>
        <w:pStyle w:val="BookText"/>
        <w:rPr/>
      </w:pPr>
      <w:r>
        <w:rPr>
          <w:rFonts w:ascii="Amiri" w:hAnsi="Amiri" w:eastAsia="Amiri" w:cs="Amiri"/>
          <w:color w:val="111111"/>
          <w:sz w:val="28"/>
          <w:sz w:val="28"/>
          <w:szCs w:val="28"/>
          <w:rtl w:val="true"/>
          <w:lang w:bidi="ar-SA"/>
        </w:rPr>
        <w:t>آياتى هستند كه ظاهر آن به‌طور اجمال، اختصاص علم غيب به خداست كه اطلاق يا عمومشان، مخصص و مقيد شده است مانند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w:t>
      </w:r>
      <w:r>
        <w:rPr>
          <w:rStyle w:val="FootnoteAnchor"/>
          <w:rtl w:val="true"/>
        </w:rPr>
        <w:footnoteReference w:id="102"/>
      </w:r>
      <w:r>
        <w:rPr>
          <w:rFonts w:ascii="IRNazanin" w:hAnsi="IRNazanin" w:eastAsia="IRNazanin"/>
          <w:color w:val="111111"/>
          <w:sz w:val="28"/>
          <w:sz w:val="28"/>
          <w:szCs w:val="28"/>
          <w:rtl w:val="true"/>
          <w:lang w:bidi="fa-IR"/>
        </w:rPr>
        <w:t xml:space="preserve">و پس از اين تخصيص كه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يُخَصِّصُ بَعْضُهُ بَعْضاً كَمَا يُفَسِّرُ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معتبر است،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آيه به نحوى صحيح است كه با آن علم ضرورى بديهى و اخبار پنج‌گانه به‌موجب تاريخ و حوادث و وقايع كثير ثابت و محرز است و قابل‌انكار نيست و كتاب و سنّت هم آن را تأييد مى‌كند، موافق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تفسير اين آيات اگر نگوييم از آيات متشابه است، تفسير </w:t>
      </w:r>
    </w:p>
    <w:p>
      <w:pPr>
        <w:pStyle w:val="BookText"/>
        <w:rPr/>
      </w:pPr>
      <w:r>
        <w:rPr>
          <w:rFonts w:ascii="IRNazanin" w:hAnsi="IRNazanin" w:eastAsia="IRNazanin"/>
          <w:color w:val="111111"/>
          <w:sz w:val="28"/>
          <w:sz w:val="28"/>
          <w:szCs w:val="28"/>
          <w:rtl w:val="true"/>
          <w:lang w:bidi="fa-IR"/>
        </w:rPr>
        <w:t>صحيح اين است كه با آنچه خارجاً وقوع يافته، موافق باشد و از ظاهر لفظ و كلام نيز عرفاً خارج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يكى از چند وجه ممكن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علم غيب مختص به ذات الوهيت، علم غيب ذاتى است كه عين ذات او و قديم است و به افاضه و اعطاى كسى نيست و در عرض آن علمى و عالمى فرض نمى‌شود و مراد از علم پيغمبر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علم حضورى و چه علم حصولى اشائى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علمى است كه به طريق الهام يا وسايل ديگر، از جانب خدا به آنها اعطا شده است كه فرق حقيقى بين علم معصوم، و هركسى كه به غيبى اطّلاع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ما هم كه به بسيارى از غيب‌ها به‌وسيله قرآن و اخبار پيغمبر و امام آگاهيم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خدا همين است كه علم ما ذاتى نيست و عين ذات نيست و حادث است و قديم نيست، امّا علم خدا ذاتى و عين ذات و قديم است و به‌عبارت‌دیگر علم پيغمبر و امام، آخرين درجه علم ممكن است و علم خدا علم واجب‌الوجود است و اين وجه به </w:t>
      </w:r>
    </w:p>
    <w:p>
      <w:pPr>
        <w:pStyle w:val="BookText"/>
        <w:rPr/>
      </w:pPr>
      <w:r>
        <w:rPr>
          <w:rFonts w:ascii="IRNazanin" w:hAnsi="IRNazanin" w:eastAsia="IRNazanin"/>
          <w:color w:val="111111"/>
          <w:sz w:val="28"/>
          <w:sz w:val="28"/>
          <w:szCs w:val="28"/>
          <w:rtl w:val="true"/>
          <w:lang w:bidi="fa-IR"/>
        </w:rPr>
        <w:t xml:space="preserve">طوركلى نسبت به تمام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نيازى باشد به تقييد اطلاق آنها به موارد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و مؤيد اين است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الْغَيْبِ فَلَا يُظْهِرُ عَلَى غَيْبِهِ أَحَداً ٭ إِلَّا مَنِ ارْتَضَى مِنْ رَسُولٍ فَإِنَّهُ يَسْلُكُ مِنْ بَيْنِ يَدَيْهِ وَمِنْ خَلْفِهِ رَصَداً</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غيب است و احدى را بر غيب خود مطّلع ننمايد؛ مگر رسول مرتضى و برگزيده را كه از پيش رو و از پشت‌سر او نگهبان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ascii="IRNazanin" w:hAnsi="IRNazanin" w:eastAsia="IRNazanin"/>
          <w:color w:val="111111"/>
          <w:sz w:val="28"/>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بر غيب مطّلع نمى‌گرداند وليكن از پيغمبرانش هركسى را كه بخواهد براى اطّلاع بر آن برمى‌گزيند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پس از تقييد اطلاقات به اين موارد پنج‌گانه گفته مى‌شود، اين است كه علم خدا حضورى ذاتى و عين ذات، و علم پيغمبر و امام نسبت به غير موارد پنج‌گانه حضورى غيرذاتى و نسبت به موارد پنج‌گانه حصولى و اشائى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مراد از اين آيه اين باشد كه علم اين موارد پنج‌گانه به‌طور عموم به نحوى كه شامل تمام افراد و انواع و مجردات و ماديّات باشد، اختصاص به خدا دارد، امّا براى ولىّ و امام تا حدودى كه بر ما مشخص نيست نيز اين علوم حاصل مى‌شود و به‌عبارت‌ديگر به‌طور نامحدود اين علوم مختص به خداست و براى پيغمبر و امام به‌طور محدود حاصل مى‌شود و ممكن است مؤيد اين وجه باشد، اين آيه شريفه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يَعْلَمُ مَا تَحْمِلُ كُلُّ أُنْثَى وَ مَا تَغِيضُ الْأَرْحَامُ وَمَا تَزْدَادُ وَكُلُّشَيْ‌ءٍ عِنْدَهُ بِمِقْدَارٍ</w:t>
      </w:r>
      <w:r>
        <w:rPr>
          <w:rFonts w:ascii="IRNazanin" w:hAnsi="IRNazanin" w:eastAsia="IRNazanin"/>
          <w:color w:val="111111"/>
          <w:sz w:val="28"/>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آنچه را كه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ماده‌اى برمى‌دارد و آنچه را رحم‌ها مى‌كاهد و آنچه را زياد مى‌سازد مى‌داند و همه‌چيز نزد او به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نفى علم به موارد پنج‌گانه از غيرخدا بالذات است، يعنى هويّت و ذات غير او حاجت محض و فقر مطلق است، پس منافات ندارد كه بالعَرض و به افاضه خدا اين علوم را دارا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مراد از اختصاص علم غيب به خدا اين است كه مصداق واقعى و حقيقى علم كه از هيچ لحاظ جهلى در آن متصوّر نيست، علم خداست كه ذاتى است و هويتش عين علم و عين حيات و عين قدرت و ساير صفات ذاتيه كماليه است، چنان‌كه مصداق واقعى حقيقى عالم نيز كه نه زماناً و نه رتبةً و نه از حيث ذات، جهلى در او نيست خداست كه تمام موجودات در ذات خود جاهل و محتاج هستند و فقط او عالم بالذّات و غنى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آنى فيض او قطع شود، همه دانايان و همه موجودات در جهل تام و نيستى مطلق سقوط مى‌كنند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أَرَءَيْتُمْ إِنْ أَخَذَ اللّٰهُ سَمْعَكُمْ وَأَبْصَارَكُمْ وَخَتَمَ عَلَى قُلُوبِكُمْ مَنْإِلَهٌ غَيْرُ اللّٰهِ يَأْتِيكُمْ بِهِ</w:t>
      </w:r>
      <w:r>
        <w:rPr>
          <w:rFonts w:ascii="IRNazanin" w:hAnsi="IRNazanin" w:eastAsia="IRNazanin"/>
          <w:color w:val="111111"/>
          <w:sz w:val="28"/>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مى‌بينيد شما، اگر بگيرد خدا گوش و چشم شما را و مهر زند بر دل‌هاى شما، كيست خدايى غير الله كه بياورد براى شما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موجودات، يا با وسايل و آلات مادى و جسمى، يا توسط وسايل غيرمادى مثل الهام و غير آن، عالم مى‌شوند؛ ولى خداوند متعال بالذات و بدون هيچ وسيله‌اى عالم و داناست، پس نفى علم از ممكنات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قطع‌نظر از آلات و جوارح و وسائط و وسايل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ممكن است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لَيْسَ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عالميت و انسانيت متصادق نيستند،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أَوِ الْمُمْكِنُ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هو هو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حمل ذو هو نيز حقيقةً و بالذات صحيح نيست، هرچند مجازاً و بالعرض صحيح باشد، به اين لحاظ كه اوصاف خدا عين ذات و ذات او مصداق واقعى اين صفات است 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انسان‌ها نيز باواسطه و بالعرض سميع و بصيرند، و نيز مى‌گوييم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الْعَلِيمُ الْقَدِيرُ وَهُوَ الْعَزِيزُ الْحَكِيمُ الْعَلِيمُ، عَالِمُ الْغَيْبِ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سميع و بصير و عليم و قدير، منحصر به ذات اقدس اوست و بر باقى مجازاً و عرضاً اطلاق مى‌شود و نفى آن به اين ملاحظه از همه ممكن است، و صحيح است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مقام،مقام بر شمردن صفات الوهيّت و واجب‌الوجود و ابراز فقر ممكن به حيثيّت امكانى كه نيستى محض است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حديث از هشام بن سالم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تَنْعَتُ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صِفَةٌ يَشْتَرِكُ فِيهَا الْمَخْلُوقُونَ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نُورٌ لَا ظُلْمَةَ فِيهِ، وَحَيَاةٌ لَا مَوْتَ فِيهِ، وَعِلْمٌ لَا جَهْلَ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وَأَنَا أَعْلَمُ النَّاسِ بِالتَّوْحِيدِ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خدمت امام‌صادق علیه السلام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را توصیف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شنونده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صفتی است که مخلوق‌ها 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توصیف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نوری است که ظلمت و تاریکی در آن نیست و حیات و زندگی است که مرگ در آن راه ندارد و علمی است که نادانی و جهل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خدمت آن حضرت بیرون شدم درحالی‌که داناترین مردم به توحیدبودم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ظاهراً مستفاد از اين روايت است كه اطلاق سميع و بصير بر ذات واجب، با اطلاق آن بر ممكن به يك نحو نيست؛ زيرا در مقام اطلاق آن بر واجب، اطلاق و وجه صحّت، حمل و اطلاق حقيقى </w:t>
      </w:r>
    </w:p>
    <w:p>
      <w:pPr>
        <w:pStyle w:val="BookText"/>
        <w:rPr/>
      </w:pPr>
      <w:r>
        <w:rPr>
          <w:rFonts w:ascii="IRNazanin" w:hAnsi="IRNazanin" w:eastAsia="IRNazanin"/>
          <w:color w:val="111111"/>
          <w:sz w:val="28"/>
          <w:sz w:val="28"/>
          <w:szCs w:val="28"/>
          <w:rtl w:val="true"/>
          <w:lang w:bidi="fa-IR"/>
        </w:rPr>
        <w:t>است و آن اين است كه حقيقت صفت، عين ذات موصوف است، او حىّ و زنده‌اى است كه موت و فنا در او راه ندارد، و نور و سميع و بصير و عالمى است كه از حيث ذات خود، تاريكى و ناشنوايى و نابينايى و ناآگاهى به‌هيچ‌وجه در او تصور نمى‌شود، حقّى است كه باطل در آن نيست، ازلى و ابدى و اول و آخر و تمام حيثيت او، حيثيت وجود و حيات و علم و قدرت است، و با آن حى و زنده‌اى كه قائم به غير است و صفاتش ذاتى او نيست، در يك عرض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عالم و بصير و خبير بر او، حقيقت و اطلاق آنها بر غير او، بالعرض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داناى نهان و آشكار است، ما هم به آشكار و آنچه محسوس است، به‌واسطه حواس ظاهرى داناييم و به بسيارى از نهان‌ها هم داناييم به‌واسطه حواس باطنى يا به اعلام انبيا و اخبار آنها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صفت عالم‌الغيب و عالم‌الشهادة، به آن حيثيتى كه بر خدا اطلاق مى‌شود، بر بنده صحّت اطلاق ندارد، پس معلوم شد آن علم غيبى كه براى خدا هست و براى غير او نيست، علمى است كه براى غير اومحال است و آنكه براى غير او اثبات مى‌كنيم علمى است كه براى غير او ممكن است و سنخش سنخ علم خدا نيست و براى افراد اكمل و اشرف بايد حاصل شود، چون در مبدأ فياض بُخل نيست و در افرادى مثل پيغمبر و امام نيز صلاحيت و لياقت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اَلْعَطِيَّاتُ </w:t>
      </w:r>
    </w:p>
    <w:p>
      <w:pPr>
        <w:pStyle w:val="BookText"/>
        <w:rPr/>
      </w:pPr>
      <w:r>
        <w:rPr>
          <w:rFonts w:ascii="Amiri" w:hAnsi="Amiri" w:eastAsia="Amiri" w:cs="Amiri"/>
          <w:color w:val="111111"/>
          <w:sz w:val="28"/>
          <w:sz w:val="28"/>
          <w:szCs w:val="28"/>
          <w:rtl w:val="true"/>
          <w:lang w:bidi="ar-SA"/>
        </w:rPr>
        <w:t>بِقَدْرِ الْقَابِلِيَّاتِ</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اقتضا دارد كه اين عمل براى آنها حاصل باشد، به هر نحو تمام‌تر و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بعضى علوم كه ذاتاً از دسترس بشر خارج است، و بالذّات براى بشر محال باشد كه حتى به‌واسطه الهام و افاضه، به آن علم پيدا كند، مثل علم ذات بارى‌تعالى به ذات خود، از اين بحث خارج است و شايد از اين قبيل باشد معرفت يك حرف از هفتادوسه حرف اسم اعظم كه مختص به خود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اين بيان، اين شد كه علمى كه اختصاص به خدا دارد و از غير او منفى است، غير از علمى است كه براى بشر ثابت است و موضوع نفى و اثبات واحد نيست وگرنه چگونه مى‌شود موضوعى كه خارجاً وجود دارد؛ يعنى علمى كه ما به امور غيبى مثل بهشت و جهنم و عرش و كرسى، و حوادث آينده از راه اعلام پيغمبر و امام داريم، در قرآن و يا روايات نفى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علم پيغمبر و امام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عادى كه از راه همين حواس ظاهرى و باطنى براى همه حاصل مى‌شود و آن بزرگواران مأمور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يك موارد استثنايى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امور و رفتار خود را بر اساس آن گذارده و به‌طور عادى رفتار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غيرعادى كه ازطريق الهام و تحديث ملائكه و وحى و جفر و جامعه و ساير طرقى كه در اختيار دارند، حاصل مى‌شود كه با اين علم كارهاى دنيا و امور متعارف را اداره نمى‌كردند، مگر استثنائاً و بر سبيل اعجاز، و در مورد امور غيبى، آنچه كه منفى است علم عادى است و علم خداوند اين دوگانگى را ندارد و نسبت به همه معلومات بر يك منوال است و به‌طور اطلاق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به‌عبارت‌ديگر، در اطلاقات و محاورات عرفى نسبت به انسان‌ها آنچه اثبات يا نفى مى‌شود، علم عادى است، مگر اينكه قرينه‌اى برخلاف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غيب نيز آنچه نفى شده، علم عادى است و به اين حساب 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علم غيب ندارد و خدا دارد، چون نسبت به علم خدا، علم عادى و غيرعادى فرض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در مثل موضوعات پنج‌گانه نفى شده معلومات غيرمتناهى واقعى يا عرفى به وصف غيرمتناهى‌بودن است، كه دانستنش براى امام نه كمال است و نه مصلحتى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علومبه وصف نامتناهى‌بودن، مخصوص ذات الوهيّت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ممكن است مراد اين باشد كه در اين امور جزئى و موضوعات، علم پيغمبر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حضورى باشد، خواه حصولى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حدودى است كه مصلحتى بر آن مترتّب شود؛ زيرا به‌طور مجموع، يا امكان </w:t>
      </w:r>
      <w:bookmarkStart w:id="95" w:name="pg212_2747"/>
    </w:p>
    <w:p>
      <w:pPr>
        <w:pStyle w:val="BookText"/>
        <w:rPr/>
      </w:pPr>
      <w:bookmarkEnd w:id="95"/>
      <w:r>
        <w:rPr>
          <w:rFonts w:ascii="Amiri" w:hAnsi="Amiri" w:eastAsia="Amiri" w:cs="Amiri"/>
          <w:color w:val="111111"/>
          <w:sz w:val="28"/>
          <w:sz w:val="28"/>
          <w:szCs w:val="28"/>
          <w:rtl w:val="true"/>
          <w:lang w:bidi="ar-SA"/>
        </w:rPr>
        <w:t>ندارد و يا در افاضه علم آن به امام، مصلحتى فرض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چند وجهِ جمع، نسبت به آياتى كه ظاهر آن اختصاص علم غيب به خداوند متعال است، كه بعضى از آنها اشكال را در آيات دسته دوم نيز حل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وجوه ديگرى نيز هست كه بيانش سبب طولانى‌گشتن كلام مى‌شود و اقوی و ارجح وجوه، وجهى است كه با رفعت مقام پيغمبر و ائمه علیهم السلام و اكمليّت و اشرفيّت و سعه قابليّت و لياقت آنها براى كسب فيوض ربانى و انعامات و اعطائات الهى و مضامين احاديث و روايات معتبر، موافق‌تر باشد</w:t>
      </w:r>
      <w:r>
        <w:rPr>
          <w:rFonts w:eastAsia="IRNazanin" w:cs="IRNazanin"/>
          <w:color w:val="111111"/>
          <w:sz w:val="28"/>
          <w:szCs w:val="28"/>
          <w:rtl w:val="true"/>
          <w:lang w:bidi="fa-IR"/>
        </w:rPr>
        <w:t>.</w:t>
      </w:r>
    </w:p>
    <w:p>
      <w:pPr>
        <w:pStyle w:val="Heading3"/>
        <w:numPr>
          <w:ilvl w:val="2"/>
          <w:numId w:val="1"/>
        </w:numPr>
        <w:rPr/>
      </w:pPr>
      <w:bookmarkStart w:id="96" w:name="__RefHeading___Toc1913737_211673320"/>
      <w:bookmarkStart w:id="97" w:name="_Toc34"/>
      <w:bookmarkEnd w:id="96"/>
      <w:r>
        <w:rPr>
          <w:rtl w:val="true"/>
        </w:rPr>
        <w:t>آيات دسته دوم</w:t>
      </w:r>
      <w:bookmarkEnd w:id="97"/>
    </w:p>
    <w:p>
      <w:pPr>
        <w:pStyle w:val="Heading4"/>
        <w:numPr>
          <w:ilvl w:val="3"/>
          <w:numId w:val="1"/>
        </w:numPr>
        <w:rPr/>
      </w:pPr>
      <w:bookmarkStart w:id="98" w:name="__RefHeading___Toc1913739_211673320"/>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اما اين آيات چنانچه گفته شد، در بعضى موارد جزئى و خاصّ، نفى علم غيب از پيغمبر و امام كرده‌اند؛ مانند آيه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أَهْلِ الْمَدِينَةِ مَرَدُوا عَلَى النِّفَاقِ لَا تَعْلَمُهُمْ نَحْنُ نَعْلَمُهُمْ سَنُعَذِّبُهُمْ مَرَّتَيْنِ ثُمَّ يُرَدُّونَ إِلَى عَذَابٍ عَظِيمٍ</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مدينه كسانى مى‌باشند كه خو كرده و مهارت يافته‌اند در نفاق، تو نمى‌دانى آنها را، ما مى‌دانيم ايشان را، زود باشد كه عذاب كنيم آنها را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به‌سوى مجازات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مى‌شوند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مثل اين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أَمْلِكُ لِنَفْسِي نَفْعاً وَ لَا ضَرًّا إِلَّا مَا شَاءَ اللَّهُ وَلَوْ كُنْتُ أَعْلَمُ الْغَيْبَ لَاسْتَكْثَرْتُ مِنَ الْخَيْرِ وَ مَا مَسَّنِيَ السُّوءُ</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مالك نيستم براى خودم سود و زيانى را مگر آنچه را خدا بخواهد و اگر غيب مى‌دانستم سود فراوانی برای خود فراهم می‌کردم و به من بدى نمى‌رسيد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مَا يُفْعَلُ بِي وَ لَا بِكُمْ إِنْ أَتَّبِعُ إِلَّا مَا يُوحَى إِلَيَّ</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با من و شما چه خواهد شد، و متابعت نمى‌كنم مگر آنچه را كه به من وحى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أَدْرَيٰكَ مَا عِلِّيُّونَ</w:t>
      </w:r>
      <w:r>
        <w:rPr>
          <w:rFonts w:ascii="IRNazanin" w:hAnsi="IRNazanin" w:eastAsia="IRNazanin"/>
          <w:color w:val="111111"/>
          <w:sz w:val="28"/>
          <w:sz w:val="28"/>
          <w:szCs w:val="28"/>
          <w:rtl w:val="true"/>
          <w:lang w:bidi="fa-IR"/>
        </w:rPr>
        <w:t>؛</w:t>
      </w:r>
      <w:r>
        <w:rPr>
          <w:rStyle w:val="FootnoteAnchor"/>
          <w:rtl w:val="true"/>
        </w:rPr>
        <w:footnoteReference w:id="11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که عليون 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أُوتِيتُمْ مِنَ الْعِلْمِ إِلَّا قَلِيلاً</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نشده‌ايد از دانايى مگر اندكى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تَقُولَنَّ لِشَيْ‌ءٍ إِنِّي فَاعِلٌ ذَلِكَ غَداً٭ إِلَّا أَنْ يَشَاءَ اللّٰهُ‌</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مورد کاری نگو من فردا آن را انجام می‌دهم، مگر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اشكال پيرامون تفسير اين آيات علاوه بر آنچه قبلاً بيان شد به چند وجه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راه‌حلّ اوّل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ازجمله اينكه ممكن است مراد از لَا تَعْلَمُهُم</w:t>
      </w:r>
      <w:r>
        <w:rPr>
          <w:rFonts w:ascii="IRNazanin" w:hAnsi="IRNazanin" w:eastAsia="IRNazanin"/>
          <w:color w:val="111111"/>
          <w:sz w:val="28"/>
          <w:sz w:val="28"/>
          <w:szCs w:val="28"/>
          <w:rtl w:val="true"/>
          <w:lang w:bidi="fa-IR"/>
        </w:rPr>
        <w:t xml:space="preserve"> نفى علم از پيغمبر قبل از اعلام خدا يا قبل از آنكه مشيت آن حضرت تعلق به علم به آن موضوع بگيرد باشد كه نفى علم از آنها در اين رتبه شده باشد، رتبه‌اىكه در آن رتبه بدون تلقى علم از خدا به غيب امكان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راه‌حلّ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لَا تَعْلَمُهُمْ نَحْنُ نَعْلَمُهُمْ</w:t>
      </w:r>
      <w:r>
        <w:rPr>
          <w:rFonts w:ascii="IRNazanin" w:hAnsi="IRNazanin" w:eastAsia="IRNazanin"/>
          <w:color w:val="111111"/>
          <w:sz w:val="28"/>
          <w:sz w:val="28"/>
          <w:szCs w:val="28"/>
          <w:rtl w:val="true"/>
          <w:lang w:bidi="fa-IR"/>
        </w:rPr>
        <w:t xml:space="preserve"> و امثال اين جمله‌ها، گاهى در مقام تعظيم و اعتناى به موضوع آورده مى‌شود كه گوينده‌اى كه از مخاطب اعلم و اعظم است، بااينكه مى‌داند مخاطب هم از آن موضوع بااطّلاع است، مثلاً براى نهايت ذم و نكوهش كسى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يا فلانى را نمى‌شناسى، من او را مى‌شناسم، كه درحقيقت اين نحو استعمال يك نوع استعمال مجازى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راه‌حلّ سوم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اين كلام خود زمينه‌سازى و مقدّمه‌چينى براى مطّلع‌ساختن پيغمبر صلی الله علیه و آله از غيب و مآل كار آنها باشد و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پايان كار اينان باخبر نيستى، ما مى‌دانيم زود باشد كه ايشان را دو بار عذاب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آيه و همچنين آياتى مثل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أَدْرَيٰكَ مَا عِلِّيُّونَ</w:t>
      </w:r>
      <w:r>
        <w:rPr>
          <w:rStyle w:val="FootnoteAnchor"/>
          <w:rtl w:val="true"/>
        </w:rPr>
        <w:footnoteReference w:id="116"/>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أَدْرَيٰكَ مَا الْقَارِعَةُ</w:t>
      </w:r>
      <w:r>
        <w:rPr>
          <w:rStyle w:val="FootnoteAnchor"/>
          <w:rtl w:val="true"/>
        </w:rPr>
        <w:footnoteReference w:id="117"/>
      </w:r>
      <w:r>
        <w:rPr>
          <w:rFonts w:ascii="IRNazanin" w:hAnsi="IRNazanin" w:eastAsia="IRNazanin"/>
          <w:color w:val="111111"/>
          <w:sz w:val="28"/>
          <w:sz w:val="28"/>
          <w:szCs w:val="28"/>
          <w:rtl w:val="true"/>
          <w:lang w:bidi="fa-IR"/>
        </w:rPr>
        <w:t>در مقام نفى علم از غيب به نحو حقيقت نيست، بلكه در مقام تعظيم شأن موضوع و مواقف و مشاهد قيامت است، تا كسانى كه قرآن راتلاوت مى‌نمايند هميشه از عظمت اين روز آگاه شوند و به فرمايش شيخ طوسى، مفاد اين كلمات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كى بود مانند ديدن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لَسْتُ تَعْلَمُهَا إِذَا لَمْ تُعَايِنْهَا، وَتَرَى مَا فِيهَا مَنَ الْأَهْوَالِ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تو نيستى كه آن را بدانى مادام كه آن را معاينه نكرده‌اى و نديده‌اى آنچه را در آن است از اهوال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علاوه‌براين در مجمع‌البيان</w:t>
      </w:r>
      <w:r>
        <w:rPr>
          <w:rStyle w:val="FootnoteAnchor"/>
          <w:rtl w:val="true"/>
        </w:rPr>
        <w:footnoteReference w:id="119"/>
      </w:r>
      <w:r>
        <w:rPr>
          <w:rFonts w:ascii="Amiri" w:hAnsi="Amiri" w:eastAsia="Amiri" w:cs="Amiri"/>
          <w:color w:val="111111"/>
          <w:sz w:val="28"/>
          <w:sz w:val="28"/>
          <w:szCs w:val="28"/>
          <w:rtl w:val="true"/>
          <w:lang w:bidi="ar-SA"/>
        </w:rPr>
        <w:t>و التبيان</w:t>
      </w:r>
      <w:r>
        <w:rPr>
          <w:rStyle w:val="FootnoteAnchor"/>
          <w:rtl w:val="true"/>
        </w:rPr>
        <w:footnoteReference w:id="120"/>
      </w:r>
      <w:r>
        <w:rPr>
          <w:rFonts w:ascii="IRNazanin" w:hAnsi="IRNazanin" w:eastAsia="IRNazanin"/>
          <w:color w:val="111111"/>
          <w:sz w:val="28"/>
          <w:sz w:val="28"/>
          <w:szCs w:val="28"/>
          <w:rtl w:val="true"/>
          <w:lang w:bidi="fa-IR"/>
        </w:rPr>
        <w:t xml:space="preserve">از سفيان ثورى نقل شده است كه به آنچه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شكى باقى نمى‌ماند كه اين جمله در مقام نفى علم نيست، بلكه در مقام بزرگ‌شمردن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آيات اگر دلالت بر علم پيغمبر به غيب نكند، دلالت بر نفى علم غيب از آن حضرت و ائمه علیهم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چهارم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آياتى مثل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أَعْلَمُ الْغَيْبَ</w:t>
      </w:r>
      <w:r>
        <w:rPr>
          <w:rStyle w:val="FootnoteAnchor"/>
          <w:rtl w:val="true"/>
        </w:rPr>
        <w:footnoteReference w:id="121"/>
      </w:r>
      <w:r>
        <w:rPr>
          <w:rFonts w:ascii="IRNazanin" w:hAnsi="IRNazanin" w:eastAsia="IRNazanin"/>
          <w:color w:val="111111"/>
          <w:sz w:val="28"/>
          <w:sz w:val="28"/>
          <w:szCs w:val="28"/>
          <w:rtl w:val="true"/>
          <w:lang w:bidi="fa-IR"/>
        </w:rPr>
        <w:t xml:space="preserve">محتمل است اشاره به اين باشد كه اگر علم غيب از طرق عادى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به آنمجاز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طلب خير مى‌كردم، و شاهد بر اين كه مفسرين فرموده اند، اين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الْغَيْبَ إِلَّا مَا شَاءَ اللهُ أَنْ يُعَلِّمَنِيهِ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به غيب ندارم، مگر آنچه را كه خداوند بخواهد به من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غرض اين است كه با وسايل عادى براى من علم غيب حاصل نيست وگرنه برطبق آن عمل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خدا از طرق غيرعادى تعليم كند هم، معلوم است كه عمل محتاج به اذن است؛ زيرا به‌طور كلى عمل به آن برخلاف مصلحت و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وجه، حاصل اين مى‌شود كه در اين‌گونه امور، علم عادى ندارم و علوم غيرعادى را مجاز نيستم كه برطبق آن عمل كنم يا به كسى اعلام كنم، جز در بعضى موارد استثنائاً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به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مَا يُفْعَلُ بِي وَ لَابِكُمْ</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با من و شما چه خواهد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آيات ديگر كه همه دلالت بر اطّلاع پيغمبر از عاقبت امر كفار دارد و به قرينه روايات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دلالت دارد بر اينكه </w:t>
      </w:r>
    </w:p>
    <w:p>
      <w:pPr>
        <w:pStyle w:val="BookText"/>
        <w:rPr/>
      </w:pPr>
      <w:r>
        <w:rPr>
          <w:rFonts w:ascii="IRNazanin" w:hAnsi="IRNazanin" w:eastAsia="IRNazanin"/>
          <w:color w:val="111111"/>
          <w:sz w:val="28"/>
          <w:sz w:val="28"/>
          <w:szCs w:val="28"/>
          <w:rtl w:val="true"/>
          <w:lang w:bidi="fa-IR"/>
        </w:rPr>
        <w:t>پيغمبر صلی الله علیه و آله از آينده خود و اهل‌بيتش اطّلاع داشت و همچنين از آينده كفار حتى اينكه به صريح خطبه قاصعه، آنهايى را كه در قليب چاه بدر افكنده مى‌شوند و آنهايى را كه جنگ احزاب را برپا مى‌كنند مى‌شناخت</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نيز نفى علم عادى و ذاتى است، و بلكه اين آيه دلالت بر علم غيب دارد؛ زيرا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نمى‌دانم چه مى‌شود و آنچه را بگويم و اعلام كنم به وحى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علم من از مصدر وحى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درحقيقت معنای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پيش خود علمى ندارم؛ بلكه از آنچه بر من وحى شود متابعت مى‌كنم و بدون وحى و اذن اظهار آنچه وحى شده، چيزى نمى‌گويم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كفار مى‌خواستند به‌واسطه پيغمبر صلی الله علیه و آله ، از مطالب آينده و موضوع نفع و ضررهاى خود باخبر شوند كه چون اطّلاع بر آن، خلاف مصلحت همگان و نظام اجتماع است، پيغمبر صلی الله علیه و آله آنها را با اينبيان رد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ششم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به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 لِشَيْءٍ إِنّي فَاعِلٌ ذَلِكَ غَداً</w:t>
      </w:r>
      <w:r>
        <w:rPr>
          <w:rStyle w:val="FootnoteAnchor"/>
          <w:rtl w:val="true"/>
        </w:rPr>
        <w:footnoteReference w:id="126"/>
      </w:r>
      <w:r>
        <w:rPr>
          <w:rFonts w:ascii="Amiri" w:hAnsi="Amiri" w:eastAsia="Amiri" w:cs="Amiri"/>
          <w:color w:val="111111"/>
          <w:sz w:val="28"/>
          <w:sz w:val="28"/>
          <w:szCs w:val="28"/>
          <w:rtl w:val="true"/>
          <w:lang w:bidi="ar-SA"/>
        </w:rPr>
        <w:t xml:space="preserve">اين است كه اين آيه </w:t>
      </w:r>
      <w:bookmarkStart w:id="100" w:name="pg212_2754"/>
    </w:p>
    <w:p>
      <w:pPr>
        <w:pStyle w:val="BookText"/>
        <w:rPr/>
      </w:pPr>
      <w:bookmarkEnd w:id="100"/>
      <w:r>
        <w:rPr>
          <w:rFonts w:ascii="Amiri" w:hAnsi="Amiri" w:eastAsia="Amiri" w:cs="Amiri"/>
          <w:color w:val="111111"/>
          <w:sz w:val="28"/>
          <w:sz w:val="28"/>
          <w:szCs w:val="28"/>
          <w:rtl w:val="true"/>
          <w:lang w:bidi="ar-SA"/>
        </w:rPr>
        <w:t>يك دستورالعمل است و مطالبى كه شما نوشته‌ايد، در سوره كهف وارد نشده است و بيش از تأديب و ارشاد از آيه استفاده نمى‌شود</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913741_211673320"/>
      <w:bookmarkStart w:id="102" w:name="_Toc36"/>
      <w:bookmarkEnd w:id="101"/>
      <w:r>
        <w:rPr>
          <w:rtl w:val="true"/>
        </w:rPr>
        <w:t>تحقيق درباره يك حديث</w:t>
      </w:r>
      <w:bookmarkEnd w:id="102"/>
    </w:p>
    <w:p>
      <w:pPr>
        <w:pStyle w:val="BookText"/>
        <w:rPr/>
      </w:pPr>
      <w:r>
        <w:rPr>
          <w:rFonts w:ascii="IRNazanin" w:hAnsi="IRNazanin" w:eastAsia="IRNazanin"/>
          <w:color w:val="111111"/>
          <w:sz w:val="28"/>
          <w:sz w:val="28"/>
          <w:szCs w:val="28"/>
          <w:rtl w:val="true"/>
          <w:lang w:bidi="fa-IR"/>
        </w:rPr>
        <w:t>در كتاب من لا يحضره الفقيه حديثى است از امام‌صادق علیه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بنده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سوگندى كه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استثنا كند، اگر استثنا را فراموش كرد، به اين علّت كه جمعى از يهود آمدند خدمت رسول خدا صلی الله علیه و آله و از آن حضرت از چيزهايى پرسش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شما جواب مى‌دهم، و ان‌شاءلله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تا چهل روز بر آن حضرت نازل نشد، سپس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تَقُولَنَّ لِشَيْءٍ إِنّي فَاعِلٌ ذَلِكَ غَداً ٭إِلَّا أَنْ يَشَاءَ اللّٰهُ وَاذْكُرْ رَبَّكَ إِذَا نَسِيتَ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سيره ابن‌هشام نيز خبر مفصلى در اين موضوع مخالف اين خبرنقل شده است</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مثل اينكه نظر ايراد‌كننده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كهف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اين دو خبر يا هر دو بوده است، آيا براى اشتباه‌كارى اين‌طور نوشته يا نه؟ خدا داناست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استدلال به اين خبر از چند جهت مورد اعتماد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ازاين‌جهت كه خبر واحد است و در اين‌گونه مسائل كه مسائل فرعيه عمليه نيست، خبر واحد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خبر خود باهم تنافى دارند، ازجمله در خبر مذكور، ذكر شده است كه يهود خدمت حضرت آمدند و در خبر 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ابن‌هشام در سيره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مشركين مكّه نزد احبار مدينه فرستادند و آنها مسائلى را طرح كردند كه از رسول خدا صلی الله علیه و آله پرسش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اصحاب كهف بين نصارى معروف بوده و چنانچه بعضى نوشته‌اند، يهود از آن خبر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 كهف درباره مسائلى كه در اين سوره مطرح شده، با اين روايت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كلينى، از امام‌صادق علیه السلام ، روايت كرده است در اين موضوع، به‌واسطه عبدالله بن ميمون 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همان حديث مذكور از امام‌صادق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علیه السلام و موضوعآمدن يهود و سؤال آنها را ذكر نفرموده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شيخ‌الطائفه عين اين حديث را، از عبدالله بن ميمون از حضرت امام‌صادق علیه السلام روايت فرموده است و لفظ او عين لفظ كتاب </w:t>
      </w:r>
    </w:p>
    <w:p>
      <w:pPr>
        <w:pStyle w:val="BookText"/>
        <w:rPr/>
      </w:pPr>
      <w:r>
        <w:rPr>
          <w:rFonts w:ascii="IRNazanin" w:hAnsi="IRNazanin" w:eastAsia="IRNazanin"/>
          <w:color w:val="111111"/>
          <w:sz w:val="28"/>
          <w:sz w:val="28"/>
          <w:szCs w:val="28"/>
          <w:rtl w:val="true"/>
          <w:lang w:bidi="fa-IR"/>
        </w:rPr>
        <w:t>من لا يحضره الفقيه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لِلْعَبْدِ أَنْ يَسْتَثْنِيَ مَا بَيْنَهُ وَبَيْنَ أَرْبَعِينَ يَوْماً إِذَا 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اين چيزى بر آن اضافه نفرموده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بنابراين، از نقل كافى و تهذيب معلوم مى‌شود اين ذيل كه در کتاب من لا يحضره الفقيه و تفسير عياشى</w:t>
      </w:r>
      <w:r>
        <w:rPr>
          <w:rStyle w:val="FootnoteAnchor"/>
          <w:rtl w:val="true"/>
        </w:rPr>
        <w:footnoteReference w:id="131"/>
      </w:r>
      <w:r>
        <w:rPr>
          <w:rFonts w:ascii="IRNazanin" w:hAnsi="IRNazanin" w:eastAsia="IRNazanin"/>
          <w:color w:val="111111"/>
          <w:sz w:val="28"/>
          <w:sz w:val="28"/>
          <w:szCs w:val="28"/>
          <w:rtl w:val="true"/>
          <w:lang w:bidi="fa-IR"/>
        </w:rPr>
        <w:t>نقل شده است، بيان و توضيح بعضى از رُوات است و از روايت ضعيف ابن‌هشام اخذ شده و هيچ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نوشته‌ايد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ندانست جواب گويد، از كجا مى‌گوييد؟ و چرا نمى‌گوييد پيغمبر صلی الله علیه و آله در پاسخ‌دادن به آنها منتظر نزول وحى بود؟ نگوييد بااينكه منتظر وحى بود چگونه جواب را مى‌دانست؛ زيرا نزول قرآن دفعةً واحدةً و جملگى بر قلب پيغمبر صلی الله علیه و آله ثابت است و از بعضى ازآيات نيز استفاده مى‌شود و نزول تدريجى آن منافات با آن نزول ندارد و آن را تشبيه كرده‌اند به علوم تفصيلى بالفعل پس از حصول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اين مطلب نيز از مسائل غامض و نظرى است و در بين دعوا نرخ تعيين‌كردن و يك جانب را گرفتن، صحيح نيست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كه اين قسمت از روايت عبدالله بن ميمون را به‌طور اطمينان مى‌توان گفت كه شرح و توضيح است و جزء اصل حديث </w:t>
      </w:r>
    </w:p>
    <w:p>
      <w:pPr>
        <w:pStyle w:val="BookText"/>
        <w:rPr/>
      </w:pPr>
      <w:r>
        <w:rPr>
          <w:rFonts w:ascii="IRNazanin" w:hAnsi="IRNazanin" w:eastAsia="IRNazanin"/>
          <w:color w:val="111111"/>
          <w:sz w:val="28"/>
          <w:sz w:val="28"/>
          <w:szCs w:val="28"/>
          <w:rtl w:val="true"/>
          <w:lang w:bidi="fa-IR"/>
        </w:rPr>
        <w:t>نيست و روايت سيره هم كه ضعيف است و قابل‌استناد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ماييم و همان ظاهر آيه، آن‌هم به‌هيچ‌وجه نفى علم غيب از پيغمبر صلی الله علیه و آله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اكثر مخاطبات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است و اين يك روش ادبى متداولى است كه خطاب به شخصى مى‌شود ولى غرض مفاد خطاب، شخص ديگر و فهماندن مطلب به اوست، مثلاً آيه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وَقَضَى رَبُّكَ أَلَّا تَعْبُدُوا إِلَّا إِيَّاهُ وَبِالْوَالِدَيْنِ إِحْسَاناً إِمَّا يَبْلُغَنَّ عِنْدَكَ الْكِبَرَ أَحَدُهُمَا أَوْ كِلَاهُمَا فَلَا تَقُلْ لَهُمَا أُفٍّ وَلَا تَنْهَرْهُمَا وَقُلْ لَهُما قَوْلاً كَرِيماً ٭ وَاخْفِضْ لَهُما جَنَاحَ الذُّلِّ مِنَ الرَّحْمَةِ وَقُلْ رَبِّ ارْحَمْهُمَاكَمَا رَبَّيَانِي صَغِيراً</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تو حكم فرمود كه جز او هيچ‌كس را نپرستيد و درباره پدر و مادر نيكويى كنيد و چنانچه هر دو يا يكى از آنها پير و سالخورده شوند زنهار كلمه‌اى كه آنها را رنجيده‌خاطر كند </w:t>
      </w:r>
      <w:bookmarkStart w:id="103" w:name="pg212_2758"/>
    </w:p>
    <w:p>
      <w:pPr>
        <w:pStyle w:val="BookText"/>
        <w:rPr/>
      </w:pPr>
      <w:bookmarkEnd w:id="103"/>
      <w:r>
        <w:rPr>
          <w:rFonts w:ascii="IRNazanin" w:hAnsi="IRNazanin" w:eastAsia="IRNazanin"/>
          <w:color w:val="111111"/>
          <w:sz w:val="28"/>
          <w:sz w:val="28"/>
          <w:szCs w:val="28"/>
          <w:rtl w:val="true"/>
          <w:lang w:bidi="fa-IR"/>
        </w:rPr>
        <w:t>مگوييد و كمترين آزار را به آنها مرسانيد و با ايشان به اكرام و احترام سخن گوييد و هميشه بال‌هاى تواضع خويش را از محبّت و لطف، در برابر آنان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آنها مرا در كوچكى تربيت كردند، مشمول رحمتشان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خطاب اگرچه به پيغمبر صلی الله علیه و آله است؛ امّا غرض افهام ديگران است؛ زيرا هنگام نزول اين دو آيه پدر و مادر پيغمبر صلی الله علیه و آله زندگى را بدرود گفته و در قيد حيات نبودند تا اين سفارش‌ها نسبت به پدر و مادر درباره آنها مورد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محتمل است كه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تَقُولَنَّ لِشَيْ‌ءٍ إِنّي</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 آيه وَمَا أَدْرَيٰكَ مَا الْحَاقَّةُ</w:t>
      </w:r>
      <w:r>
        <w:rPr>
          <w:rStyle w:val="FootnoteAnchor"/>
          <w:rtl w:val="true"/>
        </w:rPr>
        <w:footnoteReference w:id="135"/>
      </w:r>
      <w:r>
        <w:rPr>
          <w:rFonts w:ascii="Amiri" w:hAnsi="Amiri" w:eastAsia="Amiri" w:cs="Amiri"/>
          <w:color w:val="111111"/>
          <w:sz w:val="28"/>
          <w:sz w:val="28"/>
          <w:szCs w:val="28"/>
          <w:rtl w:val="true"/>
          <w:lang w:bidi="ar-SA"/>
        </w:rPr>
        <w:t>و آيه لَا تَعْلَمُهُمْ</w:t>
      </w:r>
      <w:r>
        <w:rPr>
          <w:rStyle w:val="FootnoteAnchor"/>
          <w:rtl w:val="true"/>
        </w:rPr>
        <w:footnoteReference w:id="136"/>
      </w:r>
      <w:r>
        <w:rPr>
          <w:rFonts w:ascii="Amiri" w:hAnsi="Amiri" w:eastAsia="Amiri" w:cs="Amiri"/>
          <w:color w:val="111111"/>
          <w:sz w:val="28"/>
          <w:sz w:val="28"/>
          <w:szCs w:val="28"/>
          <w:rtl w:val="true"/>
          <w:lang w:bidi="ar-SA"/>
        </w:rPr>
        <w:t>و امثال اين آيات نيز بر همينروش نازل شده باشد</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913743_211673320"/>
      <w:bookmarkStart w:id="105" w:name="_Toc37"/>
      <w:bookmarkEnd w:id="104"/>
      <w:r>
        <w:rPr>
          <w:rtl w:val="true"/>
        </w:rPr>
        <w:t>پرسش از حكمت</w:t>
      </w:r>
      <w:r>
        <w:rPr>
          <w:rtl w:val="true"/>
        </w:rPr>
        <w:t>:</w:t>
      </w:r>
      <w:bookmarkEnd w:id="10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تفسير اين آيات، درضمن چهارده وجه محكم، در قبال اخبار متواترى كه دلالت دارند بر اينكه پيغمبر و امام علم غيب دارند، معلوم و واضح گرديد و تماماً رفع شبهه شد، پرسشى كه پيش مى‌آيد، پرسش از حكمت عدم عمل پيغمبر و امام است به </w:t>
      </w:r>
    </w:p>
    <w:p>
      <w:pPr>
        <w:pStyle w:val="BookText"/>
        <w:rPr/>
      </w:pPr>
      <w:r>
        <w:rPr>
          <w:rFonts w:ascii="IRNazanin" w:hAnsi="IRNazanin" w:eastAsia="IRNazanin"/>
          <w:color w:val="111111"/>
          <w:sz w:val="28"/>
          <w:sz w:val="28"/>
          <w:szCs w:val="28"/>
          <w:rtl w:val="true"/>
          <w:lang w:bidi="fa-IR"/>
        </w:rPr>
        <w:t>علوم غيبى؛ به‌عبارت‌ديگر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ايشان با اين علم و آگاهى، در امور عادى خود غالباً مثل افراد عادى رفتار مى‌كردند و از بعضى موضوعات پرسش و استفهام مى‌نمودند؟</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مجرّد استفهام و پرسش، دليل بر ناآگاهى نيست؛ زيرا براى جهاتى، مانند آشكارشدن حقايق و تعليم به ديگران و اتمام‌حجّت و حكمت‌ها و مصالحى ديگر، گاهى پرسش و استفهام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كلام خداوند علاّم‌الغيوب نيز گاهى پرسش آمده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تِلْكَ بِيَمِينِكَ يَا مُوسى</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اينك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دست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ابْنَ مَرْيَمَ ءَ أَنتَ قُلْتَ لِلنَّاسِ اتَّخِذُونِي وَأُمِّيَ إِلَهَيْنِ</w:t>
      </w:r>
      <w:r>
        <w:rPr>
          <w:rFonts w:ascii="IRNazanin" w:hAnsi="IRNazanin" w:eastAsia="IRNazanin"/>
          <w:color w:val="111111"/>
          <w:sz w:val="28"/>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به مردم گفتى كه من و مادرم را دو خداى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كنيد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بله در به‌كارنبستن آن علوم غيبى حكمت‌هايى است كه از آن جمله </w:t>
      </w:r>
    </w:p>
    <w:p>
      <w:pPr>
        <w:pStyle w:val="BookText"/>
        <w:rPr/>
      </w:pP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امام، رهبر مردم هستند و عمل و كردارشان مثل قول و گفتارشان، بايد مأخذ و مصدر تربيت و نظام امور دين و دنياى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زندگى عادى آنها بر اساس خوارق و معجزات و علم غيب باشد، نقض غرض لازم مى‌آيد و وجود آنها نمونه عملى، و رفتارشان سرمشق و دستورالعمل زندگى ديگران نمى‌شود و براى ديگران قابل تأسّى و اقتدا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مردم موظفند به حكم عقل و دستور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براى شما در زندگى رسول خدا صلی الله علیه و آله سرمشق نيكويى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پيغمبر تأسى كنند، لذا آن بزرگواران مأموريت نداشتند كه در همه‌جا برطبق علوم لدنّى خود عمل كنند و در محاورات و مسائل و حوائج عرفى و عادى، غالباً طبق مجارى عادى و علوم عادى عمل مى‌كردند تا به مردم راه و رسم زندگى صحيح را بياموزند و آنها را در هر ناحيه رهبرى و راهنمايى كنند و به علم نبوّت و امامت، فقط در موارد خاص و به مقدارى كه خلاف اين هدف نباشد و بلكه مؤيد آن شود – بإذن‌الله و إرادة‌الله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حكمت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موارد عادى به علم امامت عمل </w:t>
      </w:r>
    </w:p>
    <w:p>
      <w:pPr>
        <w:pStyle w:val="BookText"/>
        <w:rPr/>
      </w:pPr>
      <w:r>
        <w:rPr>
          <w:rFonts w:ascii="IRNazanin" w:hAnsi="IRNazanin" w:eastAsia="IRNazanin"/>
          <w:color w:val="111111"/>
          <w:sz w:val="28"/>
          <w:sz w:val="28"/>
          <w:szCs w:val="28"/>
          <w:rtl w:val="true"/>
          <w:lang w:bidi="fa-IR"/>
        </w:rPr>
        <w:t>مى‌كردند و در هر مورد از غيب خبر مى‌دادند، بسا اسباب سوء‌تفاهم مى‌شد و بعضى در غلوّ مى‌افتادند و آنها را از رتبه امكانيّت بالاتر مى‌شمردند و گمان مى‌كردند علوم آنها ذاتى است و افاضه‌اى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پرسش و استفهام‌ها سبب شد كه مردم آنها را آن‌طور كه بايد و در مرتبه‌اى كه هستند، بشناسند و درحقيقت، بقاى پيچيدگى و غموض موضوع علم پيغمبر و امام و احتياج فهم واقع آن، به بررسى جنبه امكانيت آنها تأييد، و حدود علم آنها مشخص، و وارد حريم علم ذاتى الهى شمرده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اميدواريم با اين مقدار مختصر در بيان اين حقيقت، اذهان كسانى كه پرسش از علم پيغمبر و امام مى‌نمايند، روشن شود و ضمناً يادآور مى‌شويم كه بيش از اينها، جز براى افراد نادر و ممتاز، بحث از امثالاين موضوعات، ضرورتى ندارد و به‌طور اجمال هم كه انسان معتقد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تفصيل آن را نداند يا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بررسى اين موضوعات مانع از اشتغالات عملى و انجام تكاليف شود، چنانچه نبايد اين بحث را سبب تفرقه و پراكندگى قرار دهند و همه بايد به دستور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140"/>
      </w:r>
      <w:r>
        <w:rPr>
          <w:rFonts w:ascii="Amiri" w:hAnsi="Amiri" w:eastAsia="Amiri" w:cs="Amiri"/>
          <w:color w:val="111111"/>
          <w:sz w:val="28"/>
          <w:sz w:val="28"/>
          <w:szCs w:val="28"/>
          <w:rtl w:val="true"/>
          <w:lang w:bidi="ar-SA"/>
        </w:rPr>
        <w:t>معتصم شوند و از خدا خلوص نيت درخواست نمايند</w:t>
      </w:r>
      <w:r>
        <w:rPr>
          <w:rFonts w:eastAsia="Amiri" w:cs="Amiri" w:ascii="Amiri" w:hAnsi="Amiri"/>
          <w:color w:val="111111"/>
          <w:sz w:val="28"/>
          <w:szCs w:val="28"/>
          <w:rtl w:val="true"/>
          <w:lang w:bidi="ar-SA"/>
        </w:rPr>
        <w:t xml:space="preserve">. </w:t>
      </w:r>
      <w:bookmarkStart w:id="106" w:name="pg212_2765"/>
    </w:p>
    <w:p>
      <w:pPr>
        <w:pStyle w:val="Heading2"/>
        <w:numPr>
          <w:ilvl w:val="1"/>
          <w:numId w:val="1"/>
        </w:numPr>
        <w:rPr/>
      </w:pPr>
      <w:bookmarkStart w:id="107" w:name="__RefHeading___Toc1913745_211673320"/>
      <w:bookmarkStart w:id="108" w:name="_Toc38"/>
      <w:bookmarkEnd w:id="106"/>
      <w:bookmarkEnd w:id="107"/>
      <w:r>
        <w:rPr/>
        <w:t>10</w:t>
      </w:r>
      <w:r>
        <w:rPr>
          <w:rtl w:val="true"/>
        </w:rPr>
        <w:t xml:space="preserve">- </w:t>
      </w:r>
      <w:r>
        <w:rPr>
          <w:rtl w:val="true"/>
        </w:rPr>
        <w:t>دعاى ندبه و آيه مودّت</w:t>
      </w:r>
      <w:bookmarkEnd w:id="108"/>
    </w:p>
    <w:p>
      <w:pPr>
        <w:pStyle w:val="Heading3"/>
        <w:numPr>
          <w:ilvl w:val="2"/>
          <w:numId w:val="1"/>
        </w:numPr>
        <w:rPr/>
      </w:pPr>
      <w:bookmarkStart w:id="109" w:name="__RefHeading___Toc1913747_211673320"/>
      <w:bookmarkStart w:id="110" w:name="_Toc39"/>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 xml:space="preserve">در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جَعَلْتَ أَجْرَ مُحَمَّدٍ صَلَوَاتُكَ عَلَيْهِ وَآلِهِ مَوَدَّتَهُمْ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141"/>
      </w:r>
      <w:r>
        <w:rPr>
          <w:rStyle w:val="FootnoteAnchor"/>
          <w:rtl w:val="true"/>
        </w:rPr>
        <w:footnoteReference w:id="142"/>
      </w:r>
      <w:r>
        <w:rPr>
          <w:rFonts w:ascii="IRNazanin" w:hAnsi="IRNazanin" w:eastAsia="IRNazanin"/>
          <w:color w:val="111111"/>
          <w:sz w:val="28"/>
          <w:sz w:val="28"/>
          <w:szCs w:val="28"/>
          <w:rtl w:val="true"/>
          <w:lang w:bidi="fa-IR"/>
        </w:rPr>
        <w:t>چند ايراد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اينكه ضد قرآن است؛ زيرا با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تَسْئَلُهُمْ عَلَيْهِ مِنْ أَجْرٍ و آيه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w:t>
      </w:r>
      <w:r>
        <w:rPr>
          <w:rFonts w:ascii="IRNazanin" w:hAnsi="IRNazanin" w:eastAsia="IRNazanin"/>
          <w:color w:val="111111"/>
          <w:sz w:val="28"/>
          <w:sz w:val="28"/>
          <w:szCs w:val="28"/>
          <w:rtl w:val="true"/>
          <w:lang w:bidi="fa-IR"/>
        </w:rPr>
        <w:t xml:space="preserve"> و آيات ديگر منافات دارد، پس چگونه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كه آيه مودّت است و در دعاى ندبه آورده شده،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اجر رسالتم دوستى با اهل‌بيت من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يک‌جا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از شما نمى‌خواهم، 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شورى مكى است و آن وقت امام‌حسن و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اهل‌بيت و آيه تطهيرى نازل نشده بود، تا اينكه خدا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مشركين چنين بگو؟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مشركين، رسالت آن حضرت را قبول نداشتند، چگونه اولاد و عترت او را دوست بدارند و آن را اجر رسالت حساب كنند؟</w:t>
      </w:r>
    </w:p>
    <w:p>
      <w:pPr>
        <w:pStyle w:val="BookText"/>
        <w:rPr/>
      </w:pPr>
      <w:r>
        <w:rPr>
          <w:rFonts w:ascii="IRNazanin" w:hAnsi="IRNazanin" w:eastAsia="IRNazanin"/>
          <w:color w:val="111111"/>
          <w:sz w:val="28"/>
          <w:sz w:val="28"/>
          <w:szCs w:val="28"/>
          <w:rtl w:val="true"/>
          <w:lang w:bidi="fa-IR"/>
        </w:rPr>
        <w:t>بنابراين تفسير آيه اين نيست كه بگو من اجرى نمى‌خواهم مگر مودّت خويشاوندانم را، بلكه اين آيه خطاب به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مشركين بگو مرا به خير شما اميد نيست، شرّ مرسانيد؛ يعنى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چيزى نمى‌خواهم تا خيال كنيد ادعاى من براى دنياطلبى است، بلكه خويشى مرا با خودتان مراعات كنيد؛ زيرا رسول خدا صلی الله علیه و آله با مشركين قريش فاميل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مى‌خواهد بفرمايد، مودّت و خويشى مرا مراعات كنيد و مرا آزار و انكار نكنيد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مفسّرانى كه متوجّه نزول آيه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اگر غير اين باشد آيه لغو مى‌شود و خدا كه لغو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شيعه و سنى اكثراً برخلاف ظاهر آيه سخن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إِذَاأَوْجَبَ الرَّحْمنُ فِي الْوَحْيِ 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عَنِ الْوَحْيِ الْعَزِيزِذَهَابٌ</w:t>
      </w:r>
    </w:p>
    <w:p>
      <w:pPr>
        <w:pStyle w:val="BookText"/>
        <w:rPr/>
      </w:pPr>
      <w:r>
        <w:rPr>
          <w:rFonts w:ascii="Amiri" w:hAnsi="Amiri" w:eastAsia="Amiri" w:cs="Amiri"/>
          <w:color w:val="111111"/>
          <w:sz w:val="28"/>
          <w:sz w:val="28"/>
          <w:szCs w:val="28"/>
          <w:rtl w:val="true"/>
          <w:lang w:bidi="ar-SA"/>
        </w:rPr>
        <w:t>وَأَيْنَ عَنِ الذِّكْرِ الْعَزِيزِ 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إِلَى غَيْرِ الْإِلَهِ إِيَابٌ</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اگر اين سخنان را يك نفر از نواصب و خوارج مى‌گفت، خيلى تعجب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إِنَاءٍ بِالَّذِي فِيهِ يَنْضَحُ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يك نفر كه خود را در شمار محبان اهل‌بيت علیهم السلام مى‌شمارد، ردّ قول اهل‌بيت علیهم السلام و پيروى از رأى عكرمه خارجى و دشمنان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عصرى كه بعضى از نواصب هم انصاف مى‌دهند و اين آيه را دليل وجوب محبّت و مودّت عترت پيغمبر صلی الله علیه و آله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اين موضوع كاملاً روشن شود، پيرامون اين آيه در چند مورد بحث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نزول آيه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آيه و اينكه با قطع‌نظر از روايات متواتر، موافق‌تر با ذوق مستقيم چه تفسيرى است؟ </w:t>
      </w:r>
      <w:bookmarkStart w:id="111" w:name="pg212_2772"/>
    </w:p>
    <w:p>
      <w:pPr>
        <w:pStyle w:val="BookText"/>
        <w:rPr/>
      </w:pPr>
      <w:bookmarkEnd w:id="11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تفسير آيه با آيات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رواياتى كه ازطريق اهل‌سنّت در تفسير اين آيه و موافق با اجماع شيعه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بررسى را شروع مى‌كنيم</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913749_211673320"/>
      <w:bookmarkStart w:id="113" w:name="_Toc40"/>
      <w:bookmarkEnd w:id="112"/>
      <w:r>
        <w:rPr/>
        <w:t>1</w:t>
      </w:r>
      <w:r>
        <w:rPr>
          <w:rtl w:val="true"/>
        </w:rPr>
        <w:t xml:space="preserve">. </w:t>
      </w:r>
      <w:r>
        <w:rPr>
          <w:rtl w:val="true"/>
        </w:rPr>
        <w:t>مكان نزول آيه مودّت</w:t>
      </w:r>
      <w:bookmarkEnd w:id="11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چرا اين اشكال‌كننده، تمام آيات سوره شورى را مكّى دانسته، و از استثنايى كه علماى بزرگ علم تفسير، در كتاب‌هاى تفسير و اسباب‌النزول و غير آن كرده‌اند، غمض عين كرده است، يا فرصت مراجعه نداشته يا اگر مراجعه كرده، اشاره‌اى به آن نكرده و به‌طور قاطع در موضوعى كه رأى او براى ديگران حجت نيست، اظهارنظر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تفاسير شيعه مثل تفسير بسيار معتبر مجمع‌البيان، صرف‌نظر مى‌كنيم و تفاسير اهل‌سنّت را در اينجا تا حدى بررسى مى‌نماييم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قرطبى</w:t>
      </w:r>
      <w:r>
        <w:rPr>
          <w:rStyle w:val="FootnoteAnchor"/>
          <w:rtl w:val="true"/>
        </w:rPr>
        <w:footnoteReference w:id="144"/>
      </w:r>
      <w:r>
        <w:rPr>
          <w:rFonts w:ascii="IRNazanin" w:hAnsi="IRNazanin" w:eastAsia="IRNazanin"/>
          <w:color w:val="111111"/>
          <w:sz w:val="28"/>
          <w:sz w:val="28"/>
          <w:szCs w:val="28"/>
          <w:rtl w:val="true"/>
          <w:lang w:bidi="fa-IR"/>
        </w:rPr>
        <w:t>از قتاده و ابن‌عباس روايت كرده است كه اين سوره مكى است، مگر چهار آيه آن كه در مدينه نازل شده،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w:t>
      </w:r>
      <w:r>
        <w:rPr>
          <w:rFonts w:ascii="IRNazanin" w:hAnsi="IRNazanin" w:eastAsia="IRNazanin"/>
          <w:color w:val="111111"/>
          <w:sz w:val="28"/>
          <w:sz w:val="28"/>
          <w:szCs w:val="28"/>
          <w:rtl w:val="true"/>
          <w:lang w:bidi="fa-IR"/>
        </w:rPr>
        <w:t xml:space="preserve"> تا آخر چهار آيه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زمخشرى در تفسير الكشاف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مكى است مگر آيه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مدنى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التفسيرالواضح نيز به همين موضوع تصريح دارد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تفسيرالخازن نيز از ابن‌عباس روايت كرده است كه اين چهار آيه كه اوّل آنها </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مدنى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مراغى شيخ اسبق جامع الازهر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مكّى است، غير از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مدنى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شوكانى در فتح‌القدير</w:t>
      </w:r>
      <w:r>
        <w:rPr>
          <w:rStyle w:val="FootnoteAnchor"/>
          <w:rtl w:val="true"/>
        </w:rPr>
        <w:footnoteReference w:id="150"/>
      </w:r>
      <w:r>
        <w:rPr>
          <w:rFonts w:ascii="IRNazanin" w:hAnsi="IRNazanin" w:eastAsia="IRNazanin"/>
          <w:color w:val="111111"/>
          <w:sz w:val="28"/>
          <w:sz w:val="28"/>
          <w:szCs w:val="28"/>
          <w:rtl w:val="true"/>
          <w:lang w:bidi="fa-IR"/>
        </w:rPr>
        <w:t>از ابن‌عباس و قتاده روايت كرده است كه سوره مكى است، مگر اين چهار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نيشابورى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مكى است مگر اين چهار آيه</w:t>
      </w:r>
      <w:r>
        <w:rPr>
          <w:rFonts w:eastAsia="IRNazanin" w:cs="IRNazanin"/>
          <w:color w:val="111111"/>
          <w:sz w:val="28"/>
          <w:szCs w:val="28"/>
          <w:rtl w:val="true"/>
          <w:lang w:bidi="fa-IR"/>
        </w:rPr>
        <w:t>.</w:t>
      </w:r>
      <w:r>
        <w:rPr>
          <w:rStyle w:val="FootnoteAnchor"/>
          <w:rtl w:val="true"/>
        </w:rPr>
        <w:footnoteReference w:id="15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علاوه‌براين، مستفاد از رواياتى كه جمعى ديگر از اهل‌سنّت روايت كرده‌اند اين است كه اين آيات مدنى است، و مكى‌بودن اين سوره مورداتفاق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واحدى در اسباب‌النزول</w:t>
      </w:r>
      <w:r>
        <w:rPr>
          <w:rStyle w:val="FootnoteAnchor"/>
          <w:rtl w:val="true"/>
        </w:rPr>
        <w:footnoteReference w:id="152"/>
      </w:r>
      <w:r>
        <w:rPr>
          <w:rFonts w:ascii="IRNazanin" w:hAnsi="IRNazanin" w:eastAsia="IRNazanin"/>
          <w:color w:val="111111"/>
          <w:sz w:val="28"/>
          <w:sz w:val="28"/>
          <w:szCs w:val="28"/>
          <w:rtl w:val="true"/>
          <w:lang w:bidi="fa-IR"/>
        </w:rPr>
        <w:t>و ابن‌سلامه در الناسخ و المنسوخ</w:t>
      </w:r>
      <w:r>
        <w:rPr>
          <w:rStyle w:val="FootnoteAnchor"/>
          <w:rtl w:val="true"/>
        </w:rPr>
        <w:footnoteReference w:id="153"/>
      </w:r>
      <w:r>
        <w:rPr>
          <w:rFonts w:ascii="Amiri" w:hAnsi="Amiri" w:eastAsia="Amiri" w:cs="Amiri"/>
          <w:color w:val="111111"/>
          <w:sz w:val="28"/>
          <w:sz w:val="28"/>
          <w:szCs w:val="28"/>
          <w:rtl w:val="true"/>
          <w:lang w:bidi="ar-SA"/>
        </w:rPr>
        <w:t>و عبدالجليل قارى در شرح الناسخ و المنسوخ ابن المتوج</w:t>
      </w:r>
      <w:r>
        <w:rPr>
          <w:rStyle w:val="FootnoteAnchor"/>
          <w:rtl w:val="true"/>
        </w:rPr>
        <w:footnoteReference w:id="154"/>
      </w:r>
      <w:r>
        <w:rPr>
          <w:rFonts w:ascii="Amiri" w:hAnsi="Amiri" w:eastAsia="Amiri" w:cs="Amiri"/>
          <w:color w:val="111111"/>
          <w:sz w:val="28"/>
          <w:sz w:val="28"/>
          <w:szCs w:val="28"/>
          <w:rtl w:val="true"/>
          <w:lang w:bidi="ar-SA"/>
        </w:rPr>
        <w:t>و تفسير بيضاوى</w:t>
      </w:r>
      <w:r>
        <w:rPr>
          <w:rStyle w:val="FootnoteAnchor"/>
          <w:rtl w:val="true"/>
        </w:rPr>
        <w:footnoteReference w:id="155"/>
      </w:r>
      <w:r>
        <w:rPr>
          <w:rFonts w:ascii="Amiri" w:hAnsi="Amiri" w:eastAsia="Amiri" w:cs="Amiri"/>
          <w:color w:val="111111"/>
          <w:sz w:val="28"/>
          <w:sz w:val="28"/>
          <w:szCs w:val="28"/>
          <w:rtl w:val="true"/>
          <w:lang w:bidi="ar-SA"/>
        </w:rPr>
        <w:t>و تفسير ابى‌السعود</w:t>
      </w:r>
      <w:r>
        <w:rPr>
          <w:rStyle w:val="FootnoteAnchor"/>
          <w:rtl w:val="true"/>
        </w:rPr>
        <w:footnoteReference w:id="156"/>
      </w:r>
      <w:r>
        <w:rPr>
          <w:rFonts w:ascii="Amiri" w:hAnsi="Amiri" w:eastAsia="Amiri" w:cs="Amiri"/>
          <w:color w:val="111111"/>
          <w:sz w:val="28"/>
          <w:sz w:val="28"/>
          <w:szCs w:val="28"/>
          <w:rtl w:val="true"/>
          <w:lang w:bidi="ar-SA"/>
        </w:rPr>
        <w:t>و تفسير نسفى</w:t>
      </w:r>
      <w:r>
        <w:rPr>
          <w:rStyle w:val="FootnoteAnchor"/>
          <w:rtl w:val="true"/>
        </w:rPr>
        <w:footnoteReference w:id="157"/>
      </w:r>
      <w:r>
        <w:rPr>
          <w:rFonts w:ascii="IRNazanin" w:hAnsi="IRNazanin" w:eastAsia="IRNazanin"/>
          <w:color w:val="111111"/>
          <w:sz w:val="28"/>
          <w:sz w:val="28"/>
          <w:szCs w:val="28"/>
          <w:rtl w:val="true"/>
          <w:lang w:bidi="fa-IR"/>
        </w:rPr>
        <w:t>و طبرى</w:t>
      </w:r>
      <w:r>
        <w:rPr>
          <w:rStyle w:val="FootnoteAnchor"/>
          <w:rtl w:val="true"/>
        </w:rPr>
        <w:footnoteReference w:id="158"/>
      </w:r>
      <w:r>
        <w:rPr>
          <w:rFonts w:ascii="IRNazanin" w:hAnsi="IRNazanin" w:eastAsia="IRNazanin"/>
          <w:color w:val="111111"/>
          <w:sz w:val="28"/>
          <w:sz w:val="28"/>
          <w:szCs w:val="28"/>
          <w:rtl w:val="true"/>
          <w:lang w:bidi="fa-IR"/>
        </w:rPr>
        <w:t>و فخر رازى</w:t>
      </w:r>
      <w:r>
        <w:rPr>
          <w:rStyle w:val="FootnoteAnchor"/>
          <w:rtl w:val="true"/>
        </w:rPr>
        <w:footnoteReference w:id="159"/>
      </w:r>
      <w:r>
        <w:rPr>
          <w:rFonts w:ascii="Amiri" w:hAnsi="Amiri" w:eastAsia="Amiri" w:cs="Amiri"/>
          <w:color w:val="111111"/>
          <w:sz w:val="28"/>
          <w:sz w:val="28"/>
          <w:szCs w:val="28"/>
          <w:rtl w:val="true"/>
          <w:lang w:bidi="ar-SA"/>
        </w:rPr>
        <w:t>و ابن‌كثير</w:t>
      </w:r>
      <w:r>
        <w:rPr>
          <w:rStyle w:val="FootnoteAnchor"/>
          <w:rtl w:val="true"/>
        </w:rPr>
        <w:footnoteReference w:id="160"/>
      </w:r>
      <w:r>
        <w:rPr>
          <w:rFonts w:ascii="IRNazanin" w:hAnsi="IRNazanin" w:eastAsia="IRNazanin"/>
          <w:color w:val="111111"/>
          <w:sz w:val="28"/>
          <w:sz w:val="28"/>
          <w:szCs w:val="28"/>
          <w:rtl w:val="true"/>
          <w:lang w:bidi="fa-IR"/>
        </w:rPr>
        <w:t>و ذخائرالعقبى</w:t>
      </w:r>
      <w:r>
        <w:rPr>
          <w:rStyle w:val="FootnoteAnchor"/>
          <w:rtl w:val="true"/>
        </w:rPr>
        <w:footnoteReference w:id="161"/>
      </w:r>
      <w:r>
        <w:rPr>
          <w:rFonts w:ascii="Amiri" w:hAnsi="Amiri" w:eastAsia="Amiri" w:cs="Amiri"/>
          <w:color w:val="111111"/>
          <w:sz w:val="28"/>
          <w:sz w:val="28"/>
          <w:szCs w:val="28"/>
          <w:rtl w:val="true"/>
          <w:lang w:bidi="ar-SA"/>
        </w:rPr>
        <w:t>و حليةالاولياء</w:t>
      </w:r>
      <w:r>
        <w:rPr>
          <w:rStyle w:val="FootnoteAnchor"/>
          <w:rtl w:val="true"/>
        </w:rPr>
        <w:footnoteReference w:id="162"/>
      </w:r>
      <w:r>
        <w:rPr>
          <w:rFonts w:ascii="IRNazanin" w:hAnsi="IRNazanin" w:eastAsia="IRNazanin"/>
          <w:color w:val="111111"/>
          <w:sz w:val="28"/>
          <w:sz w:val="28"/>
          <w:szCs w:val="28"/>
          <w:rtl w:val="true"/>
          <w:lang w:bidi="fa-IR"/>
        </w:rPr>
        <w:t>و المستدرك علی الصحيحين</w:t>
      </w:r>
      <w:r>
        <w:rPr>
          <w:rStyle w:val="FootnoteAnchor"/>
          <w:rtl w:val="true"/>
        </w:rPr>
        <w:footnoteReference w:id="163"/>
      </w:r>
      <w:r>
        <w:rPr>
          <w:rFonts w:ascii="IRNazanin" w:hAnsi="IRNazanin" w:eastAsia="IRNazanin"/>
          <w:color w:val="111111"/>
          <w:sz w:val="28"/>
          <w:sz w:val="28"/>
          <w:szCs w:val="28"/>
          <w:rtl w:val="true"/>
          <w:lang w:bidi="fa-IR"/>
        </w:rPr>
        <w:t>و الدرالمنثور</w:t>
      </w:r>
      <w:r>
        <w:rPr>
          <w:rStyle w:val="FootnoteAnchor"/>
          <w:rtl w:val="true"/>
        </w:rPr>
        <w:footnoteReference w:id="164"/>
      </w:r>
      <w:r>
        <w:rPr>
          <w:rFonts w:ascii="Amiri" w:hAnsi="Amiri" w:eastAsia="Amiri" w:cs="Amiri"/>
          <w:color w:val="111111"/>
          <w:sz w:val="28"/>
          <w:sz w:val="28"/>
          <w:szCs w:val="28"/>
          <w:rtl w:val="true"/>
          <w:lang w:bidi="ar-SA"/>
        </w:rPr>
        <w:t>و اسدالغابة</w:t>
      </w:r>
      <w:r>
        <w:rPr>
          <w:rStyle w:val="FootnoteAnchor"/>
          <w:rtl w:val="true"/>
        </w:rPr>
        <w:footnoteReference w:id="165"/>
      </w:r>
      <w:r>
        <w:rPr>
          <w:rFonts w:ascii="IRNazanin" w:hAnsi="IRNazanin" w:eastAsia="IRNazanin"/>
          <w:color w:val="111111"/>
          <w:sz w:val="28"/>
          <w:sz w:val="28"/>
          <w:szCs w:val="28"/>
          <w:rtl w:val="true"/>
          <w:lang w:bidi="fa-IR"/>
        </w:rPr>
        <w:t>و كتاب‌هاى ديگر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موضوع مدنى‌بودن اين آيات، به حكم آنچه در اين كتاب‌هاى معتبر نزد اهل‌سنّت ضبط شده، قول مسلّم و مورداعتماد و بلامعارض </w:t>
      </w:r>
    </w:p>
    <w:p>
      <w:pPr>
        <w:pStyle w:val="BookText"/>
        <w:rPr/>
      </w:pPr>
      <w:r>
        <w:rPr>
          <w:rFonts w:ascii="IRNazanin" w:hAnsi="IRNazanin" w:eastAsia="IRNazanin"/>
          <w:color w:val="111111"/>
          <w:sz w:val="28"/>
          <w:sz w:val="28"/>
          <w:szCs w:val="28"/>
          <w:rtl w:val="true"/>
          <w:lang w:bidi="fa-IR"/>
        </w:rPr>
        <w:t>است؛ زيرا در برابر اين قول، قول خاص به اينكه اين چهار آيه مكى باشد، جز اينكه سوره شورى را بعضى مكى گفته‌اند،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اينقول بلامعارض و مثل خاص در مقابل عام است، علاوه بر اينكه اجماع اهل‌بيت علیهم السلام صحّت اين قول را اثبات و عموم مكى‌بودن سوره را مردود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دارد آيه يا سوره مكّى باشد؛ ولى بعد از هجرت مثلاً در حجّة‌الوداع در مكّه نازل شده باشد</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چون مقصود از مكى‌بودن، تعيين تاريخ نزول نيست؛ بلكه غرض تعيين مكان نزول است و اين مطلب را در علم معرفت آيات مدنى و مكى و كتاب‌هايى كه در اين موضوع تأليف شده، شرح داده‌اند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علماى علوم قرآن تصريح كرده‌اند، بعضى از آيات قرآن در مكّه نازل شده است و حكم آن مدنى است و به‌عبارت‌ديگر مورد و مصداق آن، پس از نزول، موجود يا معلوم شده، مانند بعضى آياتى كه در مكّه نازل شد، و در مدينه مصداق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اين نحو تقدّم و تأخّر متعدّداً واقع شده است</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 xml:space="preserve">بنابراين فرضاً اين آيات </w:t>
      </w:r>
      <w:bookmarkStart w:id="114" w:name="pg212_2780"/>
    </w:p>
    <w:p>
      <w:pPr>
        <w:pStyle w:val="BookText"/>
        <w:rPr/>
      </w:pPr>
      <w:bookmarkEnd w:id="114"/>
      <w:r>
        <w:rPr>
          <w:rFonts w:ascii="IRNazanin" w:hAnsi="IRNazanin" w:eastAsia="IRNazanin"/>
          <w:color w:val="111111"/>
          <w:sz w:val="28"/>
          <w:sz w:val="28"/>
          <w:szCs w:val="28"/>
          <w:rtl w:val="true"/>
          <w:lang w:bidi="fa-IR"/>
        </w:rPr>
        <w:t>مكى باشد منافات ندارد كه مراد، مودّت ذى‌القربى و عترت پيغمبر صلی الله علیه و آله باشد</w:t>
      </w:r>
      <w:r>
        <w:rPr>
          <w:rFonts w:eastAsia="IRNazanin" w:cs="IRNazanin"/>
          <w:color w:val="111111"/>
          <w:sz w:val="28"/>
          <w:szCs w:val="28"/>
          <w:rtl w:val="true"/>
          <w:lang w:bidi="fa-IR"/>
        </w:rPr>
        <w:t>.</w:t>
      </w:r>
    </w:p>
    <w:p>
      <w:pPr>
        <w:pStyle w:val="Heading3"/>
        <w:numPr>
          <w:ilvl w:val="2"/>
          <w:numId w:val="1"/>
        </w:numPr>
        <w:rPr/>
      </w:pPr>
      <w:bookmarkStart w:id="115" w:name="__RefHeading___Toc1913751_211673320"/>
      <w:bookmarkStart w:id="116" w:name="_Toc41"/>
      <w:bookmarkEnd w:id="115"/>
      <w:r>
        <w:rPr/>
        <w:t>2</w:t>
      </w:r>
      <w:r>
        <w:rPr>
          <w:rtl w:val="true"/>
        </w:rPr>
        <w:t xml:space="preserve">. </w:t>
      </w:r>
      <w:r>
        <w:rPr>
          <w:rtl w:val="true"/>
        </w:rPr>
        <w:t>تفسير آيه مودّت</w:t>
      </w:r>
      <w:bookmarkEnd w:id="116"/>
    </w:p>
    <w:p>
      <w:pPr>
        <w:pStyle w:val="Heading4"/>
        <w:numPr>
          <w:ilvl w:val="3"/>
          <w:numId w:val="1"/>
        </w:numPr>
        <w:rPr/>
      </w:pPr>
      <w:bookmarkStart w:id="117" w:name="__RefHeading___Toc1913753_211673320"/>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ما نخست تفاسيرى را كه بعضى از آيه كرده‌اند، نقل مى‌كنيم، سپس تفسير صحيح آن را از اهل‌بيت عصمت علیهم السلام كه اعدال قرآن مجيد هستند بيان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تفاسيرى كه از آيه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تبليغ رسالت و تعليم شريعت، مزدى نمى‌خواهم، مگر آنكه با يكديگر دوستى نماييد در آنچه سبب تقرّب به خداوند متعال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خلاف ظاهر است؛ زيرا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رحمى است و آيه شريفه ظهور در اين تفسير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به‌علاوه با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افْتَرى عَلَى اللّٰهِ كَذِباً</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مى‌گويند بر خدا دروغ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برحسب تفاسير راجع به اين موضوع است، اين تفسير مناسبت ندارد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ديگر آنكه به اين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مرا دوست داريد به‌واسطه قرابت و خويشى كه من با شما دارم، و آزار ندهيد و انكار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نيز صحيح نيست؛ زيرا هم آيه مخصوص به قريش مى‌شود، </w:t>
      </w:r>
    </w:p>
    <w:p>
      <w:pPr>
        <w:pStyle w:val="BookText"/>
        <w:rPr/>
      </w:pPr>
      <w:r>
        <w:rPr>
          <w:rFonts w:ascii="IRNazanin" w:hAnsi="IRNazanin" w:eastAsia="IRNazanin"/>
          <w:color w:val="111111"/>
          <w:sz w:val="28"/>
          <w:sz w:val="28"/>
          <w:szCs w:val="28"/>
          <w:rtl w:val="true"/>
          <w:lang w:bidi="fa-IR"/>
        </w:rPr>
        <w:t>بدون وجه اختصاص و هم با صدر آيه كه سخن از عموم عباد مؤمنين است،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اين درخواست و پيشنهاد از كسى كه مدعى رسالت است و عليه تمام عقايد و عادات و اوضاع يك جامعه‌اىقيام كرده و مى‌خواهد بزرگ‌ترين انقلاب‌های فكرى و اجتماعى را به وجود آورد، به كسانى كه با دعوت او مخالفت دارند، و دعوت او را ضد تمام حيثيات خود مى‌دانند و در مقام منع و دفع او از آيين و مسلك اجتماعى خود هستند، موافق عرف و منطق نيست؛ زيرا نزاع، نزاعى نيست كه ملاحظه قرابت و خويشاوندى بتواند آن را پايان دهد و التماس و خواهش در آن اثرى داشته باشد، چنانچه آنها هم اگر به پيغمبر صلی الله علیه و آله پيشنهاد مى‌دادند كه قرابت و خويشاوندى را رعايت نمايد و دعوت خود را ترك كند، منطقى نبود و پذيرفته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ايراد‌كننده آن را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بسيار سست و با منطق قرآن مناسبت ندارد و خودبه‌خود مردود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تفسير اين است كه مراد اين باشد كه من براى تبليغ اجرى نمى‌خواهم و مودّت خويشاوندى باعث شده و مرا به تبليغ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في ظلال القرآن</w:t>
      </w:r>
      <w:r>
        <w:rPr>
          <w:rStyle w:val="FootnoteAnchor"/>
          <w:rtl w:val="true"/>
        </w:rPr>
        <w:footnoteReference w:id="169"/>
      </w:r>
      <w:r>
        <w:rPr>
          <w:rFonts w:ascii="IRNazanin" w:hAnsi="IRNazanin" w:eastAsia="IRNazanin"/>
          <w:color w:val="111111"/>
          <w:sz w:val="28"/>
          <w:sz w:val="28"/>
          <w:szCs w:val="28"/>
          <w:rtl w:val="true"/>
          <w:lang w:bidi="fa-IR"/>
        </w:rPr>
        <w:t xml:space="preserve">بيان كرده است، ولى اين تفسير از دو تفسير قبل سست‌تر و نامقبول‌تر است؛ زيرا تبليغ احكام خدا و اداى رسالت، انگيزه‌اش علاقه و محبّت خويشاوندى </w:t>
      </w:r>
      <w:bookmarkStart w:id="119" w:name="pg212_2784"/>
    </w:p>
    <w:p>
      <w:pPr>
        <w:pStyle w:val="BookText"/>
        <w:rPr/>
      </w:pPr>
      <w:bookmarkEnd w:id="119"/>
      <w:r>
        <w:rPr>
          <w:rFonts w:ascii="Amiri" w:hAnsi="Amiri" w:eastAsia="Amiri" w:cs="Amiri"/>
          <w:color w:val="111111"/>
          <w:sz w:val="28"/>
          <w:sz w:val="28"/>
          <w:szCs w:val="28"/>
          <w:rtl w:val="true"/>
          <w:lang w:bidi="ar-SA"/>
        </w:rPr>
        <w:t>نيست كه منحصراً به اين علّت آنها را دعوت و تبليغ كرده باشد، بلكه علتش امر و فرمان خدا و اداى مأموريت و رسالت الهى است</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913755_211673320"/>
      <w:bookmarkStart w:id="121" w:name="_Toc43"/>
      <w:bookmarkEnd w:id="120"/>
      <w:r>
        <w:rPr>
          <w:rtl w:val="true"/>
        </w:rPr>
        <w:t>تفسير اهل‌بيت علیهم السلام درباره آیه مودت</w:t>
      </w:r>
      <w:bookmarkEnd w:id="121"/>
    </w:p>
    <w:p>
      <w:pPr>
        <w:pStyle w:val="BookText"/>
        <w:rPr/>
      </w:pPr>
      <w:r>
        <w:rPr>
          <w:rFonts w:ascii="IRNazanin" w:hAnsi="IRNazanin" w:eastAsia="IRNazanin"/>
          <w:color w:val="111111"/>
          <w:sz w:val="28"/>
          <w:sz w:val="28"/>
          <w:szCs w:val="28"/>
          <w:rtl w:val="true"/>
          <w:lang w:bidi="fa-IR"/>
        </w:rPr>
        <w:t>به نظر مى‌رسد كسانى كه سه تفسيرى را كه به آن اشاره شد، مطرح كرده و دنبال نموده‌اند، غرضشان دست و پا كردن و انكار فضيلت اهل‌بيت علیهم السلام و تعصب باطل مذهبى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تفسير صحيح اين آيه و ساير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حجت و معتبر و تفسير به رأى و هوا و تعصب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اهل‌بيت علیهم السلام است كه اجماع دارند بر اينكه آيه در موضوع مودّت و تعظيم ذى‌القربى و عترت پيغمبر صلی الله علیه و آله نازل شده است و صحّت انتساب اين تفسير به اهل‌بيت مثل اميرالمؤمنين و امام‌حسن و زين‌العابدين علیهم السلام از مسلّمات است و علاوه بر شيعه، اهل‌سنّت نيز در روايات متعدد آن را روايت كرده‌اند و معلوم است كه كسى از اهل‌بيت علیهم السلام ، اعلم به علوم قرآن و شأن نزول و موارد آن نيست، و قول احدى بر قول آنها راجح نمى‌شود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تفسير، خطاب عام و متوجّه به همه امّت است و با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w:t>
      </w:r>
      <w:r>
        <w:rPr>
          <w:rStyle w:val="FootnoteAnchor"/>
          <w:rtl w:val="true"/>
        </w:rPr>
        <w:footnoteReference w:id="170"/>
      </w:r>
      <w:r>
        <w:rPr>
          <w:rFonts w:ascii="IRNazanin" w:hAnsi="IRNazanin" w:eastAsia="IRNazanin"/>
          <w:color w:val="111111"/>
          <w:sz w:val="28"/>
          <w:sz w:val="28"/>
          <w:szCs w:val="28"/>
          <w:rtl w:val="true"/>
          <w:lang w:bidi="fa-IR"/>
        </w:rPr>
        <w:t>كه از امام مجتبى علیه السلام وارد شده</w:t>
      </w:r>
      <w:r>
        <w:rPr>
          <w:rStyle w:val="FootnoteAnchor"/>
          <w:rtl w:val="true"/>
        </w:rPr>
        <w:footnoteReference w:id="171"/>
      </w:r>
      <w:r>
        <w:rPr>
          <w:rFonts w:ascii="Amiri" w:hAnsi="Amiri" w:eastAsia="Amiri" w:cs="Amiri"/>
          <w:color w:val="111111"/>
          <w:sz w:val="28"/>
          <w:sz w:val="28"/>
          <w:szCs w:val="28"/>
          <w:rtl w:val="true"/>
          <w:lang w:bidi="ar-SA"/>
        </w:rPr>
        <w:t>و با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w:t>
      </w:r>
      <w:bookmarkStart w:id="122" w:name="pg212_2786"/>
    </w:p>
    <w:p>
      <w:pPr>
        <w:pStyle w:val="BookText"/>
        <w:rPr/>
      </w:pPr>
      <w:bookmarkEnd w:id="122"/>
      <w:r>
        <w:rPr>
          <w:rFonts w:ascii="Amiri" w:hAnsi="Amiri" w:eastAsia="Amiri" w:cs="Amiri"/>
          <w:color w:val="111111"/>
          <w:sz w:val="28"/>
          <w:sz w:val="28"/>
          <w:szCs w:val="28"/>
          <w:rtl w:val="true"/>
          <w:lang w:bidi="ar-SA"/>
        </w:rPr>
        <w:t>افْتَرى عَلَى اللّٰهِ كَذِباً</w:t>
      </w:r>
      <w:r>
        <w:rPr>
          <w:rStyle w:val="FootnoteAnchor"/>
          <w:rtl w:val="true"/>
        </w:rPr>
        <w:footnoteReference w:id="172"/>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يَقْبَلُالتَّوْبَةَ</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موافق است و به‌هرحال تفسير اهل‌بيت علیهم السلام بنا بر مذهب شيعه و بنا بر روايات متواتر از طرق اهل‌سنّت، حجت و معتبر است و ترك آن جايز نيست؛ زيرا امن از ضلالت و گمراهى، برحسب حديث متواتر ثقلين، در تمسك به آنهاست و ما در كتابى كه در حجيّت اقوال ائمه علیهم السلام و وجوب رجوع به آنها در تمام علوم اسلامى نگاشته‌ايم، اين موضوع را به‌طور كامل با ادلّه بسيار ثابت كرده‌ايم</w:t>
      </w:r>
      <w:r>
        <w:rPr>
          <w:rFonts w:eastAsia="IRNazanin" w:cs="IRNazanin"/>
          <w:color w:val="111111"/>
          <w:sz w:val="28"/>
          <w:szCs w:val="28"/>
          <w:rtl w:val="true"/>
          <w:lang w:bidi="fa-IR"/>
        </w:rPr>
        <w:t>.</w:t>
      </w:r>
    </w:p>
    <w:p>
      <w:pPr>
        <w:pStyle w:val="Heading3"/>
        <w:numPr>
          <w:ilvl w:val="2"/>
          <w:numId w:val="1"/>
        </w:numPr>
        <w:rPr/>
      </w:pPr>
      <w:bookmarkStart w:id="123" w:name="__RefHeading___Toc1913757_211673320"/>
      <w:bookmarkStart w:id="124" w:name="_Toc44"/>
      <w:bookmarkEnd w:id="123"/>
      <w:r>
        <w:rPr/>
        <w:t>3</w:t>
      </w:r>
      <w:r>
        <w:rPr>
          <w:rtl w:val="true"/>
        </w:rPr>
        <w:t xml:space="preserve">. </w:t>
      </w:r>
      <w:r>
        <w:rPr>
          <w:rtl w:val="true"/>
        </w:rPr>
        <w:t>ملاحظه تفسير آيه با آيات ديگر</w:t>
      </w:r>
      <w:bookmarkEnd w:id="124"/>
    </w:p>
    <w:p>
      <w:pPr>
        <w:pStyle w:val="BookText"/>
        <w:rPr/>
      </w:pPr>
      <w:r>
        <w:rPr>
          <w:rFonts w:ascii="IRNazanin" w:hAnsi="IRNazanin" w:eastAsia="IRNazanin"/>
          <w:color w:val="111111"/>
          <w:sz w:val="28"/>
          <w:sz w:val="28"/>
          <w:szCs w:val="28"/>
          <w:rtl w:val="true"/>
          <w:lang w:bidi="fa-IR"/>
        </w:rPr>
        <w:t xml:space="preserve">در اينجا لازم به تذكّر است كه استثنا بر اين چهار وجه، يا منقطع است يا متصل، اگر منقطع باشد معنا اين مى‌شود كه مودّت في‌القربى اجر نيست،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متصل و حقيقى باشد كه فقط بنا به تفسير اوّل و دوم و چهارم صحيح است و معنايش اين است كه مودّت في‌القربى براى من مانند اجر است، اجرى كه سود آن براى اجردهنده است نه گيرنده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چنانچه اين آيه هم بر همين معنا دلالت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مَا سَأَلْتُكُمْ مِنْ أَجْرٍ فَهُوَ لَكُمْ</w:t>
      </w:r>
      <w:r>
        <w:rPr>
          <w:rFonts w:ascii="IRNazanin" w:hAnsi="IRNazanin" w:eastAsia="IRNazanin"/>
          <w:color w:val="111111"/>
          <w:sz w:val="28"/>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آنچه را از اجر از شما مى‌خواهم پس آن براى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ثواب مودّت قربى نيز به خودشان عايد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عيناً مثل همان توصيه طبيب است به عمل به دستور و نسخه؛ زيرا مودّت قربى از اركان بزرگ اسلام و مراجعه به آنها و پيروى و اطاعت از آنها، سبب استقامت بر امر دين و آشنايى به معارف و علوم اسلام، و مانع از انحراف از صراط مستقيم است، و اين لطف بيانى است در اين موارد، براى اينكه مخاطب اشتياقش زياد شود؛ مانند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الَّذِي يُقْرِضُ اللّٰهَ قَرْضاً حَسَناً</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 قرض نیکویی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اين به هر معنايى كه تفسير شود و به‌خصوص به تفسير صحيح كه همان مودّت عترت پيغمبر صلی الله علیه و آله است، هيچ ناسازگارى با آياتى مثل </w:t>
      </w:r>
      <w:r>
        <w:rPr>
          <w:rFonts w:ascii="Amiri" w:hAnsi="Amiri" w:eastAsia="Amiri" w:cs="Amiri"/>
          <w:color w:val="111111"/>
          <w:sz w:val="28"/>
          <w:sz w:val="28"/>
          <w:szCs w:val="28"/>
          <w:rtl w:val="true"/>
          <w:lang w:bidi="ar-SA"/>
        </w:rPr>
        <w:t>قُلْ مَا أَسْئَلُكُمْ عَلَيْهِ مِنْ أَجْرٍ</w:t>
      </w:r>
      <w:r>
        <w:rPr>
          <w:rStyle w:val="FootnoteAnchor"/>
          <w:rtl w:val="true"/>
        </w:rPr>
        <w:footnoteReference w:id="177"/>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اينكه در خود دعا نيز به دفع توهم تنافى عنايت شده است؛ زيرا بلافاصله پس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جَعَلْتَ أَجْرَ مُحَمَّدٍ صَلَوَاتُكَ عَلَيْهِ وَآلِهِ مَوَدَّتَهُمْ فِي كِتَابِكَ، فَقُلْتَ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178"/>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سَأَلْتُكُمْ مِنْ أَجْرٍ فَهُوَ لَكُمْ</w:t>
      </w:r>
      <w:r>
        <w:rPr>
          <w:rStyle w:val="FootnoteAnchor"/>
          <w:rtl w:val="true"/>
        </w:rPr>
        <w:footnoteReference w:id="179"/>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ascii="IRNazanin" w:hAnsi="IRNazanin" w:eastAsia="IRNazanin"/>
          <w:color w:val="111111"/>
          <w:sz w:val="28"/>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فَكَانُوا هُمُ السَّبِيلَ إِلَيْكَ وَالْمَسْلَكَ إِلَى رِضْوَانِكَ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دادى اجر محمّد صلی الله علیه و آله را مودّت اهل‌بيت او در قرآن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از شما اجرى را، مگر مودّت قربى و عترتم را 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شما به‌عنوان مزد سؤال مى‌كنم، آن از براى شماست؛ 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نمى‌كنم بر تبليغ رسالت از شما مزدى را، مگر كسى را كه بخواهد بگيرد به‌سوى خدا راهى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ولايت و مودّت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اهل‌بيت مى‌باشند راه به‌سوى تو، و محل سلوك به‌سوىخشنودی تو</w:t>
      </w:r>
      <w:r>
        <w:rPr>
          <w:rFonts w:eastAsia="IRNazanin" w:cs="IRNazanin"/>
          <w:color w:val="111111"/>
          <w:sz w:val="28"/>
          <w:szCs w:val="28"/>
          <w:rtl w:val="true"/>
          <w:lang w:bidi="fa-IR"/>
        </w:rPr>
        <w:t xml:space="preserve">». </w:t>
      </w:r>
      <w:bookmarkStart w:id="125" w:name="pg212_2792"/>
    </w:p>
    <w:p>
      <w:pPr>
        <w:pStyle w:val="BookText"/>
        <w:rPr/>
      </w:pPr>
      <w:bookmarkEnd w:id="125"/>
      <w:r>
        <w:rPr>
          <w:rFonts w:ascii="IRNazanin" w:hAnsi="IRNazanin" w:eastAsia="IRNazanin"/>
          <w:color w:val="111111"/>
          <w:sz w:val="28"/>
          <w:sz w:val="28"/>
          <w:szCs w:val="28"/>
          <w:rtl w:val="true"/>
          <w:lang w:bidi="fa-IR"/>
        </w:rPr>
        <w:t>آيا اگر ايرادكننده در همين دعاى ندبه دقت مى‌كرد، جايى براى ايرادى كه كرده مى‌ديد؟ و آيا مع‌ذلك احتمال منافات مى‌داد؟ انصافاً اين حقيقت از دعا كه استشهاد به قرآن است نكته علمى و جالبى را متضمن است و لطف تعبيرات آيات را نشان مى‌دهد، و اين معنا را مى‌پروراند كه اجر رسالت، مودّت عترت است و سودش براى خود مردم است و مانند اجرها و مزدهايى كه سودش را مزدگيرنده مى‌برد نيست و ديگر آنكه مودّت عترت، راه خداست و از كسانى خواسته مى‌شود كه بخواهند سالك راه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فخررازى در تفسير خود، پس از مطالبى كه در اين زمينه دارد، مى‌گويد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إِلَّاالْمَوَدَّةَ فِي الْقُرْبىٰ</w:t>
      </w:r>
      <w:r>
        <w:rPr>
          <w:rFonts w:ascii="IRNazanin" w:hAnsi="IRNazanin" w:eastAsia="IRNazanin"/>
          <w:color w:val="111111"/>
          <w:sz w:val="28"/>
          <w:sz w:val="28"/>
          <w:szCs w:val="28"/>
          <w:rtl w:val="true"/>
          <w:lang w:bidi="fa-IR"/>
        </w:rPr>
        <w:t xml:space="preserve"> از باب قول شاعر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وَلَاعَيْبَ فيهِمْ غَيْرَ أَنَّ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قِرَاعِ الدَّارِعِينَ فُلُولُ</w:t>
      </w:r>
    </w:p>
    <w:p>
      <w:pPr>
        <w:pStyle w:val="BookText"/>
        <w:rPr/>
      </w:pPr>
      <w:r>
        <w:rPr>
          <w:rFonts w:ascii="IRNazanin" w:hAnsi="IRNazanin" w:eastAsia="IRNazanin"/>
          <w:color w:val="111111"/>
          <w:sz w:val="28"/>
          <w:sz w:val="28"/>
          <w:szCs w:val="28"/>
          <w:rtl w:val="true"/>
          <w:lang w:bidi="fa-IR"/>
        </w:rPr>
        <w:t>و عيبى نيست در ايشان غير از اينكه شمشيرهايشان ازبس به زره‌پوشان خورده، خرد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نمى‌كنم از اجر مگر اين را و اين درحقيقت اجر نيست</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126" w:name="__RefHeading___Toc1913759_211673320"/>
      <w:bookmarkStart w:id="127" w:name="_Toc45"/>
      <w:bookmarkEnd w:id="126"/>
      <w:r>
        <w:rPr/>
        <w:t>4</w:t>
      </w:r>
      <w:r>
        <w:rPr>
          <w:rtl w:val="true"/>
        </w:rPr>
        <w:t xml:space="preserve">. </w:t>
      </w:r>
      <w:r>
        <w:rPr>
          <w:rtl w:val="true"/>
        </w:rPr>
        <w:t>روايات اهل‌سنّت در تفسیر آیه مودّت</w:t>
      </w:r>
      <w:bookmarkEnd w:id="12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و احاديثى كه موافق با عقيده شيعه در تفسير اين آيه از طرق </w:t>
      </w:r>
    </w:p>
    <w:p>
      <w:pPr>
        <w:pStyle w:val="BookText"/>
        <w:rPr/>
      </w:pPr>
      <w:r>
        <w:rPr>
          <w:rFonts w:ascii="IRNazanin" w:hAnsi="IRNazanin" w:eastAsia="IRNazanin"/>
          <w:color w:val="111111"/>
          <w:sz w:val="28"/>
          <w:sz w:val="28"/>
          <w:szCs w:val="28"/>
          <w:rtl w:val="true"/>
          <w:lang w:bidi="fa-IR"/>
        </w:rPr>
        <w:t>اهل‌سنّت وارد شده، در جوامع بزرگ حديث و مسانيد و معاجم و تفاسير و تواريخ، تخريج شده است كه از آن جمله چند حديث براى مزيد بصيرت و روشنى چشم دوستان اهل‌بيت علیهم السلام در اينجا نقل مى‌كنيم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تفسير ابى‌السعود</w:t>
      </w:r>
      <w:r>
        <w:rPr>
          <w:rStyle w:val="FootnoteAnchor"/>
          <w:rtl w:val="true"/>
        </w:rPr>
        <w:footnoteReference w:id="182"/>
      </w:r>
      <w:r>
        <w:rPr>
          <w:rFonts w:ascii="Amiri" w:hAnsi="Amiri" w:eastAsia="Amiri" w:cs="Amiri"/>
          <w:color w:val="111111"/>
          <w:sz w:val="28"/>
          <w:sz w:val="28"/>
          <w:szCs w:val="28"/>
          <w:rtl w:val="true"/>
          <w:lang w:bidi="ar-SA"/>
        </w:rPr>
        <w:t>و تفسير نسفى</w:t>
      </w:r>
      <w:r>
        <w:rPr>
          <w:rStyle w:val="FootnoteAnchor"/>
          <w:rtl w:val="true"/>
        </w:rPr>
        <w:footnoteReference w:id="183"/>
      </w:r>
      <w:r>
        <w:rPr>
          <w:rFonts w:ascii="IRNazanin" w:hAnsi="IRNazanin" w:eastAsia="IRNazanin"/>
          <w:color w:val="111111"/>
          <w:sz w:val="28"/>
          <w:sz w:val="28"/>
          <w:szCs w:val="28"/>
          <w:rtl w:val="true"/>
          <w:lang w:bidi="fa-IR"/>
        </w:rPr>
        <w:t>و الکشاف</w:t>
      </w:r>
      <w:r>
        <w:rPr>
          <w:rStyle w:val="FootnoteAnchor"/>
          <w:rtl w:val="true"/>
        </w:rPr>
        <w:footnoteReference w:id="184"/>
      </w:r>
      <w:r>
        <w:rPr>
          <w:rFonts w:ascii="Amiri" w:hAnsi="Amiri" w:eastAsia="Amiri" w:cs="Amiri"/>
          <w:color w:val="111111"/>
          <w:sz w:val="28"/>
          <w:sz w:val="28"/>
          <w:szCs w:val="28"/>
          <w:rtl w:val="true"/>
          <w:lang w:bidi="ar-SA"/>
        </w:rPr>
        <w:t>و تفسيرالواضح</w:t>
      </w:r>
      <w:r>
        <w:rPr>
          <w:rStyle w:val="FootnoteAnchor"/>
          <w:rtl w:val="true"/>
        </w:rPr>
        <w:footnoteReference w:id="185"/>
      </w:r>
      <w:r>
        <w:rPr>
          <w:rFonts w:ascii="Amiri" w:hAnsi="Amiri" w:eastAsia="Amiri" w:cs="Amiri"/>
          <w:color w:val="111111"/>
          <w:sz w:val="28"/>
          <w:sz w:val="28"/>
          <w:szCs w:val="28"/>
          <w:rtl w:val="true"/>
          <w:lang w:bidi="ar-SA"/>
        </w:rPr>
        <w:t>و تفسير قرطبى</w:t>
      </w:r>
      <w:r>
        <w:rPr>
          <w:rStyle w:val="FootnoteAnchor"/>
          <w:rtl w:val="true"/>
        </w:rPr>
        <w:footnoteReference w:id="186"/>
      </w:r>
      <w:r>
        <w:rPr>
          <w:rFonts w:ascii="Amiri" w:hAnsi="Amiri" w:eastAsia="Amiri" w:cs="Amiri"/>
          <w:color w:val="111111"/>
          <w:sz w:val="28"/>
          <w:sz w:val="28"/>
          <w:szCs w:val="28"/>
          <w:rtl w:val="true"/>
          <w:lang w:bidi="ar-SA"/>
        </w:rPr>
        <w:t>و تفسير فخررازى</w:t>
      </w:r>
      <w:r>
        <w:rPr>
          <w:rStyle w:val="FootnoteAnchor"/>
          <w:rtl w:val="true"/>
        </w:rPr>
        <w:footnoteReference w:id="187"/>
      </w:r>
      <w:r>
        <w:rPr>
          <w:rFonts w:ascii="Amiri" w:hAnsi="Amiri" w:eastAsia="Amiri" w:cs="Amiri"/>
          <w:color w:val="111111"/>
          <w:sz w:val="28"/>
          <w:sz w:val="28"/>
          <w:szCs w:val="28"/>
          <w:rtl w:val="true"/>
          <w:lang w:bidi="ar-SA"/>
        </w:rPr>
        <w:t>و تفسير ابن‌كثير</w:t>
      </w:r>
      <w:r>
        <w:rPr>
          <w:rStyle w:val="FootnoteAnchor"/>
          <w:rtl w:val="true"/>
        </w:rPr>
        <w:footnoteReference w:id="188"/>
      </w:r>
      <w:r>
        <w:rPr>
          <w:rFonts w:ascii="Amiri" w:hAnsi="Amiri" w:eastAsia="Amiri" w:cs="Amiri"/>
          <w:color w:val="111111"/>
          <w:sz w:val="28"/>
          <w:sz w:val="28"/>
          <w:szCs w:val="28"/>
          <w:rtl w:val="true"/>
          <w:lang w:bidi="ar-SA"/>
        </w:rPr>
        <w:t>و تفسير بيضاوى</w:t>
      </w:r>
      <w:r>
        <w:rPr>
          <w:rStyle w:val="FootnoteAnchor"/>
          <w:rtl w:val="true"/>
        </w:rPr>
        <w:footnoteReference w:id="189"/>
      </w:r>
      <w:r>
        <w:rPr>
          <w:rFonts w:ascii="Amiri" w:hAnsi="Amiri" w:eastAsia="Amiri" w:cs="Amiri"/>
          <w:color w:val="111111"/>
          <w:sz w:val="28"/>
          <w:sz w:val="28"/>
          <w:szCs w:val="28"/>
          <w:rtl w:val="true"/>
          <w:lang w:bidi="ar-SA"/>
        </w:rPr>
        <w:t>و تفسير نيشابورى و فتح‌القدير</w:t>
      </w:r>
      <w:r>
        <w:rPr>
          <w:rStyle w:val="FootnoteAnchor"/>
          <w:rtl w:val="true"/>
        </w:rPr>
        <w:footnoteReference w:id="190"/>
      </w:r>
      <w:r>
        <w:rPr>
          <w:rFonts w:ascii="IRNazanin" w:hAnsi="IRNazanin" w:eastAsia="IRNazanin"/>
          <w:color w:val="111111"/>
          <w:sz w:val="28"/>
          <w:sz w:val="28"/>
          <w:szCs w:val="28"/>
          <w:rtl w:val="true"/>
          <w:lang w:bidi="fa-IR"/>
        </w:rPr>
        <w:t>و ذخائرالعقبى</w:t>
      </w:r>
      <w:r>
        <w:rPr>
          <w:rStyle w:val="FootnoteAnchor"/>
          <w:rtl w:val="true"/>
        </w:rPr>
        <w:footnoteReference w:id="191"/>
      </w:r>
      <w:r>
        <w:rPr>
          <w:rFonts w:ascii="Amiri" w:hAnsi="Amiri" w:eastAsia="Amiri" w:cs="Amiri"/>
          <w:color w:val="111111"/>
          <w:sz w:val="28"/>
          <w:sz w:val="28"/>
          <w:szCs w:val="28"/>
          <w:rtl w:val="true"/>
          <w:lang w:bidi="ar-SA"/>
        </w:rPr>
        <w:t>و طبرانى و ابن ابى‌حاتم و حاكم و احمد به نقلالصواعق‌المحرقه</w:t>
      </w:r>
      <w:r>
        <w:rPr>
          <w:rStyle w:val="FootnoteAnchor"/>
          <w:rtl w:val="true"/>
        </w:rPr>
        <w:footnoteReference w:id="192"/>
      </w:r>
      <w:r>
        <w:rPr>
          <w:rFonts w:ascii="Amiri" w:hAnsi="Amiri" w:eastAsia="Amiri" w:cs="Amiri"/>
          <w:color w:val="111111"/>
          <w:sz w:val="28"/>
          <w:sz w:val="28"/>
          <w:szCs w:val="28"/>
          <w:rtl w:val="true"/>
          <w:lang w:bidi="ar-SA"/>
        </w:rPr>
        <w:t>و هيثمى در مجمع‌الزوائد</w:t>
      </w:r>
      <w:r>
        <w:rPr>
          <w:rStyle w:val="FootnoteAnchor"/>
          <w:rtl w:val="true"/>
        </w:rPr>
        <w:footnoteReference w:id="193"/>
      </w:r>
      <w:r>
        <w:rPr>
          <w:rFonts w:ascii="Amiri" w:hAnsi="Amiri" w:eastAsia="Amiri" w:cs="Amiri"/>
          <w:color w:val="111111"/>
          <w:sz w:val="28"/>
          <w:sz w:val="28"/>
          <w:szCs w:val="28"/>
          <w:rtl w:val="true"/>
          <w:lang w:bidi="ar-SA"/>
        </w:rPr>
        <w:t xml:space="preserve">و احياء‌الميت </w:t>
      </w:r>
    </w:p>
    <w:p>
      <w:pPr>
        <w:pStyle w:val="BookText"/>
        <w:rPr/>
      </w:pPr>
      <w:r>
        <w:rPr>
          <w:rFonts w:ascii="Amiri" w:hAnsi="Amiri" w:eastAsia="Amiri" w:cs="Amiri"/>
          <w:color w:val="111111"/>
          <w:sz w:val="28"/>
          <w:sz w:val="28"/>
          <w:szCs w:val="28"/>
          <w:rtl w:val="true"/>
          <w:lang w:bidi="ar-SA"/>
        </w:rPr>
        <w:t>بفضائل اهل‌البيت</w:t>
      </w:r>
      <w:r>
        <w:rPr>
          <w:rStyle w:val="FootnoteAnchor"/>
          <w:rtl w:val="true"/>
        </w:rPr>
        <w:footnoteReference w:id="194"/>
      </w:r>
      <w:r>
        <w:rPr>
          <w:rFonts w:ascii="IRNazanin" w:hAnsi="IRNazanin" w:eastAsia="IRNazanin"/>
          <w:color w:val="111111"/>
          <w:sz w:val="28"/>
          <w:sz w:val="28"/>
          <w:szCs w:val="28"/>
          <w:rtl w:val="true"/>
          <w:lang w:bidi="fa-IR"/>
        </w:rPr>
        <w:t>از ابن‌منذور و ابن ابى‌حاتم و ابن‌مردويه در تفاسيرشان، و طبرانى در المعجم‌الکبیر و جماعت ديگر، همه از پيغمبر اكرم صلی الله علیه و آله روايت كرده‌اند كه چون آيه مودّت نازل شد، از آن حضرت سؤال شد كه نزديكانت كه بر ما مودّت و دوستى آنها واجب شده كيستند؟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وَفَاطِمَةُ وَابْناهُمَا؛ على و فاطمه و دو پسر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را معاصرين از اهل‌سنّت مانند عبدالفتاح مكى در كتاب ملتقى‌الاصفياء في مناقب الامام على و السبطين و الزهراء</w:t>
      </w:r>
      <w:r>
        <w:rPr>
          <w:rStyle w:val="FootnoteAnchor"/>
          <w:rtl w:val="true"/>
        </w:rPr>
        <w:footnoteReference w:id="195"/>
      </w:r>
      <w:r>
        <w:rPr>
          <w:rFonts w:ascii="IRNazanin" w:hAnsi="IRNazanin" w:eastAsia="IRNazanin"/>
          <w:color w:val="111111"/>
          <w:sz w:val="28"/>
          <w:sz w:val="28"/>
          <w:szCs w:val="28"/>
          <w:rtl w:val="true"/>
          <w:lang w:bidi="fa-IR"/>
        </w:rPr>
        <w:t>و شيخ محمّد سعيد كردى در نشر الاعطارالمحمدية فی الديارالاسلاميه</w:t>
      </w:r>
      <w:r>
        <w:rPr>
          <w:rStyle w:val="FootnoteAnchor"/>
          <w:rtl w:val="true"/>
        </w:rPr>
        <w:footnoteReference w:id="196"/>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ابن‌حجر در الصواعق</w:t>
      </w:r>
      <w:r>
        <w:rPr>
          <w:rStyle w:val="FootnoteAnchor"/>
          <w:rtl w:val="true"/>
        </w:rPr>
        <w:footnoteReference w:id="197"/>
      </w:r>
      <w:r>
        <w:rPr>
          <w:rFonts w:ascii="IRNazanin" w:hAnsi="IRNazanin" w:eastAsia="IRNazanin"/>
          <w:color w:val="111111"/>
          <w:sz w:val="28"/>
          <w:sz w:val="28"/>
          <w:szCs w:val="28"/>
          <w:rtl w:val="true"/>
          <w:lang w:bidi="fa-IR"/>
        </w:rPr>
        <w:t>از ابوالشيخ و ديگران روايت كرده است كه آنها نيز از اميرالمؤمنين علیه السلام نقل كرده‌اند كه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آلِ حم آيَةٌ، لَا يَحْفَظُ مَوَدَّتَنَا إِلَّا كُلُّ مُؤْمِنٍ،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إِلَّاالْمَوَدَّةَ فِي الْقُرْبىٰ</w:t>
      </w:r>
      <w:r>
        <w:rPr>
          <w:rFonts w:ascii="IRNazanin" w:hAnsi="IRNazanin" w:eastAsia="IRNazanin"/>
          <w:color w:val="111111"/>
          <w:sz w:val="28"/>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ما آل حم آیه‌ای نازل شده است، دوستی ما را نگه نمی‌دارد جز هرکسی که مؤمن باشد، سپس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متقى هندی در كنزالعمال</w:t>
      </w:r>
      <w:r>
        <w:rPr>
          <w:rStyle w:val="FootnoteAnchor"/>
          <w:rtl w:val="true"/>
        </w:rPr>
        <w:footnoteReference w:id="199"/>
      </w:r>
      <w:r>
        <w:rPr>
          <w:rFonts w:ascii="IRNazanin" w:hAnsi="IRNazanin" w:eastAsia="IRNazanin"/>
          <w:color w:val="111111"/>
          <w:sz w:val="28"/>
          <w:sz w:val="28"/>
          <w:szCs w:val="28"/>
          <w:rtl w:val="true"/>
          <w:lang w:bidi="fa-IR"/>
        </w:rPr>
        <w:t>آن را روايت كرده است و خلاصه مضمون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ما آل حم، آيه‌اى است كه حفظ نمى‌كند مودّت ما را مگر كسى كه مؤمن باشد، سپس اين آيه را </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مجمع‌البيان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كميت در اين شعر اشاره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وَجَدْنَالَكُمْ فِي آلِ حم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تَأَوَّلَهَامِنَّا تَقِيٌّ وَمُعْرِبٌ</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شما در آل حم آیه‌ای را یافتیم، آن آیه را از ما پرهیزکار و بیانگر تأویل کرده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طبرى</w:t>
      </w:r>
      <w:r>
        <w:rPr>
          <w:rStyle w:val="FootnoteAnchor"/>
          <w:rtl w:val="true"/>
        </w:rPr>
        <w:footnoteReference w:id="201"/>
      </w:r>
      <w:r>
        <w:rPr>
          <w:rFonts w:ascii="Amiri" w:hAnsi="Amiri" w:eastAsia="Amiri" w:cs="Amiri"/>
          <w:color w:val="111111"/>
          <w:sz w:val="28"/>
          <w:sz w:val="28"/>
          <w:szCs w:val="28"/>
          <w:rtl w:val="true"/>
          <w:lang w:bidi="ar-SA"/>
        </w:rPr>
        <w:t>از سعيد بن جبير و عمرو بن شعيب، و الدرالمنثور</w:t>
      </w:r>
      <w:r>
        <w:rPr>
          <w:rStyle w:val="FootnoteAnchor"/>
          <w:rtl w:val="true"/>
        </w:rPr>
        <w:footnoteReference w:id="202"/>
      </w:r>
      <w:r>
        <w:rPr>
          <w:rFonts w:ascii="IRNazanin" w:hAnsi="IRNazanin" w:eastAsia="IRNazanin"/>
          <w:color w:val="111111"/>
          <w:sz w:val="28"/>
          <w:sz w:val="28"/>
          <w:szCs w:val="28"/>
          <w:rtl w:val="true"/>
          <w:lang w:bidi="fa-IR"/>
        </w:rPr>
        <w:t>از ابن‌عباس، و تفسير قرطبى از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شعيبو سدى روايت كرده‌اند كه مراد از قربى، قرباى رسول خداست، يعنى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تَوَدُّوا فِي قَرَابَتِي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نزديكان و اهل‌بيت مرا دوست بداريد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احياءالميت</w:t>
      </w:r>
      <w:r>
        <w:rPr>
          <w:rStyle w:val="FootnoteAnchor"/>
          <w:rtl w:val="true"/>
        </w:rPr>
        <w:footnoteReference w:id="204"/>
      </w:r>
      <w:r>
        <w:rPr>
          <w:rFonts w:ascii="Amiri" w:hAnsi="Amiri" w:eastAsia="Amiri" w:cs="Amiri"/>
          <w:color w:val="111111"/>
          <w:sz w:val="28"/>
          <w:sz w:val="28"/>
          <w:szCs w:val="28"/>
          <w:rtl w:val="true"/>
          <w:lang w:bidi="ar-SA"/>
        </w:rPr>
        <w:t>از سنن سعيد بن منصور، از ابن‌جبير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ابن‌حجر در الصواعق</w:t>
      </w:r>
      <w:r>
        <w:rPr>
          <w:rStyle w:val="FootnoteAnchor"/>
          <w:rtl w:val="true"/>
        </w:rPr>
        <w:footnoteReference w:id="205"/>
      </w:r>
      <w:r>
        <w:rPr>
          <w:rFonts w:ascii="IRNazanin" w:hAnsi="IRNazanin" w:eastAsia="IRNazanin"/>
          <w:color w:val="111111"/>
          <w:sz w:val="28"/>
          <w:sz w:val="28"/>
          <w:szCs w:val="28"/>
          <w:rtl w:val="true"/>
          <w:lang w:bidi="fa-IR"/>
        </w:rPr>
        <w:t>از بزاز و طبرانى از حضرت امام‌حسن مجتبى علیه السلام درضمن خطبه‌اى روايت كرده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أَهْلِ الْبَيْتِ الَّذِينَ افْتَرَضَ اللهُ عَزَّ وَجَلَّ مَوَدَّتَهُمْ وَمُوَالَاتَهُمْ،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أَنْزَلَ عَلَى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اهل‌بيتى هستم كه مودّت و موالاتشان را خدا واجب فرموده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ما نازل شده است بر محمّد صلی الله علیه و آله آیة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در المستدرك</w:t>
      </w:r>
      <w:r>
        <w:rPr>
          <w:rStyle w:val="FootnoteAnchor"/>
          <w:rtl w:val="true"/>
        </w:rPr>
        <w:footnoteReference w:id="206"/>
      </w:r>
      <w:r>
        <w:rPr>
          <w:rFonts w:ascii="IRNazanin" w:hAnsi="IRNazanin" w:eastAsia="IRNazanin"/>
          <w:color w:val="111111"/>
          <w:sz w:val="28"/>
          <w:sz w:val="28"/>
          <w:szCs w:val="28"/>
          <w:rtl w:val="true"/>
          <w:lang w:bidi="fa-IR"/>
        </w:rPr>
        <w:t>نيز از حضرت مجتبى علیه السلام روايتكرده است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مِنْ أَهْلِ الْبَيْتِ الَّذِي افْتَرَضَ اللهُ عَزَّ وَجَلَّ مَوَدَّتَهُمْ عَلَى كُلِّ مُسْلِمٍ فَقَالَ تَبَارَكَ وَتَعَالَى لِنَبِيِّهِ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وَمَنْ يَقْتَرِفْ حَسَنَةً نَزِدْ لَهُ فِيهَا حَسَناً، فَاقْتِرَافُ الْحَسَنَةِ مَوَدَّتُنَا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اهل‌بيتى هستم كه مودّت‌شان را بر هر مسلمان، خدا واجب قرار داده و به پيغمبرش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به‌جاآوردن حسنه، مودّت ما اهل‌بيت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الصواعق نيز اين حديث را روايت كرده است</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طبرى به سند خود روايت كرده است كه آنگاه كه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اسيرى به دمشق آوردند، مردى از اهل شام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 كه شما را كشت و مستأصل كرد و ريسمان فتنه را قطع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قرآن خوانده‌اى؟</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آل حم را خوانده‌اى؟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خوانده‌ام و آل حم را نخوانده‌ام؟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نخوانده‌اى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هرآينه ايشانيد؟</w:t>
      </w:r>
    </w:p>
    <w:p>
      <w:pPr>
        <w:pStyle w:val="BookText"/>
        <w:rPr/>
      </w:pP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ابن‌حجر در الصواعق</w:t>
      </w:r>
      <w:r>
        <w:rPr>
          <w:rStyle w:val="FootnoteAnchor"/>
          <w:rtl w:val="true"/>
        </w:rPr>
        <w:footnoteReference w:id="210"/>
      </w:r>
      <w:r>
        <w:rPr>
          <w:rFonts w:ascii="IRNazanin" w:hAnsi="IRNazanin" w:eastAsia="IRNazanin"/>
          <w:color w:val="111111"/>
          <w:sz w:val="28"/>
          <w:sz w:val="28"/>
          <w:szCs w:val="28"/>
          <w:rtl w:val="true"/>
          <w:lang w:bidi="fa-IR"/>
        </w:rPr>
        <w:t>از طبرانى، و ديگران اين حديث را روايت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حلية‌الاولياء</w:t>
      </w:r>
      <w:r>
        <w:rPr>
          <w:rStyle w:val="FootnoteAnchor"/>
          <w:rtl w:val="true"/>
        </w:rPr>
        <w:footnoteReference w:id="211"/>
      </w:r>
      <w:r>
        <w:rPr>
          <w:rFonts w:ascii="IRNazanin" w:hAnsi="IRNazanin" w:eastAsia="IRNazanin"/>
          <w:color w:val="111111"/>
          <w:sz w:val="28"/>
          <w:sz w:val="28"/>
          <w:szCs w:val="28"/>
          <w:rtl w:val="true"/>
          <w:lang w:bidi="fa-IR"/>
        </w:rPr>
        <w:t>به سند خود از جابر روايت كرده است كه مردى اعرابى به محضر پيغمبر صلی الله علیه و آله شرفياب شده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بدهى به اينكه معبودى غير از خدا نيست، و اينكه محمّد بنده و فرستاده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اعرابى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مزدى از من مى‌خواهى؟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مودّت و دوستى نزديكان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من، يا تو؟ </w:t>
      </w:r>
    </w:p>
    <w:p>
      <w:pPr>
        <w:pStyle w:val="BookText"/>
        <w:rPr/>
      </w:pPr>
      <w:r>
        <w:rPr>
          <w:rFonts w:ascii="IRNazanin" w:hAnsi="IRNazanin" w:eastAsia="IRNazanin"/>
          <w:color w:val="111111"/>
          <w:sz w:val="28"/>
          <w:sz w:val="28"/>
          <w:szCs w:val="28"/>
          <w:rtl w:val="true"/>
          <w:lang w:bidi="fa-IR"/>
        </w:rPr>
        <w:t>پيغمبر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اعرابى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بده با تو بيعت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لَا يُحِبُّكَ وَلَا يُحِبُّ قُرْبَاكَ لَعْنَةُ اللهِ؛</w:t>
      </w:r>
    </w:p>
    <w:p>
      <w:pPr>
        <w:pStyle w:val="BookText"/>
        <w:rPr/>
      </w:pPr>
      <w:r>
        <w:rPr>
          <w:rFonts w:ascii="Amiri" w:hAnsi="Amiri" w:eastAsia="Amiri" w:cs="Amiri"/>
          <w:color w:val="111111"/>
          <w:sz w:val="28"/>
          <w:sz w:val="28"/>
          <w:szCs w:val="28"/>
          <w:rtl w:val="true"/>
          <w:lang w:bidi="ar-SA"/>
        </w:rPr>
        <w:t>بر آن‌كس كه تو و نزديكانت را دوست نمى‌دارد لعنت خدا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شرح‌المواهب و ديگران روايت كرده‌اند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طبرانى در المعجم‌الكبير و الاوسط، روايت كرده است كه انصار خواستند براى رسول خدا صلی الله علیه و آله مالى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اَجْرَاًاِلَّاالْمَوَدَّةَفِي‌الْقُرْبىٰ</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وقتى از خدمت حضرت بيرون آمدند، بعضى گفتند اين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راه اهل‌بيت او جنگ كنيم، و آنها را يارى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افْتَرىٰ عَلَى اللّٰهِ كَذِباً</w:t>
      </w:r>
      <w:r>
        <w:rPr>
          <w:rStyle w:val="FootnoteAnchor"/>
          <w:rtl w:val="true"/>
        </w:rPr>
        <w:footnoteReference w:id="214"/>
      </w:r>
      <w:r>
        <w:rPr>
          <w:rFonts w:ascii="IRNazanin" w:hAnsi="IRNazanin" w:eastAsia="IRNazanin"/>
          <w:color w:val="111111"/>
          <w:sz w:val="28"/>
          <w:sz w:val="28"/>
          <w:szCs w:val="28"/>
          <w:rtl w:val="true"/>
          <w:lang w:bidi="fa-IR"/>
        </w:rPr>
        <w:t xml:space="preserve">تا </w:t>
      </w:r>
      <w:r>
        <w:rPr>
          <w:rFonts w:ascii="Amiri" w:hAnsi="Amiri" w:eastAsia="Amiri" w:cs="Amiri"/>
          <w:color w:val="111111"/>
          <w:sz w:val="28"/>
          <w:sz w:val="28"/>
          <w:szCs w:val="28"/>
          <w:rtl w:val="true"/>
          <w:lang w:bidi="ar-SA"/>
        </w:rPr>
        <w:t>وَهُوَ الَّذِي يَقْبَلُ التَّوْبَةَ عَنْ عِبَادِهِ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نظير اين روايت در شرح الناسخ و المنسوخ</w:t>
      </w:r>
      <w:r>
        <w:rPr>
          <w:rStyle w:val="FootnoteAnchor"/>
          <w:rtl w:val="true"/>
        </w:rPr>
        <w:footnoteReference w:id="217"/>
      </w:r>
      <w:r>
        <w:rPr>
          <w:rFonts w:ascii="IRNazanin" w:hAnsi="IRNazanin" w:eastAsia="IRNazanin"/>
          <w:color w:val="111111"/>
          <w:sz w:val="28"/>
          <w:sz w:val="28"/>
          <w:szCs w:val="28"/>
          <w:rtl w:val="true"/>
          <w:lang w:bidi="fa-IR"/>
        </w:rPr>
        <w:t>و در الصواعق</w:t>
      </w:r>
      <w:r>
        <w:rPr>
          <w:rStyle w:val="FootnoteAnchor"/>
          <w:rtl w:val="true"/>
        </w:rPr>
        <w:footnoteReference w:id="218"/>
      </w:r>
      <w:r>
        <w:rPr>
          <w:rFonts w:ascii="IRNazanin" w:hAnsi="IRNazanin" w:eastAsia="IRNazanin"/>
          <w:color w:val="111111"/>
          <w:sz w:val="28"/>
          <w:sz w:val="28"/>
          <w:szCs w:val="28"/>
          <w:rtl w:val="true"/>
          <w:lang w:bidi="fa-IR"/>
        </w:rPr>
        <w:t>از بغوى و ثعلبی روايت شده و واحدى نيز در اسباب‌النزول</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واحدی، اسباب‌النزول،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ابن‌سلامه در الناسخ و المنسوخ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 را روايت كرده‌اند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ابن‌اثير جزری در اسدالغابة</w:t>
      </w:r>
      <w:r>
        <w:rPr>
          <w:rStyle w:val="FootnoteAnchor"/>
          <w:rtl w:val="true"/>
        </w:rPr>
        <w:footnoteReference w:id="220"/>
      </w:r>
      <w:r>
        <w:rPr>
          <w:rFonts w:ascii="IRNazanin" w:hAnsi="IRNazanin" w:eastAsia="IRNazanin"/>
          <w:color w:val="111111"/>
          <w:sz w:val="28"/>
          <w:sz w:val="28"/>
          <w:szCs w:val="28"/>
          <w:rtl w:val="true"/>
          <w:lang w:bidi="fa-IR"/>
        </w:rPr>
        <w:t>از حبيب بن ابى‌ثابت درضمن حديثى قريب به اين مضمون روايت كرده است كه شيوخ انصار به حضرت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ما براى ما حديث كرده‌اند كه خدمت پيغمبر صلی الله علیه و آله رفتند، و از آن حضرت اجازه خواستند كه خانه و اموال خود را به آن حضرت واگذار كنند، براى آنچه كه خدا به آنها به‌سبب پيغمبر عطا فرمود و آنها را تفضيل و برترى داد و به‌سبب پيغمبر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آيه را نازل كرد </w:t>
      </w:r>
      <w:r>
        <w:rPr>
          <w:rFonts w:ascii="Amiri" w:hAnsi="Amiri" w:eastAsia="Amiri" w:cs="Amiri"/>
          <w:color w:val="111111"/>
          <w:sz w:val="28"/>
          <w:sz w:val="28"/>
          <w:szCs w:val="28"/>
          <w:rtl w:val="true"/>
          <w:lang w:bidi="ar-SA"/>
        </w:rPr>
        <w:t>قُلْ لَا أَسْئَلُكُمْ‌عَلَيْهِ أَجْرَاً اِلَّاالْمَوَدَّةَفِي‌الْقُرْبىٰ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شيوخ انصار به امام زين‌العابدين علیه السلام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نَدُلُّكُمْ عَلَى النَّاسِ؛ يعنى ما كمك براى شما هستيم در برابر مردم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ابى‌حاتم از ابن‌عباس روايت كرده است در تفسير آيه وَمَن يَقْتَرِفْ حَسَنَةً</w:t>
      </w:r>
      <w:r>
        <w:rPr>
          <w:rFonts w:ascii="IRNazanin" w:hAnsi="IRNazanin" w:eastAsia="IRNazanin"/>
          <w:color w:val="111111"/>
          <w:sz w:val="28"/>
          <w:sz w:val="28"/>
          <w:szCs w:val="28"/>
          <w:rtl w:val="true"/>
          <w:lang w:bidi="fa-IR"/>
        </w:rPr>
        <w:t xml:space="preserve"> كه اقتراف حسنه، مودّت آل محمّد علیهم السلام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ابن‌حجر در ذيل آيه پنجم از آيات نازل شده در مورد اهل‌بيت علیهم السلام در الصواعق</w:t>
      </w:r>
      <w:r>
        <w:rPr>
          <w:rStyle w:val="FootnoteAnchor"/>
          <w:rtl w:val="true"/>
        </w:rPr>
        <w:footnoteReference w:id="222"/>
      </w:r>
      <w:r>
        <w:rPr>
          <w:rFonts w:ascii="IRNazanin" w:hAnsi="IRNazanin" w:eastAsia="IRNazanin"/>
          <w:color w:val="111111"/>
          <w:sz w:val="28"/>
          <w:sz w:val="28"/>
          <w:szCs w:val="28"/>
          <w:rtl w:val="true"/>
          <w:lang w:bidi="fa-IR"/>
        </w:rPr>
        <w:t>درضمن حديثى از امام زين‌العابدين علیه السلام روايت كرده است كه در جمله اوصاف ائمه اهل‌بيت علیهم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أَذْهَبَ اللهُ عَنْهُمُ الرِّجْسَ وَطَهَّرَهُمْ تَطْهِيراً وَبَرَأَهُمْ مِنَ الْآفَاتِ وَافْتَرَضَ مَوَدَّتَهُمْ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كسانى كه خدا رجس را از ايشان برده و پاك قرار داده پاك قرار دادنى، و از آفات برى ساخته و دوستى ايشان را در كتاب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برخى از رواياتى است كه از طرق اهل‌سنّت روايت شده است و هركس طالب زياده بر اين باشد مى‌تواند به كتاب خصائص الوحى المبين في مناقب اميرالمؤمنين علیه السلام و عمدة عیون صحا‌ح الاخبار فی مناقب امام‌الابرار ابن‌بطريق، و الفصول‌المهمة فی معرفة‌الائمه ابن‌صباغ مالکی رجوع نمايد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بااين‌همه روايات از اهل‌سنّت، عجيب نيست اگر كسى كه خود </w:t>
      </w:r>
    </w:p>
    <w:p>
      <w:pPr>
        <w:pStyle w:val="BookText"/>
        <w:rPr/>
      </w:pPr>
      <w:r>
        <w:rPr>
          <w:rFonts w:ascii="Amiri" w:hAnsi="Amiri" w:eastAsia="Amiri" w:cs="Amiri"/>
          <w:color w:val="111111"/>
          <w:sz w:val="28"/>
          <w:sz w:val="28"/>
          <w:szCs w:val="28"/>
          <w:rtl w:val="true"/>
          <w:lang w:bidi="ar-SA"/>
        </w:rPr>
        <w:t>را شيعه مى‌داند، با عكرمه خارجى و اعداى اهل‌بيت موافقت نموده و تفسير مأثور از آنها را ترك كند و با دشمنان آنها كه فاقد علم و دانش، يا معاند و متعصب بوده‌اند، هم‌آواز شود؟</w:t>
      </w:r>
    </w:p>
    <w:p>
      <w:pPr>
        <w:pStyle w:val="BookText"/>
        <w:rPr/>
      </w:pPr>
      <w:r>
        <w:rPr>
          <w:rFonts w:ascii="IRNazanin" w:hAnsi="IRNazanin" w:eastAsia="IRNazanin"/>
          <w:color w:val="111111"/>
          <w:sz w:val="28"/>
          <w:sz w:val="28"/>
          <w:szCs w:val="28"/>
          <w:rtl w:val="true"/>
          <w:lang w:bidi="fa-IR"/>
        </w:rPr>
        <w:t>آيا كسى از حضرت على بن ابى‌طالب، و حضرت مجتبى و امام زين‌العابدين و ساير ائمه علیهم السلام اعلم به تفسير قرآن و شأن نزول آن است؟</w:t>
      </w:r>
    </w:p>
    <w:p>
      <w:pPr>
        <w:pStyle w:val="BookText"/>
        <w:rPr/>
      </w:pPr>
      <w:r>
        <w:rPr>
          <w:rFonts w:ascii="IRNazanin" w:hAnsi="IRNazanin" w:eastAsia="IRNazanin"/>
          <w:color w:val="111111"/>
          <w:sz w:val="28"/>
          <w:sz w:val="28"/>
          <w:szCs w:val="28"/>
          <w:rtl w:val="true"/>
          <w:lang w:bidi="fa-IR"/>
        </w:rPr>
        <w:t>آيا اين‌همه تفاسير نقل‌هاى ارباب و روايات، در اينكه اين چهار آيه سوره شورى مدنى است، كافى نبود كه اقلاً ايرادكننده به‌طورقطع اين آيات را مكى نشمارد، و قول اهل‌بيت علیهم السلام را رد نكند؟</w:t>
      </w:r>
    </w:p>
    <w:p>
      <w:pPr>
        <w:pStyle w:val="BookText"/>
        <w:rPr/>
      </w:pPr>
      <w:r>
        <w:rPr>
          <w:rFonts w:ascii="IRNazanin" w:hAnsi="IRNazanin" w:eastAsia="IRNazanin"/>
          <w:color w:val="111111"/>
          <w:sz w:val="28"/>
          <w:sz w:val="28"/>
          <w:szCs w:val="28"/>
          <w:rtl w:val="true"/>
          <w:lang w:bidi="fa-IR"/>
        </w:rPr>
        <w:t>حال كه على‌رغم تمام روايات وارده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مكى است، جا داشت در چنين مقامى كه مى‌خواهد متن دعاى ندبه را تضعيف كند به قول مخالف هم اشاره‌اى نمايد و ميان دعوا نرخ تعيين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من نمى‌دانم غرض از اين شبهه‌تراشى‌ها و انكار فضايل اهل‌بيت علیهم السلام چيست؟</w:t>
      </w:r>
    </w:p>
    <w:p>
      <w:pPr>
        <w:pStyle w:val="BookText"/>
        <w:rPr/>
      </w:pPr>
      <w:r>
        <w:rPr>
          <w:rFonts w:ascii="IRNazanin" w:hAnsi="IRNazanin" w:eastAsia="IRNazanin"/>
          <w:color w:val="111111"/>
          <w:sz w:val="28"/>
          <w:sz w:val="28"/>
          <w:szCs w:val="28"/>
          <w:rtl w:val="true"/>
          <w:lang w:bidi="fa-IR"/>
        </w:rPr>
        <w:t>باشد تا روز داورى برسد و در دادگاه عدل الهى از رسول خدا صلی الله علیه و آله خجلت بكشند و از اين گفته‌ها و انكار فضايل اهل‌بيت آن حضرت پشيمان 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افرادى در قلب تشيّع اين صداهاى ناهنجار را بلند كرده‌اند،ديگران از خارج به ولاى اهل‌بيت علیهم السلام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فردى مثل عبدالباقى عمرى فاروقى شاعر و اديب معروفى كه نسبش به عمر </w:t>
      </w:r>
    </w:p>
    <w:p>
      <w:pPr>
        <w:pStyle w:val="BookText"/>
        <w:rPr/>
      </w:pPr>
      <w:r>
        <w:rPr>
          <w:rFonts w:ascii="IRNazanin" w:hAnsi="IRNazanin" w:eastAsia="IRNazanin"/>
          <w:color w:val="111111"/>
          <w:sz w:val="28"/>
          <w:sz w:val="28"/>
          <w:szCs w:val="28"/>
          <w:rtl w:val="true"/>
          <w:lang w:bidi="fa-IR"/>
        </w:rPr>
        <w:t xml:space="preserve">بن خطاب منتهى مى‌شود و ديوانش الترياق‌الفاروقى پر است از مدايح و فضايل ائمه اثنى‌عشر علیهم السلام به‌خصوص مناقب اميرالمؤمنين علیه السلام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اين‌گونه داد سخن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الدَّعِي بْنَ زِيادِ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أَبِي يَزِيدَ نُسِباً</w:t>
      </w:r>
    </w:p>
    <w:p>
      <w:pPr>
        <w:pStyle w:val="BookText"/>
        <w:rPr/>
      </w:pPr>
      <w:r>
        <w:rPr>
          <w:rFonts w:ascii="Amiri" w:hAnsi="Amiri" w:eastAsia="Amiri" w:cs="Amiri"/>
          <w:color w:val="111111"/>
          <w:sz w:val="28"/>
          <w:sz w:val="28"/>
          <w:szCs w:val="28"/>
          <w:rtl w:val="true"/>
          <w:lang w:bidi="ar-SA"/>
        </w:rPr>
        <w:t>اَلْمُصْطَفَى وَابْنَتُهُ وَصِهْرُهُ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غَدَوْا جَدّاً وَأُمّاً وَأَباً</w:t>
      </w:r>
    </w:p>
    <w:p>
      <w:pPr>
        <w:pStyle w:val="BookText"/>
        <w:rPr/>
      </w:pPr>
      <w:r>
        <w:rPr>
          <w:rFonts w:ascii="Amiri" w:hAnsi="Amiri" w:eastAsia="Amiri" w:cs="Amiri"/>
          <w:color w:val="111111"/>
          <w:sz w:val="28"/>
          <w:sz w:val="28"/>
          <w:szCs w:val="28"/>
          <w:rtl w:val="true"/>
          <w:lang w:bidi="ar-SA"/>
        </w:rPr>
        <w:t>وَقُلْ تَعَالَوْا نَدْعُ 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النَّبِيِّ بِالْعَبَا مَنْ احْتَبَا</w:t>
      </w:r>
    </w:p>
    <w:p>
      <w:pPr>
        <w:pStyle w:val="BookText"/>
        <w:rPr/>
      </w:pPr>
      <w:r>
        <w:rPr>
          <w:rFonts w:ascii="Amiri" w:hAnsi="Amiri" w:eastAsia="Amiri" w:cs="Amiri"/>
          <w:color w:val="111111"/>
          <w:sz w:val="28"/>
          <w:sz w:val="28"/>
          <w:szCs w:val="28"/>
          <w:rtl w:val="true"/>
          <w:lang w:bidi="ar-SA"/>
        </w:rPr>
        <w:t>وَعَهْدُ لَا أَسْئَلُكُمْ عَلَيِهِ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لِمَنْ بِهِ الْوَلَا قَدْ وَجَبَا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شافعى هم در اين مورد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يَاأَهْلَ بَيْتِ رَسُولِ اللهِ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أَنْزَلَهُ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كَفَاكُمُ مِنْ عَظِيمِ الْقَدْرِ 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شمس‌الدين ابن‌عربى هم در اين معنا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وِلَائِي آلَ طه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أَهْلِ الْبُعْدِ يُورِثُنِي الْقُرْبَا</w:t>
      </w:r>
    </w:p>
    <w:p>
      <w:pPr>
        <w:pStyle w:val="BookText"/>
        <w:rPr/>
      </w:pPr>
      <w:r>
        <w:rPr>
          <w:rFonts w:ascii="Amiri" w:hAnsi="Amiri" w:eastAsia="Amiri" w:cs="Amiri"/>
          <w:color w:val="111111"/>
          <w:sz w:val="28"/>
          <w:sz w:val="28"/>
          <w:szCs w:val="28"/>
          <w:rtl w:val="true"/>
          <w:lang w:bidi="ar-SA"/>
        </w:rPr>
        <w:t>فَمَا طَلَبَ الْمَبْعُوثُ أَجْراً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بِتَبْلِيغِهِ إِلَّا الْمَوَدَّةَ فِي الْقُرْبىٰ</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الْعُرْوَةُ الْوُثْقى لِمُعْتَصِم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مَنَاقِبُهُمْ جَاءَتْ بِوَحْيٍ وَإِنْزَالٍ</w:t>
      </w:r>
    </w:p>
    <w:p>
      <w:pPr>
        <w:pStyle w:val="BookText"/>
        <w:rPr/>
      </w:pPr>
      <w:r>
        <w:rPr>
          <w:rFonts w:ascii="Amiri" w:hAnsi="Amiri" w:eastAsia="Amiri" w:cs="Amiri"/>
          <w:color w:val="111111"/>
          <w:sz w:val="28"/>
          <w:sz w:val="28"/>
          <w:szCs w:val="28"/>
          <w:rtl w:val="true"/>
          <w:lang w:bidi="ar-SA"/>
        </w:rPr>
        <w:t>مَنَاقِبُ فِي الشُورىٰ وَسُورَةُ 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سُورَةِ الْأَحْزَابِ يَعْرِفُهَا التَّالِي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آلُ بَيْتِ الْمُصْطَفى فَوِدَادُهُمْ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مَفْرُوضٌ بِحُكْمٍ وَإِسْجَالٍ</w:t>
      </w:r>
      <w:r>
        <w:rPr>
          <w:rStyle w:val="FootnoteAnchor"/>
          <w:rtl w:val="true"/>
        </w:rPr>
        <w:footnoteReference w:id="226"/>
      </w:r>
      <w:bookmarkStart w:id="128" w:name="pg212_2817"/>
    </w:p>
    <w:p>
      <w:pPr>
        <w:pStyle w:val="Heading2"/>
        <w:numPr>
          <w:ilvl w:val="1"/>
          <w:numId w:val="1"/>
        </w:numPr>
        <w:rPr/>
      </w:pPr>
      <w:bookmarkStart w:id="129" w:name="__RefHeading___Toc1913761_211673320"/>
      <w:bookmarkStart w:id="130" w:name="_Toc46"/>
      <w:bookmarkEnd w:id="128"/>
      <w:bookmarkEnd w:id="129"/>
      <w:r>
        <w:rPr/>
        <w:t>11</w:t>
      </w:r>
      <w:r>
        <w:rPr>
          <w:rtl w:val="true"/>
        </w:rPr>
        <w:t xml:space="preserve">- </w:t>
      </w:r>
      <w:r>
        <w:rPr>
          <w:rtl w:val="true"/>
        </w:rPr>
        <w:t>دعاى ندبه و عقل</w:t>
      </w:r>
      <w:bookmarkEnd w:id="130"/>
    </w:p>
    <w:p>
      <w:pPr>
        <w:pStyle w:val="BookText"/>
        <w:rPr/>
      </w:pPr>
      <w:r>
        <w:rPr>
          <w:rFonts w:ascii="IRNazanin" w:hAnsi="IRNazanin" w:eastAsia="IRNazanin"/>
          <w:color w:val="111111"/>
          <w:sz w:val="28"/>
          <w:sz w:val="28"/>
          <w:szCs w:val="28"/>
          <w:rtl w:val="true"/>
          <w:lang w:bidi="fa-IR"/>
        </w:rPr>
        <w:t>ايراد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ندبه با عقل مخالف است؛ زيرا اين دعا را در هزار مكان و مسجد و خانه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امام‌زمان علیه السلام همه‌جا حاضر و شنوا و لا مكان است، و حاضر في كل مكان است مانند خدا؟ البته خير؛ زيرا امام صفات خدا را ندارد، و امام‌حسين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عَنْ صِفَاتِ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همه‌جا حاضر نيست، پس چرا در اين دعا او را صدا مى‌زنند 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السَّادَةِ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النُّجَبَاءِ الْأَكْرَمِينَ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سادات مقرّبين، اى فرزند نجباى اكرمين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نداكردن و خطاب‌نمودن، مخاطب و منادى نمى‌خواهد؟ </w:t>
      </w:r>
    </w:p>
    <w:p>
      <w:pPr>
        <w:pStyle w:val="BookText"/>
        <w:rPr/>
      </w:pPr>
      <w:r>
        <w:rPr>
          <w:rFonts w:ascii="IRNazanin" w:hAnsi="IRNazanin" w:eastAsia="IRNazanin"/>
          <w:color w:val="111111"/>
          <w:sz w:val="28"/>
          <w:sz w:val="28"/>
          <w:szCs w:val="28"/>
          <w:rtl w:val="true"/>
          <w:lang w:bidi="fa-IR"/>
        </w:rPr>
        <w:t>آيا مخاطبى كه بشنود، همه‌جا هست يا خير؟ خود اين دعا كه مى‌گويد امام همه‌جا نيست؛ زيرا در اواخر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مِنَّا تَحِيَّةً وَسَلَاماً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 سلام و تحيت ما را به امام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امام همه‌جا هست، ديگر خدايا سلام ما را به او برسان نمى‌خواهد، خودش مى‌شنود؟ اگر امام‌حسين علیه السلام همه‌جا حاضر است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شيعيان را به او مى‌رساند يعنى چه؟ اگر پيغمبر اسلام صلی الله علیه و آله همه‌جا هست، پس چنانچه در كتاب الكافى</w:t>
      </w:r>
      <w:r>
        <w:rPr>
          <w:rStyle w:val="FootnoteAnchor"/>
          <w:rtl w:val="true"/>
        </w:rPr>
        <w:footnoteReference w:id="229"/>
      </w:r>
      <w:r>
        <w:rPr>
          <w:rFonts w:ascii="Amiri" w:hAnsi="Amiri" w:eastAsia="Amiri" w:cs="Amiri"/>
          <w:color w:val="111111"/>
          <w:sz w:val="28"/>
          <w:sz w:val="28"/>
          <w:szCs w:val="28"/>
          <w:rtl w:val="true"/>
          <w:lang w:bidi="ar-SA"/>
        </w:rPr>
        <w:t xml:space="preserve">و وسائل‌الشيعه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اسْتِحْبَابِ زِيَارَةِ النَّبِىِّ صلی الله علیه و آله وَلَوْ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سلام امتم را از راه دور نمى‌شنوم؛ بلكه ملائكه الهى به من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جايى كه پيغمبر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اشرف از تمام مخلوقات است – همه‌جا حاضر و شنوا نيست، چگونه جانشين او همه‌جا حاضر و شنواست؟ اگر امام همه‌جا حاضر است؟ چرا علماى شيعه روايت كرده‌اند كه ملائكه نامه اعمال را خدمت او مى‌برند؟ اگر خود او حاضر است، ديگر نامه‌رسان نمى‌خواهد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كه محال است يك نفر، دو نفر يا هشت نفر بشود و در </w:t>
      </w:r>
    </w:p>
    <w:p>
      <w:pPr>
        <w:pStyle w:val="BookText"/>
        <w:rPr/>
      </w:pPr>
      <w:r>
        <w:rPr>
          <w:rFonts w:ascii="IRNazanin" w:hAnsi="IRNazanin" w:eastAsia="IRNazanin"/>
          <w:color w:val="111111"/>
          <w:sz w:val="28"/>
          <w:sz w:val="28"/>
          <w:szCs w:val="28"/>
          <w:rtl w:val="true"/>
          <w:lang w:bidi="fa-IR"/>
        </w:rPr>
        <w:t>آن واحد، در هشت مكان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نفر شد يك نفر نيست، چه برسد به اينكه هزاران جا باشد؟</w:t>
      </w:r>
    </w:p>
    <w:p>
      <w:pPr>
        <w:pStyle w:val="BookText"/>
        <w:rPr/>
      </w:pPr>
      <w:r>
        <w:rPr>
          <w:rFonts w:ascii="IRNazanin" w:hAnsi="IRNazanin" w:eastAsia="IRNazanin"/>
          <w:color w:val="111111"/>
          <w:sz w:val="28"/>
          <w:sz w:val="28"/>
          <w:szCs w:val="28"/>
          <w:rtl w:val="true"/>
          <w:lang w:bidi="fa-IR"/>
        </w:rPr>
        <w:t>آيا عقل حجت نيست؟ عقل مى‌گويد محال است شىء واحدى در يك آن در دو مكان باشد، چه برسد به صد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مردم عوام مى‌پرسيم، آيا اگر اميرالمؤمنين همه‌جا بود، چگونه او را در مسجد كوفه شهيد كردند؟ آيا پيغمبر اسلام صلی الله علیه و آله چون از مكّه فرار نموده و به مدينه رفت، باز هم در مكّه بود يا خير؟ آيا امامى كه همه‌جا هست، در حمام زنانه، در ميخانه و در امكنه فساد، همه‌جا هست يا خير؟ اگر هست پس به همه زنان مردم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زنى محرم بود، پس چرا با خواندن عقد زنى را به خود محرم مى‌نمود؟ آيا امام مانند خدا بدون تكليف است و حلال و حرامى براى او نيست؟ اگر مكلّف است پس چرا او كه در همه‌جا هست نهى از منكر نمى‌كند، و از امكنه فساد جلو نمى‌گيرد؟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اين اشكالات و پرسش‌ها با فرض صحّت آن در موارد ديگر، نسبت به دعاى ندبه وارد نيست؛ زيرا اين دعا براى ندبه است، و اظهار تأسف از غيبت امام، و نگرانى از بدى اوضاع و ابراز علاقه به ظهور حكومت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مثل اين مورد، گوينده بعيد راقريب، و غايب را حاضر و بلكه گاهى مرده را زنده فرض مى‌كند </w:t>
      </w:r>
    </w:p>
    <w:p>
      <w:pPr>
        <w:pStyle w:val="BookText"/>
        <w:rPr/>
      </w:pPr>
      <w:r>
        <w:rPr>
          <w:rFonts w:ascii="IRNazanin" w:hAnsi="IRNazanin" w:eastAsia="IRNazanin"/>
          <w:color w:val="111111"/>
          <w:sz w:val="28"/>
          <w:sz w:val="28"/>
          <w:szCs w:val="28"/>
          <w:rtl w:val="true"/>
          <w:lang w:bidi="fa-IR"/>
        </w:rPr>
        <w:t>و اظهار تأثر مى‌نمايد، مخاطب هركه باشد، خواه بشنود يا نشنود، مانند نوحه و مرثيه بر ميت كه به او خطاب مى‌شود، و در صد جا او را مى‌خوانند، و در اشعار از اين‌گونه خطاب‌ها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مى‌گوييد كه باخبربودن امام و رسيدن ندا و سلام شيعيان به آن حضرت، ملازمه دارد با اينكه حضرت در همه‌جا حضور حقيقى جسمانى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اذن خدا در همه‌جا هست، غرضش اين است كه از همه‌جا اطّلاع دارد، و فاصله زمان و مكان، مانع از علم و رؤيت آن حضرت نمى‌شود، و سلام و خطاب مردم به او مى‌رسد، خواه به‌توسط فطرس يا ملائكه ديگر، و خواه بدون‌واسطه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سخن از كيفيت و نحوه علم و اطّلاع امام به سلام و خطاب ما، و فرق بين سلام بعيد و قريب مطرح نيست، و واقع اين موضوع هر نحو باشد، به دعاى ندبه و مطالب حقّ ديگر ضرر نمى‌زند؛ كه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زِيَارَةِ النَّبِىِّ صلی الله علیه و آله وَلَوْ مِنْ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وسائل‌الشيعه</w:t>
      </w:r>
      <w:r>
        <w:rPr>
          <w:rStyle w:val="FootnoteAnchor"/>
          <w:rtl w:val="true"/>
        </w:rPr>
        <w:footnoteReference w:id="231"/>
      </w:r>
      <w:r>
        <w:rPr>
          <w:rFonts w:ascii="IRNazanin" w:hAnsi="IRNazanin" w:eastAsia="IRNazanin"/>
          <w:color w:val="111111"/>
          <w:sz w:val="28"/>
          <w:sz w:val="28"/>
          <w:szCs w:val="28"/>
          <w:rtl w:val="true"/>
          <w:lang w:bidi="fa-IR"/>
        </w:rPr>
        <w:t>و غيره استشهاد كرده و مى‌گوييد پيغمبر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سلام امتم را از دور نمى‌شنوم بلكه ملائكه الهى به من مى‌رسانند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حال كه ملائكه سلام و خطاب را مى‌رسانند، فرمودسلام نكنيد؟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از اين احاديث همين است كه سلام به پيغمبر صلی الله علیه و آله را ترك نكنيد </w:t>
      </w:r>
    </w:p>
    <w:p>
      <w:pPr>
        <w:pStyle w:val="BookText"/>
        <w:rPr/>
      </w:pPr>
      <w:r>
        <w:rPr>
          <w:rFonts w:ascii="IRNazanin" w:hAnsi="IRNazanin" w:eastAsia="IRNazanin"/>
          <w:color w:val="111111"/>
          <w:sz w:val="28"/>
          <w:sz w:val="28"/>
          <w:szCs w:val="28"/>
          <w:rtl w:val="true"/>
          <w:lang w:bidi="fa-IR"/>
        </w:rPr>
        <w:t>و گمان ننماييد كه آن حضرت از سلام شما مطّلع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روايات همه مؤيد خطاب و ندا و سلام است، وانگهى حقيقت و نحوه اين شنيدن و رسيدن سلام و ندا بر ما معلوم نيست، امّا لازم هر دو را كه علم پيغمبر و امام به ندا و سلام است، از آن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مطالب كه به نقل ثابت مى‌شود، همين‌قدر كه عقل حكم به امتناع آن نكند، و حتى به‌طور اعجاز، احتمال آن را بدهد، قبول مى‌كنيم و تسليم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روايات متن دعاى ندبه را ضعيف يا خلاف عقل مى‌سازد؟ اين روايت اين را مى‌پروراند كه در حال ممات پيغمبر صلی الله علیه و آله هم، نسبت به ايشان مثل اين وظايف را كه در حال حيات انجام مى‌داديد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استغاثه و توسل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بدهيد، پيغمبر صلی الله علیه و آله مطّلع مى‌شود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اخبار، بيان‌كننده فرق بين نحوه و كيفيت اطّلاع از قريب و بعيد و شنيدن و رسيدن نيست، تا كسى مفهوم بگيرد و بگويد از دور نمى‌شنود، بلكه ظاهر اين است كه براى دفع توهم كسانى كه ندا و سلام از بعيد را استبعاد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سلام در مقابل قبر مطهر و در نفس روضه منوّره متعارف بوده و آن را مسموع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سلام از قريب را كه مى‌شنود و سلاماز بعيد هم به آن حضرت مى‌رسد، يا خودش مى‌رسد، چنان‌كه مقتضى اكثر روايات اين باب است، و يا به‌وسيله ملائكه، چنان‌كه روايت </w:t>
      </w:r>
    </w:p>
    <w:p>
      <w:pPr>
        <w:pStyle w:val="BookText"/>
        <w:rPr/>
      </w:pPr>
      <w:r>
        <w:rPr>
          <w:rFonts w:ascii="Amiri" w:hAnsi="Amiri" w:eastAsia="Amiri" w:cs="Amiri"/>
          <w:color w:val="111111"/>
          <w:sz w:val="28"/>
          <w:sz w:val="28"/>
          <w:szCs w:val="28"/>
          <w:rtl w:val="true"/>
          <w:lang w:bidi="ar-SA"/>
        </w:rPr>
        <w:t>ضعيفى بر آن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اين است كه آن را هم مى‌شنود، نه اينكه مراد اين باشد كه از دور نمى‌شنود؛ ولى از نزديك مى‌شنود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به‌هرحال شنيدن از دور موضوعى است كه در دنياى ما عملى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عالم برزخ كه معلوم نيست اين فاصله‌هاى زمان و مكان در آنجا مانع از شنيدن و رؤيت باشد، يا نسبت به روح مقدّس پيغمبر و امام كه به‌مراتب لطيف‌تر و كامل‌تر از فرشته است مخصوصاً به‌طور اعجاز، به‌هيچ‌وجه استبعاد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گاهى به عبارت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 مِنَّا تَحِيَّةً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اينكه چون ملائكه نامه اعمال را خدمت آن حضرت مى‌برند و به ايشان عرضه مى‌دارند، استشهاد مى‌كنيد بر اينكه امام همه‌جا حاضر نيست و گاهى مى‌گوييد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شيعه را به امام‌حسين علیه السلام مى‌رساند، پس معلوم مى‌شود امام همه‌جا حاضر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مى‌گوييم امام علیه السلام در هر مجلس و مكان حضور دارند؟ آنچه در اين مورد گفته مى‌شود و صحيح است، اين است كه امام علیه السلام به هركجا و هر مكان اراده كند به اذن الله تعالى مى‌تواند برود، و به احوال رعايا و شيعيان خود و آنچه تحت نظر ولايت او قرار گرفته، ناظر و آگاه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 مِنَّا تَحِيَّةً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معنا هيچ منافاتى ندارد؛ زيرا ممكن است امام خودش از سلام و عرض ادب ما آگاه باشد، ولى ما </w:t>
      </w:r>
    </w:p>
    <w:p>
      <w:pPr>
        <w:pStyle w:val="BookText"/>
        <w:rPr/>
      </w:pPr>
      <w:r>
        <w:rPr>
          <w:rFonts w:ascii="IRNazanin" w:hAnsi="IRNazanin" w:eastAsia="IRNazanin"/>
          <w:color w:val="111111"/>
          <w:sz w:val="28"/>
          <w:sz w:val="28"/>
          <w:szCs w:val="28"/>
          <w:rtl w:val="true"/>
          <w:lang w:bidi="fa-IR"/>
        </w:rPr>
        <w:t>براى قابل‌شدن سلام و رفع موانع قبول، از خداوند درخواست ابلاغ آن را مى‌كنيم، مثل آنان كه در محضر پيغمبر صلی الله علیه و آله يا در حرم پيغمبر صلی الله علیه و آله از خدا مى‌خواهند كه تحيت آنها را به پيغمبر صلی الله علیه و آله ابلاغ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موضوع ملائكه‌اى كه اعمال را به آن حضرت عرضه مى‌دارند و فطرس كه سلام شيعيان را مى‌رساند، جوابش اين است كه اين هم دليل بر عدم علم امام علیه السلام نيست، چنانچه ملائكه حفظه، دليل بر عدم علم خدا به اعمال مردم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آنجا بگوييم اينجا هم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برنامه‌هايى است براى تربيت و تنبيه مردم، و در واقع الطافى است از جانب خدا و هيچ‌يك دليل بر عدم علم خدا و پيغمبر و امام نمى‌شود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مى‌گويد اگر امام علیه السلام در همه‌جا حاضر باشد لازم مى‌شود كه يك نفر، چند نفر بلكه چند هزار نفر و بيشتر باشد، جوابش اين است كه ما نمى‌گوييم امام علیه السلام در همه‌جا به معنايى كه شما مى‌گوييد حاضر هستند؛ ولى مى‌گوييم امكان دارد كه در اماكن متعدد به نحوى از حضور حاضر باشند، و فاصله زمان و مكان نسبت به ايشان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مى‌گوييد فطرس همه‌جا حاضر مى‌شود، و سلام شيعيان را از هر شهر و مجلس به عرض آن حضرت مى‌رساند؟ ولى براى امام علیه السلام اين معنا را امكان‌پذير نمى‌دانيد؟ </w:t>
      </w:r>
    </w:p>
    <w:p>
      <w:pPr>
        <w:pStyle w:val="BookText"/>
        <w:rPr/>
      </w:pPr>
      <w:r>
        <w:rPr>
          <w:rFonts w:ascii="IRNazanin" w:hAnsi="IRNazanin" w:eastAsia="IRNazanin"/>
          <w:color w:val="111111"/>
          <w:sz w:val="28"/>
          <w:sz w:val="28"/>
          <w:szCs w:val="28"/>
          <w:rtl w:val="true"/>
          <w:lang w:bidi="fa-IR"/>
        </w:rPr>
        <w:t>آقاى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يك نفر بيشتر نيست، چطور در يك آن، در دو مكان و صد مكان حاضر مى‌شود؟ ما كه وارد عالم ملائكه و عوالم روح و جهان برزخ نيستيم، تا حقايق اين امور را به‌طور قاطع بتوانيم تشريح كنيم؛ امّا اين‌قدر مى‌دانيم كه با يك مشت الفاظ و چون‌وچرا و استبعادات، نمى‌توان اين امور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امكان دارد كه بُعد و فاصله زمان و مكان براى پيغمبر صلی الله علیه و آله و امام علیه السلام و بسيارى از ارواح، و براى ملائكه، پرده نباشد و چنانچه قريب چهارده قرن پيش، با اين فاصله زمانى طولانى، اوضاع كنونى را مى‌ديدند، امكان دارد از مسافت بعيد هم افراد را اگر خواستند،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شما با تلويزيون آمريكا را مى‌بينيد، اروپا را مى‌بينيد، و در يك آن با راديو صداهاى همه‌جا را مى‌شنويد؟</w:t>
      </w:r>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اشكالاتى است مى‌كنيد، اوّل معنای حضور امام علیه السلام را در اماكن مختلف بفهميد، بعد اين فرمايش را بكنيد، اگر نمى‌فهميد اين اشكال‌هاى عاميانه چه معنا دارد؟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قرن پيش براى شما مى‌گفتند، تا يك قرن ديگر انسان‌ها همه از مسافت دور همديگر را مى‌بينند، و در همه‌جا حاضر مى‌شوندو باهم سخن مى‌گويند، مى‌گفتيد اين خرافات چيست؟ اينها افسانه است، با عقل سازگار نيست، امّا حالا مى‌فهميد آن قضاوت شما منشأش بى‌علمى و بى‌اطلاعى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امام علیه السلام در يك زمان در همه‌جا حاضر شود، بفرماييد ببينم وقتى فلان شخص را كه در صفحه تلويزيون شما مى‌بينيد، ديگران همه مى‌بينند، در همه‌جا مى‌بينند، يك نفر چند ميليون نفر شده است؟</w:t>
      </w:r>
    </w:p>
    <w:p>
      <w:pPr>
        <w:pStyle w:val="BookText"/>
        <w:rPr/>
      </w:pPr>
      <w:r>
        <w:rPr>
          <w:rFonts w:ascii="IRNazanin" w:hAnsi="IRNazanin" w:eastAsia="IRNazanin"/>
          <w:color w:val="111111"/>
          <w:sz w:val="28"/>
          <w:sz w:val="28"/>
          <w:szCs w:val="28"/>
          <w:rtl w:val="true"/>
          <w:lang w:bidi="fa-IR"/>
        </w:rPr>
        <w:t>جام جهان‌نما را شنيده‌ايد، چه مانعى دارد كه باطن ملكوتى امام علیه السلام مثل همان جام جهان‌نما باشد، درعين‌حال كه در مسجد كوفه باشد، و آنجا شهيد شود، از اقصى نقاط جهان هم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گمان مى‌كنيد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همه‌جا حاضر است؛ يعنى بايد توى حمام زنانه‌ها، و 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 كاباره‌ها، و مراكز فساد هم تشريف ببرند، مگر هركس هر كارى را بتواند انجام دهد، انجام مى‌دهد؟ يا مى‌گوييم از امام علیه السلام رفع تكليف شده است؟</w:t>
      </w:r>
    </w:p>
    <w:p>
      <w:pPr>
        <w:pStyle w:val="BookText"/>
        <w:rPr/>
      </w:pPr>
      <w:r>
        <w:rPr>
          <w:rFonts w:ascii="IRNazanin" w:hAnsi="IRNazanin" w:eastAsia="IRNazanin"/>
          <w:color w:val="111111"/>
          <w:sz w:val="28"/>
          <w:sz w:val="28"/>
          <w:szCs w:val="28"/>
          <w:rtl w:val="true"/>
          <w:lang w:bidi="fa-IR"/>
        </w:rPr>
        <w:t>واقعاً انسان از اين سخنان شما كه نفهميده و نسنجيده، پيرامون يك چنين حقايق بلند و عميق گفته‌ايد، بى‌اختيار خنده‌اش مى‌گيرد، و از بلندپروازى‌هاى جاهلانه تعجب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چون داند كه اين باغ از 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بهاران زاد و مرگش در دى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كه در علم خود زبون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اين علوم؛ چون باشى؟ </w:t>
      </w:r>
      <w:bookmarkStart w:id="131" w:name="pg212_2835"/>
    </w:p>
    <w:p>
      <w:pPr>
        <w:pStyle w:val="Heading2"/>
        <w:numPr>
          <w:ilvl w:val="1"/>
          <w:numId w:val="1"/>
        </w:numPr>
        <w:rPr/>
      </w:pPr>
      <w:bookmarkStart w:id="132" w:name="__RefHeading___Toc1913763_211673320"/>
      <w:bookmarkStart w:id="133" w:name="_Toc47"/>
      <w:bookmarkEnd w:id="131"/>
      <w:bookmarkEnd w:id="132"/>
      <w:r>
        <w:rPr/>
        <w:t>12</w:t>
      </w:r>
      <w:r>
        <w:rPr>
          <w:rtl w:val="true"/>
        </w:rPr>
        <w:t xml:space="preserve">- </w:t>
      </w:r>
      <w:r>
        <w:rPr>
          <w:rtl w:val="true"/>
        </w:rPr>
        <w:t>بررسى جمله</w:t>
      </w:r>
      <w:r>
        <w:rPr>
          <w:rtl w:val="true"/>
        </w:rPr>
        <w:t>: «</w:t>
      </w:r>
      <w:r>
        <w:rPr>
          <w:rtl w:val="true"/>
        </w:rPr>
        <w:t>يَا ابْنَ الطُّورِ وَالْعَادِيَاتِ</w:t>
      </w:r>
      <w:r>
        <w:rPr>
          <w:rtl w:val="true"/>
        </w:rPr>
        <w:t>»</w:t>
      </w:r>
      <w:bookmarkEnd w:id="133"/>
    </w:p>
    <w:p>
      <w:pPr>
        <w:pStyle w:val="BookText"/>
        <w:rPr/>
      </w:pPr>
      <w:r>
        <w:rPr>
          <w:rFonts w:ascii="IRNazanin" w:hAnsi="IRNazanin" w:eastAsia="IRNazanin"/>
          <w:color w:val="111111"/>
          <w:sz w:val="28"/>
          <w:sz w:val="28"/>
          <w:szCs w:val="28"/>
          <w:rtl w:val="true"/>
          <w:lang w:bidi="fa-IR"/>
        </w:rPr>
        <w:t>يكى ديگر از مواردى را كه در دعاى ندبه، بعضى آن را خلاف عقل شمرده‌اند، اين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يس وَالذَّارِيَاتِ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الطُّورِ وَالْعَادِيَاتِ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يعنى اى پسر يس و بادهاى وزنده، و اى پسر كوه طور و اسبان دونده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توهين به امام عالى‌مقام، و به‌علاوه مخالف عقل است؛ زيرا امام علیه السلام فرزند كوه طور و اسبان دونده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شيعيان حيا نمى‌كنند، و اين جملات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مى‌گويد چگونه حضرت سجاد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مَكَّةَ وَمِنىٰ، أَنَا ابْنُ زَمْزَمَ وَالصَّفَا</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دعاى ندبه نيز مانند گفتار حضرت سجاد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اين است كه خير مانند آن نيست؛ زيرا هركس در هر شهر و يا قصبه‌اى زندگى كرده و بزرگ شده، مى‌گويند بچه آنجا است؛ مثلاً به قمى مى‌گويند بچه قم است و به كاشانى مى‌گويند بچه كاشان است، و چون حضرت سجاد و يا پدر و جدّش علیهم السلام در مدينه و مكّه و زمزم و صفا بزرگ شده‌اند،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مَكَّةَ وَالصَفا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امام‌زمان علیه السلام ، نه خودش در كوه طور بزرگ شده و نه پدر و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به‌اضافه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 وَالذَّارِيَاتِ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مى‌كنند؟</w:t>
      </w:r>
    </w:p>
    <w:p>
      <w:pPr>
        <w:pStyle w:val="BookText"/>
        <w:rPr/>
      </w:pPr>
      <w:r>
        <w:rPr>
          <w:rFonts w:ascii="IRNazanin" w:hAnsi="IRNazanin" w:eastAsia="IRNazanin"/>
          <w:color w:val="111111"/>
          <w:sz w:val="28"/>
          <w:sz w:val="28"/>
          <w:szCs w:val="28"/>
          <w:rtl w:val="true"/>
          <w:lang w:bidi="fa-IR"/>
        </w:rPr>
        <w:t>به‌هرحال ما كه جرئت نمى‌كنيم چنين توهينى به امام‌زمان علیه السلام بنماييم براى خاطر يك دعاى بى‌مدرك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 و دشنام ياد گرفته بودم، پاسخ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حيا نمى‌كنيد كه اين جملات را مى‌نويسيد و شيعيان را بى‌حيا مى‌شماريد؟ فقط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اشتباه غريبى، يا عجب مغلطه‌كارى بى‌ذوقى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اين فصاحت و بلاغت را كه هر سخن‌شناس در برابر آن خاضع مى‌شود، و هر اهل معنا آن را درك مى‌كند، چگونه معرفى مى‌كنيد؟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اسم يكى از سوره‌هاى قرآن است، چنانچه ما مى‌گوييم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أَبْنَاءَ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أَبْنَاءَسُورَةِ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الصَّلَاةِ؛</w:t>
      </w:r>
    </w:p>
    <w:p>
      <w:pPr>
        <w:pStyle w:val="BookText"/>
        <w:rPr/>
      </w:pPr>
      <w:r>
        <w:rPr>
          <w:rFonts w:ascii="Amiri" w:hAnsi="Amiri" w:eastAsia="Amiri" w:cs="Amiri"/>
          <w:color w:val="111111"/>
          <w:sz w:val="28"/>
          <w:sz w:val="28"/>
          <w:szCs w:val="28"/>
          <w:rtl w:val="true"/>
          <w:lang w:bidi="ar-SA"/>
        </w:rPr>
        <w:t>اى فرزندان قرآن، اى فرزندان اسلام، اى فرزندان سوره توحيد، اى فرزندان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صحيح و موافق با ذوق است، يعنى اى تربيت‌شدگان مكتب قرآن و سوره توحيد و اسلام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همين‌طور عرض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سوره يس و سوره ذاريات، و اى پسر سوره طور و سوره عاديات، و اى پسر سوره طه و آيات محكمات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مثل كسى كه اصلاً قرآن مجيد را نخوانده باشد و اسم سوره‌ها را نشنيده باشد اين جمله‌هاى روان را اين‌طور به غلط معنا مى‌كنيد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كيست كه در معانى اين جمله‌ها شك داشته باشد؟ و حتى معنايى را كه شما از اين جمله‌ها كرده‌ايد، احتمال بدهد؟</w:t>
      </w:r>
    </w:p>
    <w:p>
      <w:pPr>
        <w:pStyle w:val="BookText"/>
        <w:rPr/>
      </w:pPr>
      <w:r>
        <w:rPr>
          <w:rFonts w:ascii="IRNazanin" w:hAnsi="IRNazanin" w:eastAsia="IRNazanin"/>
          <w:color w:val="111111"/>
          <w:sz w:val="28"/>
          <w:sz w:val="28"/>
          <w:szCs w:val="28"/>
          <w:rtl w:val="true"/>
          <w:lang w:bidi="fa-IR"/>
        </w:rPr>
        <w:t>معنای اين جمله‌ها نه‌فقط با قرآن مخالف نيست، بلكه كمال موافقت را دارد و كيست سزاوارتر از ائمه علیهم السلام و فرزندان پيغمبر صلی الله علیه و آله به اين خطابات؟ من كه باور نمى‌كنم يك نفر، هرچه هم كم‌ذوق باشد، اين‌قدر كج‌فكر باشد كه اين جمله‌ها را مثل شما معنا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اگر شما معنای اين جمله‌ها را نمى‌فهميد و جرئت نمى‌كنيد آن را بگوييد، ما و ديگران با صداى بلند مى‌گوييم، و امام علیه السلام را با اين جمله‌هاى پرمعنا و فياض، مدح و ستايش مى‌نماييم</w:t>
      </w:r>
      <w:r>
        <w:rPr>
          <w:rFonts w:eastAsia="IRNazanin" w:cs="IRNazanin"/>
          <w:color w:val="111111"/>
          <w:sz w:val="28"/>
          <w:szCs w:val="28"/>
          <w:rtl w:val="true"/>
          <w:lang w:bidi="fa-IR"/>
        </w:rPr>
        <w:t xml:space="preserve">. </w:t>
      </w:r>
      <w:bookmarkStart w:id="134" w:name="pg212_2841"/>
    </w:p>
    <w:p>
      <w:pPr>
        <w:pStyle w:val="Heading2"/>
        <w:numPr>
          <w:ilvl w:val="1"/>
          <w:numId w:val="1"/>
        </w:numPr>
        <w:rPr/>
      </w:pPr>
      <w:bookmarkStart w:id="135" w:name="__RefHeading___Toc1913765_211673320"/>
      <w:bookmarkStart w:id="136" w:name="_Toc48"/>
      <w:bookmarkEnd w:id="134"/>
      <w:bookmarkEnd w:id="135"/>
      <w:r>
        <w:rPr/>
        <w:t>13</w:t>
      </w:r>
      <w:r>
        <w:rPr>
          <w:rtl w:val="true"/>
        </w:rPr>
        <w:t xml:space="preserve">- </w:t>
      </w:r>
      <w:r>
        <w:rPr>
          <w:rtl w:val="true"/>
        </w:rPr>
        <w:t>دعاى ندبه، و كفر و شرك</w:t>
      </w:r>
      <w:bookmarkEnd w:id="136"/>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ندبه كفر و شرک است، چون خواندن غيرخدا شرک است، و در اين دعا امام علیه السلام را مى‌خوانيد و براى حوايج خود او را ندا مى‌كنيد و </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مرگ ابن‌تيميّه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هفتصد سال مى‌گذرد، صدها سال است شبهات او مطرح شده و پاسخ‌هاى مستدل و برهانى، به شبهات او و پيروانش كه فتنه‌ها برپا كرده و آن‌همه قتل نفوس مرتكب شدند و تفرقه ايجاد كردند، و آلت دست استعمار شدند، داده شده است و صدها كتاب از اهل‌سنّت و شيعه بطلان اين فرقه را آشكار ساخته‌اند، و اكنون كه برخى از پيروان ابن‌تيميه و محمّد بن عبدالوهاب رو به اعتدال كرده، و متوجّه مى‌شوند گذشتگان آنها خسارت‌هاى جبران‌ناپذير به اسلام وارد كردند، و مى‌فهمند كه تهمت‌هايى كه به مسلمانان مى‌زدند، و آنها را </w:t>
      </w:r>
    </w:p>
    <w:p>
      <w:pPr>
        <w:pStyle w:val="BookText"/>
        <w:rPr/>
      </w:pPr>
      <w:r>
        <w:rPr>
          <w:rFonts w:ascii="IRNazanin" w:hAnsi="IRNazanin" w:eastAsia="IRNazanin"/>
          <w:color w:val="111111"/>
          <w:sz w:val="28"/>
          <w:sz w:val="28"/>
          <w:szCs w:val="28"/>
          <w:rtl w:val="true"/>
          <w:lang w:bidi="fa-IR"/>
        </w:rPr>
        <w:t>كافر و مشرك مى‌شمردند، مبنى بر جمود و تعصب باطل فرقه‌اى يا تحريك و دسايس سياسى بوده، نمى‌دانم چرا اين زمزمه‌ها از نو آغاز شده، و از كجا و كدام منبع استعمارطلب، الهام مى‌گيرند و با التزام به عقايد تشيّع، اين نغمه‌ها را براى چه آغاز كرده و مقصدشان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تحفه نوظهورى است، كه همه مى‌دانند كه بچه‌هاى شيعيان حجاز و قطيف نيز جواب اين شبهه را ياد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علمايى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افتخار عالم اسلام مى‌باشند، در عصر خودمان به اين شبهات جواب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مسئله شفاعت و توسل و دعا، همه حدود و ثغور و مرزهايش روشن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بگوييد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تَدْعُوا مَعَ اللّٰهِ أَحَداً</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نخوانيد با خدا احدى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قُلْ إِنَّمَا أَدْعُوا رَبِّي وَلَا أُشْرِكُ بِهِ أَحَداً</w:t>
      </w:r>
      <w:r>
        <w:rPr>
          <w:rFonts w:ascii="IRNazanin" w:hAnsi="IRNazanin" w:eastAsia="IRNazanin"/>
          <w:color w:val="111111"/>
          <w:sz w:val="28"/>
          <w:sz w:val="28"/>
          <w:szCs w:val="28"/>
          <w:rtl w:val="true"/>
          <w:lang w:bidi="fa-IR"/>
        </w:rPr>
        <w:t>؛</w:t>
      </w:r>
      <w:r>
        <w:rPr>
          <w:rStyle w:val="FootnoteAnchor"/>
          <w:rtl w:val="true"/>
        </w:rPr>
        <w:footnoteReference w:id="23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 غير از اين نيست كه مى‌خوانم پروردگارم را و شريك نمى‌گيرم براى او احدى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الَّذِينَ تَدْعُونَ مِن دُونِ اللّٰهِ عِبَادٌ أَمْثَالُكُمْ</w:t>
      </w:r>
      <w:r>
        <w:rPr>
          <w:rFonts w:ascii="IRNazanin" w:hAnsi="IRNazanin" w:eastAsia="IRNazanin"/>
          <w:color w:val="111111"/>
          <w:sz w:val="28"/>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به‌درستى‌كه آن كسانى كه غير از خدا مى‌خوانيد، بندگانى مثل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وَمَنْ أَضَلُّ مِمَّنْ يَدْعُوا مِنْ دُونِ اللّٰهِ مَنْ لَا يَسْتَجِيبُ لَهُ إِلَى يَوْمِ الْقِيَامَةِ وَهُمْ عَنْ دُعَائِهِمْ غَافِلُونَ</w:t>
      </w:r>
      <w:r>
        <w:rPr>
          <w:rFonts w:ascii="IRNazanin" w:hAnsi="IRNazanin" w:eastAsia="IRNazanin"/>
          <w:color w:val="111111"/>
          <w:sz w:val="28"/>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كيست گمراه‌تر از آنكه مى‌خواند غير از خدا كسى را كه پاسخ به او نمى‌دهد تا روز قيامت،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ارتباطی با دعاى ندبه و خطاب به امام‌عصر علیه السلام دارد كه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مخاطب قراردادن غايب، در مقام اظهار علاقه و تألّم از هجر و فراق، و اين‌گونه امور، يك امر عرفى و ذوقى است كه غرض خطاب حقيقى نيست؛ بلكه به داعى اظهار اندوه و تأسف اين‌گونه خطابات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دعاى ندبه به‌حساب ايرادكننده هم كفر و شرك نخواهد بود؛ زيرا خطاب به داعى ديگر، يا معنای ديگر، استعمال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دعايى كه در آيات شريفه مورد نهى واقع شده، دعاىخاصى است؛ زيرا مطلق دعا و خواندن غير، حتى به قول شما دعاهاى متعارف و روزمره 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آيات استفاده مى‌شود، و شواهد بسيار از آيات و اخبار و حكايات، آن را تأييد مى‌كند، اين است كه دعا و خواندن غير، كه منهىّ‌عنه و شرك است، اين است كه غيرخدا را به‌عنوان اينكه متصرف مستقل و نافذالامر در اسباب و مسبّبات كائنات و مالك امور دنيا و آخرت است، در عرض خدا بخوانند، يا او را با خدا، كارساز و شريك قرار داده و خالق و رازق و قاضى‌الحاجات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كسى را مقرّب بدانيم و بر نظام اسباب از جانب خدا مسلط بشناسيم و او را بخوانيم، درحالى‌که او در درگاه خدا داراى چنين تقربى نباشد و چنين تسلط و قدرتى به او عطا نشده باشد، اطلاق شرك بر آن، اگرچه مجازاً صحيح است، ولى به‌طور حقيقت شايد صحيح نباشد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اين عمل، افترا و اختراع بوده 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بِهِ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ادخال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بِهِ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بِهِ مِنْ سُلْطَانٍ؛ چيزى كه خدا بر آن حجت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حرام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يُنَزِّلُ اللهُ بِهِ مِنْ سُلْطَانٍ؛ چيزى كه خدا بر آن حجت نازل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نيست و شرك حقيقى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كفربودن آن </w:t>
      </w:r>
    </w:p>
    <w:p>
      <w:pPr>
        <w:pStyle w:val="BookText"/>
        <w:rPr/>
      </w:pPr>
      <w:r>
        <w:rPr>
          <w:rFonts w:ascii="IRNazanin" w:hAnsi="IRNazanin" w:eastAsia="IRNazanin"/>
          <w:color w:val="111111"/>
          <w:sz w:val="28"/>
          <w:sz w:val="28"/>
          <w:szCs w:val="28"/>
          <w:rtl w:val="true"/>
          <w:lang w:bidi="fa-IR"/>
        </w:rPr>
        <w:t>هم در صورتى است كه به انكار ضرورى برگشت كند، و الا بدعتو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مثل انبيا و اوليا را كه تقرب خاص به درگاه الهى دارند و مى‌دانيم دعايشان مستجاب مى‌شود و به‌واسطه صدور معجزات و كرامات معلوم شود كه باذن الله تسلط بر نظام اسباب دارند، چنانچه درباره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أَخْلُقُ لَكُمْ مِنَ الطِّينِ كَهَيْئَةِ الطَّيْرِ</w:t>
      </w:r>
      <w:r>
        <w:rPr>
          <w:rFonts w:ascii="IRNazanin" w:hAnsi="IRNazanin" w:eastAsia="IRNazanin"/>
          <w:color w:val="111111"/>
          <w:sz w:val="28"/>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گل، پيكر مرغى را براى شما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بخواند كه باذن الله كار او را بگشايد، و مشكل او را حل كند، نه كفر است و نه حرام، تا چه رسد به اينكه از او بخواهد كه از خدا درخواست كند حاجت او را برآورد؛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عيسى علیه السلام مائده خواستند، و سؤال خود را به‌صورت اين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يَسْتَطِيعُ رَبُّكَ أَنْ يُنَزِّلَ عَلَيْنَا مَائِدَةً</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عرض كردند، و عيسى علیه السلام دعا كرد و مائده نازل شد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آيا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حواريين خودشان نمى‌توانستند از خدا مسئلت نمايند، و مگر درخواست از خدا واسطه و شفيع لازم دارد؟ </w:t>
      </w:r>
    </w:p>
    <w:p>
      <w:pPr>
        <w:pStyle w:val="BookText"/>
        <w:rPr/>
      </w:pPr>
      <w:r>
        <w:rPr>
          <w:rFonts w:ascii="IRNazanin" w:hAnsi="IRNazanin" w:eastAsia="IRNazanin"/>
          <w:color w:val="111111"/>
          <w:sz w:val="28"/>
          <w:sz w:val="28"/>
          <w:szCs w:val="28"/>
          <w:rtl w:val="true"/>
          <w:lang w:bidi="fa-IR"/>
        </w:rPr>
        <w:t>حاصل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استشفاع و توسل به انبيا و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تقرّبشان به درگاه الهى و تسلطشان به امر خدا بر نظام اسباب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حال حياتشان و خواه پس از ارتحالشان از اين دنيا، نه شرك است و نه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ascii="IRNazanin" w:hAnsi="IRNazanin" w:eastAsia="IRNazanin"/>
          <w:color w:val="111111"/>
          <w:sz w:val="28"/>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ايشان، وقتى ظلم به خودشان كردند، آمدند نزد تو، پس از خدا طلب آمرزش كردند، و طلب آمرزش كرد پيامبر براى آنها، هرآينه مى‌يابند خدا را بسيار توبه‌پذير و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رجحان آن صراحت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حتى نسبت‌دادن بعضى كارها كه از افعال خاصه الهى است به آنها، مثل شفاى امراض – درحالى‌كه نسبت‌دهنده فقط خدا را شافى و خالق و رازق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نيست؛ زيرا اين اعتقاد معلوم او قرينه حاليه است بر اينكه اين اطلاقات به نحو مجاز است، كه نظاير آن در كلام عرب و عجم زياد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الرَّبِيعُ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يك فرد مادى </w:t>
      </w:r>
    </w:p>
    <w:p>
      <w:pPr>
        <w:pStyle w:val="BookText"/>
        <w:rPr/>
      </w:pPr>
      <w:r>
        <w:rPr>
          <w:rFonts w:ascii="IRNazanin" w:hAnsi="IRNazanin" w:eastAsia="IRNazanin"/>
          <w:color w:val="111111"/>
          <w:sz w:val="28"/>
          <w:sz w:val="28"/>
          <w:szCs w:val="28"/>
          <w:rtl w:val="true"/>
          <w:lang w:bidi="fa-IR"/>
        </w:rPr>
        <w:t>آن را بگويد، بر معنای حقيقى حمل مى‌شود و كفر است و اگر موحد بگويد بر معنای مجازى حمل مى‌شود و چنين كسى، غيرخدا را فاعل اين افعال نمى‌داند، يا فاعل را باذن الله فاعل مى‌داند،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قَدْ جِئْتُكُمْ بِآيَةٍ مِنْ رَبِّكُمْ أَنِّي أَخْلُقُ لَكُمْ مِنَ الطِّينِ كَهَيْئَةِ الطَّيْرِ فَأَنْفُخُ فِيهِ فَيَكُونُ طَيْراً بِإِذْنِ اللّٰهِ وَ أُبْرِئُ الْأَكْمَهَ وَ الْأَبْرَصَ وَ أُحْيِ الْمَوْتى بِإِذْنِ اللّٰهِ‌</w:t>
      </w:r>
      <w:r>
        <w:rPr>
          <w:rFonts w:ascii="IRNazanin" w:hAnsi="IRNazanin" w:eastAsia="IRNazanin"/>
          <w:color w:val="111111"/>
          <w:sz w:val="28"/>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من از جانب پروردگارتان برای شما معجزه‌ای آورده‌ام؛ همانا من از گل، پيكر مرغى را براى شما مى‌سازم و بر آن نفس قدسى مى‌دمم تا به امر خدا مرغى گردد و كور مادرزاد و مبتلاى به پيسى را به امر خدا شفا داده و مردگان را زنده مى‌كنم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اين‌گونه اطلاقات صحيح است و موحدين درعين‌حالى كه اين اطلاقات را جايز مى‌دانند و به انبيا و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حال وجودشان در اين دنيا و چه پس از رحلتشان به عالم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مى‌شوند، انبيا و اوليا را مستقل در تصرّف در عرض خدا، و شريك در كار خدا نمى‌دانند؛ بلكه آنها را عامل ارادة‌الله و عمّال‌الله مى‌شناسند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انبيا و اوليا براى مقاصد، از شخص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حياتشان در اين دنيا باشد يا پس از حيات اين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با كفر و شرك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جايى كه در قرآن مجيد مثل اين آيات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فَارْزُقُوهُمْ مِنْهُ</w:t>
      </w:r>
      <w:r>
        <w:rPr>
          <w:rFonts w:ascii="IRNazanin" w:hAnsi="IRNazanin" w:eastAsia="IRNazanin"/>
          <w:color w:val="111111"/>
          <w:sz w:val="28"/>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روزى دهيد ايشان را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w:t>
      </w:r>
      <w:r>
        <w:rPr>
          <w:rFonts w:ascii="IRNazanin" w:hAnsi="IRNazanin" w:eastAsia="IRNazanin"/>
          <w:color w:val="111111"/>
          <w:sz w:val="28"/>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ايشان مى‌پسنديدند آنچه را خدا و رسول او ايشان را داده‌اند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خدا ما را، به‌زودى مى‌آورد ما را خدا از فضل خودش و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وَمَا نَقَمُوا إِلَّا أَنْ أَغْنيٰهُمُ اللّٰهُ وَرَسُولُهُ</w:t>
      </w:r>
      <w:r>
        <w:rPr>
          <w:rFonts w:ascii="IRNazanin" w:hAnsi="IRNazanin" w:eastAsia="IRNazanin"/>
          <w:color w:val="111111"/>
          <w:sz w:val="28"/>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انكار نمى‌كنند مگر اينكه بى‌نياز كرده ايشان را خدا و رسول خدا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مى‌تواند دعا و بعضى تعبيرات متعارف بين موحدين را نسبت به انبيا و اوليا، كفر و شرك شمرد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دلالت ندارد بر اينكه مطلق افراد دعا و خواندن، عبادت و پرستش و كفر و شرك باشد؛ زيرا اگر مراد از دعا، مطلق انواع آن باشد يقيناً مراد از عبادت در اينجا پرستش خاص نمى‌باشد؛ زيرا بعضى انواع دعا، مثل دعا و خواندن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عمرو 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پرستش آنها نيست، و ناچار بايد در اينجا دعا را به معنای لغوى آن، كه ذلّت و خضوع است،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دعا، مطلق افراد آن نباشد، قدرمتيقن آن، دعا و خواندن مدعوّ است در نهايت تذلّل و خضوع، و درخواست كفايت مهمات و قضاى حوايج از او، ازاين‌جهت كه او فاعل مستقل و قادر مطلق و بالذات، و مالك و قاضى حقيقى حوايج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هركس مخلوقى را به اين نحو بخواند، عبادت او را كرده و كافر و مشرك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غير اين نحو كه او را بخواند تا واسطه يا شفيع شود، يا ازاين‌جهت او را بخواند كه از جانب خدا بر كارى مسلط است، مثل عيسى علیه السلام كه بر شفا و ابراى كور مادرزاد و صاحب مرض پيسى باذن الله مسلّط بود، عبادت و كفر و شرك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اينكه نوشته‌ايد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ديگران را از گناه خود مطّلع نكنيد، و خدا ستارالعيوب است و هيچ رسول و امامى مانند او مهربان و رحيم نيست، و از جهالت و بدبختى است كه خدا بگويد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247"/>
      </w:r>
      <w:r>
        <w:rPr>
          <w:rFonts w:ascii="IRNazanin" w:hAnsi="IRNazanin" w:eastAsia="IRNazanin"/>
          <w:color w:val="111111"/>
          <w:sz w:val="28"/>
          <w:sz w:val="28"/>
          <w:szCs w:val="28"/>
          <w:rtl w:val="true"/>
          <w:lang w:bidi="fa-IR"/>
        </w:rPr>
        <w:t>و يا بگويد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وَاسْئَلُوا اللّٰهَ مِنْ فَضْلِهِ</w:t>
      </w:r>
      <w:r>
        <w:rPr>
          <w:rStyle w:val="FootnoteAnchor"/>
          <w:rtl w:val="true"/>
        </w:rPr>
        <w:footnoteReference w:id="248"/>
      </w:r>
      <w:r>
        <w:rPr>
          <w:rFonts w:ascii="IRNazanin" w:hAnsi="IRNazanin" w:eastAsia="IRNazanin"/>
          <w:color w:val="111111"/>
          <w:sz w:val="28"/>
          <w:sz w:val="28"/>
          <w:szCs w:val="28"/>
          <w:rtl w:val="true"/>
          <w:lang w:bidi="fa-IR"/>
        </w:rPr>
        <w:t>و بنده اعتنا نكند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بايد بنده تو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آيه قرآن را نخوانده‌ايد كه همان خدايى كه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ايشان، وقتی ظلم به خودشان كردند، آمدند نزد تو، پس از خدا طلب آمرزش كردند و طلب آمرزش کرد پيامبر براي آنها، هرآينه می‌یابند خدا را بسیار توبه‌پذیر و رحیم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ظهور دارد در اين معنا كه گناه‌كاران، خواه گناهشان آشكار شده باشد و خواه در پنهان گناهى مرتكب شده باشند، سزاوار است كه </w:t>
      </w:r>
    </w:p>
    <w:p>
      <w:pPr>
        <w:pStyle w:val="BookText"/>
        <w:rPr/>
      </w:pPr>
      <w:r>
        <w:rPr>
          <w:rFonts w:ascii="IRNazanin" w:hAnsi="IRNazanin" w:eastAsia="IRNazanin"/>
          <w:color w:val="111111"/>
          <w:sz w:val="28"/>
          <w:sz w:val="28"/>
          <w:szCs w:val="28"/>
          <w:rtl w:val="true"/>
          <w:lang w:bidi="fa-IR"/>
        </w:rPr>
        <w:t>هم خود استغفار كنند و هم به محضر پيغمبر صلی الله علیه و آله شرفيابشوند، تا آن حضرت برايشان استغفار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دعا و خواندن خدا و سؤال از فضل خداست، و در نهايت اين دعا گاهى بدون‌واسطه و گاهى باواسطه انجام مى‌گيرد و هر دو بجا و به‌موقع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سخن شما درست بود و اين‌گونه دعا، كفر و شرك بود، وقتى فرزندان يعقوب علیه السلام او را خواندند كه برايشان استغفار كند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أَبَانَا اسْتَغْفِرْ لَنَا ذُنُوبَنَا إِنَّا كُنَّا خَاطِئِينَ</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 در جواب آنها نمى‌فرمود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أَسْتَغْفِرُ لَكُمْ رَبِّي إِنَّهُ هُوَ الْغَفُورُ الرَّحِيمُ</w:t>
      </w:r>
      <w:r>
        <w:rPr>
          <w:rFonts w:ascii="IRNazanin" w:hAnsi="IRNazanin" w:eastAsia="IRNazanin"/>
          <w:color w:val="111111"/>
          <w:sz w:val="28"/>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كه استغفار كنم براى شما از پروردگارم به‌درستى‌كه اوست آمرزنده و مهربان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منطق باطل شما صحيح بود، حضرت يعقوب پيغمبر علیه السلام به آنها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خدا را بخوانيد، اين چه جهالت و بدبختى است كه خدا خودش فرموده مرا بخوانيد و شما مرا مى‌خوانيد </w:t>
      </w:r>
    </w:p>
    <w:p>
      <w:pPr>
        <w:pStyle w:val="BookText"/>
        <w:rPr/>
      </w:pPr>
      <w:r>
        <w:rPr>
          <w:rFonts w:ascii="IRNazanin" w:hAnsi="IRNazanin" w:eastAsia="IRNazanin"/>
          <w:color w:val="111111"/>
          <w:sz w:val="28"/>
          <w:sz w:val="28"/>
          <w:szCs w:val="28"/>
          <w:rtl w:val="true"/>
          <w:lang w:bidi="fa-IR"/>
        </w:rPr>
        <w:t>و واسطه قرار مى‌دهيد و كفر و شرك مى‌گوييد؟ آيا پيغمبر خداصلی الله علیه و آله بهتر مى‌دانست يا شما؟</w:t>
      </w:r>
    </w:p>
    <w:p>
      <w:pPr>
        <w:pStyle w:val="BookText"/>
        <w:rPr/>
      </w:pPr>
      <w:r>
        <w:rPr>
          <w:rFonts w:ascii="IRNazanin" w:hAnsi="IRNazanin" w:eastAsia="IRNazanin"/>
          <w:color w:val="111111"/>
          <w:sz w:val="28"/>
          <w:sz w:val="28"/>
          <w:szCs w:val="28"/>
          <w:rtl w:val="true"/>
          <w:lang w:bidi="fa-IR"/>
        </w:rPr>
        <w:t>آقاى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بى‌جهت افكار را مَشوب و اذهان را مشوّش و ناراحت مى سازيد؟</w:t>
      </w:r>
    </w:p>
    <w:p>
      <w:pPr>
        <w:pStyle w:val="BookText"/>
        <w:rPr/>
      </w:pPr>
      <w:r>
        <w:rPr>
          <w:rFonts w:ascii="IRNazanin" w:hAnsi="IRNazanin" w:eastAsia="IRNazanin"/>
          <w:color w:val="111111"/>
          <w:sz w:val="28"/>
          <w:sz w:val="28"/>
          <w:szCs w:val="28"/>
          <w:rtl w:val="true"/>
          <w:lang w:bidi="fa-IR"/>
        </w:rPr>
        <w:t>چه بهره و فايده‌اى از اين مغلطه‌ها و اشتباه‌كارى‌ها مى‌بريد؟</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شبهه‌ها ريشه‌هاى غرض‌آلوده ديرينه دارد كه دست استعمار هم همواره پشت آن بوده و به تأييدش برخاسته، مع‌ذلك در عصر ما ديگر افكار مسلمانان اين اشتباه‌كارى‌ها را نمى‌پذيرد و حناى اين‌گونه افراد آب و رنگى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گاهى همان حرف‌ها را به لباس‌هاى تازه و در زير اصطلاحات جديد و به‌صورت انديشه‌هاى نو عرضه مى‌كنند، ولى به‌زودى باطن آنها آشكار و مقاصد تخريبى آنان ظاهر مى‌گردد و دعوت‌هايشان مصداق آيه ذيل مى‌شود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كَسَرَابٍ بِقِيعَةٍ يَحْسَبُهُ الظَّمْآنُ مَاءً حَتَّى إِذَا جَاءَهُ لَمْ يَجِدْهُ شَيْئاً</w:t>
      </w:r>
      <w:r>
        <w:rPr>
          <w:rFonts w:ascii="IRNazanin" w:hAnsi="IRNazanin" w:eastAsia="IRNazanin"/>
          <w:color w:val="111111"/>
          <w:sz w:val="28"/>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سرابى كه شخص تشنه آن را در بيابان هموار و بى‌آب، آب پندارد و به‌جانب آن شتابد، چون بدانجا رسد هيچ آب نيابد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مع‌ذلك اگر بخواهيد از سوابق اين زمزمه‌ها و پاسخ به سخنان اينگروه‌هاى وهابى يا وهابى‌مسلك، آگاه شويد به كتاب‌هايى كه به‌خصوص در اين موضوع تأليف شده، مثل كشف‌الارتياب علاّمه مجاهد عالى‌قدر سيّد محسن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 xml:space="preserve">. </w:t>
      </w:r>
      <w:bookmarkStart w:id="137" w:name="pg212_2867"/>
    </w:p>
    <w:p>
      <w:pPr>
        <w:pStyle w:val="Heading2"/>
        <w:numPr>
          <w:ilvl w:val="1"/>
          <w:numId w:val="1"/>
        </w:numPr>
        <w:rPr/>
      </w:pPr>
      <w:bookmarkStart w:id="138" w:name="__RefHeading___Toc1913767_211673320"/>
      <w:bookmarkStart w:id="139" w:name="_Toc49"/>
      <w:bookmarkEnd w:id="137"/>
      <w:bookmarkEnd w:id="138"/>
      <w:r>
        <w:rPr/>
        <w:t>14</w:t>
      </w:r>
      <w:r>
        <w:rPr>
          <w:rtl w:val="true"/>
        </w:rPr>
        <w:t xml:space="preserve">- </w:t>
      </w:r>
      <w:r>
        <w:rPr>
          <w:rtl w:val="true"/>
        </w:rPr>
        <w:t>دعاى ندبه و ركود فعاليت‌هاى اسلامى</w:t>
      </w:r>
      <w:bookmarkEnd w:id="139"/>
    </w:p>
    <w:p>
      <w:pPr>
        <w:pStyle w:val="BookText"/>
        <w:rPr/>
      </w:pPr>
      <w:r>
        <w:rPr>
          <w:rFonts w:ascii="IRNazanin" w:hAnsi="IRNazanin" w:eastAsia="IRNazanin"/>
          <w:color w:val="111111"/>
          <w:sz w:val="28"/>
          <w:sz w:val="28"/>
          <w:szCs w:val="28"/>
          <w:rtl w:val="true"/>
          <w:lang w:bidi="fa-IR"/>
        </w:rPr>
        <w:t>پرسش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اين‌گونه دعاها، سبب ركود فعاليت‌هاى اسلامى و خمود و تخدير افكار و انصراف از مبارزه و تلاش براى پيشبرد مقاصد اصلاحى، و تبليغ رسالت اسلام مى‌شود و خواننده با خواندن دعاى ندبه خود را قانع ساخته و به‌جاى حركت و اقدام و مبارزه، گريه و ناله تحويل مى‌دهد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شما در اين جهت موافقيم كه نبايد براى اين‌گونه برنامه‌ها جنبه‌هاى سلبى و منفى بسازند، و بايد جنبه‌هاى حقيقى و ايجابى و مثبت آن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عللى كه مهم‌تر از همه جهل و دست خائن استعمار است، دين در چهارچوب استفاده‌هاى منفى و سلبى سياسى خاص محبوس شده، و درحالى‌كه جنبه‌هاى مثبت، و بسيارى از جنبه‌هاى سلبى عمده و حساس آن را مى‌كوبند، بعضى از جنبه‌هاى سلبى آن را براى اغراض پليد سياسى </w:t>
      </w:r>
    </w:p>
    <w:p>
      <w:pPr>
        <w:pStyle w:val="BookText"/>
        <w:rPr/>
      </w:pPr>
      <w:r>
        <w:rPr>
          <w:rFonts w:ascii="IRNazanin" w:hAnsi="IRNazanin" w:eastAsia="IRNazanin"/>
          <w:color w:val="111111"/>
          <w:sz w:val="28"/>
          <w:sz w:val="28"/>
          <w:szCs w:val="28"/>
          <w:rtl w:val="true"/>
          <w:lang w:bidi="fa-IR"/>
        </w:rPr>
        <w:t>وارد ميدان مى‌سازند و اين كار علاوه بر اينكه ارج و ارزش دين را در انظار كم مى‌كند، در برابر آرا و مكتب‌هاى ديگر آن را يك مكتب منفى ساده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هم منبع ركود و خمود و كناره‌گيرى و رهبانيت نيست، و نبايد از آن براى اين هدف‌ها استفاده كرد، بلكه دعا قوّت‌بخش روح و اعصاب، و سرچشمه نشاط و اميد و تلاش و فعاليت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حالات خطرناك كه در تعاليم دين و علم و اخلاق مورد نكوهش واقع شده، حال وقوف و ماندن در يك مرحله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در اين جهان، مانند مسافرى است كه به‌سوى يك مقصد معين رهسپار است، و منازل و مراحل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هريک از اين مراحل بماند و سير و حركت را متوقف سازد، به مقصد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شعبه‌هاى كمال، علم، اخلاق، ايمان، صنعت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حدى كه بشر در آن توقف كند، معين نشده و همواره مى‌تواند قدمى به پيش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تعليمات و برنامه‌هاى اسلام، پيشرفت و كمال بيشتر را پيشنهاد مى‌نمايد، و پرستش و عبادت خدا و كار نيك و عمل خير را در هيچ مرتبه‌اى متوقف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زنده است بايد پيش برود، و بايد تحصيل كمال كند، و بايد ترقى داشته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و ماندن در يك مرحله از مراحل ترقى، بالاخره آغاز سير قهقرايى و ارتجاع و بازگشت به عقب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 نمى‌تواند بنشيند، و در راه مقاصد اسلام كار و اقدامى نكند، چون اسلام هنوز به هدف‌هايش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انسان‌ها آزاد نشده‌اند، هنوز عدالت اجتماعى برقرار نشده، هنوز اختلاف طبقاتى و عنصرى و نژادى و كشورى و رژيمى، بشر را فشار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اقويا و زورمندان، حاكم و صاحب‌اختيار ضعفا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افق جهان از ظلم و بيداد تاريک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فحشا و منكرات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زنان بازيچه اميال پست و هوس‌رانى مردها هستند و در اسارت‌هاى تازه و نوظهور افتاده‌اند، هنوز شرک و بشرپرستى به‌صورت‌هاى گوناگون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انسان‌هايى خود‌نيافته و آزاد‌نشده و خودباخته، در برابر افرادى چون خودشان يا بى‌سوادتر و نالايق‌تر تا حدّ ركوع، خضوع مى‌نمايند، و آنها را به تكبر و ظلم و استبداد تشويق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احكام خدا در جوامع بشرى حكومت نيافته است، بلكه اين مفاسد و معايب روزافزون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نمى‌تواند در چنين اوضاع و احوالى، حال وقوف و سكوت به خود گيرد و به خواندن دعا و ندبه و گريه، خود را قانع ساخته و ترك امر به معروف و نهى از منكر نموده، خاموش و بى‌حركت بنشيند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دين براى اين نيست و عبادت‌ها و پرستش‌ها و نماز و روزه و دعا و ذكر و مناجات، اين نتيجه را ندارد كه مسلمان از كارهاى اجتماعى و سياسى و آنچه در حفظ و نگاهبانى عظمت </w:t>
      </w:r>
    </w:p>
    <w:p>
      <w:pPr>
        <w:pStyle w:val="BookText"/>
        <w:rPr/>
      </w:pPr>
      <w:r>
        <w:rPr>
          <w:rFonts w:ascii="Amiri" w:hAnsi="Amiri" w:eastAsia="Amiri" w:cs="Amiri"/>
          <w:color w:val="111111"/>
          <w:sz w:val="28"/>
          <w:sz w:val="28"/>
          <w:szCs w:val="28"/>
          <w:rtl w:val="true"/>
          <w:lang w:bidi="ar-SA"/>
        </w:rPr>
        <w:t>اسلام و افزايش شوكت مسلمين مؤثر است، دست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دين دنيا و آخرت و سياست و معنويّت است، و جداكردن اسلام از دنيا و سياست و اجتماع و اداره تمام امور و شئون،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وظايف اجتماعى و تطبيق احكام دين بر شئون دنيا و برنامه اقتصاد و سياست و تجارت و تعليم‌وتربيت، جزء جوهر دين است و حبس اسلام در محيط عبادت و دعا، خيانت به اسلام و تعليمات قرآن مجيد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 در هر پايه‌اى كه باشد و هر برنامه‌اى را كه انجام مى‌دهد، نمى‌تواند آنجا را نقطه وصول به مقصد و نيل به اهداف اسلامى شناخته و منتهى‌اليه مسير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سير خود را ادامه دهد و مراحل و منازل بيشتر را طى كند و همواره در سير و حركت باشد و با همين تكرار فرايض دينى و دعا و پرستش خدا، از درجه‌اى به درجه بالاتر صعود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برنامه سير و حركت و ترقى و مجاهده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هم تصديق مى‌كنيم كه امروز تحرّک در مسلمان‌ها كم شده و آن‌طور كه اسلام از آنها تحرک خواسته، قرن‌ها است حركت نشان نمى‌دهند؛ لذا در ميدان حيات اين‌همه عقب مانده، و افتخارات اسلامى خود را از دست داده‌ايم، و بسيارى از برنامه‌هاى دينى مثل جسم بى‌روح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برنامه‌هاى اسلامى و مساجد و نماز جماعت‌ها و مجالس روضه و موعظه و سخنرانى و دعا، همه بايد مراكز تحرک و نهضت و بسيج نيروهاى انسانى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جنبه سلبى و منفى كه در دعاى ندبه فرض مى‌كنيد، در هر كار و براى هركس ممكن است پيدا شود كه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دانشجوى مستعد و موفّق كه نمره‌هاى خوب مى‌گيرد، ممكن است توجهش به وضع ترقى موجودش، مانع از پيشرفت و ترقى بيشتر او شود و او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جامعه‌اى كه در مسير رشد و ترقى است، به همين حال خطرناک ممكن است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خطرى است كه به هر شخص و هر جامعه و مملكت ممكن است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دعا و عبادت ندارد و محال است اسلام كه دين تحرك و جنبش‌هاى مترقى است، بااين‌حال كه درحقيقت سرآغاز انقراض و زوال است، مبارزه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ندبه، دعاى كميل، دعاى سمات هم بايد نيروهاى انسانى ما را بسيج كنند و از تسلط ضعف و نااميدى و انديشه‌هاى مأيوس‌كننده و مخرب، مانع شده و توان‌بخش ارواح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اين دعاها، مراكز حساس تربيت افراد مبارز و قوى، و وسيله رشد افكار اسلامى مسلمانان خصوصاً جوانان مى‌باشد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دعاى ندبه، علاوه بر ثمرات و آثار عمومى دعا، به مناسبت مطالبى </w:t>
      </w:r>
    </w:p>
    <w:p>
      <w:pPr>
        <w:pStyle w:val="BookText"/>
        <w:rPr/>
      </w:pPr>
      <w:r>
        <w:rPr>
          <w:rFonts w:ascii="Amiri" w:hAnsi="Amiri" w:eastAsia="Amiri" w:cs="Amiri"/>
          <w:color w:val="111111"/>
          <w:sz w:val="28"/>
          <w:sz w:val="28"/>
          <w:szCs w:val="28"/>
          <w:rtl w:val="true"/>
          <w:lang w:bidi="ar-SA"/>
        </w:rPr>
        <w:t>كه در جمله‌هاى بلندش مندرج است، خواننده را به يك قسمت و يك سلسله از هدف‌هاى تحقق‌نيافته اسلام كه بايد تحقق يابد، متوجّه مى‌سازد و مفاسد اجتماع را بر 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و ندبه است، ولى درضمن ندبه كسى كه بر وضع فاسد اجتماعى، بر روش‌هاى ستمگرانه، بر كژى‌ها و كمبودها، و نابسامانى‌ها و گمراهى‌ها، ندبه مى‌كند و غصه مى‌خورد، نمى‌تواند دست روى دست بگذارد و در برابر اين مفاسد سكوت اختيار كند و به سهم خود و براى روى كار آوردن يك روش اجتماعى نسبتاً اسلامى‌تر، كار و اقدامى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جمله‌هاى دعاى ندبه احساسات را به هيجان مى‌آورد و خواننده را تكان مى‌دهد و از كفر و شرك و تجاوز و ظلم و ستم متنفر مى‌سازد، و اينها همه آثار ايجابى و مثبت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بهره ما از اين دعا و از برنامه‌هايى كه داريم آثار سلبى و منفى باشد، مربوط به دعا نيست، مربوط به جهل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از نعمت‌هاى خدا را مى‌شود وسيله اتلاف وقت و گذراندن عمر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دعاى ندبه، نه وسيله تخدير است و نه باعث وقوف و ركود؛ بلكه سبب رشد فكرى و بسيج نيروها و حركت و اقدام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اين‌هم خيلى كم است كه كسى بگويد اين مجالس دعاى ندبه فايده‌اش </w:t>
      </w:r>
    </w:p>
    <w:p>
      <w:pPr>
        <w:pStyle w:val="BookText"/>
        <w:rPr/>
      </w:pPr>
      <w:r>
        <w:rPr>
          <w:rFonts w:ascii="Amiri" w:hAnsi="Amiri" w:eastAsia="Amiri" w:cs="Amiri"/>
          <w:color w:val="111111"/>
          <w:sz w:val="28"/>
          <w:sz w:val="28"/>
          <w:szCs w:val="28"/>
          <w:rtl w:val="true"/>
          <w:lang w:bidi="ar-SA"/>
        </w:rPr>
        <w:t>اين است كه جوان‌ها را از رفتن به مراكز فساد اخلاق و اشتغال به تفريحات به‌اصطلاح سالم، و در واقع بسيار ناسالم، باز مى‌دارد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دعاى ندبه براى اين است كه جوانان درهاى آن مؤسسات را هم ببندند و افرادى مبارز و آمر به معروف و همفكر و متّحد و متشكل و مدافع از اسلام تربيت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اگر گاهى ظواهر بعضى از افراد كم‌اطّلاع و كم‌معرفت را مى‌بينيد همه را به آنها قياس نكنيد، و جهل و غفلت آنها را از وظايف مهمى كه دارند، پاى حساب دعاى ندبه ننويسيد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كنيد كه از اين‌همه وسايل براى تجهيز نيروهاى انسانى بهتر استفاده شود و افراد عالِم و آگاه به اهداف اسلامى و اوضاع اجتماعى در اين مجالس مردم را بيدار كنند و دعا را به غرض‌هاى شخصى و خصوصى و تجزيه و تفرقه، آلوده ننمايد و همه براى عملى‌شدن احكام اسلام و مبارزه با معاندين و هدايت منحرفين جداً و دل‌سوزانه بكوشند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خدمت و وسيله تقرب به درگاه حضرت ولى عصر علیه السلام احياى سنن اسلامى و ميراندن سنّت‌هاى كفر و مبارزه با روش‌هاى كفار است، كه نزديک است اجتماعات مسلمانان را به‌كلى مسخ نمايد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212_2882"/>
      <w:bookmarkStart w:id="141" w:name="pg212_2882"/>
      <w:bookmarkEnd w:id="141"/>
    </w:p>
    <w:p>
      <w:pPr>
        <w:pStyle w:val="Heading2"/>
        <w:numPr>
          <w:ilvl w:val="1"/>
          <w:numId w:val="1"/>
        </w:numPr>
        <w:rPr/>
      </w:pPr>
      <w:bookmarkStart w:id="142" w:name="pg212_2882"/>
      <w:bookmarkStart w:id="143" w:name="__RefHeading___Toc1913769_211673320"/>
      <w:bookmarkStart w:id="144" w:name="_Toc50"/>
      <w:bookmarkEnd w:id="142"/>
      <w:bookmarkEnd w:id="143"/>
      <w:r>
        <w:rPr>
          <w:rtl w:val="true"/>
        </w:rPr>
        <w:t>کتاب‌نامه</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الامام علی بن ابی‌طالب علیه السلام ، الشریف‌الرضی، تحقیق و شرح محمد عبده،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علوم‌القرآن،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مندوب، بیروت، دارالفکر،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احیاء‌المیت بفضائل اهل‌البیت علیهم السلام ،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محمود شریعت‌زاده خراسانی، تهران، مؤسسه فرهنگی انصارالحسین علیه السلام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مکة و ما جاء فیها من الآثار، ازرقی،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رشدی صالح، قم، الشریف‌الرضی،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حجج‌الله علی العباد،مفید،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البیت علیهم السلام لتحقیق التراث،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اسباب‌النزول، واحدی،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موسسة الحلبی،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اسدالغابة فی معرفةالصحابه،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اسماعیلیان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اعیان‌الشیعه، امین عاملی،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حسن امین، بیروت، 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اقبال‌الاعمال، ابن‌طاووس، 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البعثة، قم، 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انوارالتنزیل و اسرارالتأویل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بیضاوی،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بهبودی،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بیت‌الاحزان فی ذکر احوالات سیدة نساءالعالمین فاطمةالزهراء علیها السلام،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دارالحکمة،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التبصیر فی الدین، اسفراینی، ابوالمظفر شاهپور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زاهد کوثری، القاهرة، المکتبة الازهریة للتراث،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تفسیرالقرآن،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قصیر عاملی،مکتب الاعلام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تحفةالزائر،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موسسه پیام امام‌هادی علیه السلام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التریاق‌الفاروقی أو دیوان عبدالباقی العمری، عمری موصلی،عبدالباقی، النجف‌الاشرف، دارالنعمان،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التسامح فی ادلة السنن، انصاری،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مفید،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ابی‌السعود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العقل‌السلیم الی مزایا القرآن‌الکریم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ابی‌السعود، محمد بن محمد 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غرائب‌القرآن و رغائب‌الفرقان، نیشابوری،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زکریا عمیرات، بیروت، دارالکتب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تفسیرفرات‌الکوفی، فرات کوفی، فرات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محمدکاظم محمودی، تهران، وزارت فرهنگ و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تفسیرنورالثقلین، حویزی، عبد‌علی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رسولی محلاتی، قم، انتشارات 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تفسیرالصافی،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اعلمی، تهران، مکتبة 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تفسیرالعیاشی، عیاشی،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هاشم رسولی محلاتی، تهران، المکتبة العلمیة الاسلامیه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تفسیرالقمی، قمی،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طیب موسوی جزائری،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التفسیرالکبیر، فخر 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تفسیرالمراغی، مراغی، احمد بن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تفسیرالنسفی، نسفی،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التفسیرالواضح، حجازی، محمد محمود، بیروت، دارالجیل،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وسائل‌الشیعة الی تحصیل مسائل‌الشریعه، حرعاملی،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السلام 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حسینی تهرانی، قم،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تهذیب‌الاحکام،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حسن موسوی خرسان، تهران، دارالکتب الاسلامیة،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عباسی، بهائی عاملی،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دارالطباعة،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جامع‌البیان عن تاویل آی‌القرآن،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صدقی جمیل عطار،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الجامع‌الصغیر فی احادیث البشیرالنذیر،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حلیة‌الاولیاء و طبقات‌الاصفیاء، ابونعیم اصفهانی،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مستدرك‌الوسائل، محدث نوري، میرزا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موسسة آل البيت علیهم السلام 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فی التفسیر بالماثور،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عبدالقادر عطا، بیروت، دارالکتب العلمیة،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ذخائر‌العقبی فی مناقب ذوی‌القربی، طبری،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القدسی،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مصطفوی، مشهد، انتشارات دانشگاه،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زادالمعاد،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السیرةالنبویه، ابن‌هشام، عبدالملک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سقا و دیگران، بیروت، دارالمعرفه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شاهنشاهی عضدالدّوله، فقیهی، علی‌اصغر، تهران، انتشارات اسماعیلیان،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احقاق‌الحق، مرعشی نجفی، سید 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الناسخ و المنسوخ لإبن المتوج، قاری، سید عبدالجلیل حسینی، تحقیق محمدجعفر اسلامی، بنیاد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حسنی طباطبائی، سید صدرالدین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ابی‌الحدید،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ابراهیم، داراحیاء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شفاءالصدور فی شرح زیارة‌العاشور، تهرانی، میرزا ابوالفضل، تحقیق علی موحد ابطحی، چاپخانه امیرالمؤمنین علیه السلام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الامام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الامام المهدی علیه السلام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الصواعق‌المحرقة فی الرد علی اهل البدع و الزندقه، ابن‌حجر هیتمی،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عدةالداعی و نجاح‌الساعی، ابن‌فهد حلی،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موحدی قمی، قم، مکتبة وجدانی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عوالی‌اللئالی العزیزیة فی الاحادیث‌الدینیه، ابن ابی‌جمهوراحسائی،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مجتبی عراقی، قم، مطبعة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الادب، 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دارالکتاب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الغیبه،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عبادالله تهرانی، علی‌احمد ناصح، قم، مؤسسة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فتح‌القدیر، شوکانی،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فرق‌الشیعه، نوبختی،حسن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معرفةالائمه،ابن‌صباغ مالکی،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سامی غریری، قم، دارالحدیث،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فلاح‌السائل و نجاح‌المسائل، ابن‌طاووس، 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سید قطب، قطب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دارالشروق،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القاموس‌المحیط، فیروزآبادی،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دارالمعرفة،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تهران، 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لایحضره الفقیه،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الکشاف عن حقائق غوامض‌التنزیل و عیون‌الاقاویل فی </w:t>
      </w:r>
    </w:p>
    <w:p>
      <w:pPr>
        <w:pStyle w:val="BookText"/>
        <w:rPr/>
      </w:pPr>
      <w:r>
        <w:rPr>
          <w:rFonts w:ascii="IRNazanin" w:hAnsi="IRNazanin" w:eastAsia="IRNazanin"/>
          <w:color w:val="111111"/>
          <w:sz w:val="28"/>
          <w:sz w:val="28"/>
          <w:szCs w:val="28"/>
          <w:rtl w:val="true"/>
          <w:lang w:bidi="fa-IR"/>
        </w:rPr>
        <w:t xml:space="preserve">وجوه‌التأویل، 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عبدالسلام شاهین، بیروت، دارالکتب العلمیة،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الارتیاب فی اتباع محمد بن عبدالوهاب، امین عاملی،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بیروت،دارالغدیر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الارتیاب فی اتباع محمد بن عبدالوهاب، امین عاملی،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تمام‌النعمه،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فی سنن الاقوال و 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بکری حیانی، صفوة السقا،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التأویل فی معانی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علی شاهین،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ماضی‌النجف و حاضرها، آل محبوبه نجفی، جعفر بن باقر، صیدا، مطبعة العرفان،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مجمع‌البحرین، طریحی،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سیداحمد حسینی، تهران، دفتر نشر فرهنگ 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مجمع‌البیان فی‌تفسیر القرآن،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عده‌ای از محققین، بیروت، مؤسسة الاعلمی،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مجمع‌الزوائد و منبع‌الفوائد، هیثمی، علی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المزارالکبیر، مشهدی،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نشر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یوسف مرعشلی،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مصابیح‌الانوار فی حل مشکلات اخبار، شبّر،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الزهراء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مصباح‌الزائر، ابن‌طاووس، 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السلام 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مطالب‌السؤول فی مناقب آل الرسول صلی الله علیه و آله ، ابن‌طلحه شافعی، محمد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ماجد عطیه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المعجم‌الاوسط،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معجم‌البلدان، یاقوت حموی،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المعجم‌الکبیر،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سلفی، بیروت، داراحیاء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مقاتل‌الطالبیین، ابوالفرج 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کاظم مظفر، قم، دارالکتاب،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مکارم‌الاخلاق، 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ملتقی‌الاصفیاء فی مناقب الامام علی و السبطین و الزهراء، مکّی، عبدالفتاح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منتخب‌الاثر فی الامام الثانی‌عشر علیه السلام ، صافی گلپایگانی، لطف‌الله، تهران، مکتبة‌الصدر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ابن‌سلامة،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موسی بنای علوان علیلی، بیروت، الدارالعربیة للموسوعات،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الاعطارالمحمدیة فی الدیارالاسلامیه، کردی، محمد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نورالبراهین او انیس الوحید فی شرح التوحید، جزائری، سید نعمت‌الله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نوید امن و امان، صافی گلپایگانی، لطف‌الله، قم، انتشارات مسجد مقدّس جمکران،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ضیاء‌الدین حسینی، اصفهان، کتابخانه امام امیرالمؤمنین علی علیه السلام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وفاءالوفاء باخبار دارالمصطفی صلی الله علیه و آله ، سمهودی، علی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هدیةالزائرین و بهجة‌الناظرین،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جهانی 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بعضى گمان كنند ملل به‌اصطلاح پيشرفته عصر ما، از خرافات و انديشه‌هاى بى‌اصل و باورهايى كه حاكى از عدم رشد و عليل‌بودن قواى فكرى است، آزاد شده‌اند، اشتباه مى‌نمايند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همه ادّعاهايى كه دارند، چنان گرفتار خرافات هستند كه واقعاً عجيب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آمارهايى كه گاهى در مجلاّت و روزنامه‌ها مى‌خوانيم، معلوم مى‌سازد كه اين صاحب‌اختيار آن جوامع انسانى محروم، در هر رشته از مظاهر زندگى تا چه حدّ گرفتار خرافات و روش‌هاى ناپسند هستند كه اگر يك‌صدم آن از يك جامعه شرقى ظاهر شود، از هر سو چماق ارتجاع و عقب‌ماندگى را بر سرش مى‌كوبند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عالى ترين مكتب تربيت و اخلاق يا ماه مبارك رمضان اثر نگارنده به‌طور اختصار پيرامون دعا و برنامه‌هاى ماه مبارك مطالبى كه با اين بحث ارتباط دارد، نوشته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طبرسی، مکارم‌الاخلاق،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ابن ابی‌جمهور احسائی، عوالی‌اللئالی،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فیض کاشانی، الوافى،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سدير صيرفى از اصحاب امام‌باقر و امام‌صادق علیهما السلام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خود، حدیث معتبری روایت کرده است که بر بلندى پايه او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کمال‌الدين،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طوسی،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كمال‌الدين،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طوسى، الغیبه،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طول عمر و فلسفه غيبت آن حضرت رجوع شود به دو كتاب از نگارنده منتخب‌الاثر، فصل دوم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نويد امن و امان، بخش دوم،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بخش سوم،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كمال‌الدين،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طوسى، الغیبه،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مى‌گردانم نگاهم را در خانه‌ها و دودمان‌ها، پس نمى‌بينم صورت دوستانى را كه مى‌خواهم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نكته‌اى كه در اينجا يادآورى آن مناسب است،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بيمارى‌هاى خطرناك و مسرى، بيمارى ترديد و شك‌پذيرى در مسائل دينى و مذهبى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آنكه يك آمادگى و گرايشى به اين پذيرش فراهم شده باشد، شبهه‌ها، شك‌ها و مغلطه‌كارى‌ها را بدون تحقيق و بررسى كامل مى‌پذيرند و به‌عكس در مسائل عصر و مباحث علمى و اجتماعى و تربيتى و آنچه به‌دروغ، تجدّد و ترقّى و محصول دنياى مادّى و ماشينى و اجتماعات غربى و شكستن سدّهاى اخلاقى است، زودپذيرى و زودباورى رايج شده و حتى خرافات را به‌جاى حقايق مى‌پذيرند، و رفتارهاى ننگين و كردار زشت و ناپسند بيگانگان را به‌جاى آداب حسنه برمى‌گزينند و با افتخار و بى‌چون‌وچرا از آنها تقليد مى‌كنند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قسمت‌هايى كه عقلى خالص باشد فقط متن حديث ملاحظه مى‌شود؛ ولى در قسمت‌هايى كه دليل اثبات آن نقل باشد، سند حديث را هم بايد ملاحظه كرد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مصباح‌الزائر،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خلاصة‌الاقوال،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هدیةالزائرین،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بزوفر بفتحتين و سكون واو، و فتح فاء، ده بزرگى است از توابع قوسان در نزديكى واسط و بغداد، در كنار نهر موفقى در غربى دجله، 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محدث قمی،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آقا بزرگ تهرانی، 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خاتمة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اعظم، زعيم اكبر، آيت‌الله بروجردى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علم رجال و حديث، و معرفت طبقات و تميز مشتركات مانند ساير علوم اسلامى يگانه و بى‌نظير بود،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طرق معرفت رجال، شخصيت تلامذه و شاگردان آنهاست كه وقتى شخصيتى مثل مفيد از كسى كثيرالرواية باشد و قدحى هم در او نشده باشد، اماره است بر آنكه او مورد وثوق و اعتماد بوده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تحفة‌الزائر،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تحفة‌الزائر،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زاد‌المعاد،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التسامح فی ادلةالسنن،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القاموس‌المحیط،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ازرقی، اخبار مکه،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ازرقی، اخبار مکه،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وفاءالوفاء،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كتاب نويد امن و امان،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منتخب‌الاثر،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تأليف نگارنده، اين موضوع به‌طور مفصل بيان شده و بطلان اين افترا آشكار گرديده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كيسانيه فِرق متعددى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فرقه‌اى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حنفيه نمرده و غيبت كرده و جايش معلوم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فرقه‌اى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جبال رضوى مقيم شده و فرقه ديگر گفتند او از جهان رفته و فرزندش عبدالله ابوهاشم بعد از او قائم مقامش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بالجمله فرق و اختلافات زياد داشتند و آنها كه گفتند در كوه رضوى است يك فرقه از كيسانيه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فرق‌الشيعه،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اسفراینی، التبصير،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یاقوت حموی، 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ابتداى آن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وَأَخَذُوا يَمِيناً وَشِمَالاً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مصابيح‌الانوار،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ازرقی، اخبار مکه،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قرينه مقابله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مصابيح‌الانوار،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تحيةالزائر،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هدية‌الزائرین،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شفاء‌الصدور في شرح زيارة‌العاشور،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شفاءالصدور فی شرح زیارة‌العاشور،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حسنی طباطبائی، شرح دعاى ندبه،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زادالمعاد،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فلاح‌السائل،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فلاح السائل،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نیز رجوع شود به كتاب منتخب‌الاثر، تأليف نگارنده، باب سوم، از فصل دهم،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مؤيد مشروع‌بودن اين ابنيه براى ذكر فضايل و گريه در مصائب پيغمبر و اهل‌بيت علیهم السلام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اميرالمؤمنين علیه السلام براى حضرت فاطمه زهرا علیها السلام در بقيع بيت‌الاحزان بنا فرمود و سيده نساء عالميان وقتى صبح مى‌كرد، با حسنين علیهما السلام به آنجا مى‌رفت و تا شب در آنجا مى‌گريست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شب مى‌شد، اميرالمؤمنين علیه السلام مى‌آمد و آن مظلومه محزونه را به منزل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محدث قمی، بيت‌الاحزان،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 عاملی، جامع عباسی،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آل محبوبه نجفی، ماضی النجف و 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فقیهی، شاهنشاهی عضدالدوله،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دایرةالمعارف تشیع، بقعة آل بویه،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ابن 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فیض کاشانی، تفسير الصافى،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حویزی، تفسير نورالثقلين،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كتب تفاسير مراجعه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عند الصباح و المساء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معنايى كه از آيه شده معناى مفهومى است، نه منطوقى و اعتبار معناى مفهومى مورد اختلاف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كتاب معارف السلمانى بمراتب الخلفاء الرحمانى، عبدالحسین لاری؛ كه نسخه چاپى آن در كتابخانه جامع مرحوم آيت‌الله العظمى آقاى بروجردى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موجود است، و كتاب علم‌الامام، محمدحسین مظفر، كه ترجمه آن نيز با مقدمه ارزنده‌اى از علاّمه قاضى طباطبائى طبع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وجوهى كه ذكر مى‌شود، با بعضى ديگر متّحد است ولى ازنظر واضح‌شدن مطلب با عبارات و بيان ديگر نيز جداگانه و على‌حده نوشته شده، چنان‌كه اگر كسى در اين وجوه دقت كند، براى او جواب اشكالاتى كه در هر دو دسته از آيات تصور شده، واضح مى‌شود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غيبى كه در اين آيه مذكور است، همان غيب مختصّ به ذات خدا باشد كه جز انبيا و ائمّه علیهم السلام ، كسى بدون‌واسطه استعداد تعلّم آن را از ذى‌علم نداشته باشد و مقصود اين است كه بدون‌واسطه انبياى الهى شما را به سرّ غيب آگاه نمى‌كند ولى از پيغمبرانش برمى‌گزيند هركه را بخواهد تا شما را از غيب آگاه كنند؛ وگرنه معلوم است كه بسيارى از مردم حتى به‌وسيله خواب و مانند آن از بعضى غيب‌ها آگاه مى‌شوند و به‌واسطه انبيا هم بر بسيارى از غيب‌ها اطّلاع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دليل بر اين است كه علم غيب را بايد از انبيا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ممكن است مراد اين باشد كه خدا غير از انبيا كسى را باواسطه يا بدون‌واسطه از علم غيبى كه مختص به ذات اوست، آگاه نمى‌سازد و بنابر هر دو احتمال اگر دقت شود،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عِنْدَهُ عِلْمُ السَّاعَةِ تقييد مى‌شود و به كلى اشكال مرتفع مى‌گردد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التوحید،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جزائری، نورالبراهین،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بخشش‌ها بايد به اندازه لياقت و قابليّت افراد باشد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صدوق،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السیرةالنبویه،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حديث ديگری به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حضرت امام‌صادق علیه السلام روايت شده كه مظنون اين است با روايت من لایحضره الفقيه يكى باشد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تهذيب‌الاحکام،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عياشى،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 مشابه آن در فارسى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 مى‌گويند، ديوار بشنود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واجب كرده رحمان در 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ايشان را، پس به كجا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وحى عزيز رفتن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مى‌توان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كجا از قرآن عزيز مذهب‌ها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رفتن‌ها يا محل رفتن‌ها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كجا به‌سوى غيرخدا بازگشت است؟</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تفسیر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حجازی، التفسیرالواضح،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تفسیرالخازن،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مراغی، تفسیر،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فتح‌القدیر،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تفسیر غرائب‌القرآن،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اسباب‌النزول،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ابن‌سلامه، الناسخ و المنسوخ،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 شرح الناسخ و المنسوخ،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تفسیر،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ابی‌السعود، تفسیر،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نسفی، 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جامع‌البیان،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ذخائرالعقبی،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حلیةالاولیاء،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جزری،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مكى يا مدنى بودن سوره و آيه سه اصطلاح است كه يكى از آن سه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مكى آن آيه و سوره‌اى است كه در مكّه نازل شده اگرچه بعد از هجرت 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کوفی، تفسیر،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ابوالفرج اصفهانی، مقاتل‌الطالبیین،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طوسی، الامالی،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مستطاب آيت‌الله العظمى آقاى حاج سيّد محمّدرضا گلپايگانى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مناسبتى، در اين مورد بيان لطيفى فرمودند، كه خلاصه آن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آيه، مثل اين است كه طبيب بسيار حاذق عارف به امراض و معالجات، به بيماران خود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شما مزد و حق‌الطبابه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نمى‌خواهم، مزد من و ويزيت من اين است كه شما به نسخه و دستورى كه مى‌دهم، عمل كنيد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ابی‌السعود، تفسیر،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نسفی، 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حجازی، تفسیرالواضح،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تفسیر،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تفسیر،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فتح‌القدیر،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ذخائرالعقبی،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الصواعق‌المحرقه،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مجمع‌الزاوئد،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احیاءالمیت بفضایل اهل‌البیت علیهم السلام ،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ملتقی‌الاصفیاء فی مناقب الامام علی و السبطین و الزهراء،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 نشر الاعطارالمحمدیة فی الدیارالاسلامیه،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الصواعق‌المحرقه،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جامع‌البیان،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تفسیر،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احیاء‌المیت بفضائل اهل‌البیت علیهم السلام ،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الصواعق‌المحرقه،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الصواعق‌المحرقه،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جامع‌البیان،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الصواعق‌المحرقه،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تفاوت در نقل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حلیةالاولیاء،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 نشر الاعطار‌المحمدیة في الدیارالاسلامیه،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همو، المعجم‌الاوسط،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 شرح الناسخ و المنسوخ،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ابن‌حجرهیتمی، الصواعق‌المحرقه،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ابن‌اثیرجزری،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احیاء‌المیت بفضائل اهل‌البیت علیهم السلام ،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الصواعق‌المحرقه،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 موصلی، التریاق‌الفاروقی،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عاملی، اعیان‌الشیعه،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بپرس از زنازاده ابن‌زیاد که به پدر یزید نسبت داده شده است، پیامبر مصطفی و دخت او و داماد او به چه کسی منسوب هستند از جهت جد و مادر و پدر؛ وقتی آیۀ فَقُلْ تَعالَوْا نَدْعُ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همراه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کسانی به عبا پیچیده شده بودند؛ و پیمان لَا أَسْئَلُكُمْ عَلَيْهِ مِنْ 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کسانی دوستی و ولایت را واجب کرده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هیتمی، الصواعق‌المحرقه،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اهل‌بيت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دوستى شما از جانب خدا واجب است كه در قرآن آن را نازل كرده است، كفايت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بزرگى مقام شما همین بس که هركس بر شما صلوات نفرستد نمازی براى او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نمازش صحیح نیست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الصواعق‌المحرقه،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خودم را نسبت به آل طه خاندان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دیدم كه برخلاف کسانی که از ایشان دورند، این عقیده، موجب قرب به خدا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پيغمبرمبعوث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تبليغ هدايت، جز دوستی خاندانش را طلب نکرد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ابن‌طلحه شافعی، مطالب‌السؤول،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ابن‌صباغ مالكى، الفصول‌المهمه،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عروة‌الوثقى و دستگيره استوارند براى كسى كه به آن چنگ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ايشان توسط وحى و نزول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مناقبى که در سوره شورى و سوره هل اتى و سوره احزاب آمده كه تلاوت‌كننده آنها را مى‌شناسد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ايشان اهل‌بيت مصطفايند و دوستى ايشان نيز بر مردم به‌حكم و تأکید خدا واجب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بحرانی اصفهانی، عوالم‌العلوم،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الدعاء،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همو، المعجم‌الاوسط،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ابن‌فهد حلی، عدةالداعی،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سیوطی، الجامع‌الصغیر،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حر عاملی، وسائل‌الشیعه،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32067</Words>
  <Characters>129002</Characters>
  <CharactersWithSpaces>160013</CharactersWithSpaces>
  <Paragraphs>1574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2026-08-16T02:05:15Z</dcterms:created>
  <dc:creator>ghaemiyeh.com</dc:creator>
  <dc:description/>
  <dc:language>en-US</dc:language>
  <cp:lastModifiedBy/>
  <dcterms:modified xsi:type="dcterms:W3CDTF">2026-08-16T05:35:20Z</dcterms:modified>
  <cp:revision>1</cp:revision>
  <dc:subject/>
  <dc:title>فروغ ولایت در دعای ندبه</dc:title>
</cp:coreProperties>
</file>

<file path=docProps/custom.xml><?xml version="1.0" encoding="utf-8"?>
<Properties xmlns="http://schemas.openxmlformats.org/officeDocument/2006/custom-properties" xmlns:vt="http://schemas.openxmlformats.org/officeDocument/2006/docPropsVTypes"/>
</file>