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المجلدات </w:t>
      </w:r>
      <w:r>
        <w:rPr/>
        <w:t>8</w:t>
      </w:r>
      <w:r>
        <w:rPr>
          <w:rtl w:val="true"/>
        </w:rPr>
        <w:t xml:space="preserve"> - </w:t>
      </w:r>
      <w:r>
        <w:rPr/>
        <w:t>11</w:t>
      </w:r>
      <w:r>
        <w:rPr>
          <w:rtl w:val="true"/>
        </w:rPr>
        <w:t xml:space="preserve"> </w:t>
      </w:r>
      <w:r>
        <w:rPr>
          <w:rtl w:val="true"/>
        </w:rPr>
        <w:t xml:space="preserve">کتاب الطهارة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45819_3381743652">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645821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645823_3381743652">
            <w:r>
              <w:rPr>
                <w:webHidden/>
                <w:rStyle w:val="IndexLink"/>
                <w:rtl w:val="true"/>
              </w:rPr>
              <w:t>التيمّم</w:t>
            </w:r>
            <w:r>
              <w:rPr>
                <w:rStyle w:val="IndexLink"/>
                <w:rtl w:val="true"/>
              </w:rPr>
              <w:tab/>
            </w:r>
            <w:r>
              <w:rPr>
                <w:rStyle w:val="IndexLink"/>
              </w:rPr>
              <w:t>12</w:t>
            </w:r>
          </w:hyperlink>
        </w:p>
        <w:p>
          <w:pPr>
            <w:pStyle w:val="Contents3"/>
            <w:tabs>
              <w:tab w:val="clear" w:pos="8459"/>
              <w:tab w:val="right" w:pos="9026" w:leader="dot"/>
            </w:tabs>
            <w:rPr/>
          </w:pPr>
          <w:hyperlink w:anchor="__RefHeading___Toc8645825_338174365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645827_3381743652">
            <w:r>
              <w:rPr>
                <w:webHidden/>
                <w:rStyle w:val="IndexLink"/>
                <w:rtl w:val="true"/>
              </w:rPr>
              <w:t>الأمر الأوّل</w:t>
            </w:r>
            <w:r>
              <w:rPr>
                <w:rStyle w:val="IndexLink"/>
                <w:rtl w:val="true"/>
              </w:rPr>
              <w:t xml:space="preserve">: </w:t>
            </w:r>
            <w:r>
              <w:rPr>
                <w:rStyle w:val="IndexLink"/>
                <w:rtl w:val="true"/>
              </w:rPr>
              <w:t>في كون التيمّم من ضروريات الدين</w:t>
            </w:r>
            <w:r>
              <w:rPr>
                <w:rStyle w:val="IndexLink"/>
                <w:rtl w:val="true"/>
              </w:rPr>
              <w:tab/>
            </w:r>
            <w:r>
              <w:rPr>
                <w:rStyle w:val="IndexLink"/>
              </w:rPr>
              <w:t>16</w:t>
            </w:r>
          </w:hyperlink>
        </w:p>
        <w:p>
          <w:pPr>
            <w:pStyle w:val="Contents3"/>
            <w:tabs>
              <w:tab w:val="clear" w:pos="8459"/>
              <w:tab w:val="right" w:pos="9026" w:leader="dot"/>
            </w:tabs>
            <w:rPr/>
          </w:pPr>
          <w:hyperlink w:anchor="__RefHeading___Toc8645829_3381743652">
            <w:r>
              <w:rPr>
                <w:webHidden/>
                <w:rStyle w:val="IndexLink"/>
                <w:rtl w:val="true"/>
              </w:rPr>
              <w:t>الأمر الثاني</w:t>
            </w:r>
            <w:r>
              <w:rPr>
                <w:rStyle w:val="IndexLink"/>
                <w:rtl w:val="true"/>
              </w:rPr>
              <w:t xml:space="preserve">: </w:t>
            </w:r>
            <w:r>
              <w:rPr>
                <w:rStyle w:val="IndexLink"/>
                <w:rtl w:val="true"/>
              </w:rPr>
              <w:t>في عدم اتّصاف الطهارات بالوجوب مطلقاً</w:t>
            </w:r>
            <w:r>
              <w:rPr>
                <w:rStyle w:val="IndexLink"/>
                <w:rtl w:val="true"/>
              </w:rPr>
              <w:tab/>
            </w:r>
            <w:r>
              <w:rPr>
                <w:rStyle w:val="IndexLink"/>
              </w:rPr>
              <w:t>17</w:t>
            </w:r>
          </w:hyperlink>
        </w:p>
        <w:p>
          <w:pPr>
            <w:pStyle w:val="Contents3"/>
            <w:tabs>
              <w:tab w:val="clear" w:pos="8459"/>
              <w:tab w:val="right" w:pos="9026" w:leader="dot"/>
            </w:tabs>
            <w:rPr/>
          </w:pPr>
          <w:hyperlink w:anchor="__RefHeading___Toc8645831_3381743652">
            <w:r>
              <w:rPr>
                <w:webHidden/>
                <w:rStyle w:val="IndexLink"/>
                <w:rtl w:val="true"/>
              </w:rPr>
              <w:t>الأمر الثالث</w:t>
            </w:r>
            <w:r>
              <w:rPr>
                <w:rStyle w:val="IndexLink"/>
                <w:rtl w:val="true"/>
              </w:rPr>
              <w:t xml:space="preserve">: </w:t>
            </w:r>
            <w:r>
              <w:rPr>
                <w:rStyle w:val="IndexLink"/>
                <w:rtl w:val="true"/>
              </w:rPr>
              <w:t>في كون الطهارة الترابية بدلاً اضطرارياً عن المائية</w:t>
            </w:r>
            <w:r>
              <w:rPr>
                <w:rStyle w:val="IndexLink"/>
                <w:rtl w:val="true"/>
              </w:rPr>
              <w:tab/>
            </w:r>
            <w:r>
              <w:rPr>
                <w:rStyle w:val="IndexLink"/>
              </w:rPr>
              <w:t>20</w:t>
            </w:r>
          </w:hyperlink>
        </w:p>
        <w:p>
          <w:pPr>
            <w:pStyle w:val="Contents4"/>
            <w:tabs>
              <w:tab w:val="clear" w:pos="8176"/>
              <w:tab w:val="right" w:pos="9026" w:leader="dot"/>
            </w:tabs>
            <w:rPr/>
          </w:pPr>
          <w:hyperlink w:anchor="__RefHeading___Toc8645833_3381743652">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8645835_3381743652">
            <w:r>
              <w:rPr>
                <w:webHidden/>
                <w:rStyle w:val="IndexLink"/>
                <w:rtl w:val="true"/>
              </w:rPr>
              <w:t>التمسّك بالكتاب على كون التيمّم بدلاً اضطرارياً</w:t>
            </w:r>
            <w:r>
              <w:rPr>
                <w:rStyle w:val="IndexLink"/>
                <w:rtl w:val="true"/>
              </w:rPr>
              <w:tab/>
            </w:r>
            <w:r>
              <w:rPr>
                <w:rStyle w:val="IndexLink"/>
              </w:rPr>
              <w:t>21</w:t>
            </w:r>
          </w:hyperlink>
        </w:p>
        <w:p>
          <w:pPr>
            <w:pStyle w:val="Contents4"/>
            <w:tabs>
              <w:tab w:val="clear" w:pos="8176"/>
              <w:tab w:val="right" w:pos="9026" w:leader="dot"/>
            </w:tabs>
            <w:rPr/>
          </w:pPr>
          <w:hyperlink w:anchor="__RefHeading___Toc8645837_3381743652">
            <w:r>
              <w:rPr>
                <w:webHidden/>
                <w:rStyle w:val="IndexLink"/>
                <w:rtl w:val="true"/>
              </w:rPr>
              <w:t>التمسّك بالسنّة على كون التيمّم بدلاً اضطرارياً</w:t>
            </w:r>
            <w:r>
              <w:rPr>
                <w:rStyle w:val="IndexLink"/>
                <w:rtl w:val="true"/>
              </w:rPr>
              <w:tab/>
            </w:r>
            <w:r>
              <w:rPr>
                <w:rStyle w:val="IndexLink"/>
              </w:rPr>
              <w:t>23</w:t>
            </w:r>
          </w:hyperlink>
        </w:p>
        <w:p>
          <w:pPr>
            <w:pStyle w:val="Contents4"/>
            <w:tabs>
              <w:tab w:val="clear" w:pos="8176"/>
              <w:tab w:val="right" w:pos="9026" w:leader="dot"/>
            </w:tabs>
            <w:rPr/>
          </w:pPr>
          <w:hyperlink w:anchor="__RefHeading___Toc8645839_3381743652">
            <w:r>
              <w:rPr>
                <w:webHidden/>
                <w:rStyle w:val="IndexLink"/>
                <w:rtl w:val="true"/>
              </w:rPr>
              <w:t>الروايات المنافي ظاهرها لما سبق</w:t>
            </w:r>
            <w:r>
              <w:rPr>
                <w:rStyle w:val="IndexLink"/>
                <w:rtl w:val="true"/>
              </w:rPr>
              <w:tab/>
            </w:r>
            <w:r>
              <w:rPr>
                <w:rStyle w:val="IndexLink"/>
              </w:rPr>
              <w:t>25</w:t>
            </w:r>
          </w:hyperlink>
        </w:p>
        <w:p>
          <w:pPr>
            <w:pStyle w:val="Contents4"/>
            <w:tabs>
              <w:tab w:val="clear" w:pos="8176"/>
              <w:tab w:val="right" w:pos="9026" w:leader="dot"/>
            </w:tabs>
            <w:rPr/>
          </w:pPr>
          <w:hyperlink w:anchor="__RefHeading___Toc8645841_3381743652">
            <w:r>
              <w:rPr>
                <w:webHidden/>
                <w:rStyle w:val="IndexLink"/>
                <w:rtl w:val="true"/>
              </w:rPr>
              <w:t>الإشكال في اضطرارية التيمّم</w:t>
            </w:r>
            <w:r>
              <w:rPr>
                <w:rStyle w:val="IndexLink"/>
                <w:rtl w:val="true"/>
              </w:rPr>
              <w:tab/>
            </w:r>
            <w:r>
              <w:rPr>
                <w:rStyle w:val="IndexLink"/>
              </w:rPr>
              <w:t>28</w:t>
            </w:r>
          </w:hyperlink>
        </w:p>
        <w:p>
          <w:pPr>
            <w:pStyle w:val="Contents4"/>
            <w:tabs>
              <w:tab w:val="clear" w:pos="8176"/>
              <w:tab w:val="right" w:pos="9026" w:leader="dot"/>
            </w:tabs>
            <w:rPr/>
          </w:pPr>
          <w:hyperlink w:anchor="__RefHeading___Toc8645843_3381743652">
            <w:r>
              <w:rPr>
                <w:webHidden/>
                <w:rStyle w:val="IndexLink"/>
                <w:rtl w:val="true"/>
              </w:rPr>
              <w:t>عدم جواز التعجيز قبل زمان التكليف وبعده</w:t>
            </w:r>
            <w:r>
              <w:rPr>
                <w:rStyle w:val="IndexLink"/>
                <w:rtl w:val="true"/>
              </w:rPr>
              <w:tab/>
            </w:r>
            <w:r>
              <w:rPr>
                <w:rStyle w:val="IndexLink"/>
              </w:rPr>
              <w:t>30</w:t>
            </w:r>
          </w:hyperlink>
        </w:p>
        <w:p>
          <w:pPr>
            <w:pStyle w:val="Contents4"/>
            <w:tabs>
              <w:tab w:val="clear" w:pos="8176"/>
              <w:tab w:val="right" w:pos="9026" w:leader="dot"/>
            </w:tabs>
            <w:rPr/>
          </w:pPr>
          <w:hyperlink w:anchor="__RefHeading___Toc8645845_3381743652">
            <w:r>
              <w:rPr>
                <w:webHidden/>
                <w:rStyle w:val="IndexLink"/>
                <w:rtl w:val="true"/>
              </w:rPr>
              <w:t>المبحث الأوّل</w:t>
            </w:r>
            <w:r>
              <w:rPr>
                <w:rStyle w:val="IndexLink"/>
                <w:rtl w:val="true"/>
              </w:rPr>
              <w:t xml:space="preserve">: </w:t>
            </w:r>
            <w:r>
              <w:rPr>
                <w:rStyle w:val="IndexLink"/>
                <w:rtl w:val="true"/>
              </w:rPr>
              <w:t>في مسوّغات التيمّم</w:t>
            </w:r>
            <w:r>
              <w:rPr>
                <w:rStyle w:val="IndexLink"/>
                <w:rtl w:val="true"/>
              </w:rPr>
              <w:tab/>
            </w:r>
            <w:r>
              <w:rPr>
                <w:rStyle w:val="IndexLink"/>
              </w:rPr>
              <w:t>34</w:t>
            </w:r>
          </w:hyperlink>
        </w:p>
        <w:p>
          <w:pPr>
            <w:pStyle w:val="Contents5"/>
            <w:tabs>
              <w:tab w:val="clear" w:pos="7892"/>
              <w:tab w:val="right" w:pos="9026" w:leader="dot"/>
            </w:tabs>
            <w:rPr/>
          </w:pPr>
          <w:hyperlink w:anchor="__RefHeading___Toc8645847_3381743652">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8645849_3381743652">
            <w:r>
              <w:rPr>
                <w:webHidden/>
                <w:rStyle w:val="IndexLink"/>
                <w:rtl w:val="true"/>
              </w:rPr>
              <w:t>فيمن يشرع له التيمّم</w:t>
            </w:r>
            <w:r>
              <w:rPr>
                <w:rStyle w:val="IndexLink"/>
                <w:rtl w:val="true"/>
              </w:rPr>
              <w:tab/>
            </w:r>
            <w:r>
              <w:rPr>
                <w:rStyle w:val="IndexLink"/>
              </w:rPr>
              <w:t>36</w:t>
            </w:r>
          </w:hyperlink>
        </w:p>
        <w:p>
          <w:pPr>
            <w:pStyle w:val="Contents5"/>
            <w:tabs>
              <w:tab w:val="clear" w:pos="7892"/>
              <w:tab w:val="right" w:pos="9026" w:leader="dot"/>
            </w:tabs>
            <w:rPr/>
          </w:pPr>
          <w:hyperlink w:anchor="__RefHeading___Toc8645851_3381743652">
            <w:r>
              <w:rPr>
                <w:webHidden/>
                <w:rStyle w:val="IndexLink"/>
                <w:rtl w:val="true"/>
              </w:rPr>
              <w:t>شمول آية التيمّم لجميع الأعذار</w:t>
            </w:r>
            <w:r>
              <w:rPr>
                <w:rStyle w:val="IndexLink"/>
                <w:rtl w:val="true"/>
              </w:rPr>
              <w:tab/>
            </w:r>
            <w:r>
              <w:rPr>
                <w:rStyle w:val="IndexLink"/>
              </w:rPr>
              <w:t>37</w:t>
            </w:r>
          </w:hyperlink>
        </w:p>
        <w:p>
          <w:pPr>
            <w:pStyle w:val="Contents5"/>
            <w:tabs>
              <w:tab w:val="clear" w:pos="7892"/>
              <w:tab w:val="right" w:pos="9026" w:leader="dot"/>
            </w:tabs>
            <w:rPr/>
          </w:pPr>
          <w:hyperlink w:anchor="__RefHeading___Toc8645853_3381743652">
            <w:r>
              <w:rPr>
                <w:webHidden/>
                <w:rStyle w:val="IndexLink"/>
                <w:rtl w:val="true"/>
              </w:rPr>
              <w:t>السبب الأوّل</w:t>
            </w:r>
            <w:r>
              <w:rPr>
                <w:rStyle w:val="IndexLink"/>
                <w:rtl w:val="true"/>
              </w:rPr>
              <w:t xml:space="preserve">: </w:t>
            </w:r>
            <w:r>
              <w:rPr>
                <w:rStyle w:val="IndexLink"/>
                <w:rtl w:val="true"/>
              </w:rPr>
              <w:t>عدم الماء</w:t>
            </w:r>
            <w:r>
              <w:rPr>
                <w:rStyle w:val="IndexLink"/>
                <w:rtl w:val="true"/>
              </w:rPr>
              <w:tab/>
            </w:r>
            <w:r>
              <w:rPr>
                <w:rStyle w:val="IndexLink"/>
              </w:rPr>
              <w:t>40</w:t>
            </w:r>
          </w:hyperlink>
        </w:p>
        <w:p>
          <w:pPr>
            <w:pStyle w:val="Contents6"/>
            <w:tabs>
              <w:tab w:val="clear" w:pos="7609"/>
              <w:tab w:val="right" w:pos="9026" w:leader="dot"/>
            </w:tabs>
            <w:rPr/>
          </w:pPr>
          <w:hyperlink w:anchor="__RefHeading___Toc8645855_3381743652">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8645857_3381743652">
            <w:r>
              <w:rPr>
                <w:webHidden/>
                <w:rStyle w:val="IndexLink"/>
                <w:rtl w:val="true"/>
              </w:rPr>
              <w:t>وجوب الطلب والفحص عن الماء</w:t>
            </w:r>
            <w:r>
              <w:rPr>
                <w:rStyle w:val="IndexLink"/>
                <w:rtl w:val="true"/>
              </w:rPr>
              <w:tab/>
            </w:r>
            <w:r>
              <w:rPr>
                <w:rStyle w:val="IndexLink"/>
              </w:rPr>
              <w:t>41</w:t>
            </w:r>
          </w:hyperlink>
        </w:p>
        <w:p>
          <w:pPr>
            <w:pStyle w:val="Contents6"/>
            <w:tabs>
              <w:tab w:val="clear" w:pos="7609"/>
              <w:tab w:val="right" w:pos="9026" w:leader="dot"/>
            </w:tabs>
            <w:rPr/>
          </w:pPr>
          <w:hyperlink w:anchor="__RefHeading___Toc8645859_3381743652">
            <w:r>
              <w:rPr>
                <w:webHidden/>
                <w:rStyle w:val="IndexLink"/>
                <w:rtl w:val="true"/>
              </w:rPr>
              <w:t>حكم العقل بوجوب الطلب إلى زمان اليأس أو ضيق الوقت</w:t>
            </w:r>
            <w:r>
              <w:rPr>
                <w:rStyle w:val="IndexLink"/>
                <w:rtl w:val="true"/>
              </w:rPr>
              <w:tab/>
            </w:r>
            <w:r>
              <w:rPr>
                <w:rStyle w:val="IndexLink"/>
              </w:rPr>
              <w:t>45</w:t>
            </w:r>
          </w:hyperlink>
        </w:p>
        <w:p>
          <w:pPr>
            <w:pStyle w:val="Contents6"/>
            <w:tabs>
              <w:tab w:val="clear" w:pos="7609"/>
              <w:tab w:val="right" w:pos="9026" w:leader="dot"/>
            </w:tabs>
            <w:rPr/>
          </w:pPr>
          <w:hyperlink w:anchor="__RefHeading___Toc8645861_3381743652">
            <w:r>
              <w:rPr>
                <w:webHidden/>
                <w:rStyle w:val="IndexLink"/>
                <w:rtl w:val="true"/>
              </w:rPr>
              <w:t>الأمر الأوّل في مقدار الطلب في الجهات الأربع</w:t>
            </w:r>
            <w:r>
              <w:rPr>
                <w:rStyle w:val="IndexLink"/>
                <w:rtl w:val="true"/>
              </w:rPr>
              <w:tab/>
            </w:r>
            <w:r>
              <w:rPr>
                <w:rStyle w:val="IndexLink"/>
              </w:rPr>
              <w:t>48</w:t>
            </w:r>
          </w:hyperlink>
        </w:p>
        <w:p>
          <w:pPr>
            <w:pStyle w:val="Contents6"/>
            <w:tabs>
              <w:tab w:val="clear" w:pos="7609"/>
              <w:tab w:val="right" w:pos="9026" w:leader="dot"/>
            </w:tabs>
            <w:rPr/>
          </w:pPr>
          <w:hyperlink w:anchor="__RefHeading___Toc8645863_3381743652">
            <w:r>
              <w:rPr>
                <w:webHidden/>
                <w:rStyle w:val="IndexLink"/>
                <w:rtl w:val="true"/>
              </w:rPr>
              <w:t>الأمر الثاني في المراد من الألفاظ الواردة في رواية السكوني</w:t>
            </w:r>
            <w:r>
              <w:rPr>
                <w:rStyle w:val="IndexLink"/>
                <w:rtl w:val="true"/>
              </w:rPr>
              <w:tab/>
            </w:r>
            <w:r>
              <w:rPr>
                <w:rStyle w:val="IndexLink"/>
              </w:rPr>
              <w:t>49</w:t>
            </w:r>
          </w:hyperlink>
        </w:p>
        <w:p>
          <w:pPr>
            <w:pStyle w:val="Contents6"/>
            <w:tabs>
              <w:tab w:val="clear" w:pos="7609"/>
              <w:tab w:val="right" w:pos="9026" w:leader="dot"/>
            </w:tabs>
            <w:rPr/>
          </w:pPr>
          <w:hyperlink w:anchor="__RefHeading___Toc8645865_3381743652">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8645867_3381743652">
            <w:r>
              <w:rPr>
                <w:webHidden/>
                <w:rStyle w:val="IndexLink"/>
                <w:rtl w:val="true"/>
              </w:rPr>
              <w:t>المراد من الغلوة لغة</w:t>
            </w:r>
            <w:r>
              <w:rPr>
                <w:rStyle w:val="IndexLink"/>
                <w:rtl w:val="true"/>
              </w:rPr>
              <w:tab/>
            </w:r>
            <w:r>
              <w:rPr>
                <w:rStyle w:val="IndexLink"/>
              </w:rPr>
              <w:t>51</w:t>
            </w:r>
          </w:hyperlink>
        </w:p>
        <w:p>
          <w:pPr>
            <w:pStyle w:val="Contents6"/>
            <w:tabs>
              <w:tab w:val="clear" w:pos="7609"/>
              <w:tab w:val="right" w:pos="9026" w:leader="dot"/>
            </w:tabs>
            <w:rPr/>
          </w:pPr>
          <w:hyperlink w:anchor="__RefHeading___Toc8645869_3381743652">
            <w:r>
              <w:rPr>
                <w:webHidden/>
                <w:rStyle w:val="IndexLink"/>
                <w:rtl w:val="true"/>
              </w:rPr>
              <w:t>تفسير الغلوة في كلمات الفقهاء</w:t>
            </w:r>
            <w:r>
              <w:rPr>
                <w:rStyle w:val="IndexLink"/>
                <w:rtl w:val="true"/>
              </w:rPr>
              <w:tab/>
            </w:r>
            <w:r>
              <w:rPr>
                <w:rStyle w:val="IndexLink"/>
              </w:rPr>
              <w:t>52</w:t>
            </w:r>
          </w:hyperlink>
        </w:p>
        <w:p>
          <w:pPr>
            <w:pStyle w:val="Contents6"/>
            <w:tabs>
              <w:tab w:val="clear" w:pos="7609"/>
              <w:tab w:val="right" w:pos="9026" w:leader="dot"/>
            </w:tabs>
            <w:rPr/>
          </w:pPr>
          <w:hyperlink w:anchor="__RefHeading___Toc8645871_3381743652">
            <w:r>
              <w:rPr>
                <w:webHidden/>
                <w:rStyle w:val="IndexLink"/>
                <w:rtl w:val="true"/>
              </w:rPr>
              <w:t>الأمر الثالث حول المراد بعدم وجدان الماء</w:t>
            </w:r>
            <w:r>
              <w:rPr>
                <w:rStyle w:val="IndexLink"/>
                <w:rtl w:val="true"/>
              </w:rPr>
              <w:tab/>
            </w:r>
            <w:r>
              <w:rPr>
                <w:rStyle w:val="IndexLink"/>
              </w:rPr>
              <w:t>55</w:t>
            </w:r>
          </w:hyperlink>
        </w:p>
        <w:p>
          <w:pPr>
            <w:pStyle w:val="Contents6"/>
            <w:tabs>
              <w:tab w:val="clear" w:pos="7609"/>
              <w:tab w:val="right" w:pos="9026" w:leader="dot"/>
            </w:tabs>
            <w:rPr/>
          </w:pPr>
          <w:hyperlink w:anchor="__RefHeading___Toc8645873_3381743652">
            <w:r>
              <w:rPr>
                <w:webHidden/>
                <w:rStyle w:val="IndexLink"/>
                <w:rtl w:val="true"/>
              </w:rPr>
              <w:t>الأمر الرابع في حكم الإخلال بالطلب</w:t>
            </w:r>
            <w:r>
              <w:rPr>
                <w:rStyle w:val="IndexLink"/>
                <w:rtl w:val="true"/>
              </w:rPr>
              <w:tab/>
            </w:r>
            <w:r>
              <w:rPr>
                <w:rStyle w:val="IndexLink"/>
              </w:rPr>
              <w:t>59</w:t>
            </w:r>
          </w:hyperlink>
        </w:p>
        <w:p>
          <w:pPr>
            <w:pStyle w:val="Contents6"/>
            <w:tabs>
              <w:tab w:val="clear" w:pos="7609"/>
              <w:tab w:val="right" w:pos="9026" w:leader="dot"/>
            </w:tabs>
            <w:rPr/>
          </w:pPr>
          <w:hyperlink w:anchor="__RefHeading___Toc8645875_3381743652">
            <w:r>
              <w:rPr>
                <w:webHidden/>
                <w:rStyle w:val="IndexLink"/>
                <w:rtl w:val="true"/>
              </w:rPr>
              <w:t>الأمر الخامس فيما يترتّب على الموضوع لانقلاب التكليف بالترابية</w:t>
            </w:r>
            <w:r>
              <w:rPr>
                <w:rStyle w:val="IndexLink"/>
                <w:rtl w:val="true"/>
              </w:rPr>
              <w:tab/>
            </w:r>
            <w:r>
              <w:rPr>
                <w:rStyle w:val="IndexLink"/>
              </w:rPr>
              <w:t>63</w:t>
            </w:r>
          </w:hyperlink>
        </w:p>
        <w:p>
          <w:pPr>
            <w:pStyle w:val="Contents6"/>
            <w:tabs>
              <w:tab w:val="clear" w:pos="7609"/>
              <w:tab w:val="right" w:pos="9026" w:leader="dot"/>
            </w:tabs>
            <w:rPr/>
          </w:pPr>
          <w:hyperlink w:anchor="__RefHeading___Toc8645877_3381743652">
            <w:r>
              <w:rPr>
                <w:webHidden/>
                <w:rStyle w:val="IndexLink"/>
                <w:rtl w:val="true"/>
              </w:rPr>
              <w:t>الأمر السادس في عدم الماء بمقدار الكفاية كعدمه المطلق</w:t>
            </w:r>
            <w:r>
              <w:rPr>
                <w:rStyle w:val="IndexLink"/>
                <w:rtl w:val="true"/>
              </w:rPr>
              <w:tab/>
            </w:r>
            <w:r>
              <w:rPr>
                <w:rStyle w:val="IndexLink"/>
              </w:rPr>
              <w:t>65</w:t>
            </w:r>
          </w:hyperlink>
        </w:p>
        <w:p>
          <w:pPr>
            <w:pStyle w:val="Contents6"/>
            <w:tabs>
              <w:tab w:val="clear" w:pos="7609"/>
              <w:tab w:val="right" w:pos="9026" w:leader="dot"/>
            </w:tabs>
            <w:rPr/>
          </w:pPr>
          <w:hyperlink w:anchor="__RefHeading___Toc8645879_3381743652">
            <w:r>
              <w:rPr>
                <w:webHidden/>
                <w:rStyle w:val="IndexLink"/>
                <w:rtl w:val="true"/>
              </w:rPr>
              <w:t>الأمر السابع في وجوب تحصيل الماء ولو بالمعالجة</w:t>
            </w:r>
            <w:r>
              <w:rPr>
                <w:rStyle w:val="IndexLink"/>
                <w:rtl w:val="true"/>
              </w:rPr>
              <w:tab/>
            </w:r>
            <w:r>
              <w:rPr>
                <w:rStyle w:val="IndexLink"/>
              </w:rPr>
              <w:t>67</w:t>
            </w:r>
          </w:hyperlink>
        </w:p>
        <w:p>
          <w:pPr>
            <w:pStyle w:val="Contents5"/>
            <w:tabs>
              <w:tab w:val="clear" w:pos="7892"/>
              <w:tab w:val="right" w:pos="9026" w:leader="dot"/>
            </w:tabs>
            <w:rPr/>
          </w:pPr>
          <w:hyperlink w:anchor="__RefHeading___Toc8645881_3381743652">
            <w:r>
              <w:rPr>
                <w:webHidden/>
                <w:rStyle w:val="IndexLink"/>
                <w:rtl w:val="true"/>
              </w:rPr>
              <w:t>السبب الثاني</w:t>
            </w:r>
            <w:r>
              <w:rPr>
                <w:rStyle w:val="IndexLink"/>
                <w:rtl w:val="true"/>
              </w:rPr>
              <w:t xml:space="preserve">: </w:t>
            </w:r>
            <w:r>
              <w:rPr>
                <w:rStyle w:val="IndexLink"/>
                <w:rtl w:val="true"/>
              </w:rPr>
              <w:t>عدم الوصلة إلى الماء</w:t>
            </w:r>
            <w:r>
              <w:rPr>
                <w:rStyle w:val="IndexLink"/>
                <w:rtl w:val="true"/>
              </w:rPr>
              <w:tab/>
            </w:r>
            <w:r>
              <w:rPr>
                <w:rStyle w:val="IndexLink"/>
              </w:rPr>
              <w:t>70</w:t>
            </w:r>
          </w:hyperlink>
        </w:p>
        <w:p>
          <w:pPr>
            <w:pStyle w:val="Contents5"/>
            <w:tabs>
              <w:tab w:val="clear" w:pos="7892"/>
              <w:tab w:val="right" w:pos="9026" w:leader="dot"/>
            </w:tabs>
            <w:rPr/>
          </w:pPr>
          <w:hyperlink w:anchor="__RefHeading___Toc8645883_3381743652">
            <w:r>
              <w:rPr>
                <w:webHidden/>
                <w:rStyle w:val="IndexLink"/>
                <w:rtl w:val="true"/>
              </w:rPr>
              <w:t>السبب الثالث</w:t>
            </w:r>
            <w:r>
              <w:rPr>
                <w:rStyle w:val="IndexLink"/>
                <w:rtl w:val="true"/>
              </w:rPr>
              <w:t xml:space="preserve">: </w:t>
            </w:r>
            <w:r>
              <w:rPr>
                <w:rStyle w:val="IndexLink"/>
                <w:rtl w:val="true"/>
              </w:rPr>
              <w:t>كون الاستعمال حرجياً</w:t>
            </w:r>
            <w:r>
              <w:rPr>
                <w:rStyle w:val="IndexLink"/>
                <w:rtl w:val="true"/>
              </w:rPr>
              <w:tab/>
            </w:r>
            <w:r>
              <w:rPr>
                <w:rStyle w:val="IndexLink"/>
              </w:rPr>
              <w:t>78</w:t>
            </w:r>
          </w:hyperlink>
        </w:p>
        <w:p>
          <w:pPr>
            <w:pStyle w:val="Contents6"/>
            <w:tabs>
              <w:tab w:val="clear" w:pos="7609"/>
              <w:tab w:val="right" w:pos="9026" w:leader="dot"/>
            </w:tabs>
            <w:rPr/>
          </w:pPr>
          <w:hyperlink w:anchor="__RefHeading___Toc8645885_3381743652">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8645887_3381743652">
            <w:r>
              <w:rPr>
                <w:webHidden/>
                <w:rStyle w:val="IndexLink"/>
                <w:rtl w:val="true"/>
              </w:rPr>
              <w:t>سقوط المائية مع خوف حدوث الأمراض مثلاً</w:t>
            </w:r>
            <w:r>
              <w:rPr>
                <w:rStyle w:val="IndexLink"/>
                <w:rtl w:val="true"/>
              </w:rPr>
              <w:tab/>
            </w:r>
            <w:r>
              <w:rPr>
                <w:rStyle w:val="IndexLink"/>
              </w:rPr>
              <w:t>79</w:t>
            </w:r>
          </w:hyperlink>
        </w:p>
        <w:p>
          <w:pPr>
            <w:pStyle w:val="Contents6"/>
            <w:tabs>
              <w:tab w:val="clear" w:pos="7609"/>
              <w:tab w:val="right" w:pos="9026" w:leader="dot"/>
            </w:tabs>
            <w:rPr/>
          </w:pPr>
          <w:hyperlink w:anchor="__RefHeading___Toc8645889_3381743652">
            <w:r>
              <w:rPr>
                <w:webHidden/>
                <w:rStyle w:val="IndexLink"/>
                <w:rtl w:val="true"/>
              </w:rPr>
              <w:t>حول سقوط المائية مع خوف الشَيْن</w:t>
            </w:r>
            <w:r>
              <w:rPr>
                <w:rStyle w:val="IndexLink"/>
                <w:rtl w:val="true"/>
              </w:rPr>
              <w:tab/>
            </w:r>
            <w:r>
              <w:rPr>
                <w:rStyle w:val="IndexLink"/>
              </w:rPr>
              <w:t>86</w:t>
            </w:r>
          </w:hyperlink>
        </w:p>
        <w:p>
          <w:pPr>
            <w:pStyle w:val="Contents6"/>
            <w:tabs>
              <w:tab w:val="clear" w:pos="7609"/>
              <w:tab w:val="right" w:pos="9026" w:leader="dot"/>
            </w:tabs>
            <w:rPr/>
          </w:pPr>
          <w:hyperlink w:anchor="__RefHeading___Toc8645891_3381743652">
            <w:r>
              <w:rPr>
                <w:webHidden/>
                <w:rStyle w:val="IndexLink"/>
                <w:rtl w:val="true"/>
              </w:rPr>
              <w:t xml:space="preserve">المراد من </w:t>
            </w:r>
            <w:r>
              <w:rPr>
                <w:rStyle w:val="IndexLink"/>
                <w:rtl w:val="true"/>
              </w:rPr>
              <w:t>«</w:t>
            </w:r>
            <w:r>
              <w:rPr>
                <w:rStyle w:val="IndexLink"/>
                <w:rtl w:val="true"/>
              </w:rPr>
              <w:t>الحرج</w:t>
            </w:r>
            <w:r>
              <w:rPr>
                <w:rStyle w:val="IndexLink"/>
                <w:rtl w:val="true"/>
              </w:rPr>
              <w:t>»</w:t>
              <w:tab/>
            </w:r>
            <w:r>
              <w:rPr>
                <w:rStyle w:val="IndexLink"/>
              </w:rPr>
              <w:t>87</w:t>
            </w:r>
          </w:hyperlink>
        </w:p>
        <w:p>
          <w:pPr>
            <w:pStyle w:val="Contents5"/>
            <w:tabs>
              <w:tab w:val="clear" w:pos="7892"/>
              <w:tab w:val="right" w:pos="9026" w:leader="dot"/>
            </w:tabs>
            <w:rPr/>
          </w:pPr>
          <w:hyperlink w:anchor="__RefHeading___Toc8645893_3381743652">
            <w:r>
              <w:rPr>
                <w:webHidden/>
                <w:rStyle w:val="IndexLink"/>
                <w:rtl w:val="true"/>
              </w:rPr>
              <w:t>السبب الرابع</w:t>
            </w:r>
            <w:r>
              <w:rPr>
                <w:rStyle w:val="IndexLink"/>
                <w:rtl w:val="true"/>
              </w:rPr>
              <w:t xml:space="preserve">: </w:t>
            </w:r>
            <w:r>
              <w:rPr>
                <w:rStyle w:val="IndexLink"/>
                <w:rtl w:val="true"/>
              </w:rPr>
              <w:t>الخوف من العطش</w:t>
            </w:r>
            <w:r>
              <w:rPr>
                <w:rStyle w:val="IndexLink"/>
                <w:rtl w:val="true"/>
              </w:rPr>
              <w:tab/>
            </w:r>
            <w:r>
              <w:rPr>
                <w:rStyle w:val="IndexLink"/>
              </w:rPr>
              <w:t>91</w:t>
            </w:r>
          </w:hyperlink>
        </w:p>
        <w:p>
          <w:pPr>
            <w:pStyle w:val="Contents5"/>
            <w:tabs>
              <w:tab w:val="clear" w:pos="7892"/>
              <w:tab w:val="right" w:pos="9026" w:leader="dot"/>
            </w:tabs>
            <w:rPr/>
          </w:pPr>
          <w:hyperlink w:anchor="__RefHeading___Toc8645895_3381743652">
            <w:r>
              <w:rPr>
                <w:webHidden/>
                <w:rStyle w:val="IndexLink"/>
                <w:rtl w:val="true"/>
              </w:rPr>
              <w:t>السبب الخامس</w:t>
            </w:r>
            <w:r>
              <w:rPr>
                <w:rStyle w:val="IndexLink"/>
                <w:rtl w:val="true"/>
              </w:rPr>
              <w:t xml:space="preserve">: </w:t>
            </w:r>
            <w:r>
              <w:rPr>
                <w:rStyle w:val="IndexLink"/>
                <w:rtl w:val="true"/>
              </w:rPr>
              <w:t>لزوم المحذور الشرعي من استعمال الماء</w:t>
            </w:r>
            <w:r>
              <w:rPr>
                <w:rStyle w:val="IndexLink"/>
                <w:rtl w:val="true"/>
              </w:rPr>
              <w:tab/>
            </w:r>
            <w:r>
              <w:rPr>
                <w:rStyle w:val="IndexLink"/>
              </w:rPr>
              <w:t>94</w:t>
            </w:r>
          </w:hyperlink>
        </w:p>
        <w:p>
          <w:pPr>
            <w:pStyle w:val="Contents6"/>
            <w:tabs>
              <w:tab w:val="clear" w:pos="7609"/>
              <w:tab w:val="right" w:pos="9026" w:leader="dot"/>
            </w:tabs>
            <w:rPr/>
          </w:pPr>
          <w:hyperlink w:anchor="__RefHeading___Toc8645897_338174365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8645899_3381743652">
            <w:r>
              <w:rPr>
                <w:webHidden/>
                <w:rStyle w:val="IndexLink"/>
                <w:rtl w:val="true"/>
              </w:rPr>
              <w:t>تقديم رفع الخبث على رفع الحدث</w:t>
            </w:r>
            <w:r>
              <w:rPr>
                <w:rStyle w:val="IndexLink"/>
                <w:rtl w:val="true"/>
              </w:rPr>
              <w:tab/>
            </w:r>
            <w:r>
              <w:rPr>
                <w:rStyle w:val="IndexLink"/>
              </w:rPr>
              <w:t>99</w:t>
            </w:r>
          </w:hyperlink>
        </w:p>
        <w:p>
          <w:pPr>
            <w:pStyle w:val="Contents5"/>
            <w:tabs>
              <w:tab w:val="clear" w:pos="7892"/>
              <w:tab w:val="right" w:pos="9026" w:leader="dot"/>
            </w:tabs>
            <w:rPr/>
          </w:pPr>
          <w:hyperlink w:anchor="__RefHeading___Toc8645901_3381743652">
            <w:r>
              <w:rPr>
                <w:webHidden/>
                <w:rStyle w:val="IndexLink"/>
                <w:rtl w:val="true"/>
              </w:rPr>
              <w:t>السبب السادس</w:t>
            </w:r>
            <w:r>
              <w:rPr>
                <w:rStyle w:val="IndexLink"/>
                <w:rtl w:val="true"/>
              </w:rPr>
              <w:t xml:space="preserve">: </w:t>
            </w:r>
            <w:r>
              <w:rPr>
                <w:rStyle w:val="IndexLink"/>
                <w:rtl w:val="true"/>
              </w:rPr>
              <w:t>ضيق الوقت</w:t>
            </w:r>
            <w:r>
              <w:rPr>
                <w:rStyle w:val="IndexLink"/>
                <w:rtl w:val="true"/>
              </w:rPr>
              <w:tab/>
            </w:r>
            <w:r>
              <w:rPr>
                <w:rStyle w:val="IndexLink"/>
              </w:rPr>
              <w:t>101</w:t>
            </w:r>
          </w:hyperlink>
        </w:p>
        <w:p>
          <w:pPr>
            <w:pStyle w:val="Contents6"/>
            <w:tabs>
              <w:tab w:val="clear" w:pos="7609"/>
              <w:tab w:val="right" w:pos="9026" w:leader="dot"/>
            </w:tabs>
            <w:rPr/>
          </w:pPr>
          <w:hyperlink w:anchor="__RefHeading___Toc8645903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8645905_3381743652">
            <w:r>
              <w:rPr>
                <w:webHidden/>
                <w:rStyle w:val="IndexLink"/>
                <w:rtl w:val="true"/>
              </w:rPr>
              <w:t>حكم إدراك جميع الوقت مع الترابية وعدم إدراك شيء منه مع المائية</w:t>
            </w:r>
            <w:r>
              <w:rPr>
                <w:rStyle w:val="IndexLink"/>
                <w:rtl w:val="true"/>
              </w:rPr>
              <w:tab/>
            </w:r>
            <w:r>
              <w:rPr>
                <w:rStyle w:val="IndexLink"/>
              </w:rPr>
              <w:t>101</w:t>
            </w:r>
          </w:hyperlink>
        </w:p>
        <w:p>
          <w:pPr>
            <w:pStyle w:val="Contents6"/>
            <w:tabs>
              <w:tab w:val="clear" w:pos="7609"/>
              <w:tab w:val="right" w:pos="9026" w:leader="dot"/>
            </w:tabs>
            <w:rPr/>
          </w:pPr>
          <w:hyperlink w:anchor="__RefHeading___Toc8645907_3381743652">
            <w:r>
              <w:rPr>
                <w:webHidden/>
                <w:rStyle w:val="IndexLink"/>
                <w:rtl w:val="true"/>
              </w:rPr>
              <w:t>حكم إدراك ركعة من الوقت مع المائية وجميعه مع الترابية</w:t>
            </w:r>
            <w:r>
              <w:rPr>
                <w:rStyle w:val="IndexLink"/>
                <w:rtl w:val="true"/>
              </w:rPr>
              <w:tab/>
            </w:r>
            <w:r>
              <w:rPr>
                <w:rStyle w:val="IndexLink"/>
              </w:rPr>
              <w:t>105</w:t>
            </w:r>
          </w:hyperlink>
        </w:p>
        <w:p>
          <w:pPr>
            <w:pStyle w:val="Contents6"/>
            <w:tabs>
              <w:tab w:val="clear" w:pos="7609"/>
              <w:tab w:val="right" w:pos="9026" w:leader="dot"/>
            </w:tabs>
            <w:rPr/>
          </w:pPr>
          <w:hyperlink w:anchor="__RefHeading___Toc8645909_3381743652">
            <w:r>
              <w:rPr>
                <w:webHidden/>
                <w:rStyle w:val="IndexLink"/>
                <w:rtl w:val="true"/>
              </w:rPr>
              <w:t xml:space="preserve">حكومة </w:t>
            </w:r>
            <w:r>
              <w:rPr>
                <w:rStyle w:val="IndexLink"/>
                <w:rtl w:val="true"/>
              </w:rPr>
              <w:t>«</w:t>
            </w:r>
            <w:r>
              <w:rPr>
                <w:rStyle w:val="IndexLink"/>
                <w:rtl w:val="true"/>
              </w:rPr>
              <w:t xml:space="preserve">من أدرك </w:t>
            </w:r>
            <w:r>
              <w:rPr>
                <w:rStyle w:val="IndexLink"/>
                <w:rtl w:val="true"/>
              </w:rPr>
              <w:t xml:space="preserve">. . .» </w:t>
            </w:r>
            <w:r>
              <w:rPr>
                <w:rStyle w:val="IndexLink"/>
                <w:rtl w:val="true"/>
              </w:rPr>
              <w:t>على صحيحة زرارة في فرض واحد</w:t>
            </w:r>
            <w:r>
              <w:rPr>
                <w:rStyle w:val="IndexLink"/>
                <w:rtl w:val="true"/>
              </w:rPr>
              <w:tab/>
            </w:r>
            <w:r>
              <w:rPr>
                <w:rStyle w:val="IndexLink"/>
              </w:rPr>
              <w:t>106</w:t>
            </w:r>
          </w:hyperlink>
        </w:p>
        <w:p>
          <w:pPr>
            <w:pStyle w:val="Contents6"/>
            <w:tabs>
              <w:tab w:val="clear" w:pos="7609"/>
              <w:tab w:val="right" w:pos="9026" w:leader="dot"/>
            </w:tabs>
            <w:rPr/>
          </w:pPr>
          <w:hyperlink w:anchor="__RefHeading___Toc8645911_3381743652">
            <w:r>
              <w:rPr>
                <w:webHidden/>
                <w:rStyle w:val="IndexLink"/>
                <w:rtl w:val="true"/>
              </w:rPr>
              <w:t>عدم تمامية الحكومة بالنسبة لسائر الفروض</w:t>
            </w:r>
            <w:r>
              <w:rPr>
                <w:rStyle w:val="IndexLink"/>
                <w:rtl w:val="true"/>
              </w:rPr>
              <w:tab/>
            </w:r>
            <w:r>
              <w:rPr>
                <w:rStyle w:val="IndexLink"/>
              </w:rPr>
              <w:t>108</w:t>
            </w:r>
          </w:hyperlink>
        </w:p>
        <w:p>
          <w:pPr>
            <w:pStyle w:val="Contents6"/>
            <w:tabs>
              <w:tab w:val="clear" w:pos="7609"/>
              <w:tab w:val="right" w:pos="9026" w:leader="dot"/>
            </w:tabs>
            <w:rPr/>
          </w:pPr>
          <w:hyperlink w:anchor="__RefHeading___Toc8645913_3381743652">
            <w:r>
              <w:rPr>
                <w:webHidden/>
                <w:rStyle w:val="IndexLink"/>
                <w:rtl w:val="true"/>
              </w:rPr>
              <w:t>حكم ما إذا أدرك ركعة مع الترابية</w:t>
            </w:r>
            <w:r>
              <w:rPr>
                <w:rStyle w:val="IndexLink"/>
                <w:rtl w:val="true"/>
              </w:rPr>
              <w:tab/>
            </w:r>
            <w:r>
              <w:rPr>
                <w:rStyle w:val="IndexLink"/>
              </w:rPr>
              <w:t>110</w:t>
            </w:r>
          </w:hyperlink>
        </w:p>
        <w:p>
          <w:pPr>
            <w:pStyle w:val="Contents6"/>
            <w:tabs>
              <w:tab w:val="clear" w:pos="7609"/>
              <w:tab w:val="right" w:pos="9026" w:leader="dot"/>
            </w:tabs>
            <w:rPr/>
          </w:pPr>
          <w:hyperlink w:anchor="__RefHeading___Toc8645915_3381743652">
            <w:r>
              <w:rPr>
                <w:webHidden/>
                <w:rStyle w:val="IndexLink"/>
                <w:rtl w:val="true"/>
              </w:rPr>
              <w:t>حكم إدراك ركعة مع المائية وأزيد منها مع الترابية</w:t>
            </w:r>
            <w:r>
              <w:rPr>
                <w:rStyle w:val="IndexLink"/>
                <w:rtl w:val="true"/>
              </w:rPr>
              <w:tab/>
            </w:r>
            <w:r>
              <w:rPr>
                <w:rStyle w:val="IndexLink"/>
              </w:rPr>
              <w:t>110</w:t>
            </w:r>
          </w:hyperlink>
        </w:p>
        <w:p>
          <w:pPr>
            <w:pStyle w:val="Contents6"/>
            <w:tabs>
              <w:tab w:val="clear" w:pos="7609"/>
              <w:tab w:val="right" w:pos="9026" w:leader="dot"/>
            </w:tabs>
            <w:rPr/>
          </w:pPr>
          <w:hyperlink w:anchor="__RefHeading___Toc8645917_3381743652">
            <w:r>
              <w:rPr>
                <w:webHidden/>
                <w:rStyle w:val="IndexLink"/>
                <w:rtl w:val="true"/>
              </w:rPr>
              <w:t>الأمر الأوّل</w:t>
            </w:r>
            <w:r>
              <w:rPr>
                <w:rStyle w:val="IndexLink"/>
                <w:rtl w:val="true"/>
              </w:rPr>
              <w:t xml:space="preserve">: </w:t>
            </w:r>
            <w:r>
              <w:rPr>
                <w:rStyle w:val="IndexLink"/>
                <w:rtl w:val="true"/>
              </w:rPr>
              <w:t>في المراد من الخوف المأخوذ في الأدلّة</w:t>
            </w:r>
            <w:r>
              <w:rPr>
                <w:rStyle w:val="IndexLink"/>
                <w:rtl w:val="true"/>
              </w:rPr>
              <w:tab/>
            </w:r>
            <w:r>
              <w:rPr>
                <w:rStyle w:val="IndexLink"/>
              </w:rPr>
              <w:t>112</w:t>
            </w:r>
          </w:hyperlink>
        </w:p>
        <w:p>
          <w:pPr>
            <w:pStyle w:val="Contents6"/>
            <w:tabs>
              <w:tab w:val="clear" w:pos="7609"/>
              <w:tab w:val="right" w:pos="9026" w:leader="dot"/>
            </w:tabs>
            <w:rPr/>
          </w:pPr>
          <w:hyperlink w:anchor="__RefHeading___Toc8645919_3381743652">
            <w:r>
              <w:rPr>
                <w:webHidden/>
                <w:rStyle w:val="IndexLink"/>
                <w:rtl w:val="true"/>
              </w:rPr>
              <w:t xml:space="preserve">الأمر الثاني هل </w:t>
            </w:r>
            <w:r>
              <w:rPr>
                <w:rStyle w:val="IndexLink"/>
                <w:rtl w:val="true"/>
              </w:rPr>
              <w:t>«</w:t>
            </w:r>
            <w:r>
              <w:rPr>
                <w:rStyle w:val="IndexLink"/>
                <w:rtl w:val="true"/>
              </w:rPr>
              <w:t>الخوف</w:t>
            </w:r>
            <w:r>
              <w:rPr>
                <w:rStyle w:val="IndexLink"/>
                <w:rtl w:val="true"/>
              </w:rPr>
              <w:t xml:space="preserve">» </w:t>
            </w:r>
            <w:r>
              <w:rPr>
                <w:rStyle w:val="IndexLink"/>
                <w:rtl w:val="true"/>
              </w:rPr>
              <w:t>المأخوذ في موضوع الأدلّة على نسقٍ واحد ؟</w:t>
            </w:r>
            <w:r>
              <w:rPr>
                <w:rStyle w:val="IndexLink"/>
                <w:rtl w:val="true"/>
              </w:rPr>
              <w:tab/>
            </w:r>
            <w:r>
              <w:rPr>
                <w:rStyle w:val="IndexLink"/>
              </w:rPr>
              <w:t>116</w:t>
            </w:r>
          </w:hyperlink>
        </w:p>
        <w:p>
          <w:pPr>
            <w:pStyle w:val="Contents6"/>
            <w:tabs>
              <w:tab w:val="clear" w:pos="7609"/>
              <w:tab w:val="right" w:pos="9026" w:leader="dot"/>
            </w:tabs>
            <w:rPr/>
          </w:pPr>
          <w:hyperlink w:anchor="__RefHeading___Toc8645921_3381743652">
            <w:r>
              <w:rPr>
                <w:webHidden/>
                <w:rStyle w:val="IndexLink"/>
                <w:rtl w:val="true"/>
              </w:rPr>
              <w:t>الأمر الثالث في أنّ المستفاد من أدلّة الحرج سقوط المائية على نحو العزيمة</w:t>
            </w:r>
            <w:r>
              <w:rPr>
                <w:rStyle w:val="IndexLink"/>
                <w:rtl w:val="true"/>
              </w:rPr>
              <w:tab/>
            </w:r>
            <w:r>
              <w:rPr>
                <w:rStyle w:val="IndexLink"/>
              </w:rPr>
              <w:t>118</w:t>
            </w:r>
          </w:hyperlink>
        </w:p>
        <w:p>
          <w:pPr>
            <w:pStyle w:val="Contents6"/>
            <w:tabs>
              <w:tab w:val="clear" w:pos="7609"/>
              <w:tab w:val="right" w:pos="9026" w:leader="dot"/>
            </w:tabs>
            <w:rPr/>
          </w:pPr>
          <w:hyperlink w:anchor="__RefHeading___Toc8645923_3381743652">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8645925_3381743652">
            <w:r>
              <w:rPr>
                <w:webHidden/>
                <w:rStyle w:val="IndexLink"/>
                <w:rtl w:val="true"/>
              </w:rPr>
              <w:t>ميزان سقوط المائية على نحو العزيمة في غير مورد الحرج</w:t>
            </w:r>
            <w:r>
              <w:rPr>
                <w:rStyle w:val="IndexLink"/>
                <w:rtl w:val="true"/>
              </w:rPr>
              <w:tab/>
            </w:r>
            <w:r>
              <w:rPr>
                <w:rStyle w:val="IndexLink"/>
              </w:rPr>
              <w:t>125</w:t>
            </w:r>
          </w:hyperlink>
        </w:p>
        <w:p>
          <w:pPr>
            <w:pStyle w:val="Contents6"/>
            <w:tabs>
              <w:tab w:val="clear" w:pos="7609"/>
              <w:tab w:val="right" w:pos="9026" w:leader="dot"/>
            </w:tabs>
            <w:rPr/>
          </w:pPr>
          <w:hyperlink w:anchor="__RefHeading___Toc8645927_3381743652">
            <w:r>
              <w:rPr>
                <w:webHidden/>
                <w:rStyle w:val="IndexLink"/>
                <w:rtl w:val="true"/>
              </w:rPr>
              <w:t>الأمر الرابع في صحّة الطهارة المائية عند تعيّن التيمّم</w:t>
            </w:r>
            <w:r>
              <w:rPr>
                <w:rStyle w:val="IndexLink"/>
                <w:rtl w:val="true"/>
              </w:rPr>
              <w:tab/>
            </w:r>
            <w:r>
              <w:rPr>
                <w:rStyle w:val="IndexLink"/>
              </w:rPr>
              <w:t>131</w:t>
            </w:r>
          </w:hyperlink>
        </w:p>
        <w:p>
          <w:pPr>
            <w:pStyle w:val="Contents6"/>
            <w:tabs>
              <w:tab w:val="clear" w:pos="7609"/>
              <w:tab w:val="right" w:pos="9026" w:leader="dot"/>
            </w:tabs>
            <w:rPr/>
          </w:pPr>
          <w:hyperlink w:anchor="__RefHeading___Toc8645929_33817436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645931_3381743652">
            <w:r>
              <w:rPr>
                <w:webHidden/>
                <w:rStyle w:val="IndexLink"/>
                <w:rtl w:val="true"/>
              </w:rPr>
              <w:t>بيان مقتضى القواعد في المقام</w:t>
            </w:r>
            <w:r>
              <w:rPr>
                <w:rStyle w:val="IndexLink"/>
                <w:rtl w:val="true"/>
              </w:rPr>
              <w:tab/>
            </w:r>
            <w:r>
              <w:rPr>
                <w:rStyle w:val="IndexLink"/>
              </w:rPr>
              <w:t>131</w:t>
            </w:r>
          </w:hyperlink>
        </w:p>
        <w:p>
          <w:pPr>
            <w:pStyle w:val="Contents6"/>
            <w:tabs>
              <w:tab w:val="clear" w:pos="7609"/>
              <w:tab w:val="right" w:pos="9026" w:leader="dot"/>
            </w:tabs>
            <w:rPr/>
          </w:pPr>
          <w:hyperlink w:anchor="__RefHeading___Toc8645933_3381743652">
            <w:r>
              <w:rPr>
                <w:webHidden/>
                <w:rStyle w:val="IndexLink"/>
                <w:rtl w:val="true"/>
              </w:rPr>
              <w:t>حكم مزاحمة الطهارة المائية لواجب أهمّ</w:t>
            </w:r>
            <w:r>
              <w:rPr>
                <w:rStyle w:val="IndexLink"/>
                <w:rtl w:val="true"/>
              </w:rPr>
              <w:tab/>
            </w:r>
            <w:r>
              <w:rPr>
                <w:rStyle w:val="IndexLink"/>
              </w:rPr>
              <w:t>142</w:t>
            </w:r>
          </w:hyperlink>
        </w:p>
        <w:p>
          <w:pPr>
            <w:pStyle w:val="Contents6"/>
            <w:tabs>
              <w:tab w:val="clear" w:pos="7609"/>
              <w:tab w:val="right" w:pos="9026" w:leader="dot"/>
            </w:tabs>
            <w:rPr/>
          </w:pPr>
          <w:hyperlink w:anchor="__RefHeading___Toc8645935_3381743652">
            <w:r>
              <w:rPr>
                <w:webHidden/>
                <w:rStyle w:val="IndexLink"/>
                <w:rtl w:val="true"/>
              </w:rPr>
              <w:t>بيان مقتضى الأدلّة النقلية في المقام</w:t>
            </w:r>
            <w:r>
              <w:rPr>
                <w:rStyle w:val="IndexLink"/>
                <w:rtl w:val="true"/>
              </w:rPr>
              <w:tab/>
            </w:r>
            <w:r>
              <w:rPr>
                <w:rStyle w:val="IndexLink"/>
              </w:rPr>
              <w:t>144</w:t>
            </w:r>
          </w:hyperlink>
        </w:p>
        <w:p>
          <w:pPr>
            <w:pStyle w:val="Contents6"/>
            <w:tabs>
              <w:tab w:val="clear" w:pos="7609"/>
              <w:tab w:val="right" w:pos="9026" w:leader="dot"/>
            </w:tabs>
            <w:rPr/>
          </w:pPr>
          <w:hyperlink w:anchor="__RefHeading___Toc8645937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8645939_3381743652">
            <w:r>
              <w:rPr>
                <w:webHidden/>
                <w:rStyle w:val="IndexLink"/>
                <w:rtl w:val="true"/>
              </w:rPr>
              <w:t>المسألة الاُولى في بطلان الطهارة المائية في موارد سقوطها بدليل نفي الحرج</w:t>
            </w:r>
            <w:r>
              <w:rPr>
                <w:rStyle w:val="IndexLink"/>
                <w:rtl w:val="true"/>
              </w:rPr>
              <w:tab/>
            </w:r>
            <w:r>
              <w:rPr>
                <w:rStyle w:val="IndexLink"/>
              </w:rPr>
              <w:t>144</w:t>
            </w:r>
          </w:hyperlink>
        </w:p>
        <w:p>
          <w:pPr>
            <w:pStyle w:val="Contents6"/>
            <w:tabs>
              <w:tab w:val="clear" w:pos="7609"/>
              <w:tab w:val="right" w:pos="9026" w:leader="dot"/>
            </w:tabs>
            <w:rPr/>
          </w:pPr>
          <w:hyperlink w:anchor="__RefHeading___Toc8645941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8645943_3381743652">
            <w:r>
              <w:rPr>
                <w:webHidden/>
                <w:rStyle w:val="IndexLink"/>
                <w:rtl w:val="true"/>
              </w:rPr>
              <w:t>مفاد رواية يحيى بن أبي العلاء</w:t>
            </w:r>
            <w:r>
              <w:rPr>
                <w:rStyle w:val="IndexLink"/>
                <w:rtl w:val="true"/>
              </w:rPr>
              <w:tab/>
            </w:r>
            <w:r>
              <w:rPr>
                <w:rStyle w:val="IndexLink"/>
              </w:rPr>
              <w:t>149</w:t>
            </w:r>
          </w:hyperlink>
        </w:p>
        <w:p>
          <w:pPr>
            <w:pStyle w:val="Contents6"/>
            <w:tabs>
              <w:tab w:val="clear" w:pos="7609"/>
              <w:tab w:val="right" w:pos="9026" w:leader="dot"/>
            </w:tabs>
            <w:rPr/>
          </w:pPr>
          <w:hyperlink w:anchor="__RefHeading___Toc8645945_3381743652">
            <w:r>
              <w:rPr>
                <w:webHidden/>
                <w:rStyle w:val="IndexLink"/>
                <w:rtl w:val="true"/>
              </w:rPr>
              <w:t>نكتة اُخرى تقتضي بطلان الصلاة مع المائية</w:t>
            </w:r>
            <w:r>
              <w:rPr>
                <w:rStyle w:val="IndexLink"/>
                <w:rtl w:val="true"/>
              </w:rPr>
              <w:tab/>
            </w:r>
            <w:r>
              <w:rPr>
                <w:rStyle w:val="IndexLink"/>
              </w:rPr>
              <w:t>151</w:t>
            </w:r>
          </w:hyperlink>
        </w:p>
        <w:p>
          <w:pPr>
            <w:pStyle w:val="Contents6"/>
            <w:tabs>
              <w:tab w:val="clear" w:pos="7609"/>
              <w:tab w:val="right" w:pos="9026" w:leader="dot"/>
            </w:tabs>
            <w:rPr/>
          </w:pPr>
          <w:hyperlink w:anchor="__RefHeading___Toc8645947_3381743652">
            <w:r>
              <w:rPr>
                <w:webHidden/>
                <w:rStyle w:val="IndexLink"/>
                <w:rtl w:val="true"/>
              </w:rPr>
              <w:t>المسألة الثانية في صحّة الطهارة المائية في موارد سقوطها بغير دليل نفي الحرج</w:t>
            </w:r>
            <w:r>
              <w:rPr>
                <w:rStyle w:val="IndexLink"/>
                <w:rtl w:val="true"/>
              </w:rPr>
              <w:tab/>
            </w:r>
            <w:r>
              <w:rPr>
                <w:rStyle w:val="IndexLink"/>
              </w:rPr>
              <w:t>153</w:t>
            </w:r>
          </w:hyperlink>
        </w:p>
        <w:p>
          <w:pPr>
            <w:pStyle w:val="Contents6"/>
            <w:tabs>
              <w:tab w:val="clear" w:pos="7609"/>
              <w:tab w:val="right" w:pos="9026" w:leader="dot"/>
            </w:tabs>
            <w:rPr/>
          </w:pPr>
          <w:hyperlink w:anchor="__RefHeading___Toc8645949_3381743652">
            <w:r>
              <w:rPr>
                <w:webHidden/>
                <w:rStyle w:val="IndexLink"/>
                <w:rtl w:val="true"/>
              </w:rPr>
              <w:t>الأمر الخامس في الإتيان بالمائية لعذر عند تعيّن التيمّم</w:t>
            </w:r>
            <w:r>
              <w:rPr>
                <w:rStyle w:val="IndexLink"/>
                <w:rtl w:val="true"/>
              </w:rPr>
              <w:tab/>
            </w:r>
            <w:r>
              <w:rPr>
                <w:rStyle w:val="IndexLink"/>
              </w:rPr>
              <w:t>156</w:t>
            </w:r>
          </w:hyperlink>
        </w:p>
        <w:p>
          <w:pPr>
            <w:pStyle w:val="Contents4"/>
            <w:tabs>
              <w:tab w:val="clear" w:pos="8176"/>
              <w:tab w:val="right" w:pos="9026" w:leader="dot"/>
            </w:tabs>
            <w:rPr/>
          </w:pPr>
          <w:hyperlink w:anchor="__RefHeading___Toc8645951_3381743652">
            <w:r>
              <w:rPr>
                <w:webHidden/>
                <w:rStyle w:val="IndexLink"/>
                <w:rtl w:val="true"/>
              </w:rPr>
              <w:t>المبحث الثاني</w:t>
            </w:r>
            <w:r>
              <w:rPr>
                <w:rStyle w:val="IndexLink"/>
                <w:rtl w:val="true"/>
              </w:rPr>
              <w:t xml:space="preserve">: </w:t>
            </w:r>
            <w:r>
              <w:rPr>
                <w:rStyle w:val="IndexLink"/>
                <w:rtl w:val="true"/>
              </w:rPr>
              <w:t>فيما يتيمّم به</w:t>
            </w:r>
            <w:r>
              <w:rPr>
                <w:rStyle w:val="IndexLink"/>
                <w:rtl w:val="true"/>
              </w:rPr>
              <w:tab/>
            </w:r>
            <w:r>
              <w:rPr>
                <w:rStyle w:val="IndexLink"/>
              </w:rPr>
              <w:t>160</w:t>
            </w:r>
          </w:hyperlink>
        </w:p>
        <w:p>
          <w:pPr>
            <w:pStyle w:val="Contents5"/>
            <w:tabs>
              <w:tab w:val="clear" w:pos="7892"/>
              <w:tab w:val="right" w:pos="9026" w:leader="dot"/>
            </w:tabs>
            <w:rPr/>
          </w:pPr>
          <w:hyperlink w:anchor="__RefHeading___Toc8645953_3381743652">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8645955_3381743652">
            <w:r>
              <w:rPr>
                <w:webHidden/>
                <w:rStyle w:val="IndexLink"/>
                <w:rtl w:val="true"/>
              </w:rPr>
              <w:t>الأمر الأوّل</w:t>
            </w:r>
            <w:r>
              <w:rPr>
                <w:rStyle w:val="IndexLink"/>
                <w:rtl w:val="true"/>
              </w:rPr>
              <w:t xml:space="preserve">: </w:t>
            </w:r>
            <w:r>
              <w:rPr>
                <w:rStyle w:val="IndexLink"/>
                <w:rtl w:val="true"/>
              </w:rPr>
              <w:t>في اشتراط كونه أرضاً</w:t>
            </w:r>
            <w:r>
              <w:rPr>
                <w:rStyle w:val="IndexLink"/>
                <w:rtl w:val="true"/>
              </w:rPr>
              <w:tab/>
            </w:r>
            <w:r>
              <w:rPr>
                <w:rStyle w:val="IndexLink"/>
              </w:rPr>
              <w:t>162</w:t>
            </w:r>
          </w:hyperlink>
        </w:p>
        <w:p>
          <w:pPr>
            <w:pStyle w:val="Contents6"/>
            <w:tabs>
              <w:tab w:val="clear" w:pos="7609"/>
              <w:tab w:val="right" w:pos="9026" w:leader="dot"/>
            </w:tabs>
            <w:rPr/>
          </w:pPr>
          <w:hyperlink w:anchor="__RefHeading___Toc8645957_3381743652">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8645959_3381743652">
            <w:r>
              <w:rPr>
                <w:webHidden/>
                <w:rStyle w:val="IndexLink"/>
                <w:rtl w:val="true"/>
              </w:rPr>
              <w:t>تحديد ما يصحّ التيمّم عليه</w:t>
            </w:r>
            <w:r>
              <w:rPr>
                <w:rStyle w:val="IndexLink"/>
                <w:rtl w:val="true"/>
              </w:rPr>
              <w:tab/>
            </w:r>
            <w:r>
              <w:rPr>
                <w:rStyle w:val="IndexLink"/>
              </w:rPr>
              <w:t>164</w:t>
            </w:r>
          </w:hyperlink>
        </w:p>
        <w:p>
          <w:pPr>
            <w:pStyle w:val="Contents6"/>
            <w:tabs>
              <w:tab w:val="clear" w:pos="7609"/>
              <w:tab w:val="right" w:pos="9026" w:leader="dot"/>
            </w:tabs>
            <w:rPr/>
          </w:pPr>
          <w:hyperlink w:anchor="__RefHeading___Toc8645961_3381743652">
            <w:r>
              <w:rPr>
                <w:webHidden/>
                <w:rStyle w:val="IndexLink"/>
                <w:rtl w:val="true"/>
              </w:rPr>
              <w:t>الاستدلال بالكتاب في المقام</w:t>
            </w:r>
            <w:r>
              <w:rPr>
                <w:rStyle w:val="IndexLink"/>
                <w:rtl w:val="true"/>
              </w:rPr>
              <w:tab/>
            </w:r>
            <w:r>
              <w:rPr>
                <w:rStyle w:val="IndexLink"/>
              </w:rPr>
              <w:t>165</w:t>
            </w:r>
          </w:hyperlink>
        </w:p>
        <w:p>
          <w:pPr>
            <w:pStyle w:val="Contents6"/>
            <w:tabs>
              <w:tab w:val="clear" w:pos="7609"/>
              <w:tab w:val="right" w:pos="9026" w:leader="dot"/>
            </w:tabs>
            <w:rPr/>
          </w:pPr>
          <w:hyperlink w:anchor="__RefHeading___Toc8645963_3381743652">
            <w:r>
              <w:rPr>
                <w:webHidden/>
                <w:rStyle w:val="IndexLink"/>
                <w:rtl w:val="true"/>
              </w:rPr>
              <w:t xml:space="preserve">بيان المراد من </w:t>
            </w:r>
            <w:r>
              <w:rPr>
                <w:rStyle w:val="IndexLink"/>
                <w:rtl w:val="true"/>
              </w:rPr>
              <w:t>«</w:t>
            </w:r>
            <w:r>
              <w:rPr>
                <w:rStyle w:val="IndexLink"/>
                <w:rtl w:val="true"/>
              </w:rPr>
              <w:t>الصعيد</w:t>
            </w:r>
            <w:r>
              <w:rPr>
                <w:rStyle w:val="IndexLink"/>
                <w:rtl w:val="true"/>
              </w:rPr>
              <w:t>»</w:t>
              <w:tab/>
            </w:r>
            <w:r>
              <w:rPr>
                <w:rStyle w:val="IndexLink"/>
              </w:rPr>
              <w:t>165</w:t>
            </w:r>
          </w:hyperlink>
        </w:p>
        <w:p>
          <w:pPr>
            <w:pStyle w:val="Contents6"/>
            <w:tabs>
              <w:tab w:val="clear" w:pos="7609"/>
              <w:tab w:val="right" w:pos="9026" w:leader="dot"/>
            </w:tabs>
            <w:rPr/>
          </w:pPr>
          <w:hyperlink w:anchor="__RefHeading___Toc8645965_3381743652">
            <w:r>
              <w:rPr>
                <w:webHidden/>
                <w:rStyle w:val="IndexLink"/>
                <w:rtl w:val="true"/>
              </w:rPr>
              <w:t>الاستدلال بالسنّة على كفاية مطلق وجه الأرض</w:t>
            </w:r>
            <w:r>
              <w:rPr>
                <w:rStyle w:val="IndexLink"/>
                <w:rtl w:val="true"/>
              </w:rPr>
              <w:tab/>
            </w:r>
            <w:r>
              <w:rPr>
                <w:rStyle w:val="IndexLink"/>
              </w:rPr>
              <w:t>175</w:t>
            </w:r>
          </w:hyperlink>
        </w:p>
        <w:p>
          <w:pPr>
            <w:pStyle w:val="Contents6"/>
            <w:tabs>
              <w:tab w:val="clear" w:pos="7609"/>
              <w:tab w:val="right" w:pos="9026" w:leader="dot"/>
            </w:tabs>
            <w:rPr/>
          </w:pPr>
          <w:hyperlink w:anchor="__RefHeading___Toc8645967_3381743652">
            <w:r>
              <w:rPr>
                <w:webHidden/>
                <w:rStyle w:val="IndexLink"/>
                <w:rtl w:val="true"/>
              </w:rPr>
              <w:t>الاستدلال بالسنّة على اشتراط خصوص التراب وجوابه</w:t>
            </w:r>
            <w:r>
              <w:rPr>
                <w:rStyle w:val="IndexLink"/>
                <w:rtl w:val="true"/>
              </w:rPr>
              <w:tab/>
            </w:r>
            <w:r>
              <w:rPr>
                <w:rStyle w:val="IndexLink"/>
              </w:rPr>
              <w:t>184</w:t>
            </w:r>
          </w:hyperlink>
        </w:p>
        <w:p>
          <w:pPr>
            <w:pStyle w:val="Contents6"/>
            <w:tabs>
              <w:tab w:val="clear" w:pos="7609"/>
              <w:tab w:val="right" w:pos="9026" w:leader="dot"/>
            </w:tabs>
            <w:rPr/>
          </w:pPr>
          <w:hyperlink w:anchor="__RefHeading___Toc8645969_3381743652">
            <w:r>
              <w:rPr>
                <w:webHidden/>
                <w:rStyle w:val="IndexLink"/>
                <w:rtl w:val="true"/>
              </w:rPr>
              <w:t>الاستدلال بالإجماع على اشتراط خصوص التراب وجوابه</w:t>
            </w:r>
            <w:r>
              <w:rPr>
                <w:rStyle w:val="IndexLink"/>
                <w:rtl w:val="true"/>
              </w:rPr>
              <w:tab/>
            </w:r>
            <w:r>
              <w:rPr>
                <w:rStyle w:val="IndexLink"/>
              </w:rPr>
              <w:t>187</w:t>
            </w:r>
          </w:hyperlink>
        </w:p>
        <w:p>
          <w:pPr>
            <w:pStyle w:val="Contents5"/>
            <w:tabs>
              <w:tab w:val="clear" w:pos="7892"/>
              <w:tab w:val="right" w:pos="9026" w:leader="dot"/>
            </w:tabs>
            <w:rPr/>
          </w:pPr>
          <w:hyperlink w:anchor="__RefHeading___Toc8645971_3381743652">
            <w:r>
              <w:rPr>
                <w:webHidden/>
                <w:rStyle w:val="IndexLink"/>
                <w:rtl w:val="true"/>
              </w:rPr>
              <w:t xml:space="preserve">الأمر الثاني في عدم صحّة التيمّم بما خرج عن مسمّى </w:t>
            </w:r>
            <w:r>
              <w:rPr>
                <w:rStyle w:val="IndexLink"/>
                <w:rtl w:val="true"/>
              </w:rPr>
              <w:t>«</w:t>
            </w:r>
            <w:r>
              <w:rPr>
                <w:rStyle w:val="IndexLink"/>
                <w:rtl w:val="true"/>
              </w:rPr>
              <w:t>الأرض</w:t>
            </w:r>
            <w:r>
              <w:rPr>
                <w:rStyle w:val="IndexLink"/>
                <w:rtl w:val="true"/>
              </w:rPr>
              <w:t>»</w:t>
              <w:tab/>
            </w:r>
            <w:r>
              <w:rPr>
                <w:rStyle w:val="IndexLink"/>
              </w:rPr>
              <w:t>192</w:t>
            </w:r>
          </w:hyperlink>
        </w:p>
        <w:p>
          <w:pPr>
            <w:pStyle w:val="Contents6"/>
            <w:tabs>
              <w:tab w:val="clear" w:pos="7609"/>
              <w:tab w:val="right" w:pos="9026" w:leader="dot"/>
            </w:tabs>
            <w:rPr/>
          </w:pPr>
          <w:hyperlink w:anchor="__RefHeading___Toc8645973_3381743652">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8645975_3381743652">
            <w:r>
              <w:rPr>
                <w:webHidden/>
                <w:rStyle w:val="IndexLink"/>
                <w:rtl w:val="true"/>
              </w:rPr>
              <w:t>فيما استدلّ على جواز التيمّم بمطلق ما خرج من الأرض</w:t>
            </w:r>
            <w:r>
              <w:rPr>
                <w:rStyle w:val="IndexLink"/>
                <w:rtl w:val="true"/>
              </w:rPr>
              <w:tab/>
            </w:r>
            <w:r>
              <w:rPr>
                <w:rStyle w:val="IndexLink"/>
              </w:rPr>
              <w:t>194</w:t>
            </w:r>
          </w:hyperlink>
        </w:p>
        <w:p>
          <w:pPr>
            <w:pStyle w:val="Contents5"/>
            <w:tabs>
              <w:tab w:val="clear" w:pos="7892"/>
              <w:tab w:val="right" w:pos="9026" w:leader="dot"/>
            </w:tabs>
            <w:rPr/>
          </w:pPr>
          <w:hyperlink w:anchor="__RefHeading___Toc8645977_3381743652">
            <w:r>
              <w:rPr>
                <w:webHidden/>
                <w:rStyle w:val="IndexLink"/>
                <w:rtl w:val="true"/>
              </w:rPr>
              <w:t>الأمر الثالث في عدم صحّة التيمّم بالرماد</w:t>
            </w:r>
            <w:r>
              <w:rPr>
                <w:rStyle w:val="IndexLink"/>
                <w:rtl w:val="true"/>
              </w:rPr>
              <w:tab/>
            </w:r>
            <w:r>
              <w:rPr>
                <w:rStyle w:val="IndexLink"/>
              </w:rPr>
              <w:t>198</w:t>
            </w:r>
          </w:hyperlink>
        </w:p>
        <w:p>
          <w:pPr>
            <w:pStyle w:val="Contents5"/>
            <w:tabs>
              <w:tab w:val="clear" w:pos="7892"/>
              <w:tab w:val="right" w:pos="9026" w:leader="dot"/>
            </w:tabs>
            <w:rPr/>
          </w:pPr>
          <w:hyperlink w:anchor="__RefHeading___Toc8645979_3381743652">
            <w:r>
              <w:rPr>
                <w:webHidden/>
                <w:rStyle w:val="IndexLink"/>
                <w:rtl w:val="true"/>
              </w:rPr>
              <w:t>الأمر الرابع في جواز التيمّم بالجصّ والنورة</w:t>
            </w:r>
            <w:r>
              <w:rPr>
                <w:rStyle w:val="IndexLink"/>
                <w:rtl w:val="true"/>
              </w:rPr>
              <w:tab/>
            </w:r>
            <w:r>
              <w:rPr>
                <w:rStyle w:val="IndexLink"/>
              </w:rPr>
              <w:t>201</w:t>
            </w:r>
          </w:hyperlink>
        </w:p>
        <w:p>
          <w:pPr>
            <w:pStyle w:val="Contents5"/>
            <w:tabs>
              <w:tab w:val="clear" w:pos="7892"/>
              <w:tab w:val="right" w:pos="9026" w:leader="dot"/>
            </w:tabs>
            <w:rPr/>
          </w:pPr>
          <w:hyperlink w:anchor="__RefHeading___Toc8645981_3381743652">
            <w:r>
              <w:rPr>
                <w:webHidden/>
                <w:rStyle w:val="IndexLink"/>
                <w:rtl w:val="true"/>
              </w:rPr>
              <w:t>الأمر الخامس في اشتراط إباحة ما يتيمّم به</w:t>
            </w:r>
            <w:r>
              <w:rPr>
                <w:rStyle w:val="IndexLink"/>
                <w:rtl w:val="true"/>
              </w:rPr>
              <w:tab/>
            </w:r>
            <w:r>
              <w:rPr>
                <w:rStyle w:val="IndexLink"/>
              </w:rPr>
              <w:t>202</w:t>
            </w:r>
          </w:hyperlink>
        </w:p>
        <w:p>
          <w:pPr>
            <w:pStyle w:val="Contents5"/>
            <w:tabs>
              <w:tab w:val="clear" w:pos="7892"/>
              <w:tab w:val="right" w:pos="9026" w:leader="dot"/>
            </w:tabs>
            <w:rPr/>
          </w:pPr>
          <w:hyperlink w:anchor="__RefHeading___Toc8645983_3381743652">
            <w:r>
              <w:rPr>
                <w:webHidden/>
                <w:rStyle w:val="IndexLink"/>
                <w:rtl w:val="true"/>
              </w:rPr>
              <w:t>الأمر السادس في اشتراط طهارة ما يتيمّم به</w:t>
            </w:r>
            <w:r>
              <w:rPr>
                <w:rStyle w:val="IndexLink"/>
                <w:rtl w:val="true"/>
              </w:rPr>
              <w:tab/>
            </w:r>
            <w:r>
              <w:rPr>
                <w:rStyle w:val="IndexLink"/>
              </w:rPr>
              <w:t>203</w:t>
            </w:r>
          </w:hyperlink>
        </w:p>
        <w:p>
          <w:pPr>
            <w:pStyle w:val="Contents5"/>
            <w:tabs>
              <w:tab w:val="clear" w:pos="7892"/>
              <w:tab w:val="right" w:pos="9026" w:leader="dot"/>
            </w:tabs>
            <w:rPr/>
          </w:pPr>
          <w:hyperlink w:anchor="__RefHeading___Toc8645985_3381743652">
            <w:r>
              <w:rPr>
                <w:webHidden/>
                <w:rStyle w:val="IndexLink"/>
                <w:rtl w:val="true"/>
              </w:rPr>
              <w:t>الأمر السابع في امتزاج ما يصحّ التيمّم به بغيره</w:t>
            </w:r>
            <w:r>
              <w:rPr>
                <w:rStyle w:val="IndexLink"/>
                <w:rtl w:val="true"/>
              </w:rPr>
              <w:tab/>
            </w:r>
            <w:r>
              <w:rPr>
                <w:rStyle w:val="IndexLink"/>
              </w:rPr>
              <w:t>206</w:t>
            </w:r>
          </w:hyperlink>
        </w:p>
        <w:p>
          <w:pPr>
            <w:pStyle w:val="Contents5"/>
            <w:tabs>
              <w:tab w:val="clear" w:pos="7892"/>
              <w:tab w:val="right" w:pos="9026" w:leader="dot"/>
            </w:tabs>
            <w:rPr/>
          </w:pPr>
          <w:hyperlink w:anchor="__RefHeading___Toc8645987_3381743652">
            <w:r>
              <w:rPr>
                <w:webHidden/>
                <w:rStyle w:val="IndexLink"/>
                <w:rtl w:val="true"/>
              </w:rPr>
              <w:t>الأمر الثامن في جواز التيمّم بغبار الثوب ولبد السرج وعُرف الدابّة</w:t>
            </w:r>
            <w:r>
              <w:rPr>
                <w:rStyle w:val="IndexLink"/>
                <w:rtl w:val="true"/>
              </w:rPr>
              <w:tab/>
            </w:r>
            <w:r>
              <w:rPr>
                <w:rStyle w:val="IndexLink"/>
              </w:rPr>
              <w:t>210</w:t>
            </w:r>
          </w:hyperlink>
        </w:p>
        <w:p>
          <w:pPr>
            <w:pStyle w:val="Contents6"/>
            <w:tabs>
              <w:tab w:val="clear" w:pos="7609"/>
              <w:tab w:val="right" w:pos="9026" w:leader="dot"/>
            </w:tabs>
            <w:rPr/>
          </w:pPr>
          <w:hyperlink w:anchor="__RefHeading___Toc8645989_3381743652">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8645991_3381743652">
            <w:r>
              <w:rPr>
                <w:webHidden/>
                <w:rStyle w:val="IndexLink"/>
                <w:rtl w:val="true"/>
              </w:rPr>
              <w:t>عدم اختصاص الحكم بالأمثلة المذكورة في النصوص</w:t>
            </w:r>
            <w:r>
              <w:rPr>
                <w:rStyle w:val="IndexLink"/>
                <w:rtl w:val="true"/>
              </w:rPr>
              <w:tab/>
            </w:r>
            <w:r>
              <w:rPr>
                <w:rStyle w:val="IndexLink"/>
              </w:rPr>
              <w:t>211</w:t>
            </w:r>
          </w:hyperlink>
        </w:p>
        <w:p>
          <w:pPr>
            <w:pStyle w:val="Contents6"/>
            <w:tabs>
              <w:tab w:val="clear" w:pos="7609"/>
              <w:tab w:val="right" w:pos="9026" w:leader="dot"/>
            </w:tabs>
            <w:rPr/>
          </w:pPr>
          <w:hyperlink w:anchor="__RefHeading___Toc8645993_3381743652">
            <w:r>
              <w:rPr>
                <w:webHidden/>
                <w:rStyle w:val="IndexLink"/>
                <w:rtl w:val="true"/>
              </w:rPr>
              <w:t>اشتراط جواز التيمّم بالغبار بفقد التراب أو مطلق الأرض</w:t>
            </w:r>
            <w:r>
              <w:rPr>
                <w:rStyle w:val="IndexLink"/>
                <w:rtl w:val="true"/>
              </w:rPr>
              <w:tab/>
            </w:r>
            <w:r>
              <w:rPr>
                <w:rStyle w:val="IndexLink"/>
              </w:rPr>
              <w:t>212</w:t>
            </w:r>
          </w:hyperlink>
        </w:p>
        <w:p>
          <w:pPr>
            <w:pStyle w:val="Contents6"/>
            <w:tabs>
              <w:tab w:val="clear" w:pos="7609"/>
              <w:tab w:val="right" w:pos="9026" w:leader="dot"/>
            </w:tabs>
            <w:rPr/>
          </w:pPr>
          <w:hyperlink w:anchor="__RefHeading___Toc8645995_3381743652">
            <w:r>
              <w:rPr>
                <w:webHidden/>
                <w:rStyle w:val="IndexLink"/>
                <w:rtl w:val="true"/>
              </w:rPr>
              <w:t>في اعتبار محسوسية الغبار</w:t>
            </w:r>
            <w:r>
              <w:rPr>
                <w:rStyle w:val="IndexLink"/>
                <w:rtl w:val="true"/>
              </w:rPr>
              <w:tab/>
            </w:r>
            <w:r>
              <w:rPr>
                <w:rStyle w:val="IndexLink"/>
              </w:rPr>
              <w:t>217</w:t>
            </w:r>
          </w:hyperlink>
        </w:p>
        <w:p>
          <w:pPr>
            <w:pStyle w:val="Contents5"/>
            <w:tabs>
              <w:tab w:val="clear" w:pos="7892"/>
              <w:tab w:val="right" w:pos="9026" w:leader="dot"/>
            </w:tabs>
            <w:rPr/>
          </w:pPr>
          <w:hyperlink w:anchor="__RefHeading___Toc8645997_3381743652">
            <w:r>
              <w:rPr>
                <w:webHidden/>
                <w:rStyle w:val="IndexLink"/>
                <w:rtl w:val="true"/>
              </w:rPr>
              <w:t>الأمر التاسع في جواز التيمّم بالطين</w:t>
            </w:r>
            <w:r>
              <w:rPr>
                <w:rStyle w:val="IndexLink"/>
                <w:rtl w:val="true"/>
              </w:rPr>
              <w:tab/>
            </w:r>
            <w:r>
              <w:rPr>
                <w:rStyle w:val="IndexLink"/>
              </w:rPr>
              <w:t>220</w:t>
            </w:r>
          </w:hyperlink>
        </w:p>
        <w:p>
          <w:pPr>
            <w:pStyle w:val="Contents6"/>
            <w:tabs>
              <w:tab w:val="clear" w:pos="7609"/>
              <w:tab w:val="right" w:pos="9026" w:leader="dot"/>
            </w:tabs>
            <w:rPr/>
          </w:pPr>
          <w:hyperlink w:anchor="__RefHeading___Toc8645999_3381743652">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8646001_3381743652">
            <w:r>
              <w:rPr>
                <w:webHidden/>
                <w:rStyle w:val="IndexLink"/>
                <w:rtl w:val="true"/>
              </w:rPr>
              <w:t>مقتضى الأدلّة العامّة</w:t>
            </w:r>
            <w:r>
              <w:rPr>
                <w:rStyle w:val="IndexLink"/>
                <w:rtl w:val="true"/>
              </w:rPr>
              <w:tab/>
            </w:r>
            <w:r>
              <w:rPr>
                <w:rStyle w:val="IndexLink"/>
              </w:rPr>
              <w:t>220</w:t>
            </w:r>
          </w:hyperlink>
        </w:p>
        <w:p>
          <w:pPr>
            <w:pStyle w:val="Contents6"/>
            <w:tabs>
              <w:tab w:val="clear" w:pos="7609"/>
              <w:tab w:val="right" w:pos="9026" w:leader="dot"/>
            </w:tabs>
            <w:rPr/>
          </w:pPr>
          <w:hyperlink w:anchor="__RefHeading___Toc8646003_3381743652">
            <w:r>
              <w:rPr>
                <w:webHidden/>
                <w:rStyle w:val="IndexLink"/>
                <w:rtl w:val="true"/>
              </w:rPr>
              <w:t>مقتضى الأدلّة الخاصّة</w:t>
            </w:r>
            <w:r>
              <w:rPr>
                <w:rStyle w:val="IndexLink"/>
                <w:rtl w:val="true"/>
              </w:rPr>
              <w:tab/>
            </w:r>
            <w:r>
              <w:rPr>
                <w:rStyle w:val="IndexLink"/>
              </w:rPr>
              <w:t>222</w:t>
            </w:r>
          </w:hyperlink>
        </w:p>
        <w:p>
          <w:pPr>
            <w:pStyle w:val="Contents6"/>
            <w:tabs>
              <w:tab w:val="clear" w:pos="7609"/>
              <w:tab w:val="right" w:pos="9026" w:leader="dot"/>
            </w:tabs>
            <w:rPr/>
          </w:pPr>
          <w:hyperlink w:anchor="__RefHeading___Toc8646005_3381743652">
            <w:r>
              <w:rPr>
                <w:webHidden/>
                <w:rStyle w:val="IndexLink"/>
                <w:rtl w:val="true"/>
              </w:rPr>
              <w:t>أدلّة تقدّم الطين على الغبار</w:t>
            </w:r>
            <w:r>
              <w:rPr>
                <w:rStyle w:val="IndexLink"/>
                <w:rtl w:val="true"/>
              </w:rPr>
              <w:tab/>
            </w:r>
            <w:r>
              <w:rPr>
                <w:rStyle w:val="IndexLink"/>
              </w:rPr>
              <w:t>224</w:t>
            </w:r>
          </w:hyperlink>
        </w:p>
        <w:p>
          <w:pPr>
            <w:pStyle w:val="Contents6"/>
            <w:tabs>
              <w:tab w:val="clear" w:pos="7609"/>
              <w:tab w:val="right" w:pos="9026" w:leader="dot"/>
            </w:tabs>
            <w:rPr/>
          </w:pPr>
          <w:hyperlink w:anchor="__RefHeading___Toc8646007_3381743652">
            <w:r>
              <w:rPr>
                <w:webHidden/>
                <w:rStyle w:val="IndexLink"/>
                <w:rtl w:val="true"/>
              </w:rPr>
              <w:t>النكتة في تعبير الفقهاء ب</w:t>
            </w:r>
            <w:r>
              <w:rPr>
                <w:rStyle w:val="IndexLink"/>
                <w:rtl w:val="true"/>
              </w:rPr>
              <w:t>- «</w:t>
            </w:r>
            <w:r>
              <w:rPr>
                <w:rStyle w:val="IndexLink"/>
                <w:rtl w:val="true"/>
              </w:rPr>
              <w:t>الوحل</w:t>
            </w:r>
            <w:r>
              <w:rPr>
                <w:rStyle w:val="IndexLink"/>
                <w:rtl w:val="true"/>
              </w:rPr>
              <w:t>»</w:t>
              <w:tab/>
            </w:r>
            <w:r>
              <w:rPr>
                <w:rStyle w:val="IndexLink"/>
              </w:rPr>
              <w:t>227</w:t>
            </w:r>
          </w:hyperlink>
        </w:p>
        <w:p>
          <w:pPr>
            <w:pStyle w:val="Contents6"/>
            <w:tabs>
              <w:tab w:val="clear" w:pos="7609"/>
              <w:tab w:val="right" w:pos="9026" w:leader="dot"/>
            </w:tabs>
            <w:rPr/>
          </w:pPr>
          <w:hyperlink w:anchor="__RefHeading___Toc8646009_3381743652">
            <w:r>
              <w:rPr>
                <w:webHidden/>
                <w:rStyle w:val="IndexLink"/>
                <w:rtl w:val="true"/>
              </w:rPr>
              <w:t>كيفية التيمّم بالوحل</w:t>
            </w:r>
            <w:r>
              <w:rPr>
                <w:rStyle w:val="IndexLink"/>
                <w:rtl w:val="true"/>
              </w:rPr>
              <w:tab/>
            </w:r>
            <w:r>
              <w:rPr>
                <w:rStyle w:val="IndexLink"/>
              </w:rPr>
              <w:t>230</w:t>
            </w:r>
          </w:hyperlink>
        </w:p>
        <w:p>
          <w:pPr>
            <w:pStyle w:val="Contents6"/>
            <w:tabs>
              <w:tab w:val="clear" w:pos="7609"/>
              <w:tab w:val="right" w:pos="9026" w:leader="dot"/>
            </w:tabs>
            <w:rPr/>
          </w:pPr>
          <w:hyperlink w:anchor="__RefHeading___Toc8646011_3381743652">
            <w:r>
              <w:rPr>
                <w:webHidden/>
                <w:rStyle w:val="IndexLink"/>
                <w:rtl w:val="true"/>
              </w:rPr>
              <w:t>تتميم</w:t>
            </w:r>
            <w:r>
              <w:rPr>
                <w:rStyle w:val="IndexLink"/>
                <w:rtl w:val="true"/>
              </w:rPr>
              <w:tab/>
            </w:r>
            <w:r>
              <w:rPr>
                <w:rStyle w:val="IndexLink"/>
              </w:rPr>
              <w:t>232</w:t>
            </w:r>
          </w:hyperlink>
        </w:p>
        <w:p>
          <w:pPr>
            <w:pStyle w:val="Contents6"/>
            <w:tabs>
              <w:tab w:val="clear" w:pos="7609"/>
              <w:tab w:val="right" w:pos="9026" w:leader="dot"/>
            </w:tabs>
            <w:rPr/>
          </w:pPr>
          <w:hyperlink w:anchor="__RefHeading___Toc8646013_3381743652">
            <w:r>
              <w:rPr>
                <w:webHidden/>
                <w:rStyle w:val="IndexLink"/>
                <w:rtl w:val="true"/>
              </w:rPr>
              <w:t>حول كلام المفيد في التوضّي بالثلج مثل الدهن</w:t>
            </w:r>
            <w:r>
              <w:rPr>
                <w:rStyle w:val="IndexLink"/>
                <w:rtl w:val="true"/>
              </w:rPr>
              <w:tab/>
            </w:r>
            <w:r>
              <w:rPr>
                <w:rStyle w:val="IndexLink"/>
              </w:rPr>
              <w:t>234</w:t>
            </w:r>
          </w:hyperlink>
        </w:p>
        <w:p>
          <w:pPr>
            <w:pStyle w:val="Contents4"/>
            <w:tabs>
              <w:tab w:val="clear" w:pos="8176"/>
              <w:tab w:val="right" w:pos="9026" w:leader="dot"/>
            </w:tabs>
            <w:rPr/>
          </w:pPr>
          <w:hyperlink w:anchor="__RefHeading___Toc8646015_3381743652">
            <w:r>
              <w:rPr>
                <w:webHidden/>
                <w:rStyle w:val="IndexLink"/>
                <w:rtl w:val="true"/>
              </w:rPr>
              <w:t>المبحث الثالث</w:t>
            </w:r>
            <w:r>
              <w:rPr>
                <w:rStyle w:val="IndexLink"/>
                <w:rtl w:val="true"/>
              </w:rPr>
              <w:t xml:space="preserve">: </w:t>
            </w:r>
            <w:r>
              <w:rPr>
                <w:rStyle w:val="IndexLink"/>
                <w:rtl w:val="true"/>
              </w:rPr>
              <w:t>في كيفية التيمّم</w:t>
            </w:r>
            <w:r>
              <w:rPr>
                <w:rStyle w:val="IndexLink"/>
                <w:rtl w:val="true"/>
              </w:rPr>
              <w:tab/>
            </w:r>
            <w:r>
              <w:rPr>
                <w:rStyle w:val="IndexLink"/>
              </w:rPr>
              <w:t>242</w:t>
            </w:r>
          </w:hyperlink>
        </w:p>
        <w:p>
          <w:pPr>
            <w:pStyle w:val="Contents5"/>
            <w:tabs>
              <w:tab w:val="clear" w:pos="7892"/>
              <w:tab w:val="right" w:pos="9026" w:leader="dot"/>
            </w:tabs>
            <w:rPr/>
          </w:pPr>
          <w:hyperlink w:anchor="__RefHeading___Toc8646017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646019_3381743652">
            <w:r>
              <w:rPr>
                <w:webHidden/>
                <w:rStyle w:val="IndexLink"/>
                <w:rtl w:val="true"/>
              </w:rPr>
              <w:t>الأمر الأوّل</w:t>
            </w:r>
            <w:r>
              <w:rPr>
                <w:rStyle w:val="IndexLink"/>
                <w:rtl w:val="true"/>
              </w:rPr>
              <w:t xml:space="preserve">: </w:t>
            </w:r>
            <w:r>
              <w:rPr>
                <w:rStyle w:val="IndexLink"/>
                <w:rtl w:val="true"/>
              </w:rPr>
              <w:t>في اعتبار النيّة</w:t>
            </w:r>
            <w:r>
              <w:rPr>
                <w:rStyle w:val="IndexLink"/>
                <w:rtl w:val="true"/>
              </w:rPr>
              <w:tab/>
            </w:r>
            <w:r>
              <w:rPr>
                <w:rStyle w:val="IndexLink"/>
              </w:rPr>
              <w:t>244</w:t>
            </w:r>
          </w:hyperlink>
        </w:p>
        <w:p>
          <w:pPr>
            <w:pStyle w:val="Contents6"/>
            <w:tabs>
              <w:tab w:val="clear" w:pos="7609"/>
              <w:tab w:val="right" w:pos="9026" w:leader="dot"/>
            </w:tabs>
            <w:rPr/>
          </w:pPr>
          <w:hyperlink w:anchor="__RefHeading___Toc8646021_3381743652">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8646023_3381743652">
            <w:r>
              <w:rPr>
                <w:webHidden/>
                <w:rStyle w:val="IndexLink"/>
                <w:rtl w:val="true"/>
              </w:rPr>
              <w:t>عدم لزوم قصد البدلية</w:t>
            </w:r>
            <w:r>
              <w:rPr>
                <w:rStyle w:val="IndexLink"/>
                <w:rtl w:val="true"/>
              </w:rPr>
              <w:tab/>
            </w:r>
            <w:r>
              <w:rPr>
                <w:rStyle w:val="IndexLink"/>
              </w:rPr>
              <w:t>244</w:t>
            </w:r>
          </w:hyperlink>
        </w:p>
        <w:p>
          <w:pPr>
            <w:pStyle w:val="Contents6"/>
            <w:tabs>
              <w:tab w:val="clear" w:pos="7609"/>
              <w:tab w:val="right" w:pos="9026" w:leader="dot"/>
            </w:tabs>
            <w:rPr/>
          </w:pPr>
          <w:hyperlink w:anchor="__RefHeading___Toc8646025_3381743652">
            <w:r>
              <w:rPr>
                <w:webHidden/>
                <w:rStyle w:val="IndexLink"/>
                <w:rtl w:val="true"/>
              </w:rPr>
              <w:t>رافعية التيمّم للحدث</w:t>
            </w:r>
            <w:r>
              <w:rPr>
                <w:rStyle w:val="IndexLink"/>
                <w:rtl w:val="true"/>
              </w:rPr>
              <w:tab/>
            </w:r>
            <w:r>
              <w:rPr>
                <w:rStyle w:val="IndexLink"/>
              </w:rPr>
              <w:t>249</w:t>
            </w:r>
          </w:hyperlink>
        </w:p>
        <w:p>
          <w:pPr>
            <w:pStyle w:val="Contents6"/>
            <w:tabs>
              <w:tab w:val="clear" w:pos="7609"/>
              <w:tab w:val="right" w:pos="9026" w:leader="dot"/>
            </w:tabs>
            <w:rPr/>
          </w:pPr>
          <w:hyperlink w:anchor="__RefHeading___Toc8646027_3381743652">
            <w:r>
              <w:rPr>
                <w:webHidden/>
                <w:rStyle w:val="IndexLink"/>
                <w:rtl w:val="true"/>
              </w:rPr>
              <w:t xml:space="preserve">الجهة الاُولى </w:t>
            </w:r>
            <w:r>
              <w:rPr>
                <w:rStyle w:val="IndexLink"/>
                <w:rtl w:val="true"/>
              </w:rPr>
              <w:t xml:space="preserve">: </w:t>
            </w:r>
            <w:r>
              <w:rPr>
                <w:rStyle w:val="IndexLink"/>
                <w:rtl w:val="true"/>
              </w:rPr>
              <w:t>هي الإشكال العقلي المعروف</w:t>
            </w:r>
            <w:r>
              <w:rPr>
                <w:rStyle w:val="IndexLink"/>
                <w:rtl w:val="true"/>
              </w:rPr>
              <w:tab/>
            </w:r>
            <w:r>
              <w:rPr>
                <w:rStyle w:val="IndexLink"/>
              </w:rPr>
              <w:t>254</w:t>
            </w:r>
          </w:hyperlink>
        </w:p>
        <w:p>
          <w:pPr>
            <w:pStyle w:val="Contents6"/>
            <w:tabs>
              <w:tab w:val="clear" w:pos="7609"/>
              <w:tab w:val="right" w:pos="9026" w:leader="dot"/>
            </w:tabs>
            <w:rPr/>
          </w:pPr>
          <w:hyperlink w:anchor="__RefHeading___Toc8646029_3381743652">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8646031_3381743652">
            <w:r>
              <w:rPr>
                <w:webHidden/>
                <w:rStyle w:val="IndexLink"/>
                <w:rtl w:val="true"/>
              </w:rPr>
              <w:t>جواب بعض المحقّقين عن الإشكالين السابقين وما يرد عليه</w:t>
            </w:r>
            <w:r>
              <w:rPr>
                <w:rStyle w:val="IndexLink"/>
                <w:rtl w:val="true"/>
              </w:rPr>
              <w:tab/>
            </w:r>
            <w:r>
              <w:rPr>
                <w:rStyle w:val="IndexLink"/>
              </w:rPr>
              <w:t>257</w:t>
            </w:r>
          </w:hyperlink>
        </w:p>
        <w:p>
          <w:pPr>
            <w:pStyle w:val="Contents6"/>
            <w:tabs>
              <w:tab w:val="clear" w:pos="7609"/>
              <w:tab w:val="right" w:pos="9026" w:leader="dot"/>
            </w:tabs>
            <w:rPr/>
          </w:pPr>
          <w:hyperlink w:anchor="__RefHeading___Toc8646033_3381743652">
            <w:r>
              <w:rPr>
                <w:webHidden/>
                <w:rStyle w:val="IndexLink"/>
                <w:rtl w:val="true"/>
              </w:rPr>
              <w:t xml:space="preserve">الجهة الثانية </w:t>
            </w:r>
            <w:r>
              <w:rPr>
                <w:rStyle w:val="IndexLink"/>
                <w:rtl w:val="true"/>
              </w:rPr>
              <w:t xml:space="preserve">: </w:t>
            </w:r>
            <w:r>
              <w:rPr>
                <w:rStyle w:val="IndexLink"/>
                <w:rtl w:val="true"/>
              </w:rPr>
              <w:t>دعوى الإجماع على عدم كون التيمّم رافعاً</w:t>
            </w:r>
            <w:r>
              <w:rPr>
                <w:rStyle w:val="IndexLink"/>
                <w:rtl w:val="true"/>
              </w:rPr>
              <w:tab/>
            </w:r>
            <w:r>
              <w:rPr>
                <w:rStyle w:val="IndexLink"/>
              </w:rPr>
              <w:t>259</w:t>
            </w:r>
          </w:hyperlink>
        </w:p>
        <w:p>
          <w:pPr>
            <w:pStyle w:val="Contents5"/>
            <w:tabs>
              <w:tab w:val="clear" w:pos="7892"/>
              <w:tab w:val="right" w:pos="9026" w:leader="dot"/>
            </w:tabs>
            <w:rPr/>
          </w:pPr>
          <w:hyperlink w:anchor="__RefHeading___Toc8646035_3381743652">
            <w:r>
              <w:rPr>
                <w:webHidden/>
                <w:rStyle w:val="IndexLink"/>
                <w:rtl w:val="true"/>
              </w:rPr>
              <w:t>الأمر الثاني</w:t>
            </w:r>
            <w:r>
              <w:rPr>
                <w:rStyle w:val="IndexLink"/>
                <w:rtl w:val="true"/>
              </w:rPr>
              <w:t xml:space="preserve">: </w:t>
            </w:r>
            <w:r>
              <w:rPr>
                <w:rStyle w:val="IndexLink"/>
                <w:rtl w:val="true"/>
              </w:rPr>
              <w:t>في اعتبار المباشرة</w:t>
            </w:r>
            <w:r>
              <w:rPr>
                <w:rStyle w:val="IndexLink"/>
                <w:rtl w:val="true"/>
              </w:rPr>
              <w:tab/>
            </w:r>
            <w:r>
              <w:rPr>
                <w:rStyle w:val="IndexLink"/>
              </w:rPr>
              <w:t>261</w:t>
            </w:r>
          </w:hyperlink>
        </w:p>
        <w:p>
          <w:pPr>
            <w:pStyle w:val="Contents6"/>
            <w:tabs>
              <w:tab w:val="clear" w:pos="7609"/>
              <w:tab w:val="right" w:pos="9026" w:leader="dot"/>
            </w:tabs>
            <w:rPr/>
          </w:pPr>
          <w:hyperlink w:anchor="__RefHeading___Toc8646037_3381743652">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8646039_3381743652">
            <w:r>
              <w:rPr>
                <w:webHidden/>
                <w:rStyle w:val="IndexLink"/>
                <w:rtl w:val="true"/>
              </w:rPr>
              <w:t>حكم العاجز عن المباشرة</w:t>
            </w:r>
            <w:r>
              <w:rPr>
                <w:rStyle w:val="IndexLink"/>
                <w:rtl w:val="true"/>
              </w:rPr>
              <w:tab/>
            </w:r>
            <w:r>
              <w:rPr>
                <w:rStyle w:val="IndexLink"/>
              </w:rPr>
              <w:t>262</w:t>
            </w:r>
          </w:hyperlink>
        </w:p>
        <w:p>
          <w:pPr>
            <w:pStyle w:val="Contents5"/>
            <w:tabs>
              <w:tab w:val="clear" w:pos="7892"/>
              <w:tab w:val="right" w:pos="9026" w:leader="dot"/>
            </w:tabs>
            <w:rPr/>
          </w:pPr>
          <w:hyperlink w:anchor="__RefHeading___Toc8646041_3381743652">
            <w:r>
              <w:rPr>
                <w:webHidden/>
                <w:rStyle w:val="IndexLink"/>
                <w:rtl w:val="true"/>
              </w:rPr>
              <w:t>الأمر الثالث في اعتبار الترتيب</w:t>
            </w:r>
            <w:r>
              <w:rPr>
                <w:rStyle w:val="IndexLink"/>
                <w:rtl w:val="true"/>
              </w:rPr>
              <w:tab/>
            </w:r>
            <w:r>
              <w:rPr>
                <w:rStyle w:val="IndexLink"/>
              </w:rPr>
              <w:t>264</w:t>
            </w:r>
          </w:hyperlink>
        </w:p>
        <w:p>
          <w:pPr>
            <w:pStyle w:val="Contents6"/>
            <w:tabs>
              <w:tab w:val="clear" w:pos="7609"/>
              <w:tab w:val="right" w:pos="9026" w:leader="dot"/>
            </w:tabs>
            <w:rPr/>
          </w:pPr>
          <w:hyperlink w:anchor="__RefHeading___Toc8646043_3381743652">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8646045_3381743652">
            <w:r>
              <w:rPr>
                <w:webHidden/>
                <w:rStyle w:val="IndexLink"/>
                <w:rtl w:val="true"/>
              </w:rPr>
              <w:t>الإشكال في استفادة الترتيب بين الكفّين من الأدلّة والجواب عنه</w:t>
            </w:r>
            <w:r>
              <w:rPr>
                <w:rStyle w:val="IndexLink"/>
                <w:rtl w:val="true"/>
              </w:rPr>
              <w:tab/>
            </w:r>
            <w:r>
              <w:rPr>
                <w:rStyle w:val="IndexLink"/>
              </w:rPr>
              <w:t>265</w:t>
            </w:r>
          </w:hyperlink>
        </w:p>
        <w:p>
          <w:pPr>
            <w:pStyle w:val="Contents5"/>
            <w:tabs>
              <w:tab w:val="clear" w:pos="7892"/>
              <w:tab w:val="right" w:pos="9026" w:leader="dot"/>
            </w:tabs>
            <w:rPr/>
          </w:pPr>
          <w:hyperlink w:anchor="__RefHeading___Toc8646047_3381743652">
            <w:r>
              <w:rPr>
                <w:webHidden/>
                <w:rStyle w:val="IndexLink"/>
                <w:rtl w:val="true"/>
              </w:rPr>
              <w:t>الأمر الرابع في اعتبار الموالاة</w:t>
            </w:r>
            <w:r>
              <w:rPr>
                <w:rStyle w:val="IndexLink"/>
                <w:rtl w:val="true"/>
              </w:rPr>
              <w:tab/>
            </w:r>
            <w:r>
              <w:rPr>
                <w:rStyle w:val="IndexLink"/>
              </w:rPr>
              <w:t>272</w:t>
            </w:r>
          </w:hyperlink>
        </w:p>
        <w:p>
          <w:pPr>
            <w:pStyle w:val="Contents6"/>
            <w:tabs>
              <w:tab w:val="clear" w:pos="7609"/>
              <w:tab w:val="right" w:pos="9026" w:leader="dot"/>
            </w:tabs>
            <w:rPr/>
          </w:pPr>
          <w:hyperlink w:anchor="__RefHeading___Toc8646049_33817436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8646051_3381743652">
            <w:r>
              <w:rPr>
                <w:webHidden/>
                <w:rStyle w:val="IndexLink"/>
                <w:rtl w:val="true"/>
              </w:rPr>
              <w:t>الدليل على اعتبار الموالاة مطلقاً</w:t>
            </w:r>
            <w:r>
              <w:rPr>
                <w:rStyle w:val="IndexLink"/>
                <w:rtl w:val="true"/>
              </w:rPr>
              <w:tab/>
            </w:r>
            <w:r>
              <w:rPr>
                <w:rStyle w:val="IndexLink"/>
              </w:rPr>
              <w:t>273</w:t>
            </w:r>
          </w:hyperlink>
        </w:p>
        <w:p>
          <w:pPr>
            <w:pStyle w:val="Contents5"/>
            <w:tabs>
              <w:tab w:val="clear" w:pos="7892"/>
              <w:tab w:val="right" w:pos="9026" w:leader="dot"/>
            </w:tabs>
            <w:rPr/>
          </w:pPr>
          <w:hyperlink w:anchor="__RefHeading___Toc8646053_3381743652">
            <w:r>
              <w:rPr>
                <w:webHidden/>
                <w:rStyle w:val="IndexLink"/>
                <w:rtl w:val="true"/>
              </w:rPr>
              <w:t>الأمر الخامس في اعتبار ضرب اليدين على الأرض</w:t>
            </w:r>
            <w:r>
              <w:rPr>
                <w:rStyle w:val="IndexLink"/>
                <w:rtl w:val="true"/>
              </w:rPr>
              <w:tab/>
            </w:r>
            <w:r>
              <w:rPr>
                <w:rStyle w:val="IndexLink"/>
              </w:rPr>
              <w:t>278</w:t>
            </w:r>
          </w:hyperlink>
        </w:p>
        <w:p>
          <w:pPr>
            <w:pStyle w:val="Contents6"/>
            <w:tabs>
              <w:tab w:val="clear" w:pos="7609"/>
              <w:tab w:val="right" w:pos="9026" w:leader="dot"/>
            </w:tabs>
            <w:rPr/>
          </w:pPr>
          <w:hyperlink w:anchor="__RefHeading___Toc8646055_3381743652">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8646057_3381743652">
            <w:r>
              <w:rPr>
                <w:webHidden/>
                <w:rStyle w:val="IndexLink"/>
                <w:rtl w:val="true"/>
              </w:rPr>
              <w:t>وجه اعتبار الضرب أو الوضع</w:t>
            </w:r>
            <w:r>
              <w:rPr>
                <w:rStyle w:val="IndexLink"/>
                <w:rtl w:val="true"/>
              </w:rPr>
              <w:tab/>
            </w:r>
            <w:r>
              <w:rPr>
                <w:rStyle w:val="IndexLink"/>
              </w:rPr>
              <w:t>281</w:t>
            </w:r>
          </w:hyperlink>
        </w:p>
        <w:p>
          <w:pPr>
            <w:pStyle w:val="Contents6"/>
            <w:tabs>
              <w:tab w:val="clear" w:pos="7609"/>
              <w:tab w:val="right" w:pos="9026" w:leader="dot"/>
            </w:tabs>
            <w:rPr/>
          </w:pPr>
          <w:hyperlink w:anchor="__RefHeading___Toc8646059_3381743652">
            <w:r>
              <w:rPr>
                <w:webHidden/>
                <w:rStyle w:val="IndexLink"/>
                <w:rtl w:val="true"/>
              </w:rPr>
              <w:t xml:space="preserve">تنبيه </w:t>
            </w:r>
            <w:r>
              <w:rPr>
                <w:rStyle w:val="IndexLink"/>
                <w:rtl w:val="true"/>
              </w:rPr>
              <w:t xml:space="preserve">: </w:t>
            </w:r>
            <w:r>
              <w:rPr>
                <w:rStyle w:val="IndexLink"/>
                <w:rtl w:val="true"/>
              </w:rPr>
              <w:t>هل الضرب أو الوضع شرط لحصول المسح أو جزءٌ ؟</w:t>
            </w:r>
            <w:r>
              <w:rPr>
                <w:rStyle w:val="IndexLink"/>
                <w:rtl w:val="true"/>
              </w:rPr>
              <w:tab/>
            </w:r>
            <w:r>
              <w:rPr>
                <w:rStyle w:val="IndexLink"/>
              </w:rPr>
              <w:t>287</w:t>
            </w:r>
          </w:hyperlink>
        </w:p>
        <w:p>
          <w:pPr>
            <w:pStyle w:val="Contents5"/>
            <w:tabs>
              <w:tab w:val="clear" w:pos="7892"/>
              <w:tab w:val="right" w:pos="9026" w:leader="dot"/>
            </w:tabs>
            <w:rPr/>
          </w:pPr>
          <w:hyperlink w:anchor="__RefHeading___Toc8646061_3381743652">
            <w:r>
              <w:rPr>
                <w:webHidden/>
                <w:rStyle w:val="IndexLink"/>
                <w:rtl w:val="true"/>
              </w:rPr>
              <w:t>الأمر السادس فيما هو المعتبر في الضرب</w:t>
            </w:r>
            <w:r>
              <w:rPr>
                <w:rStyle w:val="IndexLink"/>
                <w:rtl w:val="true"/>
              </w:rPr>
              <w:tab/>
            </w:r>
            <w:r>
              <w:rPr>
                <w:rStyle w:val="IndexLink"/>
              </w:rPr>
              <w:t>290</w:t>
            </w:r>
          </w:hyperlink>
        </w:p>
        <w:p>
          <w:pPr>
            <w:pStyle w:val="Contents6"/>
            <w:tabs>
              <w:tab w:val="clear" w:pos="7609"/>
              <w:tab w:val="right" w:pos="9026" w:leader="dot"/>
            </w:tabs>
            <w:rPr/>
          </w:pPr>
          <w:hyperlink w:anchor="__RefHeading___Toc8646063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8646065_3381743652">
            <w:r>
              <w:rPr>
                <w:webHidden/>
                <w:rStyle w:val="IndexLink"/>
                <w:rtl w:val="true"/>
              </w:rPr>
              <w:t>عدم اعتبار الدفعة في الضرب</w:t>
            </w:r>
            <w:r>
              <w:rPr>
                <w:rStyle w:val="IndexLink"/>
                <w:rtl w:val="true"/>
              </w:rPr>
              <w:tab/>
            </w:r>
            <w:r>
              <w:rPr>
                <w:rStyle w:val="IndexLink"/>
              </w:rPr>
              <w:t>290</w:t>
            </w:r>
          </w:hyperlink>
        </w:p>
        <w:p>
          <w:pPr>
            <w:pStyle w:val="Contents6"/>
            <w:tabs>
              <w:tab w:val="clear" w:pos="7609"/>
              <w:tab w:val="right" w:pos="9026" w:leader="dot"/>
            </w:tabs>
            <w:rPr/>
          </w:pPr>
          <w:hyperlink w:anchor="__RefHeading___Toc8646067_3381743652">
            <w:r>
              <w:rPr>
                <w:webHidden/>
                <w:rStyle w:val="IndexLink"/>
                <w:rtl w:val="true"/>
              </w:rPr>
              <w:t>اعتبار الضرب بباطن الكفّين</w:t>
            </w:r>
            <w:r>
              <w:rPr>
                <w:rStyle w:val="IndexLink"/>
                <w:rtl w:val="true"/>
              </w:rPr>
              <w:tab/>
            </w:r>
            <w:r>
              <w:rPr>
                <w:rStyle w:val="IndexLink"/>
              </w:rPr>
              <w:t>291</w:t>
            </w:r>
          </w:hyperlink>
        </w:p>
        <w:p>
          <w:pPr>
            <w:pStyle w:val="Contents6"/>
            <w:tabs>
              <w:tab w:val="clear" w:pos="7609"/>
              <w:tab w:val="right" w:pos="9026" w:leader="dot"/>
            </w:tabs>
            <w:rPr/>
          </w:pPr>
          <w:hyperlink w:anchor="__RefHeading___Toc8646069_3381743652">
            <w:r>
              <w:rPr>
                <w:webHidden/>
                <w:rStyle w:val="IndexLink"/>
                <w:rtl w:val="true"/>
              </w:rPr>
              <w:t>عدم اعتبار اتّصال المتيمّم به بالأرض</w:t>
            </w:r>
            <w:r>
              <w:rPr>
                <w:rStyle w:val="IndexLink"/>
                <w:rtl w:val="true"/>
              </w:rPr>
              <w:tab/>
            </w:r>
            <w:r>
              <w:rPr>
                <w:rStyle w:val="IndexLink"/>
              </w:rPr>
              <w:t>292</w:t>
            </w:r>
          </w:hyperlink>
        </w:p>
        <w:p>
          <w:pPr>
            <w:pStyle w:val="Contents6"/>
            <w:tabs>
              <w:tab w:val="clear" w:pos="7609"/>
              <w:tab w:val="right" w:pos="9026" w:leader="dot"/>
            </w:tabs>
            <w:rPr/>
          </w:pPr>
          <w:hyperlink w:anchor="__RefHeading___Toc8646071_3381743652">
            <w:r>
              <w:rPr>
                <w:webHidden/>
                <w:rStyle w:val="IndexLink"/>
                <w:rtl w:val="true"/>
              </w:rPr>
              <w:t>اعتبار كون الضرب بجميع الباطن وكفاية الضرب بالكفّ الناقصة</w:t>
            </w:r>
            <w:r>
              <w:rPr>
                <w:rStyle w:val="IndexLink"/>
                <w:rtl w:val="true"/>
              </w:rPr>
              <w:tab/>
            </w:r>
            <w:r>
              <w:rPr>
                <w:rStyle w:val="IndexLink"/>
              </w:rPr>
              <w:t>292</w:t>
            </w:r>
          </w:hyperlink>
        </w:p>
        <w:p>
          <w:pPr>
            <w:pStyle w:val="Contents6"/>
            <w:tabs>
              <w:tab w:val="clear" w:pos="7609"/>
              <w:tab w:val="right" w:pos="9026" w:leader="dot"/>
            </w:tabs>
            <w:rPr/>
          </w:pPr>
          <w:hyperlink w:anchor="__RefHeading___Toc8646073_3381743652">
            <w:r>
              <w:rPr>
                <w:webHidden/>
                <w:rStyle w:val="IndexLink"/>
                <w:rtl w:val="true"/>
              </w:rPr>
              <w:t>حكم من قطعت كفّاه من الزند</w:t>
            </w:r>
            <w:r>
              <w:rPr>
                <w:rStyle w:val="IndexLink"/>
                <w:rtl w:val="true"/>
              </w:rPr>
              <w:tab/>
            </w:r>
            <w:r>
              <w:rPr>
                <w:rStyle w:val="IndexLink"/>
              </w:rPr>
              <w:t>293</w:t>
            </w:r>
          </w:hyperlink>
        </w:p>
        <w:p>
          <w:pPr>
            <w:pStyle w:val="Contents6"/>
            <w:tabs>
              <w:tab w:val="clear" w:pos="7609"/>
              <w:tab w:val="right" w:pos="9026" w:leader="dot"/>
            </w:tabs>
            <w:rPr/>
          </w:pPr>
          <w:hyperlink w:anchor="__RefHeading___Toc8646075_3381743652">
            <w:r>
              <w:rPr>
                <w:webHidden/>
                <w:rStyle w:val="IndexLink"/>
                <w:rtl w:val="true"/>
              </w:rPr>
              <w:t>حكم تعذّر الضرب بباطن الكفّين</w:t>
            </w:r>
            <w:r>
              <w:rPr>
                <w:rStyle w:val="IndexLink"/>
                <w:rtl w:val="true"/>
              </w:rPr>
              <w:tab/>
            </w:r>
            <w:r>
              <w:rPr>
                <w:rStyle w:val="IndexLink"/>
              </w:rPr>
              <w:t>294</w:t>
            </w:r>
          </w:hyperlink>
        </w:p>
        <w:p>
          <w:pPr>
            <w:pStyle w:val="Contents6"/>
            <w:tabs>
              <w:tab w:val="clear" w:pos="7609"/>
              <w:tab w:val="right" w:pos="9026" w:leader="dot"/>
            </w:tabs>
            <w:rPr/>
          </w:pPr>
          <w:hyperlink w:anchor="__RefHeading___Toc8646077_3381743652">
            <w:r>
              <w:rPr>
                <w:webHidden/>
                <w:rStyle w:val="IndexLink"/>
                <w:rtl w:val="true"/>
              </w:rPr>
              <w:t>حكم نجاسة الباطن</w:t>
            </w:r>
            <w:r>
              <w:rPr>
                <w:rStyle w:val="IndexLink"/>
                <w:rtl w:val="true"/>
              </w:rPr>
              <w:tab/>
            </w:r>
            <w:r>
              <w:rPr>
                <w:rStyle w:val="IndexLink"/>
              </w:rPr>
              <w:t>295</w:t>
            </w:r>
          </w:hyperlink>
        </w:p>
        <w:p>
          <w:pPr>
            <w:pStyle w:val="Contents5"/>
            <w:tabs>
              <w:tab w:val="clear" w:pos="7892"/>
              <w:tab w:val="right" w:pos="9026" w:leader="dot"/>
            </w:tabs>
            <w:rPr/>
          </w:pPr>
          <w:hyperlink w:anchor="__RefHeading___Toc8646079_3381743652">
            <w:r>
              <w:rPr>
                <w:webHidden/>
                <w:rStyle w:val="IndexLink"/>
                <w:rtl w:val="true"/>
              </w:rPr>
              <w:t>الأمر السابع هل يعتبر في التيمّم العلوق ممّا ضرب عليه ؟</w:t>
            </w:r>
            <w:r>
              <w:rPr>
                <w:rStyle w:val="IndexLink"/>
                <w:rtl w:val="true"/>
              </w:rPr>
              <w:tab/>
            </w:r>
            <w:r>
              <w:rPr>
                <w:rStyle w:val="IndexLink"/>
              </w:rPr>
              <w:t>298</w:t>
            </w:r>
          </w:hyperlink>
        </w:p>
        <w:p>
          <w:pPr>
            <w:pStyle w:val="Contents6"/>
            <w:tabs>
              <w:tab w:val="clear" w:pos="7609"/>
              <w:tab w:val="right" w:pos="9026" w:leader="dot"/>
            </w:tabs>
            <w:rPr/>
          </w:pPr>
          <w:hyperlink w:anchor="__RefHeading___Toc8646081_3381743652">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8646083_3381743652">
            <w:r>
              <w:rPr>
                <w:webHidden/>
                <w:rStyle w:val="IndexLink"/>
                <w:rtl w:val="true"/>
              </w:rPr>
              <w:t>عدم لزوم مسح المواضع بالتراب ونحوه</w:t>
            </w:r>
            <w:r>
              <w:rPr>
                <w:rStyle w:val="IndexLink"/>
                <w:rtl w:val="true"/>
              </w:rPr>
              <w:tab/>
            </w:r>
            <w:r>
              <w:rPr>
                <w:rStyle w:val="IndexLink"/>
              </w:rPr>
              <w:t>298</w:t>
            </w:r>
          </w:hyperlink>
        </w:p>
        <w:p>
          <w:pPr>
            <w:pStyle w:val="Contents6"/>
            <w:tabs>
              <w:tab w:val="clear" w:pos="7609"/>
              <w:tab w:val="right" w:pos="9026" w:leader="dot"/>
            </w:tabs>
            <w:rPr/>
          </w:pPr>
          <w:hyperlink w:anchor="__RefHeading___Toc8646085_3381743652">
            <w:r>
              <w:rPr>
                <w:webHidden/>
                <w:rStyle w:val="IndexLink"/>
                <w:rtl w:val="true"/>
              </w:rPr>
              <w:t>عدم لزوم أن يعلق على اليد من أجزاء الأرض</w:t>
            </w:r>
            <w:r>
              <w:rPr>
                <w:rStyle w:val="IndexLink"/>
                <w:rtl w:val="true"/>
              </w:rPr>
              <w:tab/>
            </w:r>
            <w:r>
              <w:rPr>
                <w:rStyle w:val="IndexLink"/>
              </w:rPr>
              <w:t>299</w:t>
            </w:r>
          </w:hyperlink>
        </w:p>
        <w:p>
          <w:pPr>
            <w:pStyle w:val="Contents6"/>
            <w:tabs>
              <w:tab w:val="clear" w:pos="7609"/>
              <w:tab w:val="right" w:pos="9026" w:leader="dot"/>
            </w:tabs>
            <w:rPr/>
          </w:pPr>
          <w:hyperlink w:anchor="__RefHeading___Toc8646087_3381743652">
            <w:r>
              <w:rPr>
                <w:webHidden/>
                <w:rStyle w:val="IndexLink"/>
                <w:rtl w:val="true"/>
              </w:rPr>
              <w:t>عدم اعتبار انتقال أثر من الأرض إلى الأعضاء</w:t>
            </w:r>
            <w:r>
              <w:rPr>
                <w:rStyle w:val="IndexLink"/>
                <w:rtl w:val="true"/>
              </w:rPr>
              <w:tab/>
            </w:r>
            <w:r>
              <w:rPr>
                <w:rStyle w:val="IndexLink"/>
              </w:rPr>
              <w:t>301</w:t>
            </w:r>
          </w:hyperlink>
        </w:p>
        <w:p>
          <w:pPr>
            <w:pStyle w:val="Contents5"/>
            <w:tabs>
              <w:tab w:val="clear" w:pos="7892"/>
              <w:tab w:val="right" w:pos="9026" w:leader="dot"/>
            </w:tabs>
            <w:rPr/>
          </w:pPr>
          <w:hyperlink w:anchor="__RefHeading___Toc8646089_3381743652">
            <w:r>
              <w:rPr>
                <w:webHidden/>
                <w:rStyle w:val="IndexLink"/>
                <w:rtl w:val="true"/>
              </w:rPr>
              <w:t>الأمر الثامن في تحديد الماسح والممسوح وكيفية المسح</w:t>
            </w:r>
            <w:r>
              <w:rPr>
                <w:rStyle w:val="IndexLink"/>
                <w:rtl w:val="true"/>
              </w:rPr>
              <w:tab/>
            </w:r>
            <w:r>
              <w:rPr>
                <w:rStyle w:val="IndexLink"/>
              </w:rPr>
              <w:t>303</w:t>
            </w:r>
          </w:hyperlink>
        </w:p>
        <w:p>
          <w:pPr>
            <w:pStyle w:val="Contents6"/>
            <w:tabs>
              <w:tab w:val="clear" w:pos="7609"/>
              <w:tab w:val="right" w:pos="9026" w:leader="dot"/>
            </w:tabs>
            <w:rPr/>
          </w:pPr>
          <w:hyperlink w:anchor="__RefHeading___Toc8646091_33817436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8646093_3381743652">
            <w:r>
              <w:rPr>
                <w:webHidden/>
                <w:rStyle w:val="IndexLink"/>
                <w:rtl w:val="true"/>
              </w:rPr>
              <w:t xml:space="preserve">الجهة الاُولى </w:t>
            </w:r>
            <w:r>
              <w:rPr>
                <w:rStyle w:val="IndexLink"/>
                <w:rtl w:val="true"/>
              </w:rPr>
              <w:t xml:space="preserve">: </w:t>
            </w:r>
            <w:r>
              <w:rPr>
                <w:rStyle w:val="IndexLink"/>
                <w:rtl w:val="true"/>
              </w:rPr>
              <w:t>في كفاية المسح بيد واحدة</w:t>
            </w:r>
            <w:r>
              <w:rPr>
                <w:rStyle w:val="IndexLink"/>
                <w:rtl w:val="true"/>
              </w:rPr>
              <w:tab/>
            </w:r>
            <w:r>
              <w:rPr>
                <w:rStyle w:val="IndexLink"/>
              </w:rPr>
              <w:t>303</w:t>
            </w:r>
          </w:hyperlink>
        </w:p>
        <w:p>
          <w:pPr>
            <w:pStyle w:val="Contents6"/>
            <w:tabs>
              <w:tab w:val="clear" w:pos="7609"/>
              <w:tab w:val="right" w:pos="9026" w:leader="dot"/>
            </w:tabs>
            <w:rPr/>
          </w:pPr>
          <w:hyperlink w:anchor="__RefHeading___Toc8646095_33817436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8646097_3381743652">
            <w:r>
              <w:rPr>
                <w:webHidden/>
                <w:rStyle w:val="IndexLink"/>
                <w:rtl w:val="true"/>
              </w:rPr>
              <w:t>وجه الاجتزاء بيد واحدة</w:t>
            </w:r>
            <w:r>
              <w:rPr>
                <w:rStyle w:val="IndexLink"/>
                <w:rtl w:val="true"/>
              </w:rPr>
              <w:tab/>
            </w:r>
            <w:r>
              <w:rPr>
                <w:rStyle w:val="IndexLink"/>
              </w:rPr>
              <w:t>303</w:t>
            </w:r>
          </w:hyperlink>
        </w:p>
        <w:p>
          <w:pPr>
            <w:pStyle w:val="Contents6"/>
            <w:tabs>
              <w:tab w:val="clear" w:pos="7609"/>
              <w:tab w:val="right" w:pos="9026" w:leader="dot"/>
            </w:tabs>
            <w:rPr/>
          </w:pPr>
          <w:hyperlink w:anchor="__RefHeading___Toc8646099_3381743652">
            <w:r>
              <w:rPr>
                <w:webHidden/>
                <w:rStyle w:val="IndexLink"/>
                <w:rtl w:val="true"/>
              </w:rPr>
              <w:t>وجه عدم الاجتزاء بيد واحدة وترجيحه</w:t>
            </w:r>
            <w:r>
              <w:rPr>
                <w:rStyle w:val="IndexLink"/>
                <w:rtl w:val="true"/>
              </w:rPr>
              <w:tab/>
            </w:r>
            <w:r>
              <w:rPr>
                <w:rStyle w:val="IndexLink"/>
              </w:rPr>
              <w:t>308</w:t>
            </w:r>
          </w:hyperlink>
        </w:p>
        <w:p>
          <w:pPr>
            <w:pStyle w:val="Contents6"/>
            <w:tabs>
              <w:tab w:val="clear" w:pos="7609"/>
              <w:tab w:val="right" w:pos="9026" w:leader="dot"/>
            </w:tabs>
            <w:rPr/>
          </w:pPr>
          <w:hyperlink w:anchor="__RefHeading___Toc8646101_3381743652">
            <w:r>
              <w:rPr>
                <w:webHidden/>
                <w:rStyle w:val="IndexLink"/>
                <w:rtl w:val="true"/>
              </w:rPr>
              <w:t xml:space="preserve">الجهة الثانية </w:t>
            </w:r>
            <w:r>
              <w:rPr>
                <w:rStyle w:val="IndexLink"/>
                <w:rtl w:val="true"/>
              </w:rPr>
              <w:t xml:space="preserve">: </w:t>
            </w:r>
            <w:r>
              <w:rPr>
                <w:rStyle w:val="IndexLink"/>
                <w:rtl w:val="true"/>
              </w:rPr>
              <w:t>في عدم اعتبار المسح باليدين دفعة</w:t>
            </w:r>
            <w:r>
              <w:rPr>
                <w:rStyle w:val="IndexLink"/>
                <w:rtl w:val="true"/>
              </w:rPr>
              <w:tab/>
            </w:r>
            <w:r>
              <w:rPr>
                <w:rStyle w:val="IndexLink"/>
              </w:rPr>
              <w:t>311</w:t>
            </w:r>
          </w:hyperlink>
        </w:p>
        <w:p>
          <w:pPr>
            <w:pStyle w:val="Contents6"/>
            <w:tabs>
              <w:tab w:val="clear" w:pos="7609"/>
              <w:tab w:val="right" w:pos="9026" w:leader="dot"/>
            </w:tabs>
            <w:rPr/>
          </w:pPr>
          <w:hyperlink w:anchor="__RefHeading___Toc8646103_3381743652">
            <w:r>
              <w:rPr>
                <w:webHidden/>
                <w:rStyle w:val="IndexLink"/>
                <w:rtl w:val="true"/>
              </w:rPr>
              <w:t xml:space="preserve">الجهة الثالثة </w:t>
            </w:r>
            <w:r>
              <w:rPr>
                <w:rStyle w:val="IndexLink"/>
                <w:rtl w:val="true"/>
              </w:rPr>
              <w:t xml:space="preserve">: </w:t>
            </w:r>
            <w:r>
              <w:rPr>
                <w:rStyle w:val="IndexLink"/>
                <w:rtl w:val="true"/>
              </w:rPr>
              <w:t>في عدم اعتبار كون المسح بجميع الكفّ</w:t>
            </w:r>
            <w:r>
              <w:rPr>
                <w:rStyle w:val="IndexLink"/>
                <w:rtl w:val="true"/>
              </w:rPr>
              <w:tab/>
            </w:r>
            <w:r>
              <w:rPr>
                <w:rStyle w:val="IndexLink"/>
              </w:rPr>
              <w:t>312</w:t>
            </w:r>
          </w:hyperlink>
        </w:p>
        <w:p>
          <w:pPr>
            <w:pStyle w:val="Contents6"/>
            <w:tabs>
              <w:tab w:val="clear" w:pos="7609"/>
              <w:tab w:val="right" w:pos="9026" w:leader="dot"/>
            </w:tabs>
            <w:rPr/>
          </w:pPr>
          <w:hyperlink w:anchor="__RefHeading___Toc8646105_33817436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8646107_3381743652">
            <w:r>
              <w:rPr>
                <w:webHidden/>
                <w:rStyle w:val="IndexLink"/>
                <w:rtl w:val="true"/>
              </w:rPr>
              <w:t>تحديد الممسوح</w:t>
            </w:r>
            <w:r>
              <w:rPr>
                <w:rStyle w:val="IndexLink"/>
                <w:rtl w:val="true"/>
              </w:rPr>
              <w:tab/>
            </w:r>
            <w:r>
              <w:rPr>
                <w:rStyle w:val="IndexLink"/>
              </w:rPr>
              <w:t>314</w:t>
            </w:r>
          </w:hyperlink>
        </w:p>
        <w:p>
          <w:pPr>
            <w:pStyle w:val="Contents6"/>
            <w:tabs>
              <w:tab w:val="clear" w:pos="7609"/>
              <w:tab w:val="right" w:pos="9026" w:leader="dot"/>
            </w:tabs>
            <w:rPr/>
          </w:pPr>
          <w:hyperlink w:anchor="__RefHeading___Toc8646109_3381743652">
            <w:r>
              <w:rPr>
                <w:webHidden/>
                <w:rStyle w:val="IndexLink"/>
                <w:rtl w:val="true"/>
              </w:rPr>
              <w:t xml:space="preserve">الجهة الاُولى </w:t>
            </w:r>
            <w:r>
              <w:rPr>
                <w:rStyle w:val="IndexLink"/>
                <w:rtl w:val="true"/>
              </w:rPr>
              <w:t xml:space="preserve">: </w:t>
            </w:r>
            <w:r>
              <w:rPr>
                <w:rStyle w:val="IndexLink"/>
                <w:rtl w:val="true"/>
              </w:rPr>
              <w:t>في تحديد الوجه</w:t>
            </w:r>
            <w:r>
              <w:rPr>
                <w:rStyle w:val="IndexLink"/>
                <w:rtl w:val="true"/>
              </w:rPr>
              <w:tab/>
            </w:r>
            <w:r>
              <w:rPr>
                <w:rStyle w:val="IndexLink"/>
              </w:rPr>
              <w:t>314</w:t>
            </w:r>
          </w:hyperlink>
        </w:p>
        <w:p>
          <w:pPr>
            <w:pStyle w:val="Contents6"/>
            <w:tabs>
              <w:tab w:val="clear" w:pos="7609"/>
              <w:tab w:val="right" w:pos="9026" w:leader="dot"/>
            </w:tabs>
            <w:rPr/>
          </w:pPr>
          <w:hyperlink w:anchor="__RefHeading___Toc8646111_3381743652">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8646113_3381743652">
            <w:r>
              <w:rPr>
                <w:webHidden/>
                <w:rStyle w:val="IndexLink"/>
                <w:rtl w:val="true"/>
              </w:rPr>
              <w:t xml:space="preserve">المقام الأوّل </w:t>
            </w:r>
            <w:r>
              <w:rPr>
                <w:rStyle w:val="IndexLink"/>
                <w:rtl w:val="true"/>
              </w:rPr>
              <w:t xml:space="preserve">: </w:t>
            </w:r>
            <w:r>
              <w:rPr>
                <w:rStyle w:val="IndexLink"/>
                <w:rtl w:val="true"/>
              </w:rPr>
              <w:t>في مقتضى الأدلّة مع قطع النظر عن فتوى الأصحاب</w:t>
            </w:r>
            <w:r>
              <w:rPr>
                <w:rStyle w:val="IndexLink"/>
                <w:rtl w:val="true"/>
              </w:rPr>
              <w:tab/>
            </w:r>
            <w:r>
              <w:rPr>
                <w:rStyle w:val="IndexLink"/>
              </w:rPr>
              <w:t>314</w:t>
            </w:r>
          </w:hyperlink>
        </w:p>
        <w:p>
          <w:pPr>
            <w:pStyle w:val="Contents6"/>
            <w:tabs>
              <w:tab w:val="clear" w:pos="7609"/>
              <w:tab w:val="right" w:pos="9026" w:leader="dot"/>
            </w:tabs>
            <w:rPr/>
          </w:pPr>
          <w:hyperlink w:anchor="__RefHeading___Toc8646115_3381743652">
            <w:r>
              <w:rPr>
                <w:webHidden/>
                <w:rStyle w:val="IndexLink"/>
                <w:rtl w:val="true"/>
              </w:rPr>
              <w:t xml:space="preserve">وأمّا المقام الثاني </w:t>
            </w:r>
            <w:r>
              <w:rPr>
                <w:rStyle w:val="IndexLink"/>
                <w:rtl w:val="true"/>
              </w:rPr>
              <w:t xml:space="preserve">: </w:t>
            </w:r>
            <w:r>
              <w:rPr>
                <w:rStyle w:val="IndexLink"/>
                <w:rtl w:val="true"/>
              </w:rPr>
              <w:t>وهو حال فتاوى الأصحاب</w:t>
            </w:r>
            <w:r>
              <w:rPr>
                <w:rStyle w:val="IndexLink"/>
                <w:rtl w:val="true"/>
              </w:rPr>
              <w:tab/>
            </w:r>
            <w:r>
              <w:rPr>
                <w:rStyle w:val="IndexLink"/>
              </w:rPr>
              <w:t>323</w:t>
            </w:r>
          </w:hyperlink>
        </w:p>
        <w:p>
          <w:pPr>
            <w:pStyle w:val="Contents6"/>
            <w:tabs>
              <w:tab w:val="clear" w:pos="7609"/>
              <w:tab w:val="right" w:pos="9026" w:leader="dot"/>
            </w:tabs>
            <w:rPr/>
          </w:pPr>
          <w:hyperlink w:anchor="__RefHeading___Toc8646117_3381743652">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8646119_3381743652">
            <w:r>
              <w:rPr>
                <w:webHidden/>
                <w:rStyle w:val="IndexLink"/>
                <w:rtl w:val="true"/>
              </w:rPr>
              <w:t>تأويل الروايات على ما تنطبق على القول المشهور</w:t>
            </w:r>
            <w:r>
              <w:rPr>
                <w:rStyle w:val="IndexLink"/>
                <w:rtl w:val="true"/>
              </w:rPr>
              <w:tab/>
            </w:r>
            <w:r>
              <w:rPr>
                <w:rStyle w:val="IndexLink"/>
              </w:rPr>
              <w:t>329</w:t>
            </w:r>
          </w:hyperlink>
        </w:p>
        <w:p>
          <w:pPr>
            <w:pStyle w:val="Contents6"/>
            <w:tabs>
              <w:tab w:val="clear" w:pos="7609"/>
              <w:tab w:val="right" w:pos="9026" w:leader="dot"/>
            </w:tabs>
            <w:rPr/>
          </w:pPr>
          <w:hyperlink w:anchor="__RefHeading___Toc8646121_3381743652">
            <w:r>
              <w:rPr>
                <w:webHidden/>
                <w:rStyle w:val="IndexLink"/>
                <w:rtl w:val="true"/>
              </w:rPr>
              <w:t xml:space="preserve">الجهة الثانية </w:t>
            </w:r>
            <w:r>
              <w:rPr>
                <w:rStyle w:val="IndexLink"/>
                <w:rtl w:val="true"/>
              </w:rPr>
              <w:t xml:space="preserve">: </w:t>
            </w:r>
            <w:r>
              <w:rPr>
                <w:rStyle w:val="IndexLink"/>
                <w:rtl w:val="true"/>
              </w:rPr>
              <w:t>كفاية المسح إلى طرف الأنف الأعلى</w:t>
            </w:r>
            <w:r>
              <w:rPr>
                <w:rStyle w:val="IndexLink"/>
                <w:rtl w:val="true"/>
              </w:rPr>
              <w:tab/>
            </w:r>
            <w:r>
              <w:rPr>
                <w:rStyle w:val="IndexLink"/>
              </w:rPr>
              <w:t>332</w:t>
            </w:r>
          </w:hyperlink>
        </w:p>
        <w:p>
          <w:pPr>
            <w:pStyle w:val="Contents6"/>
            <w:tabs>
              <w:tab w:val="clear" w:pos="7609"/>
              <w:tab w:val="right" w:pos="9026" w:leader="dot"/>
            </w:tabs>
            <w:rPr/>
          </w:pPr>
          <w:hyperlink w:anchor="__RefHeading___Toc8646123_3381743652">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8646125_3381743652">
            <w:r>
              <w:rPr>
                <w:webHidden/>
                <w:rStyle w:val="IndexLink"/>
                <w:rtl w:val="true"/>
              </w:rPr>
              <w:t>لزوم مسح الحاجبين</w:t>
            </w:r>
            <w:r>
              <w:rPr>
                <w:rStyle w:val="IndexLink"/>
                <w:rtl w:val="true"/>
              </w:rPr>
              <w:tab/>
            </w:r>
            <w:r>
              <w:rPr>
                <w:rStyle w:val="IndexLink"/>
              </w:rPr>
              <w:t>333</w:t>
            </w:r>
          </w:hyperlink>
        </w:p>
        <w:p>
          <w:pPr>
            <w:pStyle w:val="Contents6"/>
            <w:tabs>
              <w:tab w:val="clear" w:pos="7609"/>
              <w:tab w:val="right" w:pos="9026" w:leader="dot"/>
            </w:tabs>
            <w:rPr/>
          </w:pPr>
          <w:hyperlink w:anchor="__RefHeading___Toc8646127_3381743652">
            <w:r>
              <w:rPr>
                <w:webHidden/>
                <w:rStyle w:val="IndexLink"/>
                <w:rtl w:val="true"/>
              </w:rPr>
              <w:t xml:space="preserve">الجهة الثالثة </w:t>
            </w:r>
            <w:r>
              <w:rPr>
                <w:rStyle w:val="IndexLink"/>
                <w:rtl w:val="true"/>
              </w:rPr>
              <w:t xml:space="preserve">: </w:t>
            </w:r>
            <w:r>
              <w:rPr>
                <w:rStyle w:val="IndexLink"/>
                <w:rtl w:val="true"/>
              </w:rPr>
              <w:t>في لزوم مسح الكفّين من الزنْد إلى أطراف الأصابع</w:t>
            </w:r>
            <w:r>
              <w:rPr>
                <w:rStyle w:val="IndexLink"/>
                <w:rtl w:val="true"/>
              </w:rPr>
              <w:tab/>
            </w:r>
            <w:r>
              <w:rPr>
                <w:rStyle w:val="IndexLink"/>
              </w:rPr>
              <w:t>334</w:t>
            </w:r>
          </w:hyperlink>
        </w:p>
        <w:p>
          <w:pPr>
            <w:pStyle w:val="Contents6"/>
            <w:tabs>
              <w:tab w:val="clear" w:pos="7609"/>
              <w:tab w:val="right" w:pos="9026" w:leader="dot"/>
            </w:tabs>
            <w:rPr/>
          </w:pPr>
          <w:hyperlink w:anchor="__RefHeading___Toc8646129_3381743652">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8646131_3381743652">
            <w:r>
              <w:rPr>
                <w:webHidden/>
                <w:rStyle w:val="IndexLink"/>
                <w:rtl w:val="true"/>
              </w:rPr>
              <w:t>بيان كيفية المسح</w:t>
            </w:r>
            <w:r>
              <w:rPr>
                <w:rStyle w:val="IndexLink"/>
                <w:rtl w:val="true"/>
              </w:rPr>
              <w:tab/>
            </w:r>
            <w:r>
              <w:rPr>
                <w:rStyle w:val="IndexLink"/>
              </w:rPr>
              <w:t>338</w:t>
            </w:r>
          </w:hyperlink>
        </w:p>
        <w:p>
          <w:pPr>
            <w:pStyle w:val="Contents5"/>
            <w:tabs>
              <w:tab w:val="clear" w:pos="7892"/>
              <w:tab w:val="right" w:pos="9026" w:leader="dot"/>
            </w:tabs>
            <w:rPr/>
          </w:pPr>
          <w:hyperlink w:anchor="__RefHeading___Toc8646133_3381743652">
            <w:r>
              <w:rPr>
                <w:webHidden/>
                <w:rStyle w:val="IndexLink"/>
                <w:rtl w:val="true"/>
              </w:rPr>
              <w:t>الأمر التاسع في تحديد عدد ضربات التيمّم</w:t>
            </w:r>
            <w:r>
              <w:rPr>
                <w:rStyle w:val="IndexLink"/>
                <w:rtl w:val="true"/>
              </w:rPr>
              <w:tab/>
            </w:r>
            <w:r>
              <w:rPr>
                <w:rStyle w:val="IndexLink"/>
              </w:rPr>
              <w:t>341</w:t>
            </w:r>
          </w:hyperlink>
        </w:p>
        <w:p>
          <w:pPr>
            <w:pStyle w:val="Contents6"/>
            <w:tabs>
              <w:tab w:val="clear" w:pos="7609"/>
              <w:tab w:val="right" w:pos="9026" w:leader="dot"/>
            </w:tabs>
            <w:rPr/>
          </w:pPr>
          <w:hyperlink w:anchor="__RefHeading___Toc8646135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8646137_3381743652">
            <w:r>
              <w:rPr>
                <w:webHidden/>
                <w:rStyle w:val="IndexLink"/>
                <w:rtl w:val="true"/>
              </w:rPr>
              <w:t>بيان مقتضى الأدلّة والجمع بينها</w:t>
            </w:r>
            <w:r>
              <w:rPr>
                <w:rStyle w:val="IndexLink"/>
                <w:rtl w:val="true"/>
              </w:rPr>
              <w:tab/>
            </w:r>
            <w:r>
              <w:rPr>
                <w:rStyle w:val="IndexLink"/>
              </w:rPr>
              <w:t>341</w:t>
            </w:r>
          </w:hyperlink>
        </w:p>
        <w:p>
          <w:pPr>
            <w:pStyle w:val="Contents6"/>
            <w:tabs>
              <w:tab w:val="clear" w:pos="7609"/>
              <w:tab w:val="right" w:pos="9026" w:leader="dot"/>
            </w:tabs>
            <w:rPr/>
          </w:pPr>
          <w:hyperlink w:anchor="__RefHeading___Toc8646139_3381743652">
            <w:r>
              <w:rPr>
                <w:webHidden/>
                <w:rStyle w:val="IndexLink"/>
                <w:rtl w:val="true"/>
              </w:rPr>
              <w:t>حول كلمات القوم في المقام</w:t>
            </w:r>
            <w:r>
              <w:rPr>
                <w:rStyle w:val="IndexLink"/>
                <w:rtl w:val="true"/>
              </w:rPr>
              <w:tab/>
            </w:r>
            <w:r>
              <w:rPr>
                <w:rStyle w:val="IndexLink"/>
              </w:rPr>
              <w:t>347</w:t>
            </w:r>
          </w:hyperlink>
        </w:p>
        <w:p>
          <w:pPr>
            <w:pStyle w:val="Contents6"/>
            <w:tabs>
              <w:tab w:val="clear" w:pos="7609"/>
              <w:tab w:val="right" w:pos="9026" w:leader="dot"/>
            </w:tabs>
            <w:rPr/>
          </w:pPr>
          <w:hyperlink w:anchor="__RefHeading___Toc8646141_3381743652">
            <w:r>
              <w:rPr>
                <w:webHidden/>
                <w:rStyle w:val="IndexLink"/>
                <w:rtl w:val="true"/>
              </w:rPr>
              <w:t>اتّحاد كيفية التيمّم بدل جميع الأغسال</w:t>
            </w:r>
            <w:r>
              <w:rPr>
                <w:rStyle w:val="IndexLink"/>
                <w:rtl w:val="true"/>
              </w:rPr>
              <w:tab/>
            </w:r>
            <w:r>
              <w:rPr>
                <w:rStyle w:val="IndexLink"/>
              </w:rPr>
              <w:t>349</w:t>
            </w:r>
          </w:hyperlink>
        </w:p>
        <w:p>
          <w:pPr>
            <w:pStyle w:val="Contents6"/>
            <w:tabs>
              <w:tab w:val="clear" w:pos="7609"/>
              <w:tab w:val="right" w:pos="9026" w:leader="dot"/>
            </w:tabs>
            <w:rPr/>
          </w:pPr>
          <w:hyperlink w:anchor="__RefHeading___Toc8646143_3381743652">
            <w:r>
              <w:rPr>
                <w:webHidden/>
                <w:rStyle w:val="IndexLink"/>
                <w:rtl w:val="true"/>
              </w:rPr>
              <w:t xml:space="preserve">تتميم </w:t>
            </w:r>
            <w:r>
              <w:rPr>
                <w:rStyle w:val="IndexLink"/>
                <w:rtl w:val="true"/>
              </w:rPr>
              <w:t xml:space="preserve">: </w:t>
            </w:r>
            <w:r>
              <w:rPr>
                <w:rStyle w:val="IndexLink"/>
                <w:rtl w:val="true"/>
              </w:rPr>
              <w:t>في أنّ التيمّم بمنزلة المبدل منه في جميع الآثار</w:t>
            </w:r>
            <w:r>
              <w:rPr>
                <w:rStyle w:val="IndexLink"/>
                <w:rtl w:val="true"/>
              </w:rPr>
              <w:tab/>
            </w:r>
            <w:r>
              <w:rPr>
                <w:rStyle w:val="IndexLink"/>
              </w:rPr>
              <w:t>350</w:t>
            </w:r>
          </w:hyperlink>
        </w:p>
        <w:p>
          <w:pPr>
            <w:pStyle w:val="Contents4"/>
            <w:tabs>
              <w:tab w:val="clear" w:pos="8176"/>
              <w:tab w:val="right" w:pos="9026" w:leader="dot"/>
            </w:tabs>
            <w:rPr/>
          </w:pPr>
          <w:hyperlink w:anchor="__RefHeading___Toc8646145_3381743652">
            <w:r>
              <w:rPr>
                <w:webHidden/>
                <w:rStyle w:val="IndexLink"/>
                <w:rtl w:val="true"/>
              </w:rPr>
              <w:t>المبحث الرابع</w:t>
            </w:r>
            <w:r>
              <w:rPr>
                <w:rStyle w:val="IndexLink"/>
                <w:rtl w:val="true"/>
              </w:rPr>
              <w:t xml:space="preserve">: </w:t>
            </w:r>
            <w:r>
              <w:rPr>
                <w:rStyle w:val="IndexLink"/>
                <w:rtl w:val="true"/>
              </w:rPr>
              <w:t>في أحكام التيمّم</w:t>
            </w:r>
            <w:r>
              <w:rPr>
                <w:rStyle w:val="IndexLink"/>
                <w:rtl w:val="true"/>
              </w:rPr>
              <w:tab/>
            </w:r>
            <w:r>
              <w:rPr>
                <w:rStyle w:val="IndexLink"/>
              </w:rPr>
              <w:t>354</w:t>
            </w:r>
          </w:hyperlink>
        </w:p>
        <w:p>
          <w:pPr>
            <w:pStyle w:val="Contents5"/>
            <w:tabs>
              <w:tab w:val="clear" w:pos="7892"/>
              <w:tab w:val="right" w:pos="9026" w:leader="dot"/>
            </w:tabs>
            <w:rPr/>
          </w:pPr>
          <w:hyperlink w:anchor="__RefHeading___Toc8646147_3381743652">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8646149_3381743652">
            <w:r>
              <w:rPr>
                <w:webHidden/>
                <w:rStyle w:val="IndexLink"/>
                <w:rtl w:val="true"/>
              </w:rPr>
              <w:t>الأمر الأوّل</w:t>
            </w:r>
            <w:r>
              <w:rPr>
                <w:rStyle w:val="IndexLink"/>
                <w:rtl w:val="true"/>
              </w:rPr>
              <w:t xml:space="preserve">: </w:t>
            </w:r>
            <w:r>
              <w:rPr>
                <w:rStyle w:val="IndexLink"/>
                <w:rtl w:val="true"/>
              </w:rPr>
              <w:t>في عدم صحّة التيمّم قبل الوقت لصاحبته</w:t>
            </w:r>
            <w:r>
              <w:rPr>
                <w:rStyle w:val="IndexLink"/>
                <w:rtl w:val="true"/>
              </w:rPr>
              <w:tab/>
            </w:r>
            <w:r>
              <w:rPr>
                <w:rStyle w:val="IndexLink"/>
              </w:rPr>
              <w:t>356</w:t>
            </w:r>
          </w:hyperlink>
        </w:p>
        <w:p>
          <w:pPr>
            <w:pStyle w:val="Contents6"/>
            <w:tabs>
              <w:tab w:val="clear" w:pos="7609"/>
              <w:tab w:val="right" w:pos="9026" w:leader="dot"/>
            </w:tabs>
            <w:rPr/>
          </w:pPr>
          <w:hyperlink w:anchor="__RefHeading___Toc8646151_3381743652">
            <w:r>
              <w:rPr>
                <w:webHidden/>
                <w:rStyle w:val="IndexLink"/>
                <w:rtl w:val="true"/>
              </w:rPr>
              <w:t>التمسّك بالإجماع في المقام</w:t>
            </w:r>
            <w:r>
              <w:rPr>
                <w:rStyle w:val="IndexLink"/>
                <w:rtl w:val="true"/>
              </w:rPr>
              <w:tab/>
            </w:r>
            <w:r>
              <w:rPr>
                <w:rStyle w:val="IndexLink"/>
              </w:rPr>
              <w:t>356</w:t>
            </w:r>
          </w:hyperlink>
        </w:p>
        <w:p>
          <w:pPr>
            <w:pStyle w:val="Contents6"/>
            <w:tabs>
              <w:tab w:val="clear" w:pos="7609"/>
              <w:tab w:val="right" w:pos="9026" w:leader="dot"/>
            </w:tabs>
            <w:rPr/>
          </w:pPr>
          <w:hyperlink w:anchor="__RefHeading___Toc8646153_3381743652">
            <w:r>
              <w:rPr>
                <w:webHidden/>
                <w:rStyle w:val="IndexLink"/>
                <w:rtl w:val="true"/>
              </w:rPr>
              <w:t>التمسّك بالدليل العقلي على عدم صحّة التيمّم قبل الوقت</w:t>
            </w:r>
            <w:r>
              <w:rPr>
                <w:rStyle w:val="IndexLink"/>
                <w:rtl w:val="true"/>
              </w:rPr>
              <w:tab/>
            </w:r>
            <w:r>
              <w:rPr>
                <w:rStyle w:val="IndexLink"/>
              </w:rPr>
              <w:t>358</w:t>
            </w:r>
          </w:hyperlink>
        </w:p>
        <w:p>
          <w:pPr>
            <w:pStyle w:val="Contents6"/>
            <w:tabs>
              <w:tab w:val="clear" w:pos="7609"/>
              <w:tab w:val="right" w:pos="9026" w:leader="dot"/>
            </w:tabs>
            <w:rPr/>
          </w:pPr>
          <w:hyperlink w:anchor="__RefHeading___Toc8646155_3381743652">
            <w:r>
              <w:rPr>
                <w:webHidden/>
                <w:rStyle w:val="IndexLink"/>
                <w:rtl w:val="true"/>
              </w:rPr>
              <w:t>الإشكال في الإجماع المدّعى على عدم صحّة التيمّم قبل الوقت</w:t>
            </w:r>
            <w:r>
              <w:rPr>
                <w:rStyle w:val="IndexLink"/>
                <w:rtl w:val="true"/>
              </w:rPr>
              <w:tab/>
            </w:r>
            <w:r>
              <w:rPr>
                <w:rStyle w:val="IndexLink"/>
              </w:rPr>
              <w:t>364</w:t>
            </w:r>
          </w:hyperlink>
        </w:p>
        <w:p>
          <w:pPr>
            <w:pStyle w:val="Contents5"/>
            <w:tabs>
              <w:tab w:val="clear" w:pos="7892"/>
              <w:tab w:val="right" w:pos="9026" w:leader="dot"/>
            </w:tabs>
            <w:rPr/>
          </w:pPr>
          <w:hyperlink w:anchor="__RefHeading___Toc8646157_3381743652">
            <w:r>
              <w:rPr>
                <w:webHidden/>
                <w:rStyle w:val="IndexLink"/>
                <w:rtl w:val="true"/>
              </w:rPr>
              <w:t>الأمر الثاني</w:t>
            </w:r>
            <w:r>
              <w:rPr>
                <w:rStyle w:val="IndexLink"/>
                <w:rtl w:val="true"/>
              </w:rPr>
              <w:t xml:space="preserve">: </w:t>
            </w:r>
            <w:r>
              <w:rPr>
                <w:rStyle w:val="IndexLink"/>
                <w:rtl w:val="true"/>
              </w:rPr>
              <w:t>في جواز البدار إلى التيمّم مع سعة الوقت</w:t>
            </w:r>
            <w:r>
              <w:rPr>
                <w:rStyle w:val="IndexLink"/>
                <w:rtl w:val="true"/>
              </w:rPr>
              <w:tab/>
            </w:r>
            <w:r>
              <w:rPr>
                <w:rStyle w:val="IndexLink"/>
              </w:rPr>
              <w:t>365</w:t>
            </w:r>
          </w:hyperlink>
        </w:p>
        <w:p>
          <w:pPr>
            <w:pStyle w:val="Contents6"/>
            <w:tabs>
              <w:tab w:val="clear" w:pos="7609"/>
              <w:tab w:val="right" w:pos="9026" w:leader="dot"/>
            </w:tabs>
            <w:rPr/>
          </w:pPr>
          <w:hyperlink w:anchor="__RefHeading___Toc8646159_3381743652">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8646161_3381743652">
            <w:r>
              <w:rPr>
                <w:webHidden/>
                <w:rStyle w:val="IndexLink"/>
                <w:rtl w:val="true"/>
              </w:rPr>
              <w:t>التمسّك بالآية لجواز البدار مطلقاً</w:t>
            </w:r>
            <w:r>
              <w:rPr>
                <w:rStyle w:val="IndexLink"/>
                <w:rtl w:val="true"/>
              </w:rPr>
              <w:tab/>
            </w:r>
            <w:r>
              <w:rPr>
                <w:rStyle w:val="IndexLink"/>
              </w:rPr>
              <w:t>368</w:t>
            </w:r>
          </w:hyperlink>
        </w:p>
        <w:p>
          <w:pPr>
            <w:pStyle w:val="Contents6"/>
            <w:tabs>
              <w:tab w:val="clear" w:pos="7609"/>
              <w:tab w:val="right" w:pos="9026" w:leader="dot"/>
            </w:tabs>
            <w:rPr/>
          </w:pPr>
          <w:hyperlink w:anchor="__RefHeading___Toc8646163_3381743652">
            <w:r>
              <w:rPr>
                <w:webHidden/>
                <w:rStyle w:val="IndexLink"/>
                <w:rtl w:val="true"/>
              </w:rPr>
              <w:t>التمسّك بالروايات لجواز البدار مطلقاً</w:t>
            </w:r>
            <w:r>
              <w:rPr>
                <w:rStyle w:val="IndexLink"/>
                <w:rtl w:val="true"/>
              </w:rPr>
              <w:tab/>
            </w:r>
            <w:r>
              <w:rPr>
                <w:rStyle w:val="IndexLink"/>
              </w:rPr>
              <w:t>369</w:t>
            </w:r>
          </w:hyperlink>
        </w:p>
        <w:p>
          <w:pPr>
            <w:pStyle w:val="Contents6"/>
            <w:tabs>
              <w:tab w:val="clear" w:pos="7609"/>
              <w:tab w:val="right" w:pos="9026" w:leader="dot"/>
            </w:tabs>
            <w:rPr/>
          </w:pPr>
          <w:hyperlink w:anchor="__RefHeading___Toc8646165_3381743652">
            <w:r>
              <w:rPr>
                <w:webHidden/>
                <w:rStyle w:val="IndexLink"/>
                <w:rtl w:val="true"/>
              </w:rPr>
              <w:t>الخدشة في الروايات المستدلّ بها على عدم جواز البدار مطلقاً</w:t>
            </w:r>
            <w:r>
              <w:rPr>
                <w:rStyle w:val="IndexLink"/>
                <w:rtl w:val="true"/>
              </w:rPr>
              <w:tab/>
            </w:r>
            <w:r>
              <w:rPr>
                <w:rStyle w:val="IndexLink"/>
              </w:rPr>
              <w:t>373</w:t>
            </w:r>
          </w:hyperlink>
        </w:p>
        <w:p>
          <w:pPr>
            <w:pStyle w:val="Contents6"/>
            <w:tabs>
              <w:tab w:val="clear" w:pos="7609"/>
              <w:tab w:val="right" w:pos="9026" w:leader="dot"/>
            </w:tabs>
            <w:rPr/>
          </w:pPr>
          <w:hyperlink w:anchor="__RefHeading___Toc8646167_3381743652">
            <w:r>
              <w:rPr>
                <w:webHidden/>
                <w:rStyle w:val="IndexLink"/>
                <w:rtl w:val="true"/>
              </w:rPr>
              <w:t>حول التفصيل بين رجاء رفع العذر وعدمه</w:t>
            </w:r>
            <w:r>
              <w:rPr>
                <w:rStyle w:val="IndexLink"/>
                <w:rtl w:val="true"/>
              </w:rPr>
              <w:tab/>
            </w:r>
            <w:r>
              <w:rPr>
                <w:rStyle w:val="IndexLink"/>
              </w:rPr>
              <w:t>375</w:t>
            </w:r>
          </w:hyperlink>
        </w:p>
        <w:p>
          <w:pPr>
            <w:pStyle w:val="Contents6"/>
            <w:tabs>
              <w:tab w:val="clear" w:pos="7609"/>
              <w:tab w:val="right" w:pos="9026" w:leader="dot"/>
            </w:tabs>
            <w:rPr/>
          </w:pPr>
          <w:hyperlink w:anchor="__RefHeading___Toc8646169_3381743652">
            <w:r>
              <w:rPr>
                <w:webHidden/>
                <w:rStyle w:val="IndexLink"/>
                <w:rtl w:val="true"/>
              </w:rPr>
              <w:t>حول التفصيل بين العلم برفع العذر وعدمه</w:t>
            </w:r>
            <w:r>
              <w:rPr>
                <w:rStyle w:val="IndexLink"/>
                <w:rtl w:val="true"/>
              </w:rPr>
              <w:tab/>
            </w:r>
            <w:r>
              <w:rPr>
                <w:rStyle w:val="IndexLink"/>
              </w:rPr>
              <w:t>378</w:t>
            </w:r>
          </w:hyperlink>
        </w:p>
        <w:p>
          <w:pPr>
            <w:pStyle w:val="Contents6"/>
            <w:tabs>
              <w:tab w:val="clear" w:pos="7609"/>
              <w:tab w:val="right" w:pos="9026" w:leader="dot"/>
            </w:tabs>
            <w:rPr/>
          </w:pPr>
          <w:hyperlink w:anchor="__RefHeading___Toc8646171_3381743652">
            <w:r>
              <w:rPr>
                <w:webHidden/>
                <w:rStyle w:val="IndexLink"/>
                <w:rtl w:val="true"/>
              </w:rPr>
              <w:t>حول حصر محلّ الخلاف في غير المتيمّم</w:t>
            </w:r>
            <w:r>
              <w:rPr>
                <w:rStyle w:val="IndexLink"/>
                <w:rtl w:val="true"/>
              </w:rPr>
              <w:tab/>
            </w:r>
            <w:r>
              <w:rPr>
                <w:rStyle w:val="IndexLink"/>
              </w:rPr>
              <w:t>380</w:t>
            </w:r>
          </w:hyperlink>
        </w:p>
        <w:p>
          <w:pPr>
            <w:pStyle w:val="Contents6"/>
            <w:tabs>
              <w:tab w:val="clear" w:pos="7609"/>
              <w:tab w:val="right" w:pos="9026" w:leader="dot"/>
            </w:tabs>
            <w:rPr/>
          </w:pPr>
          <w:hyperlink w:anchor="__RefHeading___Toc8646173_3381743652">
            <w:r>
              <w:rPr>
                <w:webHidden/>
                <w:rStyle w:val="IndexLink"/>
                <w:rtl w:val="true"/>
              </w:rPr>
              <w:t>المراد ب</w:t>
            </w:r>
            <w:r>
              <w:rPr>
                <w:rStyle w:val="IndexLink"/>
                <w:rtl w:val="true"/>
              </w:rPr>
              <w:t>- «</w:t>
            </w:r>
            <w:r>
              <w:rPr>
                <w:rStyle w:val="IndexLink"/>
                <w:rtl w:val="true"/>
              </w:rPr>
              <w:t>آخر الوقت</w:t>
            </w:r>
            <w:r>
              <w:rPr>
                <w:rStyle w:val="IndexLink"/>
                <w:rtl w:val="true"/>
              </w:rPr>
              <w:t xml:space="preserve">» </w:t>
            </w:r>
            <w:r>
              <w:rPr>
                <w:rStyle w:val="IndexLink"/>
                <w:rtl w:val="true"/>
              </w:rPr>
              <w:t>في المقام</w:t>
            </w:r>
            <w:r>
              <w:rPr>
                <w:rStyle w:val="IndexLink"/>
                <w:rtl w:val="true"/>
              </w:rPr>
              <w:tab/>
            </w:r>
            <w:r>
              <w:rPr>
                <w:rStyle w:val="IndexLink"/>
              </w:rPr>
              <w:t>382</w:t>
            </w:r>
          </w:hyperlink>
        </w:p>
        <w:p>
          <w:pPr>
            <w:pStyle w:val="Contents6"/>
            <w:tabs>
              <w:tab w:val="clear" w:pos="7609"/>
              <w:tab w:val="right" w:pos="9026" w:leader="dot"/>
            </w:tabs>
            <w:rPr/>
          </w:pPr>
          <w:hyperlink w:anchor="__RefHeading___Toc8646175_3381743652">
            <w:r>
              <w:rPr>
                <w:webHidden/>
                <w:rStyle w:val="IndexLink"/>
                <w:rtl w:val="true"/>
              </w:rPr>
              <w:t>لزوم الإعادة مع انكشاف سعة الوقت</w:t>
            </w:r>
            <w:r>
              <w:rPr>
                <w:rStyle w:val="IndexLink"/>
                <w:rtl w:val="true"/>
              </w:rPr>
              <w:tab/>
            </w:r>
            <w:r>
              <w:rPr>
                <w:rStyle w:val="IndexLink"/>
              </w:rPr>
              <w:t>383</w:t>
            </w:r>
          </w:hyperlink>
        </w:p>
        <w:p>
          <w:pPr>
            <w:pStyle w:val="Contents5"/>
            <w:tabs>
              <w:tab w:val="clear" w:pos="7892"/>
              <w:tab w:val="right" w:pos="9026" w:leader="dot"/>
            </w:tabs>
            <w:rPr/>
          </w:pPr>
          <w:hyperlink w:anchor="__RefHeading___Toc8646177_3381743652">
            <w:r>
              <w:rPr>
                <w:webHidden/>
                <w:rStyle w:val="IndexLink"/>
                <w:rtl w:val="true"/>
              </w:rPr>
              <w:t>الأمر الثالث</w:t>
            </w:r>
            <w:r>
              <w:rPr>
                <w:rStyle w:val="IndexLink"/>
                <w:rtl w:val="true"/>
              </w:rPr>
              <w:t xml:space="preserve">: </w:t>
            </w:r>
            <w:r>
              <w:rPr>
                <w:rStyle w:val="IndexLink"/>
                <w:rtl w:val="true"/>
              </w:rPr>
              <w:t>في إجزاء صلاة المتيمّم عن الإعادة والقضاء</w:t>
            </w:r>
            <w:r>
              <w:rPr>
                <w:rStyle w:val="IndexLink"/>
                <w:rtl w:val="true"/>
              </w:rPr>
              <w:tab/>
            </w:r>
            <w:r>
              <w:rPr>
                <w:rStyle w:val="IndexLink"/>
              </w:rPr>
              <w:t>385</w:t>
            </w:r>
          </w:hyperlink>
        </w:p>
        <w:p>
          <w:pPr>
            <w:pStyle w:val="Contents6"/>
            <w:tabs>
              <w:tab w:val="clear" w:pos="7609"/>
              <w:tab w:val="right" w:pos="9026" w:leader="dot"/>
            </w:tabs>
            <w:rPr/>
          </w:pPr>
          <w:hyperlink w:anchor="__RefHeading___Toc8646179_3381743652">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8646181_3381743652">
            <w:r>
              <w:rPr>
                <w:webHidden/>
                <w:rStyle w:val="IndexLink"/>
                <w:rtl w:val="true"/>
              </w:rPr>
              <w:t>عدم الفرق بين تعمّد الجنابة وغيره في الإجزاء</w:t>
            </w:r>
            <w:r>
              <w:rPr>
                <w:rStyle w:val="IndexLink"/>
                <w:rtl w:val="true"/>
              </w:rPr>
              <w:tab/>
            </w:r>
            <w:r>
              <w:rPr>
                <w:rStyle w:val="IndexLink"/>
              </w:rPr>
              <w:t>388</w:t>
            </w:r>
          </w:hyperlink>
        </w:p>
        <w:p>
          <w:pPr>
            <w:pStyle w:val="Contents6"/>
            <w:tabs>
              <w:tab w:val="clear" w:pos="7609"/>
              <w:tab w:val="right" w:pos="9026" w:leader="dot"/>
            </w:tabs>
            <w:rPr/>
          </w:pPr>
          <w:hyperlink w:anchor="__RefHeading___Toc8646183_3381743652">
            <w:r>
              <w:rPr>
                <w:webHidden/>
                <w:rStyle w:val="IndexLink"/>
                <w:rtl w:val="true"/>
              </w:rPr>
              <w:t>التفصيل بين التيمّم لأجل الخوف من الاستعمال وفقدان الماء</w:t>
            </w:r>
            <w:r>
              <w:rPr>
                <w:rStyle w:val="IndexLink"/>
                <w:rtl w:val="true"/>
              </w:rPr>
              <w:tab/>
            </w:r>
            <w:r>
              <w:rPr>
                <w:rStyle w:val="IndexLink"/>
              </w:rPr>
              <w:t>390</w:t>
            </w:r>
          </w:hyperlink>
        </w:p>
        <w:p>
          <w:pPr>
            <w:pStyle w:val="Contents6"/>
            <w:tabs>
              <w:tab w:val="clear" w:pos="7609"/>
              <w:tab w:val="right" w:pos="9026" w:leader="dot"/>
            </w:tabs>
            <w:rPr/>
          </w:pPr>
          <w:hyperlink w:anchor="__RefHeading___Toc8646185_3381743652">
            <w:r>
              <w:rPr>
                <w:webHidden/>
                <w:rStyle w:val="IndexLink"/>
                <w:rtl w:val="true"/>
              </w:rPr>
              <w:t>وجوب الإعادة مع العلم بزوال الزحام بعد ساعة مثلاً</w:t>
            </w:r>
            <w:r>
              <w:rPr>
                <w:rStyle w:val="IndexLink"/>
                <w:rtl w:val="true"/>
              </w:rPr>
              <w:tab/>
            </w:r>
            <w:r>
              <w:rPr>
                <w:rStyle w:val="IndexLink"/>
              </w:rPr>
              <w:t>392</w:t>
            </w:r>
          </w:hyperlink>
        </w:p>
        <w:p>
          <w:pPr>
            <w:pStyle w:val="Contents6"/>
            <w:tabs>
              <w:tab w:val="clear" w:pos="7609"/>
              <w:tab w:val="right" w:pos="9026" w:leader="dot"/>
            </w:tabs>
            <w:rPr/>
          </w:pPr>
          <w:hyperlink w:anchor="__RefHeading___Toc8646187_3381743652">
            <w:r>
              <w:rPr>
                <w:webHidden/>
                <w:rStyle w:val="IndexLink"/>
                <w:rtl w:val="true"/>
              </w:rPr>
              <w:t>في حكم المتيمّم مع نجاسة الثوب</w:t>
            </w:r>
            <w:r>
              <w:rPr>
                <w:rStyle w:val="IndexLink"/>
                <w:rtl w:val="true"/>
              </w:rPr>
              <w:tab/>
            </w:r>
            <w:r>
              <w:rPr>
                <w:rStyle w:val="IndexLink"/>
              </w:rPr>
              <w:t>395</w:t>
            </w:r>
          </w:hyperlink>
        </w:p>
        <w:p>
          <w:pPr>
            <w:pStyle w:val="Contents5"/>
            <w:tabs>
              <w:tab w:val="clear" w:pos="7892"/>
              <w:tab w:val="right" w:pos="9026" w:leader="dot"/>
            </w:tabs>
            <w:rPr/>
          </w:pPr>
          <w:hyperlink w:anchor="__RefHeading___Toc8646189_3381743652">
            <w:r>
              <w:rPr>
                <w:webHidden/>
                <w:rStyle w:val="IndexLink"/>
                <w:rtl w:val="true"/>
              </w:rPr>
              <w:t>الأمر الرابع</w:t>
            </w:r>
            <w:r>
              <w:rPr>
                <w:rStyle w:val="IndexLink"/>
                <w:rtl w:val="true"/>
              </w:rPr>
              <w:t xml:space="preserve">: </w:t>
            </w:r>
            <w:r>
              <w:rPr>
                <w:rStyle w:val="IndexLink"/>
                <w:rtl w:val="true"/>
              </w:rPr>
              <w:t>في حكم فاقد الطهورين</w:t>
            </w:r>
            <w:r>
              <w:rPr>
                <w:rStyle w:val="IndexLink"/>
                <w:rtl w:val="true"/>
              </w:rPr>
              <w:tab/>
            </w:r>
            <w:r>
              <w:rPr>
                <w:rStyle w:val="IndexLink"/>
              </w:rPr>
              <w:t>396</w:t>
            </w:r>
          </w:hyperlink>
        </w:p>
        <w:p>
          <w:pPr>
            <w:pStyle w:val="Contents6"/>
            <w:tabs>
              <w:tab w:val="clear" w:pos="7609"/>
              <w:tab w:val="right" w:pos="9026" w:leader="dot"/>
            </w:tabs>
            <w:rPr/>
          </w:pPr>
          <w:hyperlink w:anchor="__RefHeading___Toc8646191_3381743652">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8646193_3381743652">
            <w:r>
              <w:rPr>
                <w:webHidden/>
                <w:rStyle w:val="IndexLink"/>
                <w:rtl w:val="true"/>
              </w:rPr>
              <w:t>مقتضى القاعدة في مثل المقام</w:t>
            </w:r>
            <w:r>
              <w:rPr>
                <w:rStyle w:val="IndexLink"/>
                <w:rtl w:val="true"/>
              </w:rPr>
              <w:tab/>
            </w:r>
            <w:r>
              <w:rPr>
                <w:rStyle w:val="IndexLink"/>
              </w:rPr>
              <w:t>397</w:t>
            </w:r>
          </w:hyperlink>
        </w:p>
        <w:p>
          <w:pPr>
            <w:pStyle w:val="Contents6"/>
            <w:tabs>
              <w:tab w:val="clear" w:pos="7609"/>
              <w:tab w:val="right" w:pos="9026" w:leader="dot"/>
            </w:tabs>
            <w:rPr/>
          </w:pPr>
          <w:hyperlink w:anchor="__RefHeading___Toc8646195_3381743652">
            <w:r>
              <w:rPr>
                <w:webHidden/>
                <w:rStyle w:val="IndexLink"/>
                <w:rtl w:val="true"/>
              </w:rPr>
              <w:t>حول سقوط الأداء في فاقد الطهورين</w:t>
            </w:r>
            <w:r>
              <w:rPr>
                <w:rStyle w:val="IndexLink"/>
                <w:rtl w:val="true"/>
              </w:rPr>
              <w:tab/>
            </w:r>
            <w:r>
              <w:rPr>
                <w:rStyle w:val="IndexLink"/>
              </w:rPr>
              <w:t>398</w:t>
            </w:r>
          </w:hyperlink>
        </w:p>
        <w:p>
          <w:pPr>
            <w:pStyle w:val="Contents6"/>
            <w:tabs>
              <w:tab w:val="clear" w:pos="7609"/>
              <w:tab w:val="right" w:pos="9026" w:leader="dot"/>
            </w:tabs>
            <w:rPr/>
          </w:pPr>
          <w:hyperlink w:anchor="__RefHeading___Toc8646197_3381743652">
            <w:r>
              <w:rPr>
                <w:webHidden/>
                <w:rStyle w:val="IndexLink"/>
                <w:rtl w:val="true"/>
              </w:rPr>
              <w:t>حول سقوط القضاء عن فاقد الطهورين</w:t>
            </w:r>
            <w:r>
              <w:rPr>
                <w:rStyle w:val="IndexLink"/>
                <w:rtl w:val="true"/>
              </w:rPr>
              <w:tab/>
            </w:r>
            <w:r>
              <w:rPr>
                <w:rStyle w:val="IndexLink"/>
              </w:rPr>
              <w:t>403</w:t>
            </w:r>
          </w:hyperlink>
        </w:p>
        <w:p>
          <w:pPr>
            <w:pStyle w:val="Contents6"/>
            <w:tabs>
              <w:tab w:val="clear" w:pos="7609"/>
              <w:tab w:val="right" w:pos="9026" w:leader="dot"/>
            </w:tabs>
            <w:rPr/>
          </w:pPr>
          <w:hyperlink w:anchor="__RefHeading___Toc8646199_3381743652">
            <w:r>
              <w:rPr>
                <w:webHidden/>
                <w:rStyle w:val="IndexLink"/>
                <w:rtl w:val="true"/>
              </w:rPr>
              <w:t>مقتضى الاحتياط ترك الصلاة مع فقدان الطهورين</w:t>
            </w:r>
            <w:r>
              <w:rPr>
                <w:rStyle w:val="IndexLink"/>
                <w:rtl w:val="true"/>
              </w:rPr>
              <w:tab/>
            </w:r>
            <w:r>
              <w:rPr>
                <w:rStyle w:val="IndexLink"/>
              </w:rPr>
              <w:t>407</w:t>
            </w:r>
          </w:hyperlink>
        </w:p>
        <w:p>
          <w:pPr>
            <w:pStyle w:val="Contents5"/>
            <w:tabs>
              <w:tab w:val="clear" w:pos="7892"/>
              <w:tab w:val="right" w:pos="9026" w:leader="dot"/>
            </w:tabs>
            <w:rPr/>
          </w:pPr>
          <w:hyperlink w:anchor="__RefHeading___Toc8646201_3381743652">
            <w:r>
              <w:rPr>
                <w:webHidden/>
                <w:rStyle w:val="IndexLink"/>
                <w:rtl w:val="true"/>
              </w:rPr>
              <w:t>الأمر الخامس</w:t>
            </w:r>
            <w:r>
              <w:rPr>
                <w:rStyle w:val="IndexLink"/>
                <w:rtl w:val="true"/>
              </w:rPr>
              <w:t xml:space="preserve">: </w:t>
            </w:r>
            <w:r>
              <w:rPr>
                <w:rStyle w:val="IndexLink"/>
                <w:rtl w:val="true"/>
              </w:rPr>
              <w:t>في حكم المتيمّم إذا وجد الماء</w:t>
            </w:r>
            <w:r>
              <w:rPr>
                <w:rStyle w:val="IndexLink"/>
                <w:rtl w:val="true"/>
              </w:rPr>
              <w:tab/>
            </w:r>
            <w:r>
              <w:rPr>
                <w:rStyle w:val="IndexLink"/>
              </w:rPr>
              <w:t>409</w:t>
            </w:r>
          </w:hyperlink>
        </w:p>
        <w:p>
          <w:pPr>
            <w:pStyle w:val="Contents6"/>
            <w:tabs>
              <w:tab w:val="clear" w:pos="7609"/>
              <w:tab w:val="right" w:pos="9026" w:leader="dot"/>
            </w:tabs>
            <w:rPr/>
          </w:pPr>
          <w:hyperlink w:anchor="__RefHeading___Toc8646203_3381743652">
            <w:r>
              <w:rPr>
                <w:webHidden/>
                <w:rStyle w:val="IndexLink"/>
                <w:rtl w:val="true"/>
              </w:rPr>
              <w:t>بطلان التيمّم إذا وجد الماء قبل الدخول في الصلاة</w:t>
            </w:r>
            <w:r>
              <w:rPr>
                <w:rStyle w:val="IndexLink"/>
                <w:rtl w:val="true"/>
              </w:rPr>
              <w:tab/>
            </w:r>
            <w:r>
              <w:rPr>
                <w:rStyle w:val="IndexLink"/>
              </w:rPr>
              <w:t>409</w:t>
            </w:r>
          </w:hyperlink>
        </w:p>
        <w:p>
          <w:pPr>
            <w:pStyle w:val="Contents6"/>
            <w:tabs>
              <w:tab w:val="clear" w:pos="7609"/>
              <w:tab w:val="right" w:pos="9026" w:leader="dot"/>
            </w:tabs>
            <w:rPr/>
          </w:pPr>
          <w:hyperlink w:anchor="__RefHeading___Toc8646205_3381743652">
            <w:r>
              <w:rPr>
                <w:webHidden/>
                <w:rStyle w:val="IndexLink"/>
                <w:rtl w:val="true"/>
              </w:rPr>
              <w:t>عدم بطلان التيمّم إذا وجد الماء بعد الدخول في الصلاة</w:t>
            </w:r>
            <w:r>
              <w:rPr>
                <w:rStyle w:val="IndexLink"/>
                <w:rtl w:val="true"/>
              </w:rPr>
              <w:tab/>
            </w:r>
            <w:r>
              <w:rPr>
                <w:rStyle w:val="IndexLink"/>
              </w:rPr>
              <w:t>411</w:t>
            </w:r>
          </w:hyperlink>
        </w:p>
        <w:p>
          <w:pPr>
            <w:pStyle w:val="Contents6"/>
            <w:tabs>
              <w:tab w:val="clear" w:pos="7609"/>
              <w:tab w:val="right" w:pos="9026" w:leader="dot"/>
            </w:tabs>
            <w:rPr/>
          </w:pPr>
          <w:hyperlink w:anchor="__RefHeading___Toc8646207_3381743652">
            <w:r>
              <w:rPr>
                <w:webHidden/>
                <w:rStyle w:val="IndexLink"/>
                <w:rtl w:val="true"/>
              </w:rPr>
              <w:t xml:space="preserve">حول ما عن </w:t>
            </w:r>
            <w:r>
              <w:rPr>
                <w:rStyle w:val="IndexLink"/>
                <w:rtl w:val="true"/>
              </w:rPr>
              <w:t>«</w:t>
            </w:r>
            <w:r>
              <w:rPr>
                <w:rStyle w:val="IndexLink"/>
                <w:rtl w:val="true"/>
              </w:rPr>
              <w:t>التذكرة</w:t>
            </w:r>
            <w:r>
              <w:rPr>
                <w:rStyle w:val="IndexLink"/>
                <w:rtl w:val="true"/>
              </w:rPr>
              <w:t xml:space="preserve">» </w:t>
            </w:r>
            <w:r>
              <w:rPr>
                <w:rStyle w:val="IndexLink"/>
                <w:rtl w:val="true"/>
              </w:rPr>
              <w:t>من استحباب الاستئناف مطلقاً</w:t>
            </w:r>
            <w:r>
              <w:rPr>
                <w:rStyle w:val="IndexLink"/>
                <w:rtl w:val="true"/>
              </w:rPr>
              <w:tab/>
            </w:r>
            <w:r>
              <w:rPr>
                <w:rStyle w:val="IndexLink"/>
              </w:rPr>
              <w:t>420</w:t>
            </w:r>
          </w:hyperlink>
        </w:p>
        <w:p>
          <w:pPr>
            <w:pStyle w:val="Contents6"/>
            <w:tabs>
              <w:tab w:val="clear" w:pos="7609"/>
              <w:tab w:val="right" w:pos="9026" w:leader="dot"/>
            </w:tabs>
            <w:rPr/>
          </w:pPr>
          <w:hyperlink w:anchor="__RefHeading___Toc8646209_3381743652">
            <w:r>
              <w:rPr>
                <w:webHidden/>
                <w:rStyle w:val="IndexLink"/>
                <w:rtl w:val="true"/>
              </w:rPr>
              <w:t>عدم الفرق بين الفريضة والنافلة</w:t>
            </w:r>
            <w:r>
              <w:rPr>
                <w:rStyle w:val="IndexLink"/>
                <w:rtl w:val="true"/>
              </w:rPr>
              <w:tab/>
            </w:r>
            <w:r>
              <w:rPr>
                <w:rStyle w:val="IndexLink"/>
              </w:rPr>
              <w:t>422</w:t>
            </w:r>
          </w:hyperlink>
        </w:p>
        <w:p>
          <w:pPr>
            <w:pStyle w:val="Contents6"/>
            <w:tabs>
              <w:tab w:val="clear" w:pos="7609"/>
              <w:tab w:val="right" w:pos="9026" w:leader="dot"/>
            </w:tabs>
            <w:rPr/>
          </w:pPr>
          <w:hyperlink w:anchor="__RefHeading___Toc8646211_3381743652">
            <w:r>
              <w:rPr>
                <w:webHidden/>
                <w:rStyle w:val="IndexLink"/>
                <w:rtl w:val="true"/>
              </w:rPr>
              <w:t>حكم فقدان الماء بعد وجدانه في أثناء الصلاة</w:t>
            </w:r>
            <w:r>
              <w:rPr>
                <w:rStyle w:val="IndexLink"/>
                <w:rtl w:val="true"/>
              </w:rPr>
              <w:tab/>
            </w:r>
            <w:r>
              <w:rPr>
                <w:rStyle w:val="IndexLink"/>
              </w:rPr>
              <w:t>424</w:t>
            </w:r>
          </w:hyperlink>
        </w:p>
        <w:p>
          <w:pPr>
            <w:pStyle w:val="Contents5"/>
            <w:tabs>
              <w:tab w:val="clear" w:pos="7892"/>
              <w:tab w:val="right" w:pos="9026" w:leader="dot"/>
            </w:tabs>
            <w:rPr/>
          </w:pPr>
          <w:hyperlink w:anchor="__RefHeading___Toc8646213_3381743652">
            <w:r>
              <w:rPr>
                <w:webHidden/>
                <w:rStyle w:val="IndexLink"/>
                <w:rtl w:val="true"/>
              </w:rPr>
              <w:t>الأمر السادس</w:t>
            </w:r>
            <w:r>
              <w:rPr>
                <w:rStyle w:val="IndexLink"/>
                <w:rtl w:val="true"/>
              </w:rPr>
              <w:t xml:space="preserve">: </w:t>
            </w:r>
            <w:r>
              <w:rPr>
                <w:rStyle w:val="IndexLink"/>
                <w:rtl w:val="true"/>
              </w:rPr>
              <w:t>المتيمّم يستبيح ما يستبيحه المتطهّر بالماء</w:t>
            </w:r>
            <w:r>
              <w:rPr>
                <w:rStyle w:val="IndexLink"/>
                <w:rtl w:val="true"/>
              </w:rPr>
              <w:tab/>
            </w:r>
            <w:r>
              <w:rPr>
                <w:rStyle w:val="IndexLink"/>
              </w:rPr>
              <w:t>426</w:t>
            </w:r>
          </w:hyperlink>
        </w:p>
        <w:p>
          <w:pPr>
            <w:pStyle w:val="Contents6"/>
            <w:tabs>
              <w:tab w:val="clear" w:pos="7609"/>
              <w:tab w:val="right" w:pos="9026" w:leader="dot"/>
            </w:tabs>
            <w:rPr/>
          </w:pPr>
          <w:hyperlink w:anchor="__RefHeading___Toc8646215_3381743652">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8646217_3381743652">
            <w:r>
              <w:rPr>
                <w:webHidden/>
                <w:rStyle w:val="IndexLink"/>
                <w:rtl w:val="true"/>
              </w:rPr>
              <w:t>المقام الأوّل إنّه لو تيمّم لغاية جاز لأجلها التيمّم ، يباح له جميع ما يباح للمتطهّر</w:t>
            </w:r>
            <w:r>
              <w:rPr>
                <w:rStyle w:val="IndexLink"/>
                <w:rtl w:val="true"/>
              </w:rPr>
              <w:tab/>
            </w:r>
            <w:r>
              <w:rPr>
                <w:rStyle w:val="IndexLink"/>
              </w:rPr>
              <w:t>426</w:t>
            </w:r>
          </w:hyperlink>
        </w:p>
        <w:p>
          <w:pPr>
            <w:pStyle w:val="Contents6"/>
            <w:tabs>
              <w:tab w:val="clear" w:pos="7609"/>
              <w:tab w:val="right" w:pos="9026" w:leader="dot"/>
            </w:tabs>
            <w:rPr/>
          </w:pPr>
          <w:hyperlink w:anchor="__RefHeading___Toc8646219_3381743652">
            <w:r>
              <w:rPr>
                <w:webHidden/>
                <w:rStyle w:val="IndexLink"/>
                <w:rtl w:val="true"/>
              </w:rPr>
              <w:t>المقام الثاني إنّه هل يجوز التيمّم لكلّ غاية ، أو مخصوص بغايات خاصّة ؟</w:t>
            </w:r>
            <w:r>
              <w:rPr>
                <w:rStyle w:val="IndexLink"/>
                <w:rtl w:val="true"/>
              </w:rPr>
              <w:tab/>
            </w:r>
            <w:r>
              <w:rPr>
                <w:rStyle w:val="IndexLink"/>
              </w:rPr>
              <w:t>428</w:t>
            </w:r>
          </w:hyperlink>
        </w:p>
        <w:p>
          <w:pPr>
            <w:pStyle w:val="Contents6"/>
            <w:tabs>
              <w:tab w:val="clear" w:pos="7609"/>
              <w:tab w:val="right" w:pos="9026" w:leader="dot"/>
            </w:tabs>
            <w:rPr/>
          </w:pPr>
          <w:hyperlink w:anchor="__RefHeading___Toc8646221_3381743652">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8646223_3381743652">
            <w:r>
              <w:rPr>
                <w:webHidden/>
                <w:rStyle w:val="IndexLink"/>
                <w:rtl w:val="true"/>
              </w:rPr>
              <w:t>قيام التيمّم مقام الوضوءات والأغسال المستحبّة</w:t>
            </w:r>
            <w:r>
              <w:rPr>
                <w:rStyle w:val="IndexLink"/>
                <w:rtl w:val="true"/>
              </w:rPr>
              <w:tab/>
            </w:r>
            <w:r>
              <w:rPr>
                <w:rStyle w:val="IndexLink"/>
              </w:rPr>
              <w:t>431</w:t>
            </w:r>
          </w:hyperlink>
        </w:p>
        <w:p>
          <w:pPr>
            <w:pStyle w:val="Contents5"/>
            <w:tabs>
              <w:tab w:val="clear" w:pos="7892"/>
              <w:tab w:val="right" w:pos="9026" w:leader="dot"/>
            </w:tabs>
            <w:rPr/>
          </w:pPr>
          <w:hyperlink w:anchor="__RefHeading___Toc8646225_3381743652">
            <w:r>
              <w:rPr>
                <w:webHidden/>
                <w:rStyle w:val="IndexLink"/>
                <w:rtl w:val="true"/>
              </w:rPr>
              <w:t>الأمر السابع</w:t>
            </w:r>
            <w:r>
              <w:rPr>
                <w:rStyle w:val="IndexLink"/>
                <w:rtl w:val="true"/>
              </w:rPr>
              <w:t xml:space="preserve">: </w:t>
            </w:r>
            <w:r>
              <w:rPr>
                <w:rStyle w:val="IndexLink"/>
                <w:rtl w:val="true"/>
              </w:rPr>
              <w:t>في حكم اجتماع ميّت وجنب ومحدث بالأصغر</w:t>
            </w:r>
            <w:r>
              <w:rPr>
                <w:rStyle w:val="IndexLink"/>
                <w:rtl w:val="true"/>
              </w:rPr>
              <w:tab/>
            </w:r>
            <w:r>
              <w:rPr>
                <w:rStyle w:val="IndexLink"/>
              </w:rPr>
              <w:t>433</w:t>
            </w:r>
          </w:hyperlink>
        </w:p>
        <w:p>
          <w:pPr>
            <w:pStyle w:val="Contents5"/>
            <w:tabs>
              <w:tab w:val="clear" w:pos="7892"/>
              <w:tab w:val="right" w:pos="9026" w:leader="dot"/>
            </w:tabs>
            <w:rPr/>
          </w:pPr>
          <w:hyperlink w:anchor="__RefHeading___Toc8646227_3381743652">
            <w:r>
              <w:rPr>
                <w:webHidden/>
                <w:rStyle w:val="IndexLink"/>
                <w:rtl w:val="true"/>
              </w:rPr>
              <w:t>الأمر الثامن</w:t>
            </w:r>
            <w:r>
              <w:rPr>
                <w:rStyle w:val="IndexLink"/>
                <w:rtl w:val="true"/>
              </w:rPr>
              <w:t xml:space="preserve">: </w:t>
            </w:r>
            <w:r>
              <w:rPr>
                <w:rStyle w:val="IndexLink"/>
                <w:rtl w:val="true"/>
              </w:rPr>
              <w:t>في حكم الجنب المتيمّم إذا أحدث بالأصغر</w:t>
            </w:r>
            <w:r>
              <w:rPr>
                <w:rStyle w:val="IndexLink"/>
                <w:rtl w:val="true"/>
              </w:rPr>
              <w:tab/>
            </w:r>
            <w:r>
              <w:rPr>
                <w:rStyle w:val="IndexLink"/>
              </w:rPr>
              <w:t>438</w:t>
            </w:r>
          </w:hyperlink>
        </w:p>
        <w:p>
          <w:pPr>
            <w:pStyle w:val="Contents6"/>
            <w:tabs>
              <w:tab w:val="clear" w:pos="7609"/>
              <w:tab w:val="right" w:pos="9026" w:leader="dot"/>
            </w:tabs>
            <w:rPr/>
          </w:pPr>
          <w:hyperlink w:anchor="__RefHeading___Toc8646229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8646231_3381743652">
            <w:r>
              <w:rPr>
                <w:webHidden/>
                <w:rStyle w:val="IndexLink"/>
                <w:rtl w:val="true"/>
              </w:rPr>
              <w:t>بيان مقتضى القاعدة في المقام</w:t>
            </w:r>
            <w:r>
              <w:rPr>
                <w:rStyle w:val="IndexLink"/>
                <w:rtl w:val="true"/>
              </w:rPr>
              <w:tab/>
            </w:r>
            <w:r>
              <w:rPr>
                <w:rStyle w:val="IndexLink"/>
              </w:rPr>
              <w:t>443</w:t>
            </w:r>
          </w:hyperlink>
        </w:p>
        <w:p>
          <w:pPr>
            <w:pStyle w:val="Contents5"/>
            <w:tabs>
              <w:tab w:val="clear" w:pos="7892"/>
              <w:tab w:val="right" w:pos="9026" w:leader="dot"/>
            </w:tabs>
            <w:rPr/>
          </w:pPr>
          <w:hyperlink w:anchor="__RefHeading___Toc8646233_3381743652">
            <w:r>
              <w:rPr>
                <w:webHidden/>
                <w:rStyle w:val="IndexLink"/>
                <w:rtl w:val="true"/>
              </w:rPr>
              <w:t>الأمر التاسع</w:t>
            </w:r>
            <w:r>
              <w:rPr>
                <w:rStyle w:val="IndexLink"/>
                <w:rtl w:val="true"/>
              </w:rPr>
              <w:t xml:space="preserve">: </w:t>
            </w:r>
            <w:r>
              <w:rPr>
                <w:rStyle w:val="IndexLink"/>
                <w:rtl w:val="true"/>
              </w:rPr>
              <w:t>في بعض فروع انتقاض التيمّم مع التمكّن من استعمال الماء</w:t>
            </w:r>
            <w:r>
              <w:rPr>
                <w:rStyle w:val="IndexLink"/>
                <w:rtl w:val="true"/>
              </w:rPr>
              <w:tab/>
            </w:r>
            <w:r>
              <w:rPr>
                <w:rStyle w:val="IndexLink"/>
              </w:rPr>
              <w:t>445</w:t>
            </w:r>
          </w:hyperlink>
        </w:p>
        <w:p>
          <w:pPr>
            <w:pStyle w:val="Contents6"/>
            <w:tabs>
              <w:tab w:val="clear" w:pos="7609"/>
              <w:tab w:val="right" w:pos="9026" w:leader="dot"/>
            </w:tabs>
            <w:rPr/>
          </w:pPr>
          <w:hyperlink w:anchor="__RefHeading___Toc8646235_3381743652">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8646237_3381743652">
            <w:r>
              <w:rPr>
                <w:webHidden/>
                <w:rStyle w:val="IndexLink"/>
                <w:rtl w:val="true"/>
              </w:rPr>
              <w:t xml:space="preserve">وإنّما الكلام في بعض الفروع </w:t>
            </w:r>
            <w:r>
              <w:rPr>
                <w:rStyle w:val="IndexLink"/>
                <w:rtl w:val="true"/>
              </w:rPr>
              <w:t>:</w:t>
              <w:tab/>
            </w:r>
            <w:r>
              <w:rPr>
                <w:rStyle w:val="IndexLink"/>
              </w:rPr>
              <w:t>446</w:t>
            </w:r>
          </w:hyperlink>
        </w:p>
        <w:p>
          <w:pPr>
            <w:pStyle w:val="Contents2"/>
            <w:tabs>
              <w:tab w:val="clear" w:pos="8743"/>
              <w:tab w:val="right" w:pos="9026" w:leader="dot"/>
            </w:tabs>
            <w:rPr/>
          </w:pPr>
          <w:hyperlink w:anchor="__RefHeading___Toc8646239_3381743652">
            <w:r>
              <w:rPr>
                <w:webHidden/>
                <w:rStyle w:val="IndexLink"/>
                <w:rtl w:val="true"/>
              </w:rPr>
              <w:t>الفهارس العامّة</w:t>
            </w:r>
            <w:r>
              <w:rPr>
                <w:rStyle w:val="IndexLink"/>
                <w:rtl w:val="true"/>
              </w:rPr>
              <w:tab/>
            </w:r>
            <w:r>
              <w:rPr>
                <w:rStyle w:val="IndexLink"/>
              </w:rPr>
              <w:t>450</w:t>
            </w:r>
          </w:hyperlink>
        </w:p>
        <w:p>
          <w:pPr>
            <w:pStyle w:val="Contents3"/>
            <w:tabs>
              <w:tab w:val="clear" w:pos="8459"/>
              <w:tab w:val="right" w:pos="9026" w:leader="dot"/>
            </w:tabs>
            <w:rPr/>
          </w:pPr>
          <w:hyperlink w:anchor="__RefHeading___Toc8646241_3381743652">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8646243_3381743652">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452</w:t>
            </w:r>
          </w:hyperlink>
        </w:p>
        <w:p>
          <w:pPr>
            <w:pStyle w:val="Contents3"/>
            <w:tabs>
              <w:tab w:val="clear" w:pos="8459"/>
              <w:tab w:val="right" w:pos="9026" w:leader="dot"/>
            </w:tabs>
            <w:rPr/>
          </w:pPr>
          <w:hyperlink w:anchor="__RefHeading___Toc8646245_3381743652">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460</w:t>
            </w:r>
          </w:hyperlink>
        </w:p>
        <w:p>
          <w:pPr>
            <w:pStyle w:val="Contents3"/>
            <w:tabs>
              <w:tab w:val="clear" w:pos="8459"/>
              <w:tab w:val="right" w:pos="9026" w:leader="dot"/>
            </w:tabs>
            <w:rPr/>
          </w:pPr>
          <w:hyperlink w:anchor="__RefHeading___Toc8646247_3381743652">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8646249_3381743652">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474</w:t>
            </w:r>
          </w:hyperlink>
        </w:p>
        <w:p>
          <w:pPr>
            <w:pStyle w:val="Contents3"/>
            <w:tabs>
              <w:tab w:val="clear" w:pos="8459"/>
              <w:tab w:val="right" w:pos="9026" w:leader="dot"/>
            </w:tabs>
            <w:rPr/>
          </w:pPr>
          <w:hyperlink w:anchor="__RefHeading___Toc8646251_3381743652">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489</w:t>
            </w:r>
          </w:hyperlink>
        </w:p>
        <w:p>
          <w:pPr>
            <w:pStyle w:val="Contents3"/>
            <w:tabs>
              <w:tab w:val="clear" w:pos="8459"/>
              <w:tab w:val="right" w:pos="9026" w:leader="dot"/>
            </w:tabs>
            <w:rPr/>
          </w:pPr>
          <w:hyperlink w:anchor="__RefHeading___Toc8646253_3381743652">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499</w:t>
            </w:r>
          </w:hyperlink>
        </w:p>
        <w:p>
          <w:pPr>
            <w:pStyle w:val="Contents3"/>
            <w:tabs>
              <w:tab w:val="clear" w:pos="8459"/>
              <w:tab w:val="right" w:pos="9026" w:leader="dot"/>
            </w:tabs>
            <w:rPr/>
          </w:pPr>
          <w:hyperlink w:anchor="__RefHeading___Toc8646255_3381743652">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521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16_198513"/>
      <w:bookmarkStart w:id="1" w:name="pg17116_198513"/>
      <w:bookmarkEnd w:id="1"/>
    </w:p>
    <w:p>
      <w:pPr>
        <w:pStyle w:val="Heading2"/>
        <w:numPr>
          <w:ilvl w:val="1"/>
          <w:numId w:val="1"/>
        </w:numPr>
        <w:rPr/>
      </w:pPr>
      <w:bookmarkStart w:id="2" w:name="pg17116_198513"/>
      <w:bookmarkStart w:id="3" w:name="__RefHeading___Toc8645819_33817436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4582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16_198517"/>
      <w:bookmarkStart w:id="8" w:name="pg17116_198517"/>
      <w:bookmarkEnd w:id="8"/>
    </w:p>
    <w:p>
      <w:pPr>
        <w:pStyle w:val="Heading2"/>
        <w:numPr>
          <w:ilvl w:val="1"/>
          <w:numId w:val="1"/>
        </w:numPr>
        <w:rPr/>
      </w:pPr>
      <w:bookmarkStart w:id="9" w:name="pg17116_198517"/>
      <w:bookmarkStart w:id="10" w:name="__RefHeading___Toc8645823_3381743652"/>
      <w:bookmarkStart w:id="11" w:name="_Toc3"/>
      <w:bookmarkEnd w:id="9"/>
      <w:bookmarkEnd w:id="10"/>
      <w:r>
        <w:rPr>
          <w:rtl w:val="true"/>
        </w:rPr>
        <w:t>التيمّم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645825_3381743652"/>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 ، ولعنة اللّه على أعدائهم أجمعين</w:t>
      </w:r>
    </w:p>
    <w:p>
      <w:pPr>
        <w:pStyle w:val="BookText"/>
        <w:rPr/>
      </w:pPr>
      <w:r>
        <w:rPr>
          <w:rFonts w:ascii="IRNazanin" w:hAnsi="IRNazanin" w:eastAsia="IRNazanin"/>
          <w:color w:val="111111"/>
          <w:sz w:val="28"/>
          <w:sz w:val="28"/>
          <w:szCs w:val="28"/>
          <w:rtl w:val="true"/>
          <w:lang w:bidi="fa-IR"/>
        </w:rPr>
        <w:t>وبعد</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فلمّا انجرّ بحثنا إلى الطهارة الترابية أحببت أن اُفرد فيها رسالة لذكر مهمّات أحكامها ، ولمّا كان التيمّم ماهية ذات إضافة إلى المتيمّم ، وإلى ما يتيمّم به ، ولها أحكام ، صارت المباحث فيها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في ماهيته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في المتيمّم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فيما يتيمّم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المباحث على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بحثنا موافقاً له وإن كان الترتيب الطبيعي يقتضي غير ذلك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الورود في المباحث لا بأس بذكر اُمور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116_198521"/>
      <w:bookmarkStart w:id="15" w:name="pg17116_198521"/>
      <w:bookmarkEnd w:id="15"/>
    </w:p>
    <w:p>
      <w:pPr>
        <w:pStyle w:val="Heading3"/>
        <w:numPr>
          <w:ilvl w:val="2"/>
          <w:numId w:val="1"/>
        </w:numPr>
        <w:rPr/>
      </w:pPr>
      <w:bookmarkStart w:id="16" w:name="pg17116_198521"/>
      <w:bookmarkStart w:id="17" w:name="__RefHeading___Toc8645827_3381743652"/>
      <w:bookmarkStart w:id="18" w:name="_Toc5"/>
      <w:bookmarkEnd w:id="16"/>
      <w:bookmarkEnd w:id="17"/>
      <w:r>
        <w:rPr>
          <w:rtl w:val="true"/>
        </w:rPr>
        <w:t>الأمر الأوّل</w:t>
      </w:r>
      <w:r>
        <w:rPr>
          <w:rtl w:val="true"/>
        </w:rPr>
        <w:t xml:space="preserve">: </w:t>
      </w:r>
      <w:r>
        <w:rPr>
          <w:rtl w:val="true"/>
        </w:rPr>
        <w:t>في كون التيمّم من ضروريات الدين</w:t>
      </w:r>
      <w:bookmarkEnd w:id="1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مشروعية التيمّم كتاباً </w:t>
      </w:r>
      <w:r>
        <w:rPr>
          <w:rStyle w:val="FootnoteAnchor"/>
          <w:rtl w:val="true"/>
        </w:rPr>
        <w:footnoteReference w:id="2"/>
      </w:r>
      <w:r>
        <w:rPr>
          <w:rFonts w:ascii="Amiri" w:hAnsi="Amiri" w:eastAsia="Amiri" w:cs="Amiri"/>
          <w:color w:val="111111"/>
          <w:sz w:val="28"/>
          <w:sz w:val="28"/>
          <w:szCs w:val="28"/>
          <w:rtl w:val="true"/>
          <w:lang w:bidi="ar-SA"/>
        </w:rPr>
        <w:t>وسنّة</w:t>
      </w:r>
      <w:r>
        <w:rPr>
          <w:rStyle w:val="FootnoteAnchor"/>
          <w:rtl w:val="true"/>
        </w:rPr>
        <w:footnoteReference w:id="3"/>
      </w:r>
      <w:r>
        <w:rPr>
          <w:rFonts w:ascii="Amiri" w:hAnsi="Amiri" w:eastAsia="Amiri" w:cs="Amiri"/>
          <w:color w:val="111111"/>
          <w:sz w:val="28"/>
          <w:sz w:val="28"/>
          <w:szCs w:val="28"/>
          <w:rtl w:val="true"/>
          <w:lang w:bidi="ar-SA"/>
        </w:rPr>
        <w:t xml:space="preserve">وإجماعاً </w:t>
      </w:r>
      <w:r>
        <w:rPr>
          <w:rStyle w:val="FootnoteAnchor"/>
          <w:rtl w:val="true"/>
        </w:rPr>
        <w:footnoteReference w:id="4"/>
      </w:r>
      <w:r>
        <w:rPr>
          <w:rFonts w:ascii="Amiri" w:hAnsi="Amiri" w:eastAsia="Amiri" w:cs="Amiri"/>
          <w:color w:val="111111"/>
          <w:sz w:val="28"/>
          <w:sz w:val="28"/>
          <w:szCs w:val="28"/>
          <w:rtl w:val="true"/>
          <w:lang w:bidi="ar-SA"/>
        </w:rPr>
        <w:t>، وأمّا كونه من ضروريات الدين</w:t>
      </w:r>
      <w:r>
        <w:rPr>
          <w:rStyle w:val="FootnoteAnchor"/>
          <w:rtl w:val="true"/>
        </w:rPr>
        <w:footnoteReference w:id="5"/>
      </w:r>
      <w:r>
        <w:rPr>
          <w:rFonts w:ascii="Amiri" w:hAnsi="Amiri" w:eastAsia="Amiri" w:cs="Amiri"/>
          <w:color w:val="111111"/>
          <w:sz w:val="28"/>
          <w:sz w:val="28"/>
          <w:szCs w:val="28"/>
          <w:rtl w:val="true"/>
          <w:lang w:bidi="ar-SA"/>
        </w:rPr>
        <w:t xml:space="preserve">ففيه تأمّل وإن لا يبعد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كون منكر الضروري كافراً </w:t>
      </w:r>
      <w:r>
        <w:rPr>
          <w:rStyle w:val="FootnoteAnchor"/>
          <w:rtl w:val="true"/>
        </w:rPr>
        <w:footnoteReference w:id="6"/>
      </w:r>
      <w:r>
        <w:rPr>
          <w:rFonts w:ascii="Amiri" w:hAnsi="Amiri" w:eastAsia="Amiri" w:cs="Amiri"/>
          <w:color w:val="111111"/>
          <w:sz w:val="28"/>
          <w:sz w:val="28"/>
          <w:szCs w:val="28"/>
          <w:rtl w:val="true"/>
          <w:lang w:bidi="ar-SA"/>
        </w:rPr>
        <w:t>، محلّ إشكال يأتي الكلام فيه في مباحث النجاسات</w:t>
      </w:r>
      <w:r>
        <w:rPr>
          <w:rStyle w:val="FootnoteAnchor"/>
          <w:rtl w:val="true"/>
        </w:rPr>
        <w:footnoteReference w:id="7"/>
      </w:r>
      <w:r>
        <w:rPr>
          <w:rFonts w:ascii="Amiri" w:hAnsi="Amiri" w:eastAsia="Amiri" w:cs="Amiri"/>
          <w:color w:val="111111"/>
          <w:sz w:val="28"/>
          <w:sz w:val="28"/>
          <w:szCs w:val="28"/>
          <w:rtl w:val="true"/>
          <w:lang w:bidi="ar-SA"/>
        </w:rPr>
        <w:t xml:space="preserve">إن ساعدنا التوفيق إن شاء 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والإشكال فيه ناشئ من أنّ إنكار الضروري ، هل هو بنفسه موجب للكفر ، أو إذا لزم منه إنكار اللّه أو توحيده أو رسالة النبي صلی الله علیه و آله وسلم  ؟ والأظهر هو الثاني ، ولا مجال لتفصيل ذلك </w:t>
      </w:r>
      <w:r>
        <w:rPr>
          <w:rFonts w:eastAsia="IRNazanin" w:cs="IRNazanin"/>
          <w:color w:val="111111"/>
          <w:sz w:val="28"/>
          <w:szCs w:val="28"/>
          <w:rtl w:val="true"/>
          <w:lang w:bidi="fa-IR"/>
        </w:rPr>
        <w:t xml:space="preserve">. </w:t>
      </w:r>
      <w:bookmarkStart w:id="19" w:name="pg17116_198522"/>
    </w:p>
    <w:p>
      <w:pPr>
        <w:pStyle w:val="Heading3"/>
        <w:numPr>
          <w:ilvl w:val="2"/>
          <w:numId w:val="1"/>
        </w:numPr>
        <w:rPr/>
      </w:pPr>
      <w:bookmarkStart w:id="20" w:name="__RefHeading___Toc8645829_3381743652"/>
      <w:bookmarkStart w:id="21" w:name="_Toc6"/>
      <w:bookmarkEnd w:id="19"/>
      <w:bookmarkEnd w:id="20"/>
      <w:r>
        <w:rPr>
          <w:rtl w:val="true"/>
        </w:rPr>
        <w:t>الأمر الثاني</w:t>
      </w:r>
      <w:r>
        <w:rPr>
          <w:rtl w:val="true"/>
        </w:rPr>
        <w:t xml:space="preserve">: </w:t>
      </w:r>
      <w:r>
        <w:rPr>
          <w:rtl w:val="true"/>
        </w:rPr>
        <w:t>في عدم اتّصاف الطهارات بالوجوب مطلقاً</w:t>
      </w:r>
      <w:bookmarkEnd w:id="2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عدم اتّصاف الطهارات الثلاث بالوج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 لا نفسياً ، ولا غيرياً ، ولا بعنوان آخر ، كالنذر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فلقصور الأدلّة عن إثباته ؛ لأنّ الظاهر من كلّ ما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الأوامر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الإرشاد إلى الشرطية ؛ لأنّ الأوامر المتعلّقة</w:t>
      </w:r>
    </w:p>
    <w:p>
      <w:pPr>
        <w:pStyle w:val="BookText"/>
        <w:rPr/>
      </w:pPr>
      <w:r>
        <w:rPr>
          <w:rFonts w:ascii="Amiri" w:hAnsi="Amiri" w:eastAsia="Amiri" w:cs="Amiri"/>
          <w:color w:val="111111"/>
          <w:sz w:val="28"/>
          <w:sz w:val="28"/>
          <w:szCs w:val="28"/>
          <w:rtl w:val="true"/>
          <w:lang w:bidi="ar-SA"/>
        </w:rPr>
        <w:t xml:space="preserve">بالأجزاء وغيرها من متعلّقات المركّبات ، لا ظهور لها في المولوية بحسب فهم العرف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وُجُوهَكُمْ </w:t>
      </w:r>
      <w:r>
        <w:rPr>
          <w:rFonts w:eastAsia="Amiri" w:cs="Amiri" w:ascii="Amiri" w:hAnsi="Amiri"/>
          <w:color w:val="111111"/>
          <w:sz w:val="28"/>
          <w:szCs w:val="28"/>
          <w:rtl w:val="true"/>
          <w:lang w:bidi="ar-SA"/>
        </w:rPr>
        <w:t>. . .(</w:t>
      </w:r>
      <w:r>
        <w:rPr>
          <w:rStyle w:val="FootnoteAnchor"/>
          <w:rtl w:val="true"/>
        </w:rPr>
        <w:footnoteReference w:id="8"/>
      </w:r>
      <w:r>
        <w:rPr>
          <w:rFonts w:ascii="Amiri" w:hAnsi="Amiri" w:eastAsia="Amiri" w:cs="Amiri"/>
          <w:color w:val="111111"/>
          <w:sz w:val="28"/>
          <w:sz w:val="28"/>
          <w:szCs w:val="28"/>
          <w:rtl w:val="true"/>
          <w:lang w:bidi="ar-SA"/>
        </w:rPr>
        <w:t xml:space="preserve">إلى آخره ، لا يدلّ إلاّ على أنّ تلك الماهيات أو أثرها شرط للصلاة ، والأوامر المتعلّقة بها للإرشاد إلى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باستعمال الهيئة في غير ما وضعت له ، فإنّ التحقيق أنّ هيئة الأمر الموضوعة لنفس البعث والإغراء ، استعملت في مثل المقام فيما وُضعت له ، لكنّ البعث لداعي إفادة الشرطية ، كما أنّ النهي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الزجر ، لكن لإفادة مانعيته للصلاة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من قول أبي جعفر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فريضة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أيضاً كونه فريضة في الصلاة ، وهو لا يفيد إلاّ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صحيحته</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أبي جعفر علیه السلام  أيضاً بالسند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الفرض في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والطهور والقبلة والتوجّه والركوع والسجود والدعاء</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فعدّ الوقت من فرائض الصلاة في عَرْض الطهور ، ولا إشكال في أنّ الوقت فرض فيها بالمعنى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الوجوب النفسي في الطهارات ، كما يدلّ عليه بعض الروايات ، كرواية الكاهلي وغيرها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التحقيق عدم الوجوب الغيري أيضاً ؛ لما ذكرنا في محلّه من عدم وجوب المقدّمة شرعاً ، بل عدم إمكان وجوبها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بوجوب المقدّمة أيضاً ، لا يلزم منه وجوب تلك العناوين بما هي ؛ لما حقّق من وجوب المقدّمة الموصلة</w:t>
      </w:r>
      <w:r>
        <w:rPr>
          <w:rStyle w:val="FootnoteAnchor"/>
          <w:rtl w:val="true"/>
        </w:rPr>
        <w:footnoteReference w:id="14"/>
      </w:r>
      <w:r>
        <w:rPr>
          <w:rFonts w:ascii="Amiri" w:hAnsi="Amiri" w:eastAsia="Amiri" w:cs="Amiri"/>
          <w:color w:val="111111"/>
          <w:sz w:val="28"/>
          <w:sz w:val="28"/>
          <w:szCs w:val="28"/>
          <w:rtl w:val="true"/>
          <w:lang w:bidi="ar-SA"/>
        </w:rPr>
        <w:t xml:space="preserve">؛ أي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موصل ، فلا يسري الوجوب منه إلى ما يتّحد معه وجوداً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تقع الطهارات الثلاث إلاّ على وجه واحد هو الاستحباب ، وإنّما جُعلت شرطاً ومقدّمة للصلاة بما هي مستحبّات وعبادات ، فما هو شرط لها هو الوضوء العبادي والتيمّم العبادي ، فتكون عباديتها قبل تعلّق الأمر الغيري بها ، على </w:t>
      </w:r>
    </w:p>
    <w:p>
      <w:pPr>
        <w:pStyle w:val="BookText"/>
        <w:rPr/>
      </w:pPr>
      <w:r>
        <w:rPr>
          <w:rFonts w:ascii="Amiri" w:hAnsi="Amiri" w:eastAsia="Amiri" w:cs="Amiri"/>
          <w:color w:val="111111"/>
          <w:sz w:val="28"/>
          <w:sz w:val="28"/>
          <w:szCs w:val="28"/>
          <w:rtl w:val="true"/>
          <w:lang w:bidi="ar-SA"/>
        </w:rPr>
        <w:t xml:space="preserve">فرض تصوير الأمر الغيري ، فلا يمكن أن تكون عباديتها لأجل الأمر الغيري المتعلّق بها ؛ لأنّ الأمر الغيري لا يتعلّق إلاّ بما هو شرط للصلاة ، فإن كان الشرط ذات تلك الأفعال بلا اعتبار قيد العبادية والقربة ، كان اللازم صحّتها وصحّة الصلاة مع إتيانها بلا قصد التقرّب ، كما أنّ الأمر كذلك في الستر والتطهير من الخبث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الشرط هي مع قيد العبادية ، فلازمه كون عباديتها مقدّمة على شرطيتها المتقدّمة على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عباديتها للأمر النفسي المتعلّق بالصلاة أسوأ حالاً منه ، والتفصيل موكول إلى محلّه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بما هو عبادة جعل شرطاً للصلاة ، فلا بدّ وأن يكون مستحبّاً نفسياً مثل الوضوء ، مع أنّ الأصحاب لم يلتزموا باستحبابه النفسي على حذو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ويحسم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يكون التيمّم مستحبّاً نفسياً في ظرف خاصّ ؛ هو ظرف وجوب الإتيان بما هو مشروط به، أو إرادة ذلك، أو يكون مستحبّاً نفسياً بحسب ذاته مطلقاً، لكن عرض له عنوان مانع عن التعبّد به في غير الظرف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أيضاً ليس مستحبّاً نفسياً إلاّ باعتبار حصول الطهارة به ، وأمّا نفس الأفعال بما هي فلا تستحبّ ، والتيمّم مع تلك الغاية أيضاً مستحبّ ، وسيأتي التفصيل في بعض المباحث الآتية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وجوبها بسائر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النذر وشبهه إذا تعلّق بعنوان ، </w:t>
      </w:r>
      <w:bookmarkStart w:id="22" w:name="pg17116_198525"/>
    </w:p>
    <w:p>
      <w:pPr>
        <w:pStyle w:val="BookText"/>
        <w:rPr/>
      </w:pPr>
      <w:bookmarkEnd w:id="22"/>
      <w:r>
        <w:rPr>
          <w:rFonts w:ascii="Amiri" w:hAnsi="Amiri" w:eastAsia="Amiri" w:cs="Amiri"/>
          <w:color w:val="111111"/>
          <w:sz w:val="28"/>
          <w:sz w:val="28"/>
          <w:szCs w:val="28"/>
          <w:rtl w:val="true"/>
          <w:lang w:bidi="ar-SA"/>
        </w:rPr>
        <w:t xml:space="preserve">لا يوجب إلاّ وجوب الوفاء به ، وهو لا يوجب سراية الوجوب من عنوان الوفاء به إلى عنوان آخر ، بل لا يعقل ذلك ، وإن كان متّحداً معه في الوجود ، فالواجب في النذر هو الوفاء به ، لا الوضوء المنذور المتّحد معه وجوداً لا عنواناً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645831_3381743652"/>
      <w:bookmarkStart w:id="24" w:name="_Toc7"/>
      <w:bookmarkEnd w:id="23"/>
      <w:r>
        <w:rPr>
          <w:rtl w:val="true"/>
        </w:rPr>
        <w:t>الأمر الثالث</w:t>
      </w:r>
      <w:r>
        <w:rPr>
          <w:rtl w:val="true"/>
        </w:rPr>
        <w:t xml:space="preserve">: </w:t>
      </w:r>
      <w:r>
        <w:rPr>
          <w:rtl w:val="true"/>
        </w:rPr>
        <w:t>في كون الطهارة الترابية بدلاً اضطرارياً عن المائية</w:t>
      </w:r>
      <w:bookmarkEnd w:id="24"/>
    </w:p>
    <w:p>
      <w:pPr>
        <w:pStyle w:val="Heading4"/>
        <w:numPr>
          <w:ilvl w:val="3"/>
          <w:numId w:val="1"/>
        </w:numPr>
        <w:rPr/>
      </w:pPr>
      <w:bookmarkStart w:id="25" w:name="__RefHeading___Toc8645833_3381743652"/>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التكليف إذا تعلّق بعنوانين متقابلين ، مثلاً كالمسافر والحاضر ، والواجد للماء والفاقد ، وكذا إذا كان التعلّق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السفر فكذا ، وإن كنت في الحضر فكذا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المكلّف حفظ العنوان في الفرض الأوّل ، وحفظ الشرط في الثاني ، فيجوز تبديل أحد العنوانين بالآخر ورفع الشرط ؛ سواء كان قبل تحقّق التكليف وتنجّزه أو لا ؛ لعدم اقتضاء التكليف حفظ موضوعه ، ولا المشروط حفظ شرطه ، فيجوز للحاضر السفر قبل الوقت وبعده ، وللواجد إراقة الماء قبله وبعده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ريب في أ نّه إذا توجّه التكليف بنحو الإطلاق إلى المكلّف ، لا يجوز تعجيز نفسه ؛ لأنّ القدرة ليست من القيود والعناوين المأخوذة في المكلّف ، ولا شرطاً للتكليف ؛ لا شرعاً ولا عقلاً ، لكنّ العاجز معذور في ترك التكليف المطلق الفعلي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الناس إنقاذ الغرقى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التكليف المتعلّق بالعنوان الكلّي ، مشروطاً بحال القدرة شرطاً شرعياً ، وإلاّ لكان للمكلّف تعجيز نفسه ، ولما وجب عليه الاحتياط في الشكّ في القدرة ، وليس للعقل تقييد حكم </w:t>
      </w:r>
      <w:bookmarkStart w:id="27" w:name="pg17116_198526"/>
    </w:p>
    <w:p>
      <w:pPr>
        <w:pStyle w:val="BookText"/>
        <w:rPr/>
      </w:pPr>
      <w:bookmarkEnd w:id="27"/>
      <w:r>
        <w:rPr>
          <w:rFonts w:ascii="Amiri" w:hAnsi="Amiri" w:eastAsia="Amiri" w:cs="Amiri"/>
          <w:color w:val="111111"/>
          <w:sz w:val="28"/>
          <w:sz w:val="28"/>
          <w:szCs w:val="28"/>
          <w:rtl w:val="true"/>
          <w:lang w:bidi="ar-SA"/>
        </w:rPr>
        <w:t xml:space="preserve">الشرع ، بل هو حاكم بمعذورية العبد عند مخالفة التكليف في صورة عجزه ، وعدم معذوريته مع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لزوم تعلّق التكليف والبعث على العاجز ، قد فرغنا من دفاعه في الاُصول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 نّه لو فرض استفادة وجود اقتضاء التكليف من الأدلّة في صورة عروض عنوان على المكلّف يوجب تعلّق تكليف آخر به ، يكون حكمه حكم العجز العقلي ، كما لو فرض استفادة اقتضاء لزومي للطهارة المائية أو الصلاة معها حتّى في حال عروض فقدان الماء ، فلا يجوز إراقته أو تحصيل العجز في هذه الصورة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 حال الطهارة المائية والترابية ما ذا ، وهل التكليف متعلّق بالواجد وبالفاقد كتعلّقه بالحاضر والمسافر ، أو يكون التكليف بالطهارة المائية مطلقاً ، وله اقتضاء حتّى في صورة فقدان الماء ، والطهارة الترابية مصداق اضطراري سوّغه العجز عن المائية مع بقاء الاقتضاء اللزومي ، فلا يجوز تحصيل الاضطرار ؟</w:t>
      </w:r>
    </w:p>
    <w:p>
      <w:pPr>
        <w:pStyle w:val="BookText"/>
        <w:rPr/>
      </w:pPr>
      <w:r>
        <w:rPr>
          <w:rFonts w:ascii="Amiri" w:hAnsi="Amiri" w:eastAsia="Amiri" w:cs="Amiri"/>
          <w:color w:val="111111"/>
          <w:sz w:val="28"/>
          <w:sz w:val="28"/>
          <w:szCs w:val="28"/>
          <w:rtl w:val="true"/>
          <w:lang w:bidi="ar-SA"/>
        </w:rPr>
        <w:t xml:space="preserve">فاللازم صرف الكلام أوّلاً إلى الآية الشريفة ، ثمّ إلى مقتضى الروايات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645835_3381743652"/>
      <w:bookmarkStart w:id="29" w:name="_Toc9"/>
      <w:bookmarkEnd w:id="28"/>
      <w:r>
        <w:rPr>
          <w:rtl w:val="true"/>
        </w:rPr>
        <w:t>التمسّك بالكتاب على كون التيمّم بدلاً اضطرارياً</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الصَّلَوةِ فَاغْسِلُوا وُجُوهَكُمْ وَأَيْدِيَكُمْ إِلَى الْمَرَافِقِ وَامْسَحُوا بِرُؤُوسِكُمْ وَأَرْجُلَكُمْ إِلَى الْكَعْبَيْنِ </w:t>
      </w:r>
    </w:p>
    <w:p>
      <w:pPr>
        <w:pStyle w:val="BookText"/>
        <w:rPr/>
      </w:pPr>
      <w:r>
        <w:rPr>
          <w:rFonts w:ascii="Amiri" w:hAnsi="Amiri" w:eastAsia="Amiri" w:cs="Amiri"/>
          <w:color w:val="111111"/>
          <w:sz w:val="28"/>
          <w:sz w:val="28"/>
          <w:szCs w:val="28"/>
          <w:rtl w:val="true"/>
          <w:lang w:bidi="ar-SA"/>
        </w:rPr>
        <w:t>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تعالى شأنه بالوضوء أوّلاً ، ومع فرض الجنابة بالغسل ؛ لظهور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فرض العجز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التطهير بالماء ، وإطلاقها يقتضي مطلوبيتهما مطلقاً واقتضاءهما كذلك حتّى في فرض العجز والفقدان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قيد الوجدان لحصوله غالباً ونُدرة فقدانه ؛</w:t>
      </w:r>
    </w:p>
    <w:p>
      <w:pPr>
        <w:pStyle w:val="BookText"/>
        <w:rPr/>
      </w:pPr>
      <w:r>
        <w:rPr>
          <w:rFonts w:ascii="Amiri" w:hAnsi="Amiri" w:eastAsia="Amiri" w:cs="Amiri"/>
          <w:color w:val="111111"/>
          <w:sz w:val="28"/>
          <w:sz w:val="28"/>
          <w:szCs w:val="28"/>
          <w:rtl w:val="true"/>
          <w:lang w:bidi="ar-SA"/>
        </w:rPr>
        <w:t xml:space="preserve">فإنّ نُدرة فقدانه في تلك الأزمان والأسفار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نُدرته لكنّ العجز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الآية بذكر المرض وإلغاء الخصوصية بالنسبة إلى سائر الأعذار ، كما يأتي بيانه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كونها بصدد بيان كيفية الوضوء ، لا ينافي الإطلاق من جهة اُخرى ، فالآية الشريفة بصدد بيان تكليف صنوف المكلّفين من الواجد والفاقد والجنب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لتقييد الصدر ؛ بحيث صار معنوناً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العنوانان عِدْلين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العرف يفهم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ونظيرهما من العناوين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المتعلّق به إنّما هو في فرض الاضطرار </w:t>
      </w:r>
      <w:bookmarkStart w:id="30" w:name="pg17116_198528"/>
    </w:p>
    <w:p>
      <w:pPr>
        <w:pStyle w:val="BookText"/>
        <w:rPr/>
      </w:pPr>
      <w:bookmarkEnd w:id="30"/>
      <w:r>
        <w:rPr>
          <w:rFonts w:ascii="Amiri" w:hAnsi="Amiri" w:eastAsia="Amiri" w:cs="Amiri"/>
          <w:color w:val="111111"/>
          <w:sz w:val="28"/>
          <w:sz w:val="28"/>
          <w:szCs w:val="28"/>
          <w:rtl w:val="true"/>
          <w:lang w:bidi="ar-SA"/>
        </w:rPr>
        <w:t xml:space="preserve">والعجز عن المطلوب الأصلي ، وفي مثله لا يكون التكليفان في عَرْض واحد على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المرضى قرين المسافر ، دليل على أنّ الحكم كما في المرضى اضطراري إلجائي ، كذلك في سائر الأصناف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التذييل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عرفاً في كونه مربوطاً بالتيمّم في حال المرض والسفر ، وأنّ الأمر بالتيمّم لأجل التسهيل ورفع الحرج ؛ فإنّ الأمرَ للمرضى بالطهارة المائية وللمسافر بتحصيل الماء كيفما اتّفق حرجي ، وما يريد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التيمّم سوّغ لأجل التسهيل ، ورفع الوضوء والغسل للحرج ، ولا يكون ذلك إلاّ مع تحقّق الاقتضاء ، فيفهم منه أنّ التكليف الأوّلي الأصلي هو الطهارة المائية ، وله اقتضاء حتّى في صورة العجز ، فلا يجوز تحصيل العجز ، ويجب عليه تحصيل المائية حتّى الإمكان مع عدم الوصول إلى حدّ الحرج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8645837_3381743652"/>
      <w:bookmarkStart w:id="32" w:name="_Toc10"/>
      <w:bookmarkEnd w:id="31"/>
      <w:r>
        <w:rPr>
          <w:rtl w:val="true"/>
        </w:rPr>
        <w:t>التمسّك بالسنّة على كون التيمّم بدلاً اضطرارياً</w:t>
      </w:r>
      <w:bookmarkEnd w:id="32"/>
    </w:p>
    <w:p>
      <w:pPr>
        <w:pStyle w:val="BookText"/>
        <w:rPr/>
      </w:pPr>
      <w:r>
        <w:rPr>
          <w:rFonts w:ascii="Amiri" w:hAnsi="Amiri" w:eastAsia="Amiri" w:cs="Amiri"/>
          <w:color w:val="111111"/>
          <w:sz w:val="28"/>
          <w:sz w:val="28"/>
          <w:szCs w:val="28"/>
          <w:rtl w:val="true"/>
          <w:lang w:bidi="ar-SA"/>
        </w:rPr>
        <w:t xml:space="preserve">وتدلّ عليه أيضاً روايات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 أجنب في سفر ، ولم يجد إلاّ الثلج أو ماءً جامداً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الضرورة ، يتيمّم ، ولا أرى أن يعود إلى هذه الأرض التي توبق دينه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المراد من عدم وجدان غير الثلج والماء الجامد ، عدم وجدان ما يتوضّأ به ، لا ما يتيمّم به اختياراً كما زعمه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فحينئذٍ تدلّ على أنّ التيمّم مصداق اضطراري سوّغ في حال الضرورة ، ويدلّ ذيلها على عدم جواز تحصيل الاضطرار اختياراً ، وأنّ الترابية ما وفت بما وفت المائية ، والذهاب إلى 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تفويت التكليف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هلاك الدين وتفويت ما يجب تحصيله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وجوب شراء الماء على قدر جِدته ولو بمائة ألف وكم بلغ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يشتري بذلك مال كثير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فإنّ المتفاهم منها وجوب حفظ الموضوع ، ويرى العرف جواز إراقته بعد الشراء منافياً لها ، خصوصاً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يشتري بذلك مال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المراد ليس نفس الماء ، بل ما يترتّب عليه من الخاصّية ، ولو ترتّبت تلك الخاصّية بعينها على التراب لا يكون ذلك مالاً كثيراً مع كون وجوده وعدمه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دليل على أنّ وجوب الشراء إنّما هو لتحصيل المصلحة الملزمة ، لا لكونه واجداً للماء حتّى يتوهّم عدم المنافاة بين وجوب شرائه وجواز إراقته لتبديل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المتفاهم منها لزوم تحصيل الماء وكون الصلاة مع المائية مطلوبة حتّى الإمكان ، وأ نّها الفرد الأعلى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على وجوب الطلب</w:t>
      </w:r>
      <w:r>
        <w:rPr>
          <w:rStyle w:val="FootnoteAnchor"/>
          <w:rtl w:val="true"/>
        </w:rPr>
        <w:footnoteReference w:id="23"/>
      </w:r>
      <w:r>
        <w:rPr>
          <w:rFonts w:ascii="IRNazanin" w:hAnsi="IRNazanin" w:eastAsia="IRNazanin"/>
          <w:color w:val="111111"/>
          <w:sz w:val="28"/>
          <w:sz w:val="28"/>
          <w:szCs w:val="28"/>
          <w:rtl w:val="true"/>
          <w:lang w:bidi="fa-IR"/>
        </w:rPr>
        <w:t xml:space="preserve">، ومن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الباطل لدى </w:t>
      </w:r>
      <w:bookmarkStart w:id="33" w:name="pg17116_198530"/>
    </w:p>
    <w:p>
      <w:pPr>
        <w:pStyle w:val="BookText"/>
        <w:rPr/>
      </w:pPr>
      <w:bookmarkEnd w:id="33"/>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الماء بالطلب وجواز إراقته بعد الوجدان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واجب لتحصيل العلم بتحقّق الموضوع ، فلا ينافي رفع الموضوع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احتمال عقلي لا يساعد عليه العرف بحسب ما يتفاهم من الروايات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645839_3381743652"/>
      <w:bookmarkStart w:id="35" w:name="_Toc11"/>
      <w:bookmarkEnd w:id="34"/>
      <w:r>
        <w:rPr>
          <w:rtl w:val="true"/>
        </w:rPr>
        <w:t>الروايات المنافي ظاهرها لما سبق</w:t>
      </w:r>
      <w:bookmarkEnd w:id="35"/>
    </w:p>
    <w:p>
      <w:pPr>
        <w:pStyle w:val="BookText"/>
        <w:rPr/>
      </w:pPr>
      <w:r>
        <w:rPr>
          <w:rFonts w:ascii="IRNazanin" w:hAnsi="IRNazanin" w:eastAsia="IRNazanin"/>
          <w:color w:val="111111"/>
          <w:sz w:val="28"/>
          <w:sz w:val="28"/>
          <w:szCs w:val="28"/>
          <w:rtl w:val="true"/>
          <w:lang w:bidi="fa-IR"/>
        </w:rPr>
        <w:t xml:space="preserve">نعم ، هنا روايات ظاهرها ينافي ما تقدّم ، كرواية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الرجل يكون مع أهله في السفر ، فلا يجد الماء ، يأتي أهله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أن يفعل ذلك ، إلاّ أن يكون شَبِقاً ، أو يخاف على نفسه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بذلك اللذّة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رُوي عن النبي صلی الله علیه و آله وسلم  أنّ أباذرّ سأله عن هذا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إيت أهلك توجر </w:t>
      </w:r>
      <w:r>
        <w:rPr>
          <w:rFonts w:eastAsia="IRNazanin" w:cs="IRNazanin"/>
          <w:color w:val="111111"/>
          <w:sz w:val="28"/>
          <w:szCs w:val="28"/>
          <w:rtl w:val="true"/>
          <w:lang w:bidi="fa-IR"/>
        </w:rPr>
        <w:t>. . .»</w:t>
      </w:r>
      <w:r>
        <w:rPr>
          <w:rStyle w:val="FootnoteAnchor"/>
          <w:rtl w:val="true"/>
        </w:rPr>
        <w:footnoteReference w:id="2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بإلغاء الخصوصية عرفاً أو بالأولوية ، تدلّ على جواز نقض الوضوء أيضاً ، فتدلّ على أنّ الترابية والمائية سواء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السَكوني الموثّقة برواية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نحو إشكال فيها ؛ وهو احتمال الإرسال</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أبيه ، عن آبائه ، عن أبي ذرّ رضى‌الله‌عنه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أتى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هلكتُ ؛ جامعتُ على غير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صلی الله علیه و آله وسلم  بمحمل ، فاستترنا به ، وبماء ، فاغتسلتُ أنا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يكفيك الصعيد عشر سنين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ذيلها دفع توحّش أبي ذرّ بأ نّه هلك وعمل على خلاف التكليف ، والمتفاهم منه أنّ الصعيد لا ينقص عن الماء مطلقاً ، ولا يختصّ الجواز بالجماع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لا يجد الماء ، أيتيمّم لكلّ 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هو بمنزلة الماء</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حُمران وجميل بن درّاج ، عن أبي عبداللّه‌ علیه السلام  في </w:t>
      </w:r>
    </w:p>
    <w:p>
      <w:pPr>
        <w:pStyle w:val="BookText"/>
        <w:rPr/>
      </w:pPr>
      <w:r>
        <w:rPr>
          <w:rFonts w:ascii="Amiri" w:hAnsi="Amiri" w:eastAsia="Amiri" w:cs="Amiri"/>
          <w:color w:val="111111"/>
          <w:sz w:val="28"/>
          <w:sz w:val="28"/>
          <w:szCs w:val="28"/>
          <w:rtl w:val="true"/>
          <w:lang w:bidi="ar-SA"/>
        </w:rPr>
        <w:t xml:space="preserve">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والصعيد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الماء هو ربّ الصعيد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التيمّم أحد الطهورين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التيمّم بالصعيد لمن لا يجد الماء كمن توضّأ من غدير ماء ؛ أليس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ترجيح الروايات الاُولى الموافقة للكتاب وفتوى الأصحاب ؛ على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دلّت على جواز الجماع مخصوصة بموردها ، ولا يتعدّى منه ، ودعوى الأولوية أو إلغاء الخصوصية في غير محلّها ، مع وجود الخصوصية في الجماع الذي هو من سُنن المرسلين ، والتضييق فيه ربّما يورث الوقوع في الحرام </w:t>
      </w:r>
      <w:r>
        <w:rPr>
          <w:rFonts w:eastAsia="Amiri" w:cs="Amiri" w:ascii="Amiri" w:hAnsi="Amiri"/>
          <w:color w:val="111111"/>
          <w:sz w:val="28"/>
          <w:szCs w:val="28"/>
          <w:rtl w:val="true"/>
          <w:lang w:bidi="ar-SA"/>
        </w:rPr>
        <w:t xml:space="preserve">. </w:t>
      </w:r>
      <w:bookmarkStart w:id="36" w:name="pg17116_198533"/>
    </w:p>
    <w:p>
      <w:pPr>
        <w:pStyle w:val="BookText"/>
        <w:rPr/>
      </w:pPr>
      <w:bookmarkEnd w:id="36"/>
      <w:r>
        <w:rPr>
          <w:rFonts w:ascii="IRNazanin" w:hAnsi="IRNazanin" w:eastAsia="IRNazanin"/>
          <w:color w:val="111111"/>
          <w:sz w:val="28"/>
          <w:sz w:val="28"/>
          <w:szCs w:val="28"/>
          <w:rtl w:val="true"/>
          <w:lang w:bidi="fa-IR"/>
        </w:rPr>
        <w:t xml:space="preserve">ولعلّ أباذرّ رضى‌الله‌عنه تخيّل عدم صحّة صلاته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النبي صلی الله علیه و آله وسلم  هذا التوهّم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يدلّ ذلك على مساواة الترابية للمائية ؛ لأنّ الكفاية والإجزاء غير المساواة في المصلحة والمطلوبية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عموم المنزلة حتّى بالنسبة إلى المورد جزماً ، بل الظاهر أ نّه بمنزلته في عدم وجوب الإعادة ، أو في الطهورية والإجزاء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الروايات ليست بصدد التسوية بينهما من جميع الجهات ؛ ضرورة عدم التسوية التي تتوهّم من ظاهرها بينهما ، وإلاّ لكان التيمّم سائغاً مع وجدان الماء ، فلا يستفاد منها إلاّ التسوية في أصل الطهورية وإجزاء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العيّاشي</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إلاّ على تسويتهما في تصحيح الصلاة بهما ، ولهذا استدلّ فيها بالآية الشريفة الظاهرة في صحّة الصلاة به مع كونه طهارة اضطرارية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إراقة الماء وتحصيلِ الاضطرار في غير المورد المنصوص فيه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645841_3381743652"/>
      <w:bookmarkStart w:id="38" w:name="_Toc12"/>
      <w:bookmarkEnd w:id="37"/>
      <w:r>
        <w:rPr>
          <w:rtl w:val="true"/>
        </w:rPr>
        <w:t>الإشكال في اضطرارية التيمّم</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 نّه لو كان الأمر كذلك لوجب الاكتفاء على قدر الضرورة والاضطرار ، مع عدم إمكان الالتزام به ؛ لما سيأتي</w:t>
      </w:r>
      <w:r>
        <w:rPr>
          <w:rStyle w:val="FootnoteAnchor"/>
          <w:rtl w:val="true"/>
        </w:rPr>
        <w:footnoteReference w:id="36"/>
      </w:r>
      <w:r>
        <w:rPr>
          <w:rFonts w:ascii="Amiri" w:hAnsi="Amiri" w:eastAsia="Amiri" w:cs="Amiri"/>
          <w:color w:val="111111"/>
          <w:sz w:val="28"/>
          <w:sz w:val="28"/>
          <w:szCs w:val="28"/>
          <w:rtl w:val="true"/>
          <w:lang w:bidi="ar-SA"/>
        </w:rPr>
        <w:t xml:space="preserve">من جواز البدار ، وجواز الاستئجار ، والاستباحة لسائر الغايات التي لا يضطرّ المكلّف إليها ، </w:t>
      </w:r>
    </w:p>
    <w:p>
      <w:pPr>
        <w:pStyle w:val="BookText"/>
        <w:rPr/>
      </w:pPr>
      <w:r>
        <w:rPr>
          <w:rFonts w:ascii="Amiri" w:hAnsi="Amiri" w:eastAsia="Amiri" w:cs="Amiri"/>
          <w:color w:val="111111"/>
          <w:sz w:val="28"/>
          <w:sz w:val="28"/>
          <w:szCs w:val="28"/>
          <w:rtl w:val="true"/>
          <w:lang w:bidi="ar-SA"/>
        </w:rPr>
        <w:t xml:space="preserve">وصحّة الاقتداء بالمتيمّم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ممّا لا يمكن الجمع بينها وبين القول بكون الطهارة الترابية اضطرارية ، والغايات معها أنقصَ ممّا تحصل بالمائية بنحو يلزم مراعاته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لذلك التزم المحقّق رحمه الله علیه  في محكيّ معتبره بجواز الإراقة</w:t>
      </w:r>
      <w:r>
        <w:rPr>
          <w:rStyle w:val="FootnoteAnchor"/>
          <w:rtl w:val="true"/>
        </w:rPr>
        <w:footnoteReference w:id="3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الأدلّة كتاباً وسُنّة وفتاوى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الالتزام</w:t>
      </w:r>
    </w:p>
    <w:p>
      <w:pPr>
        <w:pStyle w:val="BookText"/>
        <w:rPr/>
      </w:pPr>
      <w:r>
        <w:rPr>
          <w:rFonts w:ascii="Amiri" w:hAnsi="Amiri" w:eastAsia="Amiri" w:cs="Amiri"/>
          <w:color w:val="111111"/>
          <w:sz w:val="28"/>
          <w:sz w:val="28"/>
          <w:szCs w:val="28"/>
          <w:rtl w:val="true"/>
          <w:lang w:bidi="ar-SA"/>
        </w:rPr>
        <w:t xml:space="preserve">بلزوم الاكتفاء بمقدار الضرورة غير ممكن مخالف للأدلّة الآتية ، خصوصاً في بعض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للطهارة المائية من حيث هي لدى الإتيان بشيء من غاياتها الواجبة ، مطلوبيةً وراء مطلوبيتها مقدّمة للواجبات المشروطة بالطهور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حفظ الماء وحرمة تحصيل العجز لأجل ذلك ، لا لكون الغايات لأجل المائية تصير واجدة لخصوصية واجبة المراعاة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جمعاً بين الأدلّة وتصحيحاً لها ، بل هو طرح طائفة منها ، كظاهر الآية الشريفة الدالّة على أنّ الطهارة بمصداقيها شرط للصلاة ، ولازمه كون الصلاة معهما مختلفة المرتبة ، كما يتّضح بالتأمّل في الآية ، ولا يجوز رفع اليد عن هذا الظاهر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المطلوبية النفسية خلاف ارتكاز المتشرّعة وجميع الأدلّة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يقال في رفع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مع المائية أكمل منها مع الترابية بمقدار يجب مراعاته ، كما هو ظاهر الأدلّة المتقدّمة ، ومع العجز تتحقّق </w:t>
      </w:r>
      <w:bookmarkStart w:id="39" w:name="pg17116_198535"/>
    </w:p>
    <w:p>
      <w:pPr>
        <w:pStyle w:val="BookText"/>
        <w:rPr/>
      </w:pPr>
      <w:bookmarkEnd w:id="39"/>
      <w:r>
        <w:rPr>
          <w:rFonts w:ascii="Amiri" w:hAnsi="Amiri" w:eastAsia="Amiri" w:cs="Amiri"/>
          <w:color w:val="111111"/>
          <w:sz w:val="28"/>
          <w:sz w:val="28"/>
          <w:szCs w:val="28"/>
          <w:rtl w:val="true"/>
          <w:lang w:bidi="ar-SA"/>
        </w:rPr>
        <w:t xml:space="preserve">مفسدة واقعية مانعة عن عدم تجويز البدار وعدم تجويز سائر الغايات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فوجوب حفظ الماء لأجل وجوب تحصيل المصلحة اللزومية ، وبعد فَقْد الماء وعروض العجز ، تجويز الإتيان بسائر الغايات وتجويز البدار وغير ذلك ؛ لأجل التخلّص من مفسدة واقعية لازمة المراعاة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صِرف احتمالٍ عقلي ، لكن يكفي ذلك في لزوم الأخذ بالظواهر وعدم جواز طرحها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الالتزام بحصول جهة مقتضية في ظرف الفقدان توجب تسهيل الأمر على المكلّفين ، فغير دافع للإشكال ؛ لأنّ الجهة المقتضية إن كانت مصلحة جابرة ، يجوز للمكلّف تحصيل العجز ، وإلاّ لا يعقل تفويت المصلحة بلا وجه ، تأمّل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8645843_3381743652"/>
      <w:bookmarkStart w:id="41" w:name="_Toc13"/>
      <w:bookmarkEnd w:id="40"/>
      <w:r>
        <w:rPr>
          <w:rtl w:val="true"/>
        </w:rPr>
        <w:t>عدم جواز التعجيز قبل زمان التكليف وبعده</w:t>
      </w:r>
      <w:bookmarkEnd w:id="41"/>
    </w:p>
    <w:p>
      <w:pPr>
        <w:pStyle w:val="BookText"/>
        <w:rPr/>
      </w:pPr>
      <w:r>
        <w:rPr>
          <w:rFonts w:ascii="Amiri" w:hAnsi="Amiri" w:eastAsia="Amiri" w:cs="Amiri"/>
          <w:color w:val="111111"/>
          <w:sz w:val="28"/>
          <w:sz w:val="28"/>
          <w:szCs w:val="28"/>
          <w:rtl w:val="true"/>
          <w:lang w:bidi="ar-SA"/>
        </w:rPr>
        <w:t xml:space="preserve">ثمّ إنّه لا فرق في وجوب حفظ الطهور وعدم جواز تحصيل العجز بين ما قبل حضور زمان التكليف وما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يتخيّل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غير متعلّق بذي المقدّمة قبل حضور الوقت ، أو غير فعلي ، أو غير منجّز ، والمقدّمة تابعة لذيها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مسموع ؛ لما قلنا بعدم وجوبها شرعاً ، بل وجوب الإتيان بها عقلي محض</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وجوبها فحديث تبعيتها لذيها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تعلّق الإرادة الغيرية بها قبل تعلّق الإرادة بذيها ؛ بناءً على كون الوقت شرطاً وعدم </w:t>
      </w:r>
    </w:p>
    <w:p>
      <w:pPr>
        <w:pStyle w:val="BookText"/>
        <w:rPr/>
      </w:pPr>
      <w:r>
        <w:rPr>
          <w:rFonts w:ascii="Amiri" w:hAnsi="Amiri" w:eastAsia="Amiri" w:cs="Amiri"/>
          <w:color w:val="111111"/>
          <w:sz w:val="28"/>
          <w:sz w:val="28"/>
          <w:szCs w:val="28"/>
          <w:rtl w:val="true"/>
          <w:lang w:bidi="ar-SA"/>
        </w:rPr>
        <w:t>وجوب المشروط قبل شرطه ؛ لأنّ مبادئ تعلّق الإرادة الغيرية غير مبادئ الإرادة النفسية ، والتفصيل موكول إلى محلّه</w:t>
      </w:r>
      <w:r>
        <w:rPr>
          <w:rStyle w:val="FootnoteAnchor"/>
          <w:rtl w:val="true"/>
        </w:rPr>
        <w:footnoteReference w:id="40"/>
      </w:r>
      <w:r>
        <w:rPr>
          <w:rFonts w:ascii="Amiri" w:hAnsi="Amiri" w:eastAsia="Amiri" w:cs="Amiri"/>
          <w:color w:val="111111"/>
          <w:sz w:val="28"/>
          <w:sz w:val="28"/>
          <w:szCs w:val="28"/>
          <w:rtl w:val="true"/>
          <w:lang w:bidi="ar-SA"/>
        </w:rPr>
        <w:t>، ولعلّه يأتي من ذي قبل بعض الكلام فيه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حكم العقل ، ولا إشكال في أنّ العقل حاكم بعدم جواز تحصيل العجز عن تكليف يعلم بحضور وقته ، وحصول جميع ما يوجب الفعلية والتنجيز فيه ، فإنّه مع العلم بالغرض المطلق الاستقبالي ، لا يجوز عقلاً تفويته بتعجيز نفسه ، بل لا يجوز تفويت المقدّمة ولو مع احتمال حصول القدرة عند حضور وقت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ما إذا كان واجداً في الوقت وإن احتمل الوجدان فيه ، فلا يجوز عقلاً إراقة الموجود بمجرّد احتمال تجدّده بعد ذلك ؛ لحكم العقل بلزوم الخروج عن عهدة التكليف المنجّز ، واحتمال التجدّد ليس عذراً عند العقلاء ولدى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عن التكليف المتعلّق بهذه المقدّمة ؛ بعد كون الشكّ في انحصارها ، والشكّ في توقّف ذي المقدّمة على هذا الماء بالخصوص ، والشكّ في وجوب حفظه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 لعدم وجوب المقدّمة ، وعدم كون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لاستحقاق العقاب عليها ، فلا مجرى للبراءة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ذو المقدّمة ، فواجب مطلق منجّز فرضاً يجب عقلاً الخروج عن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تجدّد القدرة ، لا يوجب التعذير العقلي لو فرض عدم التجدّد ، والشاهد حكم العقل في نظائره ، فمن كان مكلّفاً بضيافة ضيف لمولاه ، وكانت موجبات ضيافته وأسبابها حاصلة لديه ، واحتمل عدم إمكان حصولها بعد ذلك احتمالاً عقلائياً ، هل ترى من نفسك معذوريته في تفويت المقدّمات ، وهل له الاعتذار باحتمال تجدّد القدرة ، بل وظنّه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اختاره بعض أهل التحقيق ؛ من جواز الإراقة حتّى في الوقت باحتمال الوجدان بعد ذلك ؛ تمسّكاً بالبراءة</w:t>
      </w:r>
      <w:r>
        <w:rPr>
          <w:rStyle w:val="FootnoteAnchor"/>
          <w:rtl w:val="true"/>
        </w:rPr>
        <w:footnoteReference w:id="43"/>
      </w:r>
      <w:r>
        <w:rPr>
          <w:rFonts w:ascii="Amiri" w:hAnsi="Amiri" w:eastAsia="Amiri" w:cs="Amiri"/>
          <w:color w:val="111111"/>
          <w:sz w:val="28"/>
          <w:sz w:val="28"/>
          <w:szCs w:val="28"/>
          <w:rtl w:val="true"/>
          <w:lang w:bidi="ar-SA"/>
        </w:rPr>
        <w:t xml:space="preserve">غيرُ 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تعلم حرمة إبطال الطهارة ونقض الوضوء مع العلم بعدم تمكّنه ، أو الاحتمال العقلائي المعتدّ به ؛ سواء في ذلك قبل حضور الوقت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بحرمة نقض الوضوء أو وجوب حفظ الطهارة ، ليس إلاّ عدم المعذورية بالنسبة إلى ما يفوت منه لأجل الطهارة المائية من التكليف النفسي ، وإلاّ فترك التكليف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العقوبة ، بل لا يكون حفظ المقدّمة واجباً شرعاً ، ولا تفويتها حراماً كذلك ، كما مرّ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 فالمباحث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7116_198539"/>
      <w:bookmarkStart w:id="43" w:name="pg17116_198539"/>
      <w:bookmarkEnd w:id="43"/>
    </w:p>
    <w:p>
      <w:pPr>
        <w:pStyle w:val="Heading4"/>
        <w:numPr>
          <w:ilvl w:val="3"/>
          <w:numId w:val="1"/>
        </w:numPr>
        <w:rPr/>
      </w:pPr>
      <w:bookmarkStart w:id="44" w:name="pg17116_198539"/>
      <w:bookmarkStart w:id="45" w:name="__RefHeading___Toc8645845_3381743652"/>
      <w:bookmarkStart w:id="46" w:name="_Toc14"/>
      <w:bookmarkEnd w:id="44"/>
      <w:bookmarkEnd w:id="45"/>
      <w:r>
        <w:rPr>
          <w:rtl w:val="true"/>
        </w:rPr>
        <w:t>المبحث الأوّل</w:t>
      </w:r>
      <w:r>
        <w:rPr>
          <w:rtl w:val="true"/>
        </w:rPr>
        <w:t xml:space="preserve">: </w:t>
      </w:r>
      <w:r>
        <w:rPr>
          <w:rtl w:val="true"/>
        </w:rPr>
        <w:t>في مسوّغات التيمّم</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 w:name="__RefHeading___Toc8645847_3381743652"/>
      <w:bookmarkStart w:id="48" w:name="_Toc15"/>
      <w:bookmarkEnd w:id="47"/>
      <w:r>
        <w:rPr>
          <w:rtl w:val="true"/>
        </w:rPr>
        <w:t>اشارة</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7116_198541"/>
      <w:bookmarkStart w:id="50" w:name="pg17116_198541"/>
      <w:bookmarkEnd w:id="50"/>
    </w:p>
    <w:p>
      <w:pPr>
        <w:pStyle w:val="Heading5"/>
        <w:numPr>
          <w:ilvl w:val="4"/>
          <w:numId w:val="1"/>
        </w:numPr>
        <w:rPr/>
      </w:pPr>
      <w:bookmarkStart w:id="51" w:name="pg17116_198541"/>
      <w:bookmarkStart w:id="52" w:name="__RefHeading___Toc8645849_3381743652"/>
      <w:bookmarkStart w:id="53" w:name="_Toc16"/>
      <w:bookmarkEnd w:id="51"/>
      <w:bookmarkEnd w:id="52"/>
      <w:r>
        <w:rPr>
          <w:rtl w:val="true"/>
        </w:rPr>
        <w:t>فيمن يشرع له التيمّم</w:t>
      </w:r>
      <w:bookmarkEnd w:id="53"/>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يشرع له التيمّم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 معه التيمّم وهو أشخاص أو اُمور ، يحويهم المعذور عقلاً أو شرعاً عن الطهارة المائية ، أو يحويها العذر كذلك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بحسب الواقع لا الظاهر ، كالقاطع بعدم الماء مع وجوده ، فإنّه معذور عن الوضوء عقلاً ، لكن لا يشرع له التيمّم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أولى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الشيء الواحد الجامع للمسوّغات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استعمال الماء</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فإنّ العجز إن كان عقلياً يخرج منه كثير من المسوّغات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أعمّ من العقلي 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أيضاً بعضها ، كالخوف على مالٍ لا يجب حفظه ، أو بعض مراتب النفس إن قلنا بعدم حرمته ، وكباب المزاحمة مع الأهمّ ، فإنّ فيها لا يعجز عقلاً ولا شرعاً ؛ أمّا عقلاً </w:t>
      </w:r>
      <w:bookmarkStart w:id="54" w:name="pg17116_198542"/>
    </w:p>
    <w:p>
      <w:pPr>
        <w:pStyle w:val="BookText"/>
        <w:rPr/>
      </w:pPr>
      <w:bookmarkEnd w:id="54"/>
      <w:r>
        <w:rPr>
          <w:rFonts w:ascii="Amiri" w:hAnsi="Amiri" w:eastAsia="Amiri" w:cs="Amiri"/>
          <w:color w:val="111111"/>
          <w:sz w:val="28"/>
          <w:sz w:val="28"/>
          <w:szCs w:val="28"/>
          <w:rtl w:val="true"/>
          <w:lang w:bidi="ar-SA"/>
        </w:rPr>
        <w:t xml:space="preserve">فواضح ، وأمّا شرعاً فلعدم الحرمة الشرعية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عدم سقوط الأمر عن المهمّ ، كما ذكرنا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p>
    <w:p>
      <w:pPr>
        <w:pStyle w:val="BookText"/>
        <w:rPr/>
      </w:pPr>
      <w:r>
        <w:rPr>
          <w:rFonts w:ascii="Amiri" w:hAnsi="Amiri" w:eastAsia="Amiri" w:cs="Amiri"/>
          <w:color w:val="111111"/>
          <w:sz w:val="28"/>
          <w:sz w:val="28"/>
          <w:szCs w:val="28"/>
          <w:rtl w:val="true"/>
          <w:lang w:bidi="ar-SA"/>
        </w:rPr>
        <w:t>يكون التعبير عن الجامع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المسوّغ سقوط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أيضاً ؛ لعدم السقوط في موارد التزاحم وإن كان المكلّف معذوراً في تركه ، كما حقّق في محلّه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المعذور عقلاً أو شرعاً عن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جمعه لجميع المسوّغات حتّى ضيق الوقت ، فإنّ في بعضها يكون العذر عقلياً ، وفي بعض شرعياً ، وفي بعض شرعياً وعقلياً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 البحث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صرف عنان الكلام إلى مفاد الآية الكريمة</w:t>
      </w:r>
      <w:r>
        <w:rPr>
          <w:rStyle w:val="FootnoteAnchor"/>
          <w:rtl w:val="true"/>
        </w:rPr>
        <w:footnoteReference w:id="48"/>
      </w:r>
      <w:r>
        <w:rPr>
          <w:rFonts w:ascii="Amiri" w:hAnsi="Amiri" w:eastAsia="Amiri" w:cs="Amiri"/>
          <w:color w:val="111111"/>
          <w:sz w:val="28"/>
          <w:sz w:val="28"/>
          <w:szCs w:val="28"/>
          <w:rtl w:val="true"/>
          <w:lang w:bidi="ar-SA"/>
        </w:rPr>
        <w:t xml:space="preserve">؛ ليعلم مقدار سعة دلالتها للأعذار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645851_3381743652"/>
      <w:bookmarkStart w:id="56" w:name="_Toc17"/>
      <w:bookmarkEnd w:id="55"/>
      <w:r>
        <w:rPr>
          <w:rtl w:val="true"/>
        </w:rPr>
        <w:t>شمول آية التيمّم لجميع الأعذار</w:t>
      </w:r>
      <w:bookmarkEnd w:id="5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يتفاهم منه عرفاً أنّ للمرض موضوعية واستقلالاً في تشريع التيمّم ؛ بحيث يكون الحكم دائراً مدار عنوانه ، بل الظاهر منه هو المرض الذي يكون عذراً عند العقلاء من استعمال الماء ، ويكون الغسل والوضوء منافياً له ، ومضرّاً بحال المريض ، دون ما لا يضرّه ، فضلاً عمّا إذا كان نافعاً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كما يقيّد المرض بذلك ، كذلك يُلغي خصوصية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 الميزان هو العذر عن استعماله ولو لم يكن عذره</w:t>
      </w:r>
    </w:p>
    <w:p>
      <w:pPr>
        <w:pStyle w:val="BookText"/>
        <w:rPr/>
      </w:pPr>
      <w:r>
        <w:rPr>
          <w:rFonts w:ascii="Amiri" w:hAnsi="Amiri" w:eastAsia="Amiri" w:cs="Amiri"/>
          <w:color w:val="111111"/>
          <w:sz w:val="28"/>
          <w:sz w:val="28"/>
          <w:szCs w:val="28"/>
          <w:rtl w:val="true"/>
          <w:lang w:bidi="ar-SA"/>
        </w:rPr>
        <w:t xml:space="preserve">المرض ، كالذي يكون كسيراً أو به جرح وقرح يكون استعماله مضرّاً بحاله ، فالمفهوم من الآية تشريع التيمّم للمعذور عن استعمال الماء لمرض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يرى العرف خصوصية للسفر وموضوعية له ، بل يرى أنّ ذكره لأجل كون الابتلاء بالفقدان فيه غالباً ، خصوصاً في الأسفار التي في تلك الأزمنة والأمكنة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الفقدان في السفر يوجب التيمّم ، لا في الحضر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يرى خصوصية للمجيء من الغائط أو لمس النساء ، بل يرى أنّ الميزان حصول الحدث الأصغر أو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 عدم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الوجدان بنحو يمكن معه الوضوء ، فيشمل عدم الوصلة ، ككونه في بئر أو محفظة لا يتيسّر الوصول إليه ، وكذا يشمل ما إذا كان الماء قليلاً لا يفي بالاحتياج ، فلا يكون وجدانه بعنوانه موضوعاً للحكم ، بل هو عنوان طريقي إلى تيسّر استعماله ، أو كناية عنه ، فلو وجد الماء ، لكن لا يكون تحت 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جاز استعماله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واجداً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w:t>
      </w:r>
      <w:r>
        <w:rPr>
          <w:rStyle w:val="FootnoteAnchor"/>
          <w:rtl w:val="true"/>
        </w:rPr>
        <w:footnoteReference w:id="50"/>
      </w:r>
      <w:r>
        <w:rPr>
          <w:rFonts w:ascii="Amiri" w:hAnsi="Amiri" w:eastAsia="Amiri" w:cs="Amiri"/>
          <w:color w:val="111111"/>
          <w:sz w:val="28"/>
          <w:sz w:val="28"/>
          <w:szCs w:val="28"/>
          <w:rtl w:val="true"/>
          <w:lang w:bidi="ar-SA"/>
        </w:rPr>
        <w:t xml:space="preserve">من كونه مربوطاً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بياناً لنكتة تشريع التيمّم ، </w:t>
      </w:r>
    </w:p>
    <w:p>
      <w:pPr>
        <w:pStyle w:val="BookText"/>
        <w:rPr/>
      </w:pPr>
      <w:r>
        <w:rPr>
          <w:rFonts w:ascii="Amiri" w:hAnsi="Amiri" w:eastAsia="Amiri" w:cs="Amiri"/>
          <w:color w:val="111111"/>
          <w:sz w:val="28"/>
          <w:sz w:val="28"/>
          <w:szCs w:val="28"/>
          <w:rtl w:val="true"/>
          <w:lang w:bidi="ar-SA"/>
        </w:rPr>
        <w:t xml:space="preserve">يدلّ على أ نّه كلّما كان الوضوء والغسل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الحرج في نفسهما أو مقدّماتهما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يتبدّلان بالتيمّم ، فيكون المتفاهم من الآية صدراً وذيلاً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بإلغاء الخصوصيات عرفاً ومناسبات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طهور اضطراري مشروع عند كلّ عذر شرعي أو عقلي ، ولو فرض عدم استفادة بعض الموارد منها ، لكن بعد العلم بعدم سقوط الصلاة بحال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لا يبقى إشكال في توسعة نطاق شرعه لكلّ الأعذار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الحكم مستفاد من التدبّر في مجموع روايات الباب ، فراجع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التعرّض لبعض أسباب العذر تفصيلاً ، وهو اُمور </w:t>
      </w:r>
      <w:r>
        <w:rPr>
          <w:rFonts w:eastAsia="Amiri" w:cs="Amiri" w:ascii="Amiri" w:hAnsi="Amiri"/>
          <w:color w:val="111111"/>
          <w:sz w:val="28"/>
          <w:szCs w:val="28"/>
          <w:rtl w:val="true"/>
          <w:lang w:bidi="ar-SA"/>
        </w:rPr>
        <w:t xml:space="preserve">: </w:t>
      </w:r>
      <w:bookmarkStart w:id="57" w:name="pg17116_198545"/>
    </w:p>
    <w:p>
      <w:pPr>
        <w:pStyle w:val="Heading5"/>
        <w:numPr>
          <w:ilvl w:val="4"/>
          <w:numId w:val="1"/>
        </w:numPr>
        <w:rPr/>
      </w:pPr>
      <w:bookmarkStart w:id="58" w:name="__RefHeading___Toc8645853_3381743652"/>
      <w:bookmarkStart w:id="59" w:name="_Toc18"/>
      <w:bookmarkEnd w:id="57"/>
      <w:bookmarkEnd w:id="58"/>
      <w:r>
        <w:rPr>
          <w:rtl w:val="true"/>
        </w:rPr>
        <w:t>السبب الأوّل</w:t>
      </w:r>
      <w:r>
        <w:rPr>
          <w:rtl w:val="true"/>
        </w:rPr>
        <w:t xml:space="preserve">: </w:t>
      </w:r>
      <w:r>
        <w:rPr>
          <w:rtl w:val="true"/>
        </w:rPr>
        <w:t>عدم الماء</w:t>
      </w:r>
      <w:bookmarkEnd w:id="59"/>
    </w:p>
    <w:p>
      <w:pPr>
        <w:pStyle w:val="Heading6"/>
        <w:numPr>
          <w:ilvl w:val="5"/>
          <w:numId w:val="1"/>
        </w:numPr>
        <w:rPr/>
      </w:pPr>
      <w:bookmarkStart w:id="60" w:name="__RefHeading___Toc8645855_3381743652"/>
      <w:bookmarkStart w:id="61" w:name="_Toc19"/>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الماء ، ولا إشكال نصّاً </w:t>
      </w:r>
      <w:r>
        <w:rPr>
          <w:rStyle w:val="FootnoteAnchor"/>
          <w:rtl w:val="true"/>
        </w:rPr>
        <w:footnoteReference w:id="53"/>
      </w:r>
      <w:r>
        <w:rPr>
          <w:rFonts w:ascii="IRNazanin" w:hAnsi="IRNazanin" w:eastAsia="IRNazanin"/>
          <w:color w:val="111111"/>
          <w:sz w:val="28"/>
          <w:sz w:val="28"/>
          <w:szCs w:val="28"/>
          <w:rtl w:val="true"/>
          <w:lang w:bidi="fa-IR"/>
        </w:rPr>
        <w:t>وفتوى</w:t>
      </w:r>
      <w:r>
        <w:rPr>
          <w:rStyle w:val="FootnoteAnchor"/>
          <w:rtl w:val="true"/>
        </w:rPr>
        <w:footnoteReference w:id="54"/>
      </w:r>
      <w:r>
        <w:rPr>
          <w:rFonts w:ascii="Amiri" w:hAnsi="Amiri" w:eastAsia="Amiri" w:cs="Amiri"/>
          <w:color w:val="111111"/>
          <w:sz w:val="28"/>
          <w:sz w:val="28"/>
          <w:szCs w:val="28"/>
          <w:rtl w:val="true"/>
          <w:lang w:bidi="ar-SA"/>
        </w:rPr>
        <w:t xml:space="preserve">في كونه من المسوّغات ؛ من غير فرق عندنا بين السفر والحضر ، كان السفر طويلاً أو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السيّد</w:t>
      </w:r>
      <w:r>
        <w:rPr>
          <w:rStyle w:val="FootnoteAnchor"/>
          <w:rtl w:val="true"/>
        </w:rPr>
        <w:footnoteReference w:id="55"/>
      </w:r>
      <w:r>
        <w:rPr>
          <w:rFonts w:ascii="Amiri" w:hAnsi="Amiri" w:eastAsia="Amiri" w:cs="Amiri"/>
          <w:color w:val="111111"/>
          <w:sz w:val="28"/>
          <w:sz w:val="28"/>
          <w:szCs w:val="28"/>
          <w:rtl w:val="true"/>
          <w:lang w:bidi="ar-SA"/>
        </w:rPr>
        <w:t xml:space="preserve">ليس خلافاً في هذه المسألة ، بل في مسألة الإجزاء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خالف في ذلك أبو حنيفة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وزُفر على ما حُكي عنه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الحاضر العادم الماء لا يصلّي</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بل عن زُفر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قولاً واحداً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ولا اعتداد بخلافهم ، ويردّهم ظاهر الآية</w:t>
      </w:r>
      <w:r>
        <w:rPr>
          <w:rStyle w:val="FootnoteAnchor"/>
          <w:rtl w:val="true"/>
        </w:rPr>
        <w:footnoteReference w:id="58"/>
      </w:r>
      <w:r>
        <w:rPr>
          <w:rFonts w:ascii="Amiri" w:hAnsi="Amiri" w:eastAsia="Amiri" w:cs="Amiri"/>
          <w:color w:val="111111"/>
          <w:sz w:val="28"/>
          <w:sz w:val="28"/>
          <w:szCs w:val="28"/>
          <w:rtl w:val="true"/>
          <w:lang w:bidi="ar-SA"/>
        </w:rPr>
        <w:t>، كما عرفت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2" w:name="pg17116_198546"/>
    </w:p>
    <w:p>
      <w:pPr>
        <w:pStyle w:val="Heading6"/>
        <w:numPr>
          <w:ilvl w:val="5"/>
          <w:numId w:val="1"/>
        </w:numPr>
        <w:rPr/>
      </w:pPr>
      <w:bookmarkStart w:id="63" w:name="__RefHeading___Toc8645857_3381743652"/>
      <w:bookmarkStart w:id="64" w:name="_Toc20"/>
      <w:bookmarkEnd w:id="62"/>
      <w:bookmarkEnd w:id="63"/>
      <w:r>
        <w:rPr>
          <w:rtl w:val="true"/>
        </w:rPr>
        <w:t>وجوب الطلب والفحص عن الماء</w:t>
      </w:r>
      <w:bookmarkEnd w:id="64"/>
    </w:p>
    <w:p>
      <w:pPr>
        <w:pStyle w:val="BookText"/>
        <w:rPr/>
      </w:pPr>
      <w:r>
        <w:rPr>
          <w:rFonts w:ascii="Amiri" w:hAnsi="Amiri" w:eastAsia="Amiri" w:cs="Amiri"/>
          <w:color w:val="111111"/>
          <w:sz w:val="28"/>
          <w:sz w:val="28"/>
          <w:szCs w:val="28"/>
          <w:rtl w:val="true"/>
          <w:lang w:bidi="ar-SA"/>
        </w:rPr>
        <w:t xml:space="preserve">كما لا إشكال في وجوب الطلب والفحص عن الماء في الجملة ، وحُكِي الإجماع عليه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تواتر الأخبار به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إطلاق الآية الشريفة ؛ لما عرفت</w:t>
      </w:r>
      <w:r>
        <w:rPr>
          <w:rStyle w:val="FootnoteAnchor"/>
          <w:rtl w:val="true"/>
        </w:rPr>
        <w:footnoteReference w:id="62"/>
      </w:r>
      <w:r>
        <w:rPr>
          <w:rFonts w:ascii="Amiri" w:hAnsi="Amiri" w:eastAsia="Amiri" w:cs="Amiri"/>
          <w:color w:val="111111"/>
          <w:sz w:val="28"/>
          <w:sz w:val="28"/>
          <w:szCs w:val="28"/>
          <w:rtl w:val="true"/>
          <w:lang w:bidi="ar-SA"/>
        </w:rPr>
        <w:t xml:space="preserve">من أنّ الظاهر منها أنّ التكليف بالصلاة مع المائية ، غير مقيّد بحال الاختيار ، بل مطلق ، وأنّ التعليق على عنوان 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عرفاً في أنّ الترابية طهارة اضطرارية سوّغها الاضطرار والإلجاء ، مع بقاء المطلوبية المطلقة في المائية على حالها ، ومعه يجب عقلاً الفحص والطلب في تحصيل المطلوب المطلق إلى زمان اليأس ، أو حصول 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الشكّ في العذر عذراً عند العقلاء ، نظير الشكّ في القدرة في الأعذار العقلية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الآية أنّ تعليق التيمّم على عدم الوجدان ، ليس لأجل تحديد موضع المائية فقط ، بل لمّا كان حكم العقل مع فقد الماء ، هو سقوط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عليها مع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الآية الكريمة مطلوبيتها مع الترابية ، وعدم </w:t>
      </w:r>
    </w:p>
    <w:p>
      <w:pPr>
        <w:pStyle w:val="BookText"/>
        <w:rPr/>
      </w:pPr>
      <w:r>
        <w:rPr>
          <w:rFonts w:ascii="Amiri" w:hAnsi="Amiri" w:eastAsia="Amiri" w:cs="Amiri"/>
          <w:color w:val="111111"/>
          <w:sz w:val="28"/>
          <w:sz w:val="28"/>
          <w:szCs w:val="28"/>
          <w:rtl w:val="true"/>
          <w:lang w:bidi="ar-SA"/>
        </w:rPr>
        <w:t>سقوط أمرها بمجرّد العجز عن المائية ، وأنّ الترابية مصداق اضطراري يجب عند</w:t>
      </w:r>
    </w:p>
    <w:p>
      <w:pPr>
        <w:pStyle w:val="BookText"/>
        <w:rPr/>
      </w:pPr>
      <w:r>
        <w:rPr>
          <w:rFonts w:ascii="Amiri" w:hAnsi="Amiri" w:eastAsia="Amiri" w:cs="Amiri"/>
          <w:color w:val="111111"/>
          <w:sz w:val="28"/>
          <w:sz w:val="28"/>
          <w:szCs w:val="28"/>
          <w:rtl w:val="true"/>
          <w:lang w:bidi="ar-SA"/>
        </w:rPr>
        <w:t xml:space="preserve">فقدان الماء ، فحينئذٍ يحكم العقل بوجوب الطلب إلى حدّ اليأس وإحراز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استفادة لزوم الطلب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عدم الوجدان بعد الفحص والطلب ، كما يظهر بالتأمّل في صيغ الماضي والمضارع منه ومن مرادفاته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المتفاهم من جميع الصيغ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اسم الفاعل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فلا ينتقض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يدلّ بعض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لا يفهم من الآخر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الجريان من مبدأ نابع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لصدقه على ما جرى من الكوز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وجوب الطلب هو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السكوني ، عن جعفر بن محمّد ، عن أبيه ،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 الماء في السفر إن كانت الحزونة فغَلْوة ، وإن كانت سهولة فغَلْوتين ، لا يطلب أكثر من ذلك</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إشكال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لضعف سندها ؛ فإنّ الأرجح وثاقة النوفلي والسكوني ، كما يظهر بالفحص والتدبّر في رواياتهما وعمل الأصحاب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الشيعة على العمل بروايات السكوني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وقلّما يتّفق عدم كون النوفلي 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ذكر حديثاً عن السكوني في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وأجاب عن الإشكال بأ نّه عامّي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وإن كان كذلك فهو من ثقات الرواة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وفي طريقها النوفلي</w:t>
      </w:r>
      <w:r>
        <w:rPr>
          <w:rStyle w:val="FootnoteAnchor"/>
          <w:rtl w:val="true"/>
        </w:rPr>
        <w:footnoteReference w:id="66"/>
      </w:r>
      <w:r>
        <w:rPr>
          <w:rFonts w:ascii="Amiri" w:hAnsi="Amiri" w:eastAsia="Amiri" w:cs="Amiri"/>
          <w:color w:val="111111"/>
          <w:sz w:val="28"/>
          <w:sz w:val="28"/>
          <w:szCs w:val="28"/>
          <w:rtl w:val="true"/>
          <w:lang w:bidi="ar-SA"/>
        </w:rPr>
        <w:t xml:space="preserve">، ولم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ضعف في سندها ، ولو سلّم فهي مجبورة بعمل الأصحاب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لدلالتها ؛ فإنّ الظاهر منها أ نّها بصدد بيان مقدار الفحص بعد مفروضية أصله ، وأمّا كونه واجباً أو مستحبّاً فلا تتعرّض له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في الحزونة كذا ، وفي السهولة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 مقدار الطلب المفروض كذا ، ولا يطلب زائداً عن ذلك ، وذلك مثل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للجمعة من طلوع الفجر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بيان زمان إتيان الغسل ، لا وجوبه بين الحدّين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في أصل الوجوب إلى تلك الرواية بعد حكم العقل ودلالة الآية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علي بن سالم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بن كثير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فأطلب الماء يميناً وشمالاً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 يميناً ولا شمالاً ، ولا في بئر ، إن وجدته على الطريق فتوضّأ ، وإن لم تجده فامضِ</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ضعف سندها بعلي بن سالم المشترك بين المجهول</w:t>
      </w:r>
      <w:r>
        <w:rPr>
          <w:rStyle w:val="FootnoteAnchor"/>
          <w:rtl w:val="true"/>
        </w:rPr>
        <w:footnoteReference w:id="68"/>
      </w:r>
      <w:r>
        <w:rPr>
          <w:rFonts w:ascii="Amiri" w:hAnsi="Amiri" w:eastAsia="Amiri" w:cs="Amiri"/>
          <w:color w:val="111111"/>
          <w:sz w:val="28"/>
          <w:sz w:val="28"/>
          <w:szCs w:val="28"/>
          <w:rtl w:val="true"/>
          <w:lang w:bidi="ar-SA"/>
        </w:rPr>
        <w:t xml:space="preserve">والبطائني </w:t>
      </w:r>
    </w:p>
    <w:p>
      <w:pPr>
        <w:pStyle w:val="BookText"/>
        <w:rPr/>
      </w:pPr>
      <w:r>
        <w:rPr>
          <w:rFonts w:ascii="Amiri" w:hAnsi="Amiri" w:eastAsia="Amiri" w:cs="Amiri"/>
          <w:color w:val="111111"/>
          <w:sz w:val="28"/>
          <w:sz w:val="28"/>
          <w:szCs w:val="28"/>
          <w:rtl w:val="true"/>
          <w:lang w:bidi="ar-SA"/>
        </w:rPr>
        <w:t>الضعيف</w:t>
      </w:r>
      <w:r>
        <w:rPr>
          <w:rStyle w:val="FootnoteAnchor"/>
          <w:rtl w:val="true"/>
        </w:rPr>
        <w:footnoteReference w:id="69"/>
      </w:r>
      <w:r>
        <w:rPr>
          <w:rFonts w:ascii="IRNazanin" w:hAnsi="IRNazanin" w:eastAsia="IRNazanin"/>
          <w:color w:val="111111"/>
          <w:sz w:val="28"/>
          <w:sz w:val="28"/>
          <w:szCs w:val="28"/>
          <w:rtl w:val="true"/>
          <w:lang w:bidi="fa-IR"/>
        </w:rPr>
        <w:t xml:space="preserve">، وقرب احتمال كونها عين الواقعة التي نقلها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السفر ، فتحضر الصلاة وليس معي ماء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قريب منّا ، أفأطلب الماء وأنا في وقت يميناً وشمالاً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 الماء ، ولكن تيمّم ؛ فإنّي أخاف عليك التخلّف عن أصحابك ، فتضلّ ويأكلك السبع</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لبعد سؤاله عنه مرّتين ، ولتشابه ألفاظهما وإن ترك بعض الخصوصيات في كلٍّ منهما ، محمولة على الخوف من اللصّ والسبع ، والإطلاق لأجل كون الأسفار في تلك الأزمنة والأمكنة مظنّةَ الخطر نوعاً ، ولهذا نهى عن الطلب في رواية داود من غير فصل معلِّلاً بما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في رواية يعقوب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لا يكون معه ماء ، والماء عن يمين الطريق ويساره غلوتين أو نحو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أن يُغرّر بنفسه ؛ فيعرض له لصّ أو سبع</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فرض وجود الماء عن يمين الطريق ويساره غلوتين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تغرير النفس وتعرّض اللصّ والسبع ، فيتّضح منه أنّ الطلب واجب لولا ذلك ، وأ نّه علیه السلام  مع الأمن من ذلك يأمره به ، لكن لمّا كانت تلك الحوادث في تلك الأسفار كثيرة نوعاً قال ما قال </w:t>
      </w:r>
      <w:r>
        <w:rPr>
          <w:rFonts w:eastAsia="IRNazanin" w:cs="IRNazanin"/>
          <w:color w:val="111111"/>
          <w:sz w:val="28"/>
          <w:szCs w:val="28"/>
          <w:rtl w:val="true"/>
          <w:lang w:bidi="fa-IR"/>
        </w:rPr>
        <w:t xml:space="preserve">. </w:t>
      </w:r>
      <w:bookmarkStart w:id="65" w:name="pg17116_198550"/>
    </w:p>
    <w:p>
      <w:pPr>
        <w:pStyle w:val="BookText"/>
        <w:rPr/>
      </w:pPr>
      <w:bookmarkEnd w:id="65"/>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على رواية علي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وجوب الطلب </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8645859_3381743652"/>
      <w:bookmarkStart w:id="67" w:name="_Toc21"/>
      <w:bookmarkEnd w:id="66"/>
      <w:r>
        <w:rPr>
          <w:rtl w:val="true"/>
        </w:rPr>
        <w:t>حكم العقل بوجوب الطلب إلى زمان اليأس أو ضيق الوقت</w:t>
      </w:r>
      <w:bookmarkEnd w:id="67"/>
    </w:p>
    <w:p>
      <w:pPr>
        <w:pStyle w:val="BookText"/>
        <w:rPr/>
      </w:pPr>
      <w:r>
        <w:rPr>
          <w:rFonts w:ascii="Amiri" w:hAnsi="Amiri" w:eastAsia="Amiri" w:cs="Amiri"/>
          <w:color w:val="111111"/>
          <w:sz w:val="28"/>
          <w:sz w:val="28"/>
          <w:szCs w:val="28"/>
          <w:rtl w:val="true"/>
          <w:lang w:bidi="ar-SA"/>
        </w:rPr>
        <w:t xml:space="preserve">ولا إشكال في أنّ حكم العقل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الآية على المطلوبية المطلقة للطهارة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الفحص إلى زمان اليأس أو ضيق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تدلّ عليه صحيحة زرارة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يجد المسافر</w:t>
      </w:r>
    </w:p>
    <w:p>
      <w:pPr>
        <w:pStyle w:val="BookText"/>
        <w:rPr/>
      </w:pPr>
      <w:r>
        <w:rPr>
          <w:rFonts w:ascii="Amiri" w:hAnsi="Amiri" w:eastAsia="Amiri" w:cs="Amiri"/>
          <w:color w:val="111111"/>
          <w:sz w:val="28"/>
          <w:sz w:val="28"/>
          <w:szCs w:val="28"/>
          <w:rtl w:val="true"/>
          <w:lang w:bidi="ar-SA"/>
        </w:rPr>
        <w:t>الماء فليطلب ما دام في الوقت ، فإذا خاف أن يفوته الوقت فليتيمّم وليصلّ في آخر الوقت ، وإذا وجد الماء فلا قضاء عليه ، وليتوضّأ لما يستقبل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موثّقة السكوني</w:t>
      </w:r>
      <w:r>
        <w:rPr>
          <w:rStyle w:val="FootnoteAnchor"/>
          <w:rtl w:val="true"/>
        </w:rPr>
        <w:footnoteReference w:id="73"/>
      </w:r>
      <w:r>
        <w:rPr>
          <w:rFonts w:ascii="Amiri" w:hAnsi="Amiri" w:eastAsia="Amiri" w:cs="Amiri"/>
          <w:color w:val="111111"/>
          <w:sz w:val="28"/>
          <w:sz w:val="28"/>
          <w:szCs w:val="28"/>
          <w:rtl w:val="true"/>
          <w:lang w:bidi="ar-SA"/>
        </w:rPr>
        <w:t xml:space="preserve">حاكمة على حكم العقل ، وشارحة لمفاد الآية الكريمة ، ومبيّنة لمقدار الطلب ، ونافية لوجوب الزيادة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زرارة فكما أ نّها معارضة لرواية السكوني ، معارضة لطائفة من الروايات الآتية في محلّها </w:t>
      </w:r>
      <w:r>
        <w:rPr>
          <w:rStyle w:val="FootnoteAnchor"/>
          <w:rtl w:val="true"/>
        </w:rPr>
        <w:footnoteReference w:id="74"/>
      </w:r>
      <w:r>
        <w:rPr>
          <w:rFonts w:ascii="IRNazanin" w:hAnsi="IRNazanin" w:eastAsia="IRNazanin"/>
          <w:color w:val="111111"/>
          <w:sz w:val="28"/>
          <w:sz w:val="28"/>
          <w:szCs w:val="28"/>
          <w:rtl w:val="true"/>
          <w:lang w:bidi="fa-IR"/>
        </w:rPr>
        <w:t xml:space="preserve">الدالّة على جواز البدار وصحّة الصلاة في سعة الوقت مع التيمّم ، كصحيحة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صلّى بتيمّم وهو في وقت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 ولا إعادة عليه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ومثلها غيرها ، وموافقة لطائفة اُخرى دالّة على عدم جواز البدار ؛ سواء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الكليني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رواية الشيخ بطريق آخر غير الكليني</w:t>
      </w:r>
      <w:r>
        <w:rPr>
          <w:rStyle w:val="FootnoteAnchor"/>
          <w:rtl w:val="true"/>
        </w:rPr>
        <w:footnoteReference w:id="76"/>
      </w:r>
      <w:r>
        <w:rPr>
          <w:rFonts w:ascii="Amiri" w:hAnsi="Amiri" w:eastAsia="Amiri" w:cs="Amiri"/>
          <w:color w:val="111111"/>
          <w:sz w:val="28"/>
          <w:sz w:val="28"/>
          <w:szCs w:val="28"/>
          <w:rtl w:val="true"/>
          <w:lang w:bidi="ar-SA"/>
        </w:rPr>
        <w:t xml:space="preserve">، فإنّ وجوب الإمساك عن الصلاة إلى ضيق الوقت ، كما هو مخالف لما دلّ على جواز البدار ، كذلك وجوب الطلب إليه مخالف له ، والجمع العقلائي بينها وبين مخالفاتها ، هو حملها وحمل سائر ما اُمر فيها بالتأخير إلى ضيق الوقت على الاستحباب ، فيرتفع التعارض بين جميعها ، ومنها رواية السكوني الدالّة على أنّ مقدار الطلب غلوة سهم أو سهمين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الجمع أقرب بنظر العرف من الجمع الذي صنع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رواية السكوني على من أراد الصلاة في مكان مخصوص ، كما لو نزل المسافر بعد الظهر منزلاً وأراد أن يصلّي فيه ، وحمل صحيحة زرارة على من ضرب في الأرض ، فله الضرب في جهة من الجهات ولو في الجهة الموصلة إلى المقصود ؛ برجاء تحصيل الماء إلى أن يتضيّق الوقت ، فإنّ العود إلى المكان الأوّل ليس واجباً تعبّدياً ، فحيثما طلب الماء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الجهة المؤدّية إلى المقصود بمقدار رمية سهم أو 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يصلّي في المكان الذي انتهى إليه طلبه ، لكن يجب عليه الفحص فيما حوله بالنسبة إلى المكان الذي انتهى إليه ، فله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أوّلاً الضرب إلى مقصده ، وهكذا إلى أن يتضيّق الوقت ، فثمرة العود إلى المكان الأوّل ، جواز الصلاة ولو مع عدم الضيق بعد الفحص في سائر الجهات ، </w:t>
      </w:r>
    </w:p>
    <w:p>
      <w:pPr>
        <w:pStyle w:val="BookText"/>
        <w:rPr/>
      </w:pPr>
      <w:r>
        <w:rPr>
          <w:rFonts w:ascii="Amiri" w:hAnsi="Amiri" w:eastAsia="Amiri" w:cs="Amiri"/>
          <w:color w:val="111111"/>
          <w:sz w:val="28"/>
          <w:sz w:val="28"/>
          <w:szCs w:val="28"/>
          <w:rtl w:val="true"/>
          <w:lang w:bidi="ar-SA"/>
        </w:rPr>
        <w:t>فتقيّد صحيحة زرارة بغير هذه الصورة</w:t>
      </w:r>
      <w:r>
        <w:rPr>
          <w:rStyle w:val="FootnoteAnchor"/>
          <w:rtl w:val="true"/>
        </w:rPr>
        <w:footnoteReference w:id="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الجمع المذكور ، مضافاً إلى كونه بهذا الوجه الدقيق مخالفاً للأنظار العرفية ، مع أنّ الميزان في الجمع بين الأخبار هو فهم العرف العامّ ومقبوليته عندهم ، ومضافاً إلى إباء العرف من تقييد الصحيحة القائلة بأ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فليطلب ما دام في الوقت ، فإذا خاف أن يفوته الوقت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 نّه كلّما أراد الصلاة لا يجب الفحص إلى ضيق الوقت ، بل يكفي مقدار سهم أو سهمين ، أنّ الصحيحة محمولة على الاستحباب على أيّ تقدير ؛ لمعارضتها لروايات جواز البدار الآتية</w:t>
      </w:r>
      <w:r>
        <w:rPr>
          <w:rStyle w:val="FootnoteAnchor"/>
          <w:rtl w:val="true"/>
        </w:rPr>
        <w:footnoteReference w:id="78"/>
      </w:r>
      <w:r>
        <w:rPr>
          <w:rFonts w:ascii="Amiri" w:hAnsi="Amiri" w:eastAsia="Amiri" w:cs="Amiri"/>
          <w:color w:val="111111"/>
          <w:sz w:val="28"/>
          <w:sz w:val="28"/>
          <w:szCs w:val="28"/>
          <w:rtl w:val="true"/>
          <w:lang w:bidi="ar-SA"/>
        </w:rPr>
        <w:t xml:space="preserve">، فلا تعارض رواية السكوني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يجب التنبيه على اُمور </w:t>
      </w:r>
      <w:r>
        <w:rPr>
          <w:rFonts w:eastAsia="Amiri" w:cs="Amiri" w:ascii="Amiri" w:hAnsi="Amiri"/>
          <w:color w:val="111111"/>
          <w:sz w:val="28"/>
          <w:szCs w:val="28"/>
          <w:rtl w:val="true"/>
          <w:lang w:bidi="ar-SA"/>
        </w:rPr>
        <w:t xml:space="preserve">: </w:t>
      </w:r>
      <w:bookmarkStart w:id="68" w:name="pg17116_198553"/>
    </w:p>
    <w:p>
      <w:pPr>
        <w:pStyle w:val="Heading6"/>
        <w:numPr>
          <w:ilvl w:val="5"/>
          <w:numId w:val="1"/>
        </w:numPr>
        <w:rPr/>
      </w:pPr>
      <w:bookmarkStart w:id="69" w:name="__RefHeading___Toc8645861_3381743652"/>
      <w:bookmarkStart w:id="70" w:name="_Toc22"/>
      <w:bookmarkEnd w:id="68"/>
      <w:bookmarkEnd w:id="69"/>
      <w:r>
        <w:rPr>
          <w:rtl w:val="true"/>
        </w:rPr>
        <w:t>الأمر الأوّل في مقدار الطلب في الجهات الأربع</w:t>
      </w:r>
      <w:bookmarkEnd w:id="70"/>
    </w:p>
    <w:p>
      <w:pPr>
        <w:pStyle w:val="BookText"/>
        <w:rPr/>
      </w:pPr>
      <w:r>
        <w:rPr>
          <w:rFonts w:ascii="Amiri" w:hAnsi="Amiri" w:eastAsia="Amiri" w:cs="Amiri"/>
          <w:color w:val="111111"/>
          <w:sz w:val="28"/>
          <w:sz w:val="28"/>
          <w:szCs w:val="28"/>
          <w:rtl w:val="true"/>
          <w:lang w:bidi="ar-SA"/>
        </w:rPr>
        <w:t>قد عرفت أنّ خبر السكوني ليس بصدد إيجاب الطلب ، بل بصدد بيان مقداره ، فيكون إيجابه بحكم العقل ودلالة الآية ، كما مرّ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حكم العقل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المطلوب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جميع الوقت ، وفي كلّ جهة محتملة إلى حدّ اليأس</w:t>
      </w:r>
      <w:r>
        <w:rPr>
          <w:rStyle w:val="FootnoteAnchor"/>
          <w:rtl w:val="true"/>
        </w:rPr>
        <w:footnoteReference w:id="80"/>
      </w:r>
      <w:r>
        <w:rPr>
          <w:rFonts w:ascii="Amiri" w:hAnsi="Amiri" w:eastAsia="Amiri" w:cs="Amiri"/>
          <w:color w:val="111111"/>
          <w:sz w:val="28"/>
          <w:sz w:val="28"/>
          <w:szCs w:val="28"/>
          <w:rtl w:val="true"/>
          <w:lang w:bidi="ar-SA"/>
        </w:rPr>
        <w:t xml:space="preserve">، ففي كلّ جهة يحتمل وجود الماء ، يحكم بالفحص إلى اليأس لولا الدليل على عدم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رواية السكوني على تقدير الفحص بغَلْوة أو غَلْوتين لا أزيد ، فالرواية في مقام تقدير ما وجب عقلاً ، 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لزوم الفحص في الجهات إلى الحدّ المذكور فيها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الجهات الأربع ليس الخطوط المتقابلة ، بل كلّ جهة هي ربع الدائرة ، فلا بدّ من الفحص في جميع سطح الأرض في الجهات ، فيكون محلّ المصلّي كالمركز الذي تحيط به دائرة قطرها غلوة أو غلوتان ، ويجب الفحص في جميع تلك الدائرة ؛ أي السطح المحاط بالخطّ الموهوم ، وهذا هو المراد من النصّ والفتوى </w:t>
      </w:r>
      <w:r>
        <w:rPr>
          <w:rFonts w:eastAsia="Amiri" w:cs="Amiri" w:ascii="Amiri" w:hAnsi="Amiri"/>
          <w:color w:val="111111"/>
          <w:sz w:val="28"/>
          <w:szCs w:val="28"/>
          <w:rtl w:val="true"/>
          <w:lang w:bidi="ar-SA"/>
        </w:rPr>
        <w:t xml:space="preserve">. </w:t>
      </w:r>
      <w:bookmarkStart w:id="71" w:name="pg17116_198554"/>
    </w:p>
    <w:p>
      <w:pPr>
        <w:pStyle w:val="Heading6"/>
        <w:numPr>
          <w:ilvl w:val="5"/>
          <w:numId w:val="1"/>
        </w:numPr>
        <w:rPr/>
      </w:pPr>
      <w:bookmarkStart w:id="72" w:name="__RefHeading___Toc8645863_3381743652"/>
      <w:bookmarkStart w:id="73" w:name="_Toc23"/>
      <w:bookmarkEnd w:id="71"/>
      <w:bookmarkEnd w:id="72"/>
      <w:r>
        <w:rPr>
          <w:rtl w:val="true"/>
        </w:rPr>
        <w:t>الأمر الثاني في المراد من الألفاظ الواردة في رواية السكوني</w:t>
      </w:r>
      <w:bookmarkEnd w:id="73"/>
    </w:p>
    <w:p>
      <w:pPr>
        <w:pStyle w:val="Heading6"/>
        <w:numPr>
          <w:ilvl w:val="5"/>
          <w:numId w:val="1"/>
        </w:numPr>
        <w:rPr/>
      </w:pPr>
      <w:bookmarkStart w:id="74" w:name="__RefHeading___Toc8645865_3381743652"/>
      <w:bookmarkStart w:id="75" w:name="_Toc2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المراد من الحزونة والسهولة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الواردتان في رواية السكوني ، يحتمل أن تكونا بمعنى ما غلظ من الأرض وضدّه ؛ بأن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في مفهومهما ، كما يظهر من بعض تعبيرات اللغويّين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 وعن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الغلاظ</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تكونا بمعنى الغلظة وضدّها من غير اعتبار الأرض فيهما ، وإنّما نُسبتا إليها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من الأرض ، والحَزْن منها ، كما يظهر من بعض تعبيراتهم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حُزونة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الحُزونة الغلظة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 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غلظة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حَزُن يحزُن حُزونةً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حَزْناً ؛ أي غليظاً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وهو كالصريح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الغِلْظة ، لا ما غَلُظ من الأرض ، وإن قال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 ما غَلُظ من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يبعد أن يكون الاحتمال الثاني أرجح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سهلة وحَزْنة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سهل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سهولة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 ويفهم بالانتساب إلى المتعلّقات كيفية السهولة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الحَزْن ، فإذا قيل للجبال الغلاظ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وللشاة السيّئة</w:t>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ولقَدْمة العرب على العجم في أوّل قدومهم الذي أسحقوا </w:t>
      </w:r>
      <w:r>
        <w:rPr>
          <w:rStyle w:val="FootnoteAnchor"/>
          <w:rtl w:val="true"/>
        </w:rPr>
        <w:footnoteReference w:id="84"/>
      </w:r>
      <w:r>
        <w:rPr>
          <w:rFonts w:ascii="Amiri" w:hAnsi="Amiri" w:eastAsia="Amiri" w:cs="Amiri"/>
          <w:color w:val="111111"/>
          <w:sz w:val="28"/>
          <w:sz w:val="28"/>
          <w:szCs w:val="28"/>
          <w:rtl w:val="true"/>
          <w:lang w:bidi="ar-SA"/>
        </w:rPr>
        <w:t xml:space="preserve">فيه ما أسحقوا من الدور والضياع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الحُزانة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يكون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الأصل وإن اختلفت الهيئات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الاحتمال الأوّل ، يكون الميزان في الغلوة والغلوتين سهولة الأرض وحزونتها ذاتاً ؛ سواء كانتا في الخبر خبراً والكون ناقصاً ، أو فاعلاً وهو تامّاً ؛</w:t>
      </w:r>
    </w:p>
    <w:p>
      <w:pPr>
        <w:pStyle w:val="BookText"/>
        <w:rPr/>
      </w:pPr>
      <w:r>
        <w:rPr>
          <w:rFonts w:ascii="Amiri" w:hAnsi="Amiri" w:eastAsia="Amiri" w:cs="Amiri"/>
          <w:color w:val="111111"/>
          <w:sz w:val="28"/>
          <w:sz w:val="28"/>
          <w:szCs w:val="28"/>
          <w:rtl w:val="true"/>
          <w:lang w:bidi="ar-SA"/>
        </w:rPr>
        <w:t xml:space="preserve">لأنّ المفروض مأخوذية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ولا ريب في أ نّهما إذا كانتا صفة الأرض ، تلاحظ غلظتها وسهولتها الذاتية ، ككونها جبلاً وبسيطاً ، فلا تنافي السهولة الأشجار فيها ، فأراضي العراق سهلة مع ما فيها من الأشجار ، فلا بدّ في إسراء الحكم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كالأراضي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إلغاء الخصوصية ، والعُهدة على مدّعيها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الثاني الراجح ، فإن كان الكون ناقصاً ، وقدّرت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كما مرّ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تامّاً ، ويكون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تحقّقت حُزونة فكذا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انتساب </w:t>
      </w:r>
      <w:bookmarkStart w:id="76" w:name="pg17116_198556"/>
    </w:p>
    <w:p>
      <w:pPr>
        <w:pStyle w:val="BookText"/>
        <w:rPr/>
      </w:pPr>
      <w:bookmarkEnd w:id="76"/>
      <w:r>
        <w:rPr>
          <w:rFonts w:ascii="Amiri" w:hAnsi="Amiri" w:eastAsia="Amiri" w:cs="Amiri"/>
          <w:color w:val="111111"/>
          <w:sz w:val="28"/>
          <w:sz w:val="28"/>
          <w:szCs w:val="28"/>
          <w:rtl w:val="true"/>
          <w:lang w:bidi="ar-SA"/>
        </w:rPr>
        <w:t xml:space="preserve">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سائر الموانع كالشجر والثلج الغليظ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استظهار تمامية الكون والوثوق بترجيح ثاني الاحتمالين ، فلا محيص عن الاحتياط ؛ لما عرفت</w:t>
      </w:r>
      <w:r>
        <w:rPr>
          <w:rStyle w:val="FootnoteAnchor"/>
          <w:rtl w:val="true"/>
        </w:rPr>
        <w:footnoteReference w:id="86"/>
      </w:r>
      <w:r>
        <w:rPr>
          <w:rFonts w:ascii="Amiri" w:hAnsi="Amiri" w:eastAsia="Amiri" w:cs="Amiri"/>
          <w:color w:val="111111"/>
          <w:sz w:val="28"/>
          <w:sz w:val="28"/>
          <w:szCs w:val="28"/>
          <w:rtl w:val="true"/>
          <w:lang w:bidi="ar-SA"/>
        </w:rPr>
        <w:t xml:space="preserve">من حكم العقل ودلالة الآية ، وأنّ رواية السكوني لتقدير المقدار ، فمع إجمالها يحتاط في موارد الاحتمال بالأخذ بأكثر الحدّين ، وكذا في كلّ مورد مشكوك فيه </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8645867_3381743652"/>
      <w:bookmarkStart w:id="78" w:name="_Toc25"/>
      <w:bookmarkEnd w:id="77"/>
      <w:r>
        <w:rPr>
          <w:rtl w:val="true"/>
        </w:rPr>
        <w:t>المراد من الغلوة لغة</w:t>
      </w:r>
      <w:bookmarkEnd w:id="78"/>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رَمْية بأبعد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غَلَوتُ بالسهم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به أبعد ما تقدر عليه ، والغَلْوة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 رمية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 يغلو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جاوز فيه الحدّ</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ويظهر منه مجيئها بمعنى رَمْية سهم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غلا في الأمر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حدّه ، وبالسهم غَلْواً وغُلُوّاً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لأقصى الغاية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رجل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بعيد الغَلْو بالسهم ، والسهم ارتفع في ذهابه وجاوز المدى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أي الغاية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غلا يغلو غَلْواً وغُلُوّاً السهم وبالسهم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أقصى الغاية ، غالى غِلاء ومُغالاة السهمَ وبالسهم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أقصى الغاية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غلا ، الغاية ؛ وهي رمية سهم أبعد ما تقدر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المِغْلى </w:t>
      </w:r>
      <w:bookmarkStart w:id="79" w:name="pg17116_198557"/>
    </w:p>
    <w:p>
      <w:pPr>
        <w:pStyle w:val="BookText"/>
        <w:rPr/>
      </w:pPr>
      <w:bookmarkEnd w:id="79"/>
      <w:r>
        <w:rPr>
          <w:rFonts w:ascii="Amiri" w:hAnsi="Amiri" w:eastAsia="Amiri" w:cs="Amiri"/>
          <w:color w:val="111111"/>
          <w:sz w:val="28"/>
          <w:sz w:val="28"/>
          <w:szCs w:val="28"/>
          <w:rtl w:val="true"/>
          <w:lang w:bidi="ar-SA"/>
        </w:rPr>
        <w:t xml:space="preserve">والمِغْلاة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يُغلى به ؛ أي يُرمى به إلى أقصى الغاية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المبالغة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السعر ، كلّها من هذا الباب ، وهو التجاوز إلى أقصى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الحديث ذكر الغَلْوة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w:t>
      </w:r>
    </w:p>
    <w:p>
      <w:pPr>
        <w:pStyle w:val="BookText"/>
        <w:rPr/>
      </w:pPr>
      <w:r>
        <w:rPr>
          <w:rFonts w:ascii="Amiri" w:hAnsi="Amiri" w:eastAsia="Amiri" w:cs="Amiri"/>
          <w:color w:val="111111"/>
          <w:sz w:val="28"/>
          <w:sz w:val="28"/>
          <w:szCs w:val="28"/>
          <w:rtl w:val="true"/>
          <w:lang w:bidi="ar-SA"/>
        </w:rPr>
        <w:t>رَمْية سهم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والظاهر منه أ نّها لُغةً كذلك ، وقد عرفت ما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استعمالها في مطلق الرمية بنحو من التوسّع ، وإلاّ ففي كلّ مورد استعملت تكون بالمعنى المعروف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المركّبة من عدّة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بلحاظ 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اللغة </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8645869_3381743652"/>
      <w:bookmarkStart w:id="81" w:name="_Toc26"/>
      <w:bookmarkEnd w:id="80"/>
      <w:r>
        <w:rPr>
          <w:rtl w:val="true"/>
        </w:rPr>
        <w:t>تفسير الغلوة في كلمات الفقهاء</w:t>
      </w:r>
      <w:bookmarkEnd w:id="81"/>
    </w:p>
    <w:p>
      <w:pPr>
        <w:pStyle w:val="BookText"/>
        <w:rPr/>
      </w:pPr>
      <w:r>
        <w:rPr>
          <w:rFonts w:ascii="Amiri" w:hAnsi="Amiri" w:eastAsia="Amiri" w:cs="Amiri"/>
          <w:color w:val="111111"/>
          <w:sz w:val="28"/>
          <w:sz w:val="28"/>
          <w:szCs w:val="28"/>
          <w:rtl w:val="true"/>
          <w:lang w:bidi="ar-SA"/>
        </w:rPr>
        <w:t>وأمّا الفقهاء فقد اختلفت كلماتهم ؛ فمنهم من قدّر المقدار برمية سهم ، كالشيخ</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وعن المفيد وأبي الصلاح مثله</w:t>
      </w:r>
      <w:r>
        <w:rPr>
          <w:rStyle w:val="FootnoteAnchor"/>
          <w:rtl w:val="true"/>
        </w:rPr>
        <w:footnoteReference w:id="9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قدّره بغلوة سهم أو غلوتين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وعن ابن إدريس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ما وردت به الروايات وتواتر به النقل في طلبه ؛ إذا كانت الأرض سهلة غلوة سهمين ، وإذا كانت حَزْنة فغلوة سهم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الغَلْوتين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والتقدير بالغلوة والغلوتين رواية السكوني ، وهو ضعيف ، غير أنّ الجماعة عملوا بها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ومنه يظهر عمل الجماعة بها بما لها من 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التفسير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منهم ؛ ضرورة أ نّه لا يكون في الباب غير رواية السكوني</w:t>
      </w:r>
      <w:r>
        <w:rPr>
          <w:rStyle w:val="FootnoteAnchor"/>
          <w:rtl w:val="true"/>
        </w:rPr>
        <w:footnoteReference w:id="98"/>
      </w:r>
      <w:r>
        <w:rPr>
          <w:rFonts w:ascii="Amiri" w:hAnsi="Amiri" w:eastAsia="Amiri" w:cs="Amiri"/>
          <w:color w:val="111111"/>
          <w:sz w:val="28"/>
          <w:sz w:val="28"/>
          <w:szCs w:val="28"/>
          <w:rtl w:val="true"/>
          <w:lang w:bidi="ar-SA"/>
        </w:rPr>
        <w:t>ومرسلات الحلّي</w:t>
      </w:r>
      <w:r>
        <w:rPr>
          <w:rStyle w:val="FootnoteAnchor"/>
          <w:rtl w:val="true"/>
        </w:rPr>
        <w:footnoteReference w:id="99"/>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دليل على الرمية والرميتين ، ولهذا ترى أنّ بعضهم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الرمية بالسهم المتوسّط في القوس المتوسّط من الراميّ المتوسّط ، مع الحالة المتوسّطة في الهواء المتوسّط ، والوضع المتوسّط والجذب والدفع المتوسّطين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الرمية من الراميّ المعتدل بالآلة المعتدلة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ومثلهما ما في بعض كتب من قارب عصرنا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هذا التفسير مخالف للّغة بل العرف ، فالمعتبر في الرمي هو إلى أقصى الغاية وأبعد ما يكون مدوراً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الراميّ والآلة وغيرهما المتوسّط المتعارف ؛ لأ نّه المتفاهم من التحديدات ، كالشبر والذراع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إمكان تعيين المقدار خارجاً ؛ لعدم تداول الرمي في هذه الأعصار ، وما هو المعتبر هو الغلوة والغلوتان من الراميّ المتدرّب في الفنّ ، كما كان في عصر صدور الرواية ، ومعلوم أنّ الراميّ الذي فنّه ذلك يرمي بما لا يمكن لغيره ، فحينئذٍ لا محيص عن الاحتياط والأخذ بالمقدار المحتمل العقلائي ؛ فإنّ الدليل على الوجوب ليس رواية السكوني؛ حتّى يقال بعدم الوجوب إلاّ بمقدار متيقّن ، فينفى الزائد بالأصل ، بل يحكم العقل بالوجوب إلى أن يحرز 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شرع التيمّم معلّق على عدم الوجدان ، فلا بدّ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إحراز موضوعه لدى الشكّ </w:t>
      </w:r>
      <w:r>
        <w:rPr>
          <w:rFonts w:eastAsia="Amiri" w:cs="Amiri" w:ascii="Amiri" w:hAnsi="Amiri"/>
          <w:color w:val="111111"/>
          <w:sz w:val="28"/>
          <w:szCs w:val="28"/>
          <w:rtl w:val="true"/>
          <w:lang w:bidi="ar-SA"/>
        </w:rPr>
        <w:t xml:space="preserve">. </w:t>
      </w:r>
      <w:bookmarkStart w:id="82" w:name="pg17116_198560"/>
    </w:p>
    <w:p>
      <w:pPr>
        <w:pStyle w:val="Heading6"/>
        <w:numPr>
          <w:ilvl w:val="5"/>
          <w:numId w:val="1"/>
        </w:numPr>
        <w:rPr/>
      </w:pPr>
      <w:bookmarkStart w:id="83" w:name="__RefHeading___Toc8645871_3381743652"/>
      <w:bookmarkStart w:id="84" w:name="_Toc27"/>
      <w:bookmarkEnd w:id="82"/>
      <w:bookmarkEnd w:id="83"/>
      <w:r>
        <w:rPr>
          <w:rtl w:val="true"/>
        </w:rPr>
        <w:t>الأمر الثالث حول المراد بعدم وجدان الماء</w:t>
      </w:r>
      <w:bookmarkEnd w:id="84"/>
    </w:p>
    <w:p>
      <w:pPr>
        <w:pStyle w:val="BookText"/>
        <w:rPr/>
      </w:pPr>
      <w:r>
        <w:rPr>
          <w:rFonts w:ascii="Amiri" w:hAnsi="Amiri" w:eastAsia="Amiri" w:cs="Amiri"/>
          <w:color w:val="111111"/>
          <w:sz w:val="28"/>
          <w:sz w:val="28"/>
          <w:szCs w:val="28"/>
          <w:rtl w:val="true"/>
          <w:lang w:bidi="ar-SA"/>
        </w:rPr>
        <w:t>لا شبهة في أنّ المتفاهم عرفاً من الآية الكريمة</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مناسبة الحكم والموضوع وما هو مرتكز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بعدم الوجدان هو عدم وجدان ما يمكن أن يستعمل في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فعدم الوجدان أعمّ من عدم الوجود واقعاً ، ومن الوجود مع عدم العثور وعدم التقصير في الفحص بالمقدار المأثور ، فلا يكون الموضوع في تشريع التيمّم عدم الماء فقط ، ولا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فيه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الأوّل بطلان التيمّم لو كان الماء موجوداً واقعاً ؛ مع عدم العثور عليه ولو بعد الفحص الكامل ، ولازم الثاني عدم الصحّة حتّى مع العلم بعدم الماء ، وحتّى مع موافقته للواقع ، بل لا بدّ له من الضرب في الأرض بالمقدار المأثور حتّى يصير الفقدان وجدانياً ؛ للفرق بين العلم بالعدم وعدم الوجدان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الاحتمالين خلاف المتفاهم العرفي ؛ فإنّ الطلب المتفاهم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تحقّق موضوع تشريع التيمّم ؛ وهو عدم الماء الذي يمكن عقلاً وشرعاً استعماله في الطهارة ، فإذا علم بعدم وجوده علم بتحقّقه ، فلا وجه بعدُ للطلب ، كما أ نّه لو طلب الغلوة أو الغلوتين ولم يجد يتحقّق الموضوع ؛ وهو عدم </w:t>
      </w:r>
    </w:p>
    <w:p>
      <w:pPr>
        <w:pStyle w:val="BookText"/>
        <w:rPr/>
      </w:pPr>
      <w:r>
        <w:rPr>
          <w:rFonts w:ascii="Amiri" w:hAnsi="Amiri" w:eastAsia="Amiri" w:cs="Amiri"/>
          <w:color w:val="111111"/>
          <w:sz w:val="28"/>
          <w:sz w:val="28"/>
          <w:szCs w:val="28"/>
          <w:rtl w:val="true"/>
          <w:lang w:bidi="ar-SA"/>
        </w:rPr>
        <w:t xml:space="preserve">الماء الذي يمكن له استعماله خارجاً ؛ للعجز عن استعمال ما لا يعثر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الماء الكذائي موضوع لشرع التيمّم ، فإذا تفحّص قبل الوقت أو في الوقت ، وعلم بعدم الماء ، يستصحب إلى زمان قيام الأمارة على وجوده ، وهو يحرز ما هو موضوع ؛ من غير فرق بين قبل الوقت وبعده ، بل ولا بين الارتحال من مكان الطلب والعود إليه وبين عدمه ، ومن غير فرق بين صلاة واحدة وصلوات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والشهيد من عدم الاعتداد بالطلب قبل الوقت ، بل يجب إعادته ، إلاّ أن يعلم استمرار العدم الأوّل</w:t>
      </w:r>
      <w:r>
        <w:rPr>
          <w:rStyle w:val="FootnoteAnchor"/>
          <w:rtl w:val="true"/>
        </w:rPr>
        <w:footnoteReference w:id="104"/>
      </w:r>
      <w:r>
        <w:rPr>
          <w:rFonts w:ascii="Amiri" w:hAnsi="Amiri" w:eastAsia="Amiri" w:cs="Amiri"/>
          <w:color w:val="111111"/>
          <w:sz w:val="28"/>
          <w:sz w:val="28"/>
          <w:szCs w:val="28"/>
          <w:rtl w:val="true"/>
          <w:lang w:bidi="ar-SA"/>
        </w:rPr>
        <w:t xml:space="preserve">، فغير وجيه وإن استدلّ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ما دلّ على وجوبه من الإجماعات وغيرها ، وهو لا يتحقّق إلاّ بعد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عليه ، سيّما بعد ظهور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عدم الوجدان عند إرادة التيمّم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زرارة المتقدّمة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لو اكتفى به قبل الوقت لصحّ الاكتفاء به مرّة واحدة للأيّام المتعدّدة ، وهو معلوم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المنساق إلى الذهن من الأدلّة ، إرادة الطلب عند الحاجة إلى الماء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استشكل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يعارض ما ذكرنا من ظهور الأدلّة في شرطية الطلب أن يكون بعد الوقت</w:t>
      </w:r>
      <w:r>
        <w:rPr>
          <w:rStyle w:val="FootnoteAnchor"/>
          <w:rtl w:val="true"/>
        </w:rPr>
        <w:footnoteReference w:id="106"/>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فإنّ الوجوب لا يكون شرعياً ، بل يكون عقلياً محضاً لأجل حفظ المطلوب المطلق ، ولا دليل غيره على الوجوب ، فضلاً عن استفادة الوجوب الشرعي منه ؛ لعدم ثبوت غير ما هو حكم العقل من الإجماعات ؛ لعدم كشفها عن دليل آخر مع وجودِ حكم العقل ، واحتمالِ استفادتهم الوجوب من الأدلّة اللفظية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زرارة فقد عرفت لزوم حملها على الاستحباب</w:t>
      </w:r>
      <w:r>
        <w:rPr>
          <w:rStyle w:val="FootnoteAnchor"/>
          <w:rtl w:val="true"/>
        </w:rPr>
        <w:footnoteReference w:id="107"/>
      </w:r>
      <w:r>
        <w:rPr>
          <w:rFonts w:ascii="Amiri" w:hAnsi="Amiri" w:eastAsia="Amiri" w:cs="Amiri"/>
          <w:color w:val="111111"/>
          <w:sz w:val="28"/>
          <w:sz w:val="28"/>
          <w:szCs w:val="28"/>
          <w:rtl w:val="true"/>
          <w:lang w:bidi="ar-SA"/>
        </w:rPr>
        <w:t>، وعرفت حال رواية السكوني من عدم دلالتها على الوجوب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الآية فلا يدلّ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وجوب الطلب ، بل يدلّ على شرطية عدم الوجدان لشرع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ظاهر في عدم الوجدان في الوقت ، وقد عرفت أنّ الموضوع عدم الماء في الوقت ، وهو يحرز بالاستصحاب ، ويكون الأصل حاكماً على الآية ، ومحقّقاً لموضوع وجوب التيمّم ومشروعيته ، فلا دليل على وجوب الطلب بنحو يقدّم على الاستصحاب وهو حاكم أو وارد على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بلزوم الاكتفاء بالطلب مرّة لصلوات عديدة ، ودعوى معلومية بطلانه ، فلا يتّضح وجهها بعد جريان الاستصحاب وإحراز موضوع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بحسب القواعد كفاية الطلب الواحد مطلقاً ؛ سواء كان قبل الوقت أو بعده ، وسواء كان تجدّد الماء محتملاً أو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قيام الأمارة المعتبرة أو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الوثوق بالتجدّد ، يجب الطلب ، وينبغي الاحتياط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حال وجوب الطلب ، فإنّه عقلي محض غير مرتبط بالتيمّم ، بل هو لأجل إحراز العذر عن ترك المطلوب المطلق ؛ أي الصلاة مع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المقام دليل لفظي يدلّ على الوجوب حتّى يبحث عن كونه نفسياً أو شرطياً أو غيرياً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دلالة مثل رواية السكوني على وجوبه أو عدم حمل صحيحة زرارة على الاستحباب ، فلا شبهة في عدم دلالتهما على الوجوب النفسي ؛ لظهور الأوامر في مثل المقام في الإرشاد ؛ إمّا إلى الشرطية أو إلى حكم العقل ، فاحتمال النفسية في غاية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الوجوب الشرطي أيضاً ضعيف ؛ لأنّ الظاهر من قوله في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يجد المسافر الماء فليطلب ما دام في الوقت ، فإذا خاف أن يفوته الوقت فليتيمّم وليصلّ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أنّ وجوب الطلب إنّما هو لتحصيل الماء ، لا لتحقّق موضوع التيمّم ، وأنّ التيمّم مشروع عند خوف فوت الوقت ، وشرطه ذلك ، لا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الماء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الطلب واجب لتحصيل الماء ، لا لشرطيته للتيمّم ، وقد مرّ تحقيق مدلول الآية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حكم العقل ، أو تحديد لما يحكم به ، كما مرّ</w:t>
      </w:r>
      <w:r>
        <w:rPr>
          <w:rStyle w:val="FootnoteAnchor"/>
          <w:rtl w:val="true"/>
        </w:rPr>
        <w:footnoteReference w:id="110"/>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bookmarkStart w:id="85" w:name="pg17116_198564"/>
    </w:p>
    <w:p>
      <w:pPr>
        <w:pStyle w:val="Heading6"/>
        <w:numPr>
          <w:ilvl w:val="5"/>
          <w:numId w:val="1"/>
        </w:numPr>
        <w:rPr/>
      </w:pPr>
      <w:bookmarkStart w:id="86" w:name="__RefHeading___Toc8645873_3381743652"/>
      <w:bookmarkStart w:id="87" w:name="_Toc28"/>
      <w:bookmarkEnd w:id="85"/>
      <w:bookmarkEnd w:id="86"/>
      <w:r>
        <w:rPr>
          <w:rtl w:val="true"/>
        </w:rPr>
        <w:t>الأمر الرابع في حكم الإخلال بالطلب</w:t>
      </w:r>
      <w:bookmarkEnd w:id="87"/>
    </w:p>
    <w:p>
      <w:pPr>
        <w:pStyle w:val="BookText"/>
        <w:rPr/>
      </w:pPr>
      <w:r>
        <w:rPr>
          <w:rFonts w:ascii="Amiri" w:hAnsi="Amiri" w:eastAsia="Amiri" w:cs="Amiri"/>
          <w:color w:val="111111"/>
          <w:sz w:val="28"/>
          <w:sz w:val="28"/>
          <w:szCs w:val="28"/>
          <w:rtl w:val="true"/>
          <w:lang w:bidi="ar-SA"/>
        </w:rPr>
        <w:t xml:space="preserve">إذا أخلّ بالطلب وتيمّم وصلّى مع سعة الوقت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قطعاً وإجماعاً منقولاً إن لم يكن محصّلاً ؛ لما دلّ على اشتراط صحّته به ، ولا فرق بين أن يصادف عدم الماء بعد الطلب وعدمه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الإجماع في مثل هذه المسألة الفرعية الاجتهادية المتراكمة فيها الأدلّة العقلية والنقلية ، فغير وجيهة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أدلّة الاشتراط المدّعاة ، فقد تقدّم</w:t>
      </w:r>
      <w:r>
        <w:rPr>
          <w:rStyle w:val="FootnoteAnchor"/>
          <w:rtl w:val="true"/>
        </w:rPr>
        <w:footnoteReference w:id="112"/>
      </w:r>
      <w:r>
        <w:rPr>
          <w:rFonts w:ascii="Amiri" w:hAnsi="Amiri" w:eastAsia="Amiri" w:cs="Amiri"/>
          <w:color w:val="111111"/>
          <w:sz w:val="28"/>
          <w:sz w:val="28"/>
          <w:szCs w:val="28"/>
          <w:rtl w:val="true"/>
          <w:lang w:bidi="ar-SA"/>
        </w:rPr>
        <w:t xml:space="preserve">عدم دلالتها على اشتراط الطلب ، بل الظاهر من الأدلّة أنّ عدم الماء الذي يمكن استعماله في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لفقده ، أو لعدم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لانقلاب المائية بالترابية ، من غير دخالة للطلب موضوعاً ، ولا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هذا الأمر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ولهذا لو علم بعدم الماء ، لا يجب عليه الطلب وإن لم يصدق عدم الوجدان عليه ؛ لأ نّه عنوان منتزع من عدم العثور عليه بالقوى الجزئية كالبصر ، ومع فرض عدم وجوب الطلب مع العلم بعدم الماء ، لا محيص عن القول بأنّ عدم الماء واقعاً موضوع للانقلاب ، وإلاّ لزم موضوعية العلم ولو بنحو جزء الموضوع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ارتكاز العقلاء والمتفاهم من الأدلّة ، فيكون عدم الماء واقعاً تمام الموضوع للانقلاب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جهل المكلّف ، فلزوم الطلب عقلاً أو شرعاً لإحراز الواقعة ، لا لتحقّق الموضوع ، فلو كان الماء غير موجود في محلّ الطلب ، أو كان بوجه لا يهتدي إليه لو طلبه ، صحّ تيمّمه وصلاته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بحيث لم يوجد إلى آخر الوقت ، فظاهر بما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حدث بعد الصلاة فلإطلاق الآية ؛ فإنّ الظاهر من صدرها أ نّه إذا قام المكلّف إلى الصلاة ، يجب عليه الوضوء أو الغسل ولو في سعة الوقت ، ومقتضى عطف المرضى والمسافر الفاقد عليه ، جوازُ التيمّم في السعة ، وبعد ما علم أنّ المراد بعدم الوجدان عدم الاهتداء إلى ما يمكن استعماله ، تمّت الدلالة على صحّة التيمّم والصلاة ؛ لتحقّق الموضوع ، وظهور الآية في الإجزاء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الاستدلال على المطلوب بما دلّ على عدم وجوب الإعادة لو وجد بعد الصلاة مع بقاء الوقت ، كصحيحة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 xml:space="preserve">أصاب الماء وقد صلّى بتيمّم وهو في وقت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 ولا إعادة عليه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ومثلها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كانت في مقام بيان حكم آخر ، لكن يستفاد منها أنّ من كان تكليفه التيمّم فصلّى بتيمّم ، لا إعادة عليه وإن وجد الماء في الوقت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أخلّ بالطلب حتّى ضاق الوقت تيمّم وصلّى ولا قضاء عليه ، وعن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فتوى الأصحاب</w:t>
      </w:r>
      <w:r>
        <w:rPr>
          <w:rStyle w:val="FootnoteAnchor"/>
          <w:rtl w:val="true"/>
        </w:rPr>
        <w:footnoteReference w:id="11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الأظهر الأشهر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استفادته من الآية بمناسبات مغروسة في الأذهان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يمكن استعماله مع حفظ الوقت ، وإلاّ فلو لم تلاحظ مصلحة الوقت ، أو كانت مصلحة المائية مقدّمة على مصلحته ، لم يشرع التيمّم مع عدم الوجدان ؛ ضرورة أنّ عدمه لم يستمرّ إلى آخر العمر ، فإيجاب التيمّم مع الفقد لأجل عدم فوت الصلاة وحفظ مصلحة الوقت ،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ما يغتسل ويتوضّأ به في الوقت ، ومع الضيق يكون فاقداً للماء الكذائي وإن كان واجداً للطبيعة ، والظاهر من تعليق الحكم عليه أ نّه تمام الموضوع للتبديل من غير دخالة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الانصراف إلى ما لا يكون سببه المكلّف عصياناً </w:t>
      </w:r>
      <w:r>
        <w:rPr>
          <w:rStyle w:val="FootnoteAnchor"/>
          <w:rtl w:val="true"/>
        </w:rPr>
        <w:footnoteReference w:id="117"/>
      </w:r>
      <w:r>
        <w:rPr>
          <w:rFonts w:ascii="Amiri" w:hAnsi="Amiri" w:eastAsia="Amiri" w:cs="Amiri"/>
          <w:color w:val="111111"/>
          <w:sz w:val="28"/>
          <w:sz w:val="28"/>
          <w:szCs w:val="28"/>
          <w:rtl w:val="true"/>
          <w:lang w:bidi="ar-SA"/>
        </w:rPr>
        <w:t>، في غير محلّها ؛ لأنّ الظاهر منها أنّ الترابية مع فقد الماء طهور قائمة مقام المائية ؛ من غير دخالة</w:t>
      </w:r>
    </w:p>
    <w:p>
      <w:pPr>
        <w:pStyle w:val="BookText"/>
        <w:rPr/>
      </w:pPr>
      <w:r>
        <w:rPr>
          <w:rFonts w:ascii="Amiri" w:hAnsi="Amiri" w:eastAsia="Amiri" w:cs="Amiri"/>
          <w:color w:val="111111"/>
          <w:sz w:val="28"/>
          <w:sz w:val="28"/>
          <w:szCs w:val="28"/>
          <w:rtl w:val="true"/>
          <w:lang w:bidi="ar-SA"/>
        </w:rPr>
        <w:t xml:space="preserve">لأسباب الفقد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المناسبات المغروسة في الذهن ، توجب إلغاء بعض القيود لو كان في الكلام ، ومعه لا معنى لدعوى الانصراف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أيضاً صحيحة زرارة المتقدّمة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يجد المسافر الماء فليطلب ما دام في الوقت ، فإذا خاف أن يفوته الوقت </w:t>
      </w:r>
    </w:p>
    <w:p>
      <w:pPr>
        <w:pStyle w:val="BookText"/>
        <w:rPr/>
      </w:pPr>
      <w:r>
        <w:rPr>
          <w:rFonts w:ascii="Amiri" w:hAnsi="Amiri" w:eastAsia="Amiri" w:cs="Amiri"/>
          <w:color w:val="111111"/>
          <w:sz w:val="28"/>
          <w:sz w:val="28"/>
          <w:szCs w:val="28"/>
          <w:rtl w:val="true"/>
          <w:lang w:bidi="ar-SA"/>
        </w:rPr>
        <w:t xml:space="preserve">فليتيمّم وليصلّ </w:t>
      </w:r>
      <w:r>
        <w:rPr>
          <w:rFonts w:eastAsia="Amiri" w:cs="Amiri" w:ascii="Amiri" w:hAnsi="Amiri"/>
          <w:color w:val="111111"/>
          <w:sz w:val="28"/>
          <w:szCs w:val="28"/>
          <w:rtl w:val="true"/>
          <w:lang w:bidi="ar-SA"/>
        </w:rPr>
        <w:t>. . .»</w:t>
      </w:r>
      <w:r>
        <w:rPr>
          <w:rStyle w:val="FootnoteAnchor"/>
          <w:rtl w:val="true"/>
        </w:rPr>
        <w:footnoteReference w:id="11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وجوب الطلب ما دام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تحصيل الماء ، لا لاشتراط التيمّم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ظاهر في أنّ خوف الفوت سبب وموضوع تامّ لوجوب التيمّم من أيّ سبب حصل ، فلو أراق الماء ، أو قصّر في الطلب ، أو ترك الوضوء بالماء الموجود حتّى خاف الفوت ، يجب عليه التيمّم ، وتتمّ صلاته ، ولا قضاء عليه ؛ لظاهر الصحيحة بل يستفاد ذلك من مجموع الأدلّة ، فإنّه يعلم منها أنّ للوقت منزلة لدى الشارع ليست لغيره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 في هذه الحال يمكن أن يكون مبغوضاً ، فضلاً عن أن يقع</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فاسد ؛ فإنّ المبغوض هو ترك الصلاة مع المائية ، لا إتيانها مع الترابية ، ولا الطهارة الترابية ؛ لعدم وجه لمبغوضيتهما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يتّضح عدم وجوب الاحتياط ؛ بدعوى تردّد المكلّف به المعلوم بالإجمال</w:t>
      </w:r>
      <w:r>
        <w:rPr>
          <w:rStyle w:val="FootnoteAnchor"/>
          <w:rtl w:val="true"/>
        </w:rPr>
        <w:footnoteReference w:id="120"/>
      </w:r>
      <w:r>
        <w:rPr>
          <w:rFonts w:ascii="Amiri" w:hAnsi="Amiri" w:eastAsia="Amiri" w:cs="Amiri"/>
          <w:color w:val="111111"/>
          <w:sz w:val="28"/>
          <w:sz w:val="28"/>
          <w:szCs w:val="28"/>
          <w:rtl w:val="true"/>
          <w:lang w:bidi="ar-SA"/>
        </w:rPr>
        <w:t xml:space="preserve">؛ لما عرفت من التكليف بالترابية وإجزائها </w:t>
      </w:r>
      <w:r>
        <w:rPr>
          <w:rFonts w:eastAsia="Amiri" w:cs="Amiri" w:ascii="Amiri" w:hAnsi="Amiri"/>
          <w:color w:val="111111"/>
          <w:sz w:val="28"/>
          <w:szCs w:val="28"/>
          <w:rtl w:val="true"/>
          <w:lang w:bidi="ar-SA"/>
        </w:rPr>
        <w:t xml:space="preserve">. </w:t>
      </w:r>
      <w:bookmarkStart w:id="88" w:name="pg17116_198568"/>
    </w:p>
    <w:p>
      <w:pPr>
        <w:pStyle w:val="Heading6"/>
        <w:numPr>
          <w:ilvl w:val="5"/>
          <w:numId w:val="1"/>
        </w:numPr>
        <w:rPr/>
      </w:pPr>
      <w:bookmarkStart w:id="89" w:name="__RefHeading___Toc8645875_3381743652"/>
      <w:bookmarkStart w:id="90" w:name="_Toc29"/>
      <w:bookmarkEnd w:id="88"/>
      <w:bookmarkEnd w:id="89"/>
      <w:r>
        <w:rPr>
          <w:rtl w:val="true"/>
        </w:rPr>
        <w:t>الأمر الخامس فيما يترتّب على الموضوع لانقلاب التكليف بالترابية</w:t>
      </w:r>
      <w:bookmarkEnd w:id="90"/>
    </w:p>
    <w:p>
      <w:pPr>
        <w:pStyle w:val="BookText"/>
        <w:rPr/>
      </w:pPr>
      <w:r>
        <w:rPr>
          <w:rFonts w:ascii="Amiri" w:hAnsi="Amiri" w:eastAsia="Amiri" w:cs="Amiri"/>
          <w:color w:val="111111"/>
          <w:sz w:val="28"/>
          <w:sz w:val="28"/>
          <w:szCs w:val="28"/>
          <w:rtl w:val="true"/>
          <w:lang w:bidi="ar-SA"/>
        </w:rPr>
        <w:t>قد مرّ أنّ الموضوع لانقلاب التكليف بالترابية ، هو عدم الاهتداء إلى ما يمكنه الاستعمال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الواقعة بحيث لا يهتدي المكلّف إلى ماء يمكنه استعماله عقلاً وشرعاً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الوجدان الأعمّ من عدم الوجود للماء الكذائي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تفحّص عن الماء بما قرّره الشارع ولم يقصّر فيه ، صحّ تيمّمه وصلاته ولو كان الماء موجوداً بحسب الواقع ؛ لتحقّق موضوع الانقلاب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قطع بعدم الماء ، أو عدم الاهتداء إليه ، أو قامت البيّنة على عدمه ، أو عدم الاهتداء إليه ، بطلا لعدم تحقّق الموضوع ؛ لعدم كون الواقعة بحيث لا يهتدي إلى الماء ، فهو واجد للماء وإن كان قاطعاً بعدمه وغير معذور واقعاً ؛ وإن كان معذوراً ظاهراً وغير معاقب على ترك الصلاة مع المائية ، فيجب عليه الإعادة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يجب الإعادة على الناسي لماء في رَحْله ؛ سواء طلب في خارجه غلوة أو غلوتين أو لا ؛ لأ نّه واجد وإن كان غافلاً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الوجدان في خارج الرحل مع كونه واجداً فيه ، لا يوجب الانتقال </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موثّقة أبي بصير أو صحيحته</w:t>
      </w:r>
      <w:r>
        <w:rPr>
          <w:rStyle w:val="FootnoteAnchor"/>
          <w:rtl w:val="true"/>
        </w:rPr>
        <w:footnoteReference w:id="1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في سفر ، وكان معه ماء ، فنسيه فتيمّم وصلّى ، ثمّ ذكر أنّ معه ماء قبل أن يخرج الوقت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يتوضّأ ويعيد الصلاة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ومقتضى إطلاقها لزوم الإعادة ولو طلب خارج رحله ، والمفروض فيها عدم الطلب في رحله </w:t>
      </w:r>
      <w:r>
        <w:rPr>
          <w:rFonts w:eastAsia="Amiri" w:cs="Amiri" w:ascii="Amiri" w:hAnsi="Amiri"/>
          <w:color w:val="111111"/>
          <w:sz w:val="28"/>
          <w:szCs w:val="28"/>
          <w:rtl w:val="true"/>
          <w:lang w:bidi="ar-SA"/>
        </w:rPr>
        <w:t xml:space="preserve">. </w:t>
      </w:r>
      <w:bookmarkStart w:id="91" w:name="pg17116_198570"/>
    </w:p>
    <w:p>
      <w:pPr>
        <w:pStyle w:val="Heading6"/>
        <w:numPr>
          <w:ilvl w:val="5"/>
          <w:numId w:val="1"/>
        </w:numPr>
        <w:rPr/>
      </w:pPr>
      <w:bookmarkStart w:id="92" w:name="__RefHeading___Toc8645877_3381743652"/>
      <w:bookmarkStart w:id="93" w:name="_Toc30"/>
      <w:bookmarkEnd w:id="91"/>
      <w:bookmarkEnd w:id="92"/>
      <w:r>
        <w:rPr>
          <w:rtl w:val="true"/>
        </w:rPr>
        <w:t>الأمر السادس في عدم الماء بمقدار الكفاية كعدمه المطلق</w:t>
      </w:r>
      <w:bookmarkEnd w:id="93"/>
    </w:p>
    <w:p>
      <w:pPr>
        <w:pStyle w:val="BookText"/>
        <w:rPr/>
      </w:pPr>
      <w:r>
        <w:rPr>
          <w:rFonts w:ascii="Amiri" w:hAnsi="Amiri" w:eastAsia="Amiri" w:cs="Amiri"/>
          <w:color w:val="111111"/>
          <w:sz w:val="28"/>
          <w:sz w:val="28"/>
          <w:szCs w:val="28"/>
          <w:rtl w:val="true"/>
          <w:lang w:bidi="ar-SA"/>
        </w:rPr>
        <w:t xml:space="preserve">الظاهر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ما يمكن معه الوضوء أو الغسل ، فعدم الماء بمقدار الكفاية كعدمه المطلق ؛ لعدم تبعّض الطهارة وعدم تلفيقها من الماء والتراب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استعمال ما وجد في بعض الأعضاء والتيمّم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غير وجيه مخالف لظاهر الآية ، ولما ورد من وجوب التيمّم على الجنب مع وجدان الماء بقدر الوضوء ، كصحيحة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الرجل يجنب ومعه قدر ما يكفيه من الماء لوضوء الصلاة ، أيتوضّأ بالماء أو يتيمّم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يتيمّم ؛ ألا ترى أ نّه إنّما جعل عليه نصف الوضوء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رواية الحسين بن أبي العلاء ، إلاّ أنّ في آخرها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الوضوء</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الطهور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وصحيحة محمّد بن مسلم ،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w:t>
      </w:r>
    </w:p>
    <w:p>
      <w:pPr>
        <w:pStyle w:val="BookText"/>
        <w:rPr/>
      </w:pPr>
      <w:r>
        <w:rPr>
          <w:rFonts w:ascii="Amiri" w:hAnsi="Amiri" w:eastAsia="Amiri" w:cs="Amiri"/>
          <w:color w:val="111111"/>
          <w:sz w:val="28"/>
          <w:sz w:val="28"/>
          <w:szCs w:val="28"/>
          <w:rtl w:val="true"/>
          <w:lang w:bidi="ar-SA"/>
        </w:rPr>
        <w:t xml:space="preserve">أجنب في سفر ومعه ماء قدر ما يتوضّأ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ولا يتوضّأ</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ما يمكن أن يُغسل ليس في محلّه ، بعد تسليم جريانها في مثل المقام </w:t>
      </w:r>
      <w:r>
        <w:rPr>
          <w:rFonts w:eastAsia="Amiri" w:cs="Amiri" w:ascii="Amiri" w:hAnsi="Amiri"/>
          <w:color w:val="111111"/>
          <w:sz w:val="28"/>
          <w:szCs w:val="28"/>
          <w:rtl w:val="true"/>
          <w:lang w:bidi="ar-SA"/>
        </w:rPr>
        <w:t xml:space="preserve">. </w:t>
      </w:r>
      <w:bookmarkStart w:id="94" w:name="pg17116_198572"/>
    </w:p>
    <w:p>
      <w:pPr>
        <w:pStyle w:val="Heading6"/>
        <w:numPr>
          <w:ilvl w:val="5"/>
          <w:numId w:val="1"/>
        </w:numPr>
        <w:rPr/>
      </w:pPr>
      <w:bookmarkStart w:id="95" w:name="__RefHeading___Toc8645879_3381743652"/>
      <w:bookmarkStart w:id="96" w:name="_Toc31"/>
      <w:bookmarkEnd w:id="94"/>
      <w:bookmarkEnd w:id="95"/>
      <w:r>
        <w:rPr>
          <w:rtl w:val="true"/>
        </w:rPr>
        <w:t>الأمر السابع في وجوب تحصيل الماء ولو بالمعالجة</w:t>
      </w:r>
      <w:bookmarkEnd w:id="96"/>
    </w:p>
    <w:p>
      <w:pPr>
        <w:pStyle w:val="BookText"/>
        <w:rPr/>
      </w:pPr>
      <w:r>
        <w:rPr>
          <w:rFonts w:ascii="Amiri" w:hAnsi="Amiri" w:eastAsia="Amiri" w:cs="Amiri"/>
          <w:color w:val="111111"/>
          <w:sz w:val="28"/>
          <w:sz w:val="28"/>
          <w:szCs w:val="28"/>
          <w:rtl w:val="true"/>
          <w:lang w:bidi="ar-SA"/>
        </w:rPr>
        <w:t>لو تمكّن من مزج الماء الذي لا يكفيه بما لا يسلبه الاسم فتحصّل به الكفاية ، فهل يجب ذلك ، كما عن جماعة من المتأخّرين منهم العلاّمة</w:t>
      </w:r>
      <w:r>
        <w:rPr>
          <w:rStyle w:val="FootnoteAnchor"/>
          <w:rtl w:val="true"/>
        </w:rPr>
        <w:footnoteReference w:id="129"/>
      </w:r>
      <w:r>
        <w:rPr>
          <w:rFonts w:ascii="Amiri" w:hAnsi="Amiri" w:eastAsia="Amiri" w:cs="Amiri"/>
          <w:color w:val="111111"/>
          <w:sz w:val="28"/>
          <w:sz w:val="28"/>
          <w:szCs w:val="28"/>
          <w:rtl w:val="true"/>
          <w:lang w:bidi="ar-SA"/>
        </w:rPr>
        <w:t>، أو لا ، كما عن الشيخ وأتباعه</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مقتضى ما مرّ مراراً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التيمّم مصداق اضطراري لدى العجز عن</w:t>
      </w:r>
    </w:p>
    <w:p>
      <w:pPr>
        <w:pStyle w:val="BookText"/>
        <w:rPr/>
      </w:pPr>
      <w:r>
        <w:rPr>
          <w:rFonts w:ascii="IRNazanin" w:hAnsi="IRNazanin" w:eastAsia="IRNazanin"/>
          <w:color w:val="111111"/>
          <w:sz w:val="28"/>
          <w:sz w:val="28"/>
          <w:szCs w:val="28"/>
          <w:rtl w:val="true"/>
          <w:lang w:bidi="fa-IR"/>
        </w:rPr>
        <w:t xml:space="preserve">المصداق الاختياري ، وأنّ التكليف بالصلاة مع المائية مطلق يحكم العقل بلزوم تحصيله ولو بحفر بئر ، أو إذابة ثلج ما لم يكن حرجياً ، أو غير ذلك من أنحاء التوصّل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مثل هذا العلاج لتحصيل المطلوب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والمتفاهم من الأدلّة تعليق التيمّم على العجز عن الماء ، وليس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يقتضي الجمود عليه ، ولهذا يجب الوضوء والغسل مع وجود ثلج أو ماء جامد مع إمكان إذابتهما أو دلكهما على الجسد بنحو يحصل مسمّاهما بواسطة الإذابة بحرارته ، ففي 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الرجل يجنب في السفر لا يجد إلاّ الثلج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يغتسل بالثلج أو </w:t>
      </w:r>
    </w:p>
    <w:p>
      <w:pPr>
        <w:pStyle w:val="BookText"/>
        <w:rPr/>
      </w:pPr>
      <w:r>
        <w:rPr>
          <w:rFonts w:ascii="IRNazanin" w:hAnsi="IRNazanin" w:eastAsia="IRNazanin"/>
          <w:color w:val="111111"/>
          <w:sz w:val="28"/>
          <w:sz w:val="28"/>
          <w:szCs w:val="28"/>
          <w:rtl w:val="true"/>
          <w:lang w:bidi="fa-IR"/>
        </w:rPr>
        <w:t>ماء النهر</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يعني هما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معاوية بن شريح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يصيبنا الدَمَقُ والثلج ، ونريد أن نتوضّأ ، ولا نجد إلاّ ماءً جامداً ، فكيف أتوضّأ ؛ أدلك به جلدي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منهما ومن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الجمود على عدم الوجدان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رواية الحسين بن أبي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ما حدُّ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بشراءٍ أو غير شراء</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عنده المادّتان اللتان يتركّب منهما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التجربيات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مزجهما حتّى يحصل الماء ، يجب عليه ، ولا أظنّ التزامهم بعدم الوجوب والانتقال إلى التيمّم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اعتناء العرف والعقلاء بهذا النحو من القدرة الحاصلة بالمعالجات غير المتعارفة ، وقياسه بخلط الحنطة بالتراب</w:t>
      </w:r>
      <w:r>
        <w:rPr>
          <w:rStyle w:val="FootnoteAnchor"/>
          <w:rtl w:val="true"/>
        </w:rPr>
        <w:footnoteReference w:id="136"/>
      </w:r>
      <w:r>
        <w:rPr>
          <w:rFonts w:ascii="Amiri" w:hAnsi="Amiri" w:eastAsia="Amiri" w:cs="Amiri"/>
          <w:color w:val="111111"/>
          <w:sz w:val="28"/>
          <w:sz w:val="28"/>
          <w:szCs w:val="28"/>
          <w:rtl w:val="true"/>
          <w:lang w:bidi="ar-SA"/>
        </w:rPr>
        <w:t xml:space="preserve">، غير وجيه ، </w:t>
      </w:r>
    </w:p>
    <w:p>
      <w:pPr>
        <w:pStyle w:val="BookText"/>
        <w:rPr/>
      </w:pPr>
      <w:r>
        <w:rPr>
          <w:rFonts w:ascii="Amiri" w:hAnsi="Amiri" w:eastAsia="Amiri" w:cs="Amiri"/>
          <w:color w:val="111111"/>
          <w:sz w:val="28"/>
          <w:sz w:val="28"/>
          <w:szCs w:val="28"/>
          <w:rtl w:val="true"/>
          <w:lang w:bidi="ar-SA"/>
        </w:rPr>
        <w:t xml:space="preserve">والقياس مع الفارق ؛ فإنّ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العرف لا يستفيد من الآية المطلوبية المطلقة للمائية ، وهو كما ترى ، بل لا يلتزم به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عدم الوجدان صادق ، ولا يجب على المكلّف إيجاد الماء وانسلاك نفسه في الواجد ، وهو أيضاً غير وجيه ، ولا أظنّ التزامه به ، وتردّه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العقلاء يرون نفوسهم عاجزة ، ولا يكون العلاج المذكور تحصيلاً للقدرة ، أو لا يكون تحصيلها كذلك واجباً ؛ وأنّ التكليف بمثله قبيح ، فهو أيضاً بجميع تقاديره ممنوع ؛ لعدم العجز بحسب الواقع مع إمكان المزج ، وعدم وجوبه إمّا ناشئ من عدم التكليف المطلق ، أو من حصول شرط التيمّم ، وهما ممنوعان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غفلتهم عن إمكان تحصيل الماء بمثل ذلك فلا يضرّ بالمطلوب ، وليس ذلك إلاّ كغفلتهم عن وجود الماء ، وقد عرفت بطلان التيمّم معه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العلاج بأيّ نحو يمكنه بلا حرج ومشقّة </w:t>
      </w:r>
      <w:r>
        <w:rPr>
          <w:rFonts w:eastAsia="Amiri" w:cs="Amiri" w:ascii="Amiri" w:hAnsi="Amiri"/>
          <w:color w:val="111111"/>
          <w:sz w:val="28"/>
          <w:szCs w:val="28"/>
          <w:rtl w:val="true"/>
          <w:lang w:bidi="ar-SA"/>
        </w:rPr>
        <w:t xml:space="preserve">. </w:t>
      </w:r>
      <w:bookmarkStart w:id="97" w:name="pg17116_198575"/>
    </w:p>
    <w:p>
      <w:pPr>
        <w:pStyle w:val="Heading5"/>
        <w:numPr>
          <w:ilvl w:val="4"/>
          <w:numId w:val="1"/>
        </w:numPr>
        <w:rPr/>
      </w:pPr>
      <w:bookmarkStart w:id="98" w:name="__RefHeading___Toc8645881_3381743652"/>
      <w:bookmarkStart w:id="99" w:name="_Toc32"/>
      <w:bookmarkEnd w:id="97"/>
      <w:bookmarkEnd w:id="98"/>
      <w:r>
        <w:rPr>
          <w:rtl w:val="true"/>
        </w:rPr>
        <w:t>السبب الثاني</w:t>
      </w:r>
      <w:r>
        <w:rPr>
          <w:rtl w:val="true"/>
        </w:rPr>
        <w:t xml:space="preserve">: </w:t>
      </w:r>
      <w:r>
        <w:rPr>
          <w:rtl w:val="true"/>
        </w:rPr>
        <w:t>عدم الوصلة إلى الماء</w:t>
      </w:r>
      <w:bookmarkEnd w:id="99"/>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إلى الماء ، وهو قد يكون للتعذّر العقلي أو العادي ، كما لو كان في بئر لا يمكنه إخراجه والوصول إليه بوجه ، أو كان في محلّ لا يمكنه الوصول إليه لكبر ونحوه ، ومنه عدم الثمن لشرائه ، وهذا ممّا لا إشكال في التبديل به ؛ لما عرفت من استفادته من الآية بالبيان المتقدّم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الوصول إليه حرجياً ، كما لو كان في بئر يمكنه الوصول إليه مع الحرج والعسر ، ويدلّ على التبديل فيه أدلّة نفي الحرج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من نفي الحرج في الدين أنّ أحكام الدين سهلة غير حرجية ، فإذا لزم من الوضوء أو الغسل أو نحوهما حرج يرفع بدليله ، وأمّا إذا كان الحرج في المقدّمات فلا ؛ لأنّ المقدّمات ليست من الدين ، ووجوبها عقلي لا شرعي ، فما هو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حرجياً ، وما فيه الحرج ليس مجعولاً ، ولا من الدين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المتفاهم من آية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كونه تعالى في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لم يجعل تكليفاً ينشأ من قِبله الحرج ؛ كان في نفس المكلّف به أو مقدّماته أو نتائجه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 بل يدلّ عليه استشهاد أبي عبداللّه‌ علیه السلام  في رواية عبد الأعلى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الأصحّ</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w:t>
      </w:r>
    </w:p>
    <w:p>
      <w:pPr>
        <w:pStyle w:val="BookText"/>
        <w:rPr/>
      </w:pPr>
      <w:r>
        <w:rPr>
          <w:rFonts w:ascii="Amiri" w:hAnsi="Amiri" w:eastAsia="Amiri" w:cs="Amiri"/>
          <w:color w:val="111111"/>
          <w:sz w:val="28"/>
          <w:sz w:val="28"/>
          <w:szCs w:val="28"/>
          <w:rtl w:val="true"/>
          <w:lang w:bidi="ar-SA"/>
        </w:rPr>
        <w:t xml:space="preserve">فانقطع ظفري ، فجعلت على إصبعي مرارة ، فكيف أصنع بالوضوء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هذا وأشباهه من كتاب اللّه عزّ وجلّ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الحرج ليس في مسح الإصبع برطوبة اليد ، بل في مقدّماته من نزع الخرقة ورفع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إمكان استفادته من ذيل آية التيمّم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مَرْضَى أَوْ على 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فإنّ الظاهر ارتباط هذه الجملة بالمريض والمسافر ، ولا </w:t>
      </w:r>
    </w:p>
    <w:p>
      <w:pPr>
        <w:pStyle w:val="BookText"/>
        <w:rPr/>
      </w:pPr>
      <w:r>
        <w:rPr>
          <w:rFonts w:ascii="Amiri" w:hAnsi="Amiri" w:eastAsia="Amiri" w:cs="Amiri"/>
          <w:color w:val="111111"/>
          <w:sz w:val="28"/>
          <w:sz w:val="28"/>
          <w:szCs w:val="28"/>
          <w:rtl w:val="true"/>
          <w:lang w:bidi="ar-SA"/>
        </w:rPr>
        <w:t>وجه لاختصاصها بالأوّل ، فتكون حرجية الوضوء بالنسبة إلى المسافر الفاقد في</w:t>
      </w:r>
    </w:p>
    <w:p>
      <w:pPr>
        <w:pStyle w:val="BookText"/>
        <w:rPr/>
      </w:pPr>
      <w:r>
        <w:rPr>
          <w:rFonts w:ascii="Amiri" w:hAnsi="Amiri" w:eastAsia="Amiri" w:cs="Amiri"/>
          <w:color w:val="111111"/>
          <w:sz w:val="28"/>
          <w:sz w:val="28"/>
          <w:szCs w:val="28"/>
          <w:rtl w:val="true"/>
          <w:lang w:bidi="ar-SA"/>
        </w:rPr>
        <w:t xml:space="preserve">مقدّمات تحصيل الماء ، كالتخلّف عن الرفقة وغيره ، فيستفاد منها أعمّية الحرج من كونه في الطبيعة المأمور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روايات الركية ، كصحيحة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سأل أبا عبداللّه‌ علیه السلام  عن الرجل</w:t>
      </w:r>
    </w:p>
    <w:p>
      <w:pPr>
        <w:pStyle w:val="BookText"/>
        <w:rPr/>
      </w:pPr>
      <w:r>
        <w:rPr>
          <w:rFonts w:ascii="Amiri" w:hAnsi="Amiri" w:eastAsia="Amiri" w:cs="Amiri"/>
          <w:color w:val="111111"/>
          <w:sz w:val="28"/>
          <w:sz w:val="28"/>
          <w:szCs w:val="28"/>
          <w:rtl w:val="true"/>
          <w:lang w:bidi="ar-SA"/>
        </w:rPr>
        <w:t xml:space="preserve">يمرّ بالركية وليس معه دلو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يدخل الركية ؛ لأنّ ربّ الماء هو ربّ الأرض ، فليتيمّم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ومثلها صحيحة الحسين بن أبي العلاء</w:t>
      </w:r>
      <w:r>
        <w:rPr>
          <w:rStyle w:val="FootnoteAnchor"/>
          <w:rtl w:val="true"/>
        </w:rPr>
        <w:footnoteReference w:id="145"/>
      </w:r>
      <w:r>
        <w:rPr>
          <w:rFonts w:ascii="Amiri" w:hAnsi="Amiri" w:eastAsia="Amiri" w:cs="Amiri"/>
          <w:color w:val="111111"/>
          <w:sz w:val="28"/>
          <w:sz w:val="28"/>
          <w:szCs w:val="28"/>
          <w:rtl w:val="true"/>
          <w:lang w:bidi="ar-SA"/>
        </w:rPr>
        <w:t>على الأصحّ</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الحسين أوجههم ، ولا ريب في كونه إمامياً ، ولكن اختلفوا في وثاقته ؛ فمنهم من أثبتها ومنهم من أنكرها والمصنّف رجّح جانب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عبداللّه بن أبي يعفور ،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وأنت جنب ، فلم تجد دلواً ولا شيئاً تغرف به ، فتيمّم بالصعيد ؛ فإنّ ربّ الماء هو ربّ الصعيد ، ولا تقع في البئر ، ولا تفسد على القوم ماءَهم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دلالتها على المطلوب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الاُوليان ، فلاحتمال أن يكون ذلك لخوف السقوط والعطب ، أو للحرج ، أو لإفساد الماء على القوم ؛ لأجل سقوط الوحل والتراب من جدار البئر ، وإن كان الأخير غير مناسب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دلالتهما على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 لكن كونه للحرج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بشمول إطلاقهما له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خوف الضرر موجب لحرجية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أبي يعفور الواردة في الجنب ، فليست مربوطة بالحرج ، بل النهي عن الدخول إنّما هو لإفساد الماء المعدّ لشرب القوافل والمارّة ، وتلك الآبار في الطرق إنّما حفرت لاستقاء المارّة للشرب وسائر الحاجات ، ولا يجوز إفسادها والدخول فيها ؛ لعدم كونها كالمياه المباحة ، ولا يجوز التصرّف فيها بغير ما جعلت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ربط لها بالحرج الذي يكون الكلام فيه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الحرج الشراء الموجب للشدّة والضيق في المعيشة ، أو للوهن في وجاهته واعتباره ؛ من غير فرق بين أن يكون أزيد من ثمن المثل أو لا ، ولا في حصول الحرج في الحال أو في الاستقبال ممّا يعدّ بنظر العرف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وجوب شرائه بمائة درهم بل بما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إطلاقه بالنسبة إلى مورد الحرج ، وغضّ عن أنّ قوله في صحيحة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واجد لها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ظاهر في أ نّه ميسور له ، كما هو ظاهر ذيل خبر الحسين بن أبي طلحة ، </w:t>
      </w:r>
    </w:p>
    <w:p>
      <w:pPr>
        <w:pStyle w:val="BookText"/>
        <w:rPr/>
      </w:pP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جِدَته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فمحكوم لدليل نفي الحرج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الحرج الخوف من السبع واللصّ ولو كان على أخذ ماله لا على نفسه ؛ لأنّ لأخذ اللصّ ماله والتسلّط عليه مهانةً وذلّةً ووهناً تأبى عنها النفوس غالباً ،</w:t>
      </w:r>
    </w:p>
    <w:p>
      <w:pPr>
        <w:pStyle w:val="BookText"/>
        <w:rPr/>
      </w:pPr>
      <w:r>
        <w:rPr>
          <w:rFonts w:ascii="Amiri" w:hAnsi="Amiri" w:eastAsia="Amiri" w:cs="Amiri"/>
          <w:color w:val="111111"/>
          <w:sz w:val="28"/>
          <w:sz w:val="28"/>
          <w:szCs w:val="28"/>
          <w:rtl w:val="true"/>
          <w:lang w:bidi="ar-SA"/>
        </w:rPr>
        <w:t xml:space="preserve">ويكون تحمّلها حرجياً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الخوف على العرض ، فإنّ الوقوع في معرض هتك الأعراض من أوضح موارد الحرج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جواز التيمّم عند خوف السبع واللصّ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دليل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كثير الرقّي ، ولا يبعد صحّتها ؛ لعدم بُعد وثاقة داود</w:t>
      </w:r>
      <w:r>
        <w:rPr>
          <w:rStyle w:val="FootnoteAnchor"/>
          <w:rtl w:val="true"/>
        </w:rPr>
        <w:footnoteReference w:id="1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السفر فتحضر الصلاة ، وليس معي ماء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قريب منّا ، أفأطلب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وشمالاً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 الماء ، ولكن تيمّم ؛ فإنّي أخاف عليك التخلّف عن أصحابك ، فتضلّ ويأكلك السبع</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يعقوب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رجل لا يكون معه ماء ، والماء عن يمين الطريق ويساره غلوتين أو نحو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 فيعرض له لصّ أو سبع</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مختصّتان بالخوف على نفسه ، ولعلّ اللصوص في تلك الأزمنة والأمكنة كانوا كثيرين ، والتخلّف عن الرِفقة كان تغريراً بالنفس نوعاً ؛ لعدم إبائهم عن إراقة الدماء ، ولهذا أجاب الإمام علیه السلام  بما أجاب ، مع إطلاق السؤال ، بل لا يبعد أن يكون السؤال قرينة على الخوف ، وإلاّ فمع الأمن ووجود الماء لا يحتمل سقوط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في الوصول إلى الماء ضرر مالي ؛ من غير حصول عنوان آخر كالحرج ، فقد استدلّ</w:t>
      </w:r>
      <w:r>
        <w:rPr>
          <w:rStyle w:val="FootnoteAnchor"/>
          <w:rtl w:val="true"/>
        </w:rPr>
        <w:footnoteReference w:id="153"/>
      </w:r>
      <w:r>
        <w:rPr>
          <w:rFonts w:ascii="Amiri" w:hAnsi="Amiri" w:eastAsia="Amiri" w:cs="Amiri"/>
          <w:color w:val="111111"/>
          <w:sz w:val="28"/>
          <w:sz w:val="28"/>
          <w:szCs w:val="28"/>
          <w:rtl w:val="true"/>
          <w:lang w:bidi="ar-SA"/>
        </w:rPr>
        <w:t xml:space="preserve">على سقوط المائية به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وبروايتي داود ويعقوب المتقدّمتين ، وباستقراء أخبار التيمّم في سقوط المائية بأقلّ من ذلك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ذكرناه في رسالة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الضرر ليس بصدد رفع </w:t>
      </w:r>
    </w:p>
    <w:p>
      <w:pPr>
        <w:pStyle w:val="BookText"/>
        <w:rPr/>
      </w:pPr>
      <w:r>
        <w:rPr>
          <w:rFonts w:ascii="Amiri" w:hAnsi="Amiri" w:eastAsia="Amiri" w:cs="Amiri"/>
          <w:color w:val="111111"/>
          <w:sz w:val="28"/>
          <w:sz w:val="28"/>
          <w:szCs w:val="28"/>
          <w:rtl w:val="true"/>
          <w:lang w:bidi="ar-SA"/>
        </w:rPr>
        <w:t xml:space="preserve">الأحكام الضررية ، كما أفادوا </w:t>
      </w:r>
      <w:r>
        <w:rPr>
          <w:rStyle w:val="FootnoteAnchor"/>
          <w:rtl w:val="true"/>
        </w:rPr>
        <w:footnoteReference w:id="156"/>
      </w:r>
      <w:r>
        <w:rPr>
          <w:rFonts w:ascii="IRNazanin" w:hAnsi="IRNazanin" w:eastAsia="IRNazanin"/>
          <w:color w:val="111111"/>
          <w:sz w:val="28"/>
          <w:sz w:val="28"/>
          <w:szCs w:val="28"/>
          <w:rtl w:val="true"/>
          <w:lang w:bidi="fa-IR"/>
        </w:rPr>
        <w:t>، بل حكم سياسي سلطاني صدر من رسول‌اللّه‌ صلی الله علیه و آله وسلم  بما هو سلطان على الناس ، فراجع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موهوناً ؛ لأجل احتمال استنادهم إلى الأدلّة ،</w:t>
      </w:r>
    </w:p>
    <w:p>
      <w:pPr>
        <w:pStyle w:val="BookText"/>
        <w:rPr/>
      </w:pPr>
      <w:r>
        <w:rPr>
          <w:rFonts w:ascii="Amiri" w:hAnsi="Amiri" w:eastAsia="Amiri" w:cs="Amiri"/>
          <w:color w:val="111111"/>
          <w:sz w:val="28"/>
          <w:sz w:val="28"/>
          <w:szCs w:val="28"/>
          <w:rtl w:val="true"/>
          <w:lang w:bidi="ar-SA"/>
        </w:rPr>
        <w:t xml:space="preserve">مثل دليلي الضرر والحرج وغيرهما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معقده هو الخوف من اللصّ على ماله ، وقد مرّ أ نّه حرجي مرفوع بدليله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على الجواز عند حصول خوف من عدوّ من غير ذكر المال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عدم وجدان الخلاف في الخوف على المال من لصّ أو عدوّ أو حريق</w:t>
      </w:r>
      <w:r>
        <w:rPr>
          <w:rStyle w:val="FootnoteAnchor"/>
          <w:rtl w:val="true"/>
        </w:rPr>
        <w:footnoteReference w:id="15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الحكم مجمع عليه بين الأصحاب على ما نقله جماعة ،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يعرف فيه خلافاً بين أهل العلم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الأخير ليس في النسخة الموجودة عندي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دعوى الإجماع في مورد الخوف من اللصّ ومثله ، وهو حرجي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موردهما الخوف من اللصّ والسبع أيضاً ، بل ظاهرهما الخوف على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والتمسّك بالاستقراء</w:t>
      </w:r>
      <w:r>
        <w:rPr>
          <w:rStyle w:val="FootnoteAnchor"/>
          <w:rtl w:val="true"/>
        </w:rPr>
        <w:footnoteReference w:id="162"/>
      </w:r>
      <w:r>
        <w:rPr>
          <w:rFonts w:ascii="Amiri" w:hAnsi="Amiri" w:eastAsia="Amiri" w:cs="Amiri"/>
          <w:color w:val="111111"/>
          <w:sz w:val="28"/>
          <w:sz w:val="28"/>
          <w:szCs w:val="28"/>
          <w:rtl w:val="true"/>
          <w:lang w:bidi="ar-SA"/>
        </w:rPr>
        <w:t>في غير محلّه ؛ بعد ورود وجوب شراء ماء الوضوء بالغاً ما بلغ</w:t>
      </w:r>
      <w:r>
        <w:rPr>
          <w:rStyle w:val="FootnoteAnchor"/>
          <w:rtl w:val="true"/>
        </w:rPr>
        <w:footnoteReference w:id="163"/>
      </w:r>
      <w:r>
        <w:rPr>
          <w:rFonts w:ascii="IRNazanin" w:hAnsi="IRNazanin" w:eastAsia="IRNazanin"/>
          <w:color w:val="111111"/>
          <w:sz w:val="28"/>
          <w:sz w:val="28"/>
          <w:szCs w:val="28"/>
          <w:rtl w:val="true"/>
          <w:lang w:bidi="fa-IR"/>
        </w:rPr>
        <w:t xml:space="preserve">، بل يمكن استفادة وجوب صرف المال لتحصيل الماء للطهارة من صحيحة صفوان في غير المورد المنصوص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p>
    <w:p>
      <w:pPr>
        <w:pStyle w:val="BookText"/>
        <w:rPr/>
      </w:pPr>
      <w:r>
        <w:rPr>
          <w:rFonts w:ascii="Amiri" w:hAnsi="Amiri" w:eastAsia="Amiri" w:cs="Amiri"/>
          <w:color w:val="111111"/>
          <w:sz w:val="28"/>
          <w:sz w:val="28"/>
          <w:szCs w:val="28"/>
          <w:rtl w:val="true"/>
          <w:lang w:bidi="ar-SA"/>
        </w:rPr>
        <w:t xml:space="preserve">عن رجل احتاج إلى الوضوء للصلاة وهو لا يقدر على الماء ، فوجد بقدر ما يتوضّأ به بمائة درهم أو بألف درهم وهو واجد لها ، أيشتري ويتوضّأ ، أو يتيمّم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يشتري ، قد أصابني مثل ذلك فاشتريت وتوضّأت ، وما يشتري بذلك مال كثير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الوضوء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بمنزلة التعليل ، فيستفاد منه أنّ صرف المال لتحصيل المال الكثير عقلائي ، فإذا كان تحصيل ذلك المال الكثير لازماً ، يجب صرف المال لأجله ولو بغير شرائه ، كشراء الآلات وحفر البئر وإعطاء المال للإذن بالدخول في ملكه ، والعبور عنه للوصول إليه ، واستئجار الغير لتحصيله ، بل ولو خاف من ضياع ماله في سبيل تحصيله ما لم يكن حرجياً ، بل وشقّ الثوب النفيس إذا لم يكن فيه محذور شرعي ، على تأمّل في الأخير لأجل احتمال انصرافِ الدليل عن مثله ، وصدقِ عدم الوجدان وعدم القدرة عرفاً على تحصيله </w:t>
      </w:r>
      <w:r>
        <w:rPr>
          <w:rFonts w:eastAsia="Amiri" w:cs="Amiri" w:ascii="Amiri" w:hAnsi="Amiri"/>
          <w:color w:val="111111"/>
          <w:sz w:val="28"/>
          <w:szCs w:val="28"/>
          <w:rtl w:val="true"/>
          <w:lang w:bidi="ar-SA"/>
        </w:rPr>
        <w:t xml:space="preserve">. </w:t>
      </w:r>
      <w:bookmarkStart w:id="100" w:name="pg17116_198583"/>
    </w:p>
    <w:p>
      <w:pPr>
        <w:pStyle w:val="Heading5"/>
        <w:numPr>
          <w:ilvl w:val="4"/>
          <w:numId w:val="1"/>
        </w:numPr>
        <w:rPr/>
      </w:pPr>
      <w:bookmarkStart w:id="101" w:name="__RefHeading___Toc8645883_3381743652"/>
      <w:bookmarkStart w:id="102" w:name="_Toc33"/>
      <w:bookmarkEnd w:id="100"/>
      <w:bookmarkEnd w:id="101"/>
      <w:r>
        <w:rPr>
          <w:rtl w:val="true"/>
        </w:rPr>
        <w:t>السبب الثالث</w:t>
      </w:r>
      <w:r>
        <w:rPr>
          <w:rtl w:val="true"/>
        </w:rPr>
        <w:t xml:space="preserve">: </w:t>
      </w:r>
      <w:r>
        <w:rPr>
          <w:rtl w:val="true"/>
        </w:rPr>
        <w:t>كون الاستعمال حرجياً</w:t>
      </w:r>
      <w:bookmarkEnd w:id="102"/>
    </w:p>
    <w:p>
      <w:pPr>
        <w:pStyle w:val="Heading6"/>
        <w:numPr>
          <w:ilvl w:val="5"/>
          <w:numId w:val="1"/>
        </w:numPr>
        <w:rPr/>
      </w:pPr>
      <w:bookmarkStart w:id="103" w:name="__RefHeading___Toc8645885_3381743652"/>
      <w:bookmarkStart w:id="104" w:name="_Toc34"/>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حرجياً ولو لم يخف الضرر ، كالبرد الشديد الذي يكون التوضّي والاغتسال معه ذا مشقّة ، ويعدّ التكليف معه حرجياً ، أو كان في استعمال الماء ضرر موجب للهلاك ، أو عيب ، أو حدوث مرض ، أو شدّته ، أو طول مدّته ، أو صعوبة علاجه ، أو عدم بُرئه ، أو خاف على نفسه ممّا ذكر وأمثاله من الأمراض المعتدّ بها ؛ حتّى مثل الشَين الذي يعلو البشرة من الخشونة المشوّهة للخلقة ممّا يعتني به العقلاء ، ولا عبرة باليسير غير المعتنى به ممّا لا يعدّ ضرراً ولا حرجاً ولا مرضاً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كلّه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صادقاً على مطلقه ؛ حتّى ما لا يكون استعمال الماء منافياً له أو مضرّاً به ، لكن المناسبة بين الحكم والموضوع وذكر المرض </w:t>
      </w:r>
      <w:bookmarkStart w:id="105" w:name="pg17116_198584"/>
    </w:p>
    <w:p>
      <w:pPr>
        <w:pStyle w:val="BookText"/>
        <w:rPr/>
      </w:pPr>
      <w:bookmarkEnd w:id="105"/>
      <w:r>
        <w:rPr>
          <w:rFonts w:ascii="Amiri" w:hAnsi="Amiri" w:eastAsia="Amiri" w:cs="Amiri"/>
          <w:color w:val="111111"/>
          <w:sz w:val="28"/>
          <w:sz w:val="28"/>
          <w:szCs w:val="28"/>
          <w:rtl w:val="true"/>
          <w:lang w:bidi="ar-SA"/>
        </w:rPr>
        <w:t xml:space="preserve">عقيب وجوب المائية ، توجب الانصراف إلى ما تكون المائية منافية لمرضه ومضرّة به ، كما يستفاد منه التبديل إذا أضرّته المائية ولو لم يندرج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به قرح أو جرح ، فإنّهما لا يعدّان مرضاً عرفاً ، فإنّه عبارة عن اختلال مزاجي ، كالحمّى والسلّ وغيرهما ، كما أنّ الظاهر أنّ الرمد وبعض الأوجاع أيضاً لا يعدّ مرضاً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حكم جميع ما ذُكر من ذكر المرض في ذيل الوضوء والغسل ؛ بمناسبة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وإلاّ يكون الحكم أوضح ، فتدلّ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التبديل في مطلق ما ينافيه المائية ومطلق الحرج ولو كان مأموناً من المرض ، بل يكون في نفس الوضوء لأجل البرد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آية عدم جعل الحرج في الدين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تنصرف الأدلّة عن اليسير غير المعتنى به ، كما أشرنا إليه ، ولعلّ مراد</w:t>
      </w:r>
    </w:p>
    <w:p>
      <w:pPr>
        <w:pStyle w:val="BookText"/>
        <w:rPr/>
      </w:pPr>
      <w:r>
        <w:rPr>
          <w:rFonts w:ascii="IRNazanin" w:hAnsi="IRNazanin" w:eastAsia="IRNazanin"/>
          <w:color w:val="111111"/>
          <w:sz w:val="28"/>
          <w:sz w:val="28"/>
          <w:szCs w:val="28"/>
          <w:rtl w:val="true"/>
          <w:lang w:bidi="fa-IR"/>
        </w:rPr>
        <w:t>المحقّق رحمه الله علیه  وغيره من المرض الشديد</w:t>
      </w:r>
      <w:r>
        <w:rPr>
          <w:rStyle w:val="FootnoteAnchor"/>
          <w:rtl w:val="true"/>
        </w:rPr>
        <w:footnoteReference w:id="166"/>
      </w:r>
      <w:r>
        <w:rPr>
          <w:rFonts w:ascii="Amiri" w:hAnsi="Amiri" w:eastAsia="Amiri" w:cs="Amiri"/>
          <w:color w:val="111111"/>
          <w:sz w:val="28"/>
          <w:sz w:val="28"/>
          <w:szCs w:val="28"/>
          <w:rtl w:val="true"/>
          <w:lang w:bidi="ar-SA"/>
        </w:rPr>
        <w:t xml:space="preserve">، هو مقابل اليسير المذكور ، ولا أظنّ أن يكون مرادهم اعتبار الشدّة احترازاً عن أوّل مراتب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الغسل معه مضرّاً به </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8645887_3381743652"/>
      <w:bookmarkStart w:id="107" w:name="_Toc35"/>
      <w:bookmarkEnd w:id="106"/>
      <w:r>
        <w:rPr>
          <w:rtl w:val="true"/>
        </w:rPr>
        <w:t>سقوط المائية مع خوف حدوث الأمراض مثلاً</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يستفاد من ذيل الآية رفع المائية مع خوف المذكورات ، فإنّ التكليف بها مع الخوف ضيق وحرج وتشديد على المكلّف ، فيعدّ التكليف مع خوف </w:t>
      </w:r>
    </w:p>
    <w:p>
      <w:pPr>
        <w:pStyle w:val="BookText"/>
        <w:rPr/>
      </w:pPr>
      <w:r>
        <w:rPr>
          <w:rFonts w:ascii="Amiri" w:hAnsi="Amiri" w:eastAsia="Amiri" w:cs="Amiri"/>
          <w:color w:val="111111"/>
          <w:sz w:val="28"/>
          <w:sz w:val="28"/>
          <w:szCs w:val="28"/>
          <w:rtl w:val="true"/>
          <w:lang w:bidi="ar-SA"/>
        </w:rPr>
        <w:t xml:space="preserve">الهلاك أو حدوث العيوب والأمراض تضييقاً وتحريجاً عليه ، ومخالفاً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الآية والإجماع المتكرّر في ألسنتهم</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مستفيضة لو لم تكن متواترة ، ففي صحيحة محمّد بن سكين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 فغسّلوه فمات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 ألا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شفاء العيّ السؤال</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يكون به القرح والجراحة يجنب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لا يغتسل ؛ يتيمّم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ابن أبي نصر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تصيبه الجنابة ، وبه قروح أو جروح ، أو يكون يخاف على نفسه من البرد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يغتسل ويتيمّم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صحيحة داود بن سرحان ، عن أبي عبداللّه‌ علیه السلام </w:t>
      </w:r>
      <w:r>
        <w:rPr>
          <w:rStyle w:val="FootnoteAnchor"/>
          <w:rtl w:val="true"/>
        </w:rPr>
        <w:footnoteReference w:id="17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فرق فيما ذكر بين الحدث الأصغر والأكبر ، ولا بين حدوثه اختياراً أو لا ، لكن وردت روايات منافية لذلك ، كصحيحة سليمان بن خالد وأبي بصير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رجل كان في أرض باردة ، فتخوّف إن هو اغتسل أن يصيبه عَنَت من الغسل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وإن أصابه ما أصابه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 نّه كان وَجِعاً شديد الوجع ، فأصابته جنابة وهو في مكان بارد ، وكانت ليلة شديدة الريح باردة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فدعوتُ الغِلْمة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فاغسلوني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 فحملوني ووضعوني على خَشَبات ، ثمّ صبّوا عليّ الماء فغسّلوني</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تصيبه الجنابة في أرض باردة ولا يجد الماء ، وعسى أن يكون الماء جامداً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على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فعل ذلك فمرض شهراً من البرد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على ما كان ؛ فإنّه لا بدّ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اضطرّ إليه وهو مريض ، فأتوه به مسخّناً فاغتسل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الغسل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يجمع</w:t>
      </w:r>
      <w:r>
        <w:rPr>
          <w:rStyle w:val="FootnoteAnchor"/>
          <w:rtl w:val="true"/>
        </w:rPr>
        <w:footnoteReference w:id="174"/>
      </w:r>
      <w:r>
        <w:rPr>
          <w:rFonts w:ascii="IRNazanin" w:hAnsi="IRNazanin" w:eastAsia="IRNazanin"/>
          <w:color w:val="111111"/>
          <w:sz w:val="28"/>
          <w:sz w:val="28"/>
          <w:szCs w:val="28"/>
          <w:rtl w:val="true"/>
          <w:lang w:bidi="fa-IR"/>
        </w:rPr>
        <w:t xml:space="preserve">بينهما وبين ما تقدّم بحملهما على الجنابة الاختيارية ، وحمل ما سبق على الاحتلام ؛ بشهادة مرفوعة علي بن أحمد ، عن أبي عبداللّه‌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سألته عن مجدور أصابته جنابة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أجنب هو فليغتسل ، وإن كان احتلم فليتيمّم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إبراهيم بن هاشم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أجنب فعليه أن يغتسل على ما كان منه ، وإن احتلم فليتيمّم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الفرقة على وجوب الغسل على من أجنب اختياراً </w:t>
      </w:r>
      <w:r>
        <w:rPr>
          <w:rStyle w:val="FootnoteAnchor"/>
          <w:rtl w:val="true"/>
        </w:rPr>
        <w:footnoteReference w:id="177"/>
      </w:r>
      <w:r>
        <w:rPr>
          <w:rFonts w:ascii="Amiri" w:hAnsi="Amiri" w:eastAsia="Amiri" w:cs="Amiri"/>
          <w:color w:val="111111"/>
          <w:sz w:val="28"/>
          <w:sz w:val="28"/>
          <w:szCs w:val="28"/>
          <w:rtl w:val="true"/>
          <w:lang w:bidi="ar-SA"/>
        </w:rPr>
        <w:t>، وعن المفيد والصدوق اختياره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مرفوعة ابن هاشم لا يعلم كونها رواية ، بل لا يبعد أن يكون ذلك فتواه جمعاً بين الروايات ، ومرفوعةَ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رفعها ، وجهالة ابن أحمد</w:t>
      </w:r>
      <w:r>
        <w:rPr>
          <w:rStyle w:val="FootnoteAnchor"/>
          <w:rtl w:val="true"/>
        </w:rPr>
        <w:footnoteReference w:id="179"/>
      </w:r>
      <w:r>
        <w:rPr>
          <w:rFonts w:ascii="Amiri" w:hAnsi="Amiri" w:eastAsia="Amiri" w:cs="Amiri"/>
          <w:color w:val="111111"/>
          <w:sz w:val="28"/>
          <w:sz w:val="28"/>
          <w:szCs w:val="28"/>
          <w:rtl w:val="true"/>
          <w:lang w:bidi="ar-SA"/>
        </w:rPr>
        <w:t>، ومخالفتها للروايات الكثيرة في المجدور</w:t>
      </w:r>
      <w:r>
        <w:rPr>
          <w:rStyle w:val="FootnoteAnchor"/>
          <w:rtl w:val="true"/>
        </w:rPr>
        <w:footnoteReference w:id="180"/>
      </w:r>
      <w:r>
        <w:rPr>
          <w:rFonts w:ascii="Amiri" w:hAnsi="Amiri" w:eastAsia="Amiri" w:cs="Amiri"/>
          <w:color w:val="111111"/>
          <w:sz w:val="28"/>
          <w:sz w:val="28"/>
          <w:szCs w:val="28"/>
          <w:rtl w:val="true"/>
          <w:lang w:bidi="ar-SA"/>
        </w:rPr>
        <w:t xml:space="preserve">مع كونها آبية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للشهادة على الجمع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مثل هذا الجمع غير عقلائي ولا مقبول ، وأنّ المذكور في صحيحة </w:t>
      </w:r>
    </w:p>
    <w:p>
      <w:pPr>
        <w:pStyle w:val="BookText"/>
        <w:rPr/>
      </w:pP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تُصيبه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ظهوره في غير الاختيارية ، وكذا الحال في صحيحتي البزنطي وابن سرحان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أبي عبداللّه‌ علیه السلام  لإصابته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منزّهاً عن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يصير شاهداً على كون السؤال عن حصولها باختياره ، والتعبير عن جنابة نفسه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يجب صرفها إلى الاختيارية ، لا يوجب ظهورها في نفسها في الاختيارية ، بل لعلّه يوجب وهناً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هذا الجمع ضعيف غير مقبول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وأضعف منه الاتّكال على دعوى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خلافه مظنّة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أجنب مختاراً وخشي البرد تيمّم عندنا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وتحصيلاً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متعمّد الجنابة وغيره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منافاة ما ذكر للكتاب والسنّة ، وإباء أدلّة نفي الحرج</w:t>
      </w:r>
      <w:r>
        <w:rPr>
          <w:rStyle w:val="FootnoteAnchor"/>
          <w:rtl w:val="true"/>
        </w:rPr>
        <w:footnoteReference w:id="183"/>
      </w:r>
      <w:r>
        <w:rPr>
          <w:rFonts w:ascii="Amiri" w:hAnsi="Amiri" w:eastAsia="Amiri" w:cs="Amiri"/>
          <w:color w:val="111111"/>
          <w:sz w:val="28"/>
          <w:sz w:val="28"/>
          <w:szCs w:val="28"/>
          <w:rtl w:val="true"/>
          <w:lang w:bidi="ar-SA"/>
        </w:rPr>
        <w:t>من التقييد ، ومخالفته لسهولة الملّة وسماحتها ، ومخالفة بعض مراتبه للعقل ، كخوف تلف النفس ، ولهذا خصّه بعضهم بما إذا لم يخف منه</w:t>
      </w:r>
      <w:r>
        <w:rPr>
          <w:rStyle w:val="FootnoteAnchor"/>
          <w:rtl w:val="true"/>
        </w:rPr>
        <w:footnoteReference w:id="184"/>
      </w:r>
      <w:r>
        <w:rPr>
          <w:rFonts w:ascii="IRNazanin" w:hAnsi="IRNazanin" w:eastAsia="IRNazanin"/>
          <w:color w:val="111111"/>
          <w:sz w:val="28"/>
          <w:sz w:val="28"/>
          <w:szCs w:val="28"/>
          <w:rtl w:val="true"/>
          <w:lang w:bidi="fa-IR"/>
        </w:rPr>
        <w:t xml:space="preserve">، زاعماً كونه جمعاً بين الأخبار وبين مثل صحيحة عبداللّه بن سِنان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w:t>
      </w:r>
    </w:p>
    <w:p>
      <w:pPr>
        <w:pStyle w:val="BookText"/>
        <w:rPr/>
      </w:pPr>
      <w:r>
        <w:rPr>
          <w:rFonts w:ascii="Amiri" w:hAnsi="Amiri" w:eastAsia="Amiri" w:cs="Amiri"/>
          <w:color w:val="111111"/>
          <w:sz w:val="28"/>
          <w:sz w:val="28"/>
          <w:szCs w:val="28"/>
          <w:rtl w:val="true"/>
          <w:lang w:bidi="ar-SA"/>
        </w:rPr>
        <w:t xml:space="preserve">تصيبه الجنابة في الليلة الباردة ، فيخاف على نفسه التلف إن اغتسل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ويصلّي ، فإذا أمن البرد اغتسل وأعاد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ويتلو الجمع المتقدّم في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أضعف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الصحيحتين على الاستحباب بدعوى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الغالب أنّ الخوف على النفس من مرض شديد أو تلف من البرد عند صحّة المزاج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منصرف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ينشأ عن احتمال موهوم في الغاية لا يجب رعايته ، والمظنون الغالب في مثل الفرض الأمن من الضرر لو فرض التحمّي والتحفّظ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يكون الخوف من التلف والمرض من تسويلات النفس تنشأ من مشقّة الفعل ، كما تشهد به صحيحة سليمان ؛ حيث فرض إصابة العنت وهو المشقّة ، فقول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وإن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العنت ، وأمّا الخوف من التلف أو المرض الواجب التحرّز ، فلا يكون غالباً إلاّ على الاحتمال الموهوم ، ولا مانع من حمل الصحيحتين على مثل الفرض وحملهما على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يعارضهما عمومات نفي الحرج والصحاح المتقدّمة ؛ إذ لا يفهم من العمومات إلاّ الرخصة ، ولا من النهي في الصحاح الوارد في مقام توهّم الوجوب إلاّ جواز الترك</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دعوى موهومية الاحتمال في المقام في غاية الضعف ، وكيف يكون الاحتمال موهوماً في مورد الصحيحتين مع ذكر الإمام علیه السلام  في صحيحة </w:t>
      </w:r>
    </w:p>
    <w:p>
      <w:pPr>
        <w:pStyle w:val="BookText"/>
        <w:rPr/>
      </w:pPr>
      <w:r>
        <w:rPr>
          <w:rFonts w:ascii="IRNazanin" w:hAnsi="IRNazanin" w:eastAsia="IRNazanin"/>
          <w:color w:val="111111"/>
          <w:sz w:val="28"/>
          <w:sz w:val="28"/>
          <w:szCs w:val="28"/>
          <w:rtl w:val="true"/>
          <w:lang w:bidi="fa-IR"/>
        </w:rPr>
        <w:t xml:space="preserve">سليمان الأمر بتغسيله في ليلة باردة شديدة الريح مع الوجع الشديد ؛ بحيث لم يتمكّن من الحركة ولا من الاغتسال بنفسه ، فحملوه وغسّلوه ، ولم يقل في جواب الغِلْمة حيث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عليك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خوف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ولو مع الخوف ، ومع حديث الرجل في صحيحة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فعل ذلك فمرض شهراً من البرد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على ما كان ؛ فإنّه لا بدّ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كالصريح في لا بدّية الغسل ولو مع الخوف من المرض كائناً ما كان ، بل ولو مع العلم بحدوثه ، بل مع المرض الفعلي ، كما حكى عن غسله في مرضه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ويتلوه في الضعف دعواه انصراف السؤال إلى صحيح المزاج وسليمه ، فإنّه في نفسه وإن لا يبعد انصرافه إليه ، لكنّ الجواب وحكاية أبي عبداللّه‌ علیه السلام مرضه</w:t>
      </w:r>
    </w:p>
    <w:p>
      <w:pPr>
        <w:pStyle w:val="BookText"/>
        <w:rPr/>
      </w:pPr>
      <w:r>
        <w:rPr>
          <w:rFonts w:ascii="Amiri" w:hAnsi="Amiri" w:eastAsia="Amiri" w:cs="Amiri"/>
          <w:color w:val="111111"/>
          <w:sz w:val="28"/>
          <w:sz w:val="28"/>
          <w:szCs w:val="28"/>
          <w:rtl w:val="true"/>
          <w:lang w:bidi="ar-SA"/>
        </w:rPr>
        <w:t xml:space="preserve">ووجعه الشديد ، صريح في لا بدّية الغسل ولو كان مريضاً وسقيماً ، وفي معرض الازدياد ، بل التلف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صحيحة سليمان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نتخوّف إن هو اغتسل أن يصيبه عَنَت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به لمرامه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المشقّة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وإن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العنت والمشقّة ، غير صالح للاستشهاد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بمعنى المشقّة ، جاء بمعنى الهلاك والفساد</w:t>
      </w:r>
      <w:r>
        <w:rPr>
          <w:rStyle w:val="FootnoteAnchor"/>
          <w:rtl w:val="true"/>
        </w:rPr>
        <w:footnoteReference w:id="187"/>
      </w:r>
      <w:r>
        <w:rPr>
          <w:rFonts w:ascii="Amiri" w:hAnsi="Amiri" w:eastAsia="Amiri" w:cs="Amiri"/>
          <w:color w:val="111111"/>
          <w:sz w:val="28"/>
          <w:sz w:val="28"/>
          <w:szCs w:val="28"/>
          <w:rtl w:val="true"/>
          <w:lang w:bidi="ar-SA"/>
        </w:rPr>
        <w:t xml:space="preserve">، وظاهر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نتخوّف أن يصيبه 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فساد أو هلاك ، وإلاّ فأصل المشقّة في الأرض الباردة معلومة ، ولا يقال معها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نتخوّف أن يصيبه</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لكن لحن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يلائم الحمل على المشقّة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لكن حكاية أبي عبداللّه‌ علیه السلام  اغتساله مع الوجع الشديد والليلة </w:t>
      </w:r>
      <w:bookmarkStart w:id="108" w:name="pg17116_198591"/>
    </w:p>
    <w:p>
      <w:pPr>
        <w:pStyle w:val="BookText"/>
        <w:rPr/>
      </w:pPr>
      <w:bookmarkEnd w:id="108"/>
      <w:r>
        <w:rPr>
          <w:rFonts w:ascii="Amiri" w:hAnsi="Amiri" w:eastAsia="Amiri" w:cs="Amiri"/>
          <w:color w:val="111111"/>
          <w:sz w:val="28"/>
          <w:sz w:val="28"/>
          <w:szCs w:val="28"/>
          <w:rtl w:val="true"/>
          <w:lang w:bidi="ar-SA"/>
        </w:rPr>
        <w:t xml:space="preserve">الباردة والريح الشديد وقول الغِلْمة وغير ذلك ، مخالف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ذلك في صحيحة سليمان لا يأتي احتماله في صحيحة ابن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وأضعف من جميع ذلك حملهما على الاستحباب مع إبائهما عنه ، وكيف يحمل عليه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وإن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 جواب الغِلْمة مع الخوف على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على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فمرض شهراً من البرد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اغتسل على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 حكاية غسله في حال المرض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طرح الرواية أولى من هذا النحو من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محيص عن طرحهما وردّ علمهما إلى أهله ؛ بعد وَهْنهما بظهورهما في إصابة الجنابة إيّاه علیه السلام  من غير اختيار ، وهو منزّه عنها ، وبغاية بُعد الاختيارية منها في هذه الحال وفي هذه الأرض الباردة المَخوفة على النفس ، ولمخالفتهما للعقل والكتاب والسنّة ، وبإعراض المشهور عنهما على ما حكي</w:t>
      </w:r>
      <w:r>
        <w:rPr>
          <w:rStyle w:val="FootnoteAnchor"/>
          <w:rtl w:val="true"/>
        </w:rPr>
        <w:footnoteReference w:id="188"/>
      </w:r>
      <w:r>
        <w:rPr>
          <w:rFonts w:ascii="Amiri" w:hAnsi="Amiri" w:eastAsia="Amiri" w:cs="Amiri"/>
          <w:color w:val="111111"/>
          <w:sz w:val="28"/>
          <w:sz w:val="28"/>
          <w:szCs w:val="28"/>
          <w:rtl w:val="true"/>
          <w:lang w:bidi="ar-SA"/>
        </w:rPr>
        <w:t>، وموافقتهما للمحكيّ عن أصحاب الرأي وأحمد في إحدى الروايتين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8645889_3381743652"/>
      <w:bookmarkStart w:id="110" w:name="_Toc36"/>
      <w:bookmarkEnd w:id="109"/>
      <w:r>
        <w:rPr>
          <w:rtl w:val="true"/>
        </w:rPr>
        <w:t>حول سقوط المائية مع خوف الشَيْن</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مرّ أ نّه لا فرق في خوف المرض وغيره بين الشديد والضعيف ، إلاّ إذا كان يسيراً غير معتنىً به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11" w:name="pg17116_198592"/>
    </w:p>
    <w:p>
      <w:pPr>
        <w:pStyle w:val="BookText"/>
        <w:rPr/>
      </w:pPr>
      <w:bookmarkEnd w:id="111"/>
      <w:r>
        <w:rPr>
          <w:rFonts w:ascii="Amiri" w:hAnsi="Amiri" w:eastAsia="Amiri" w:cs="Amiri"/>
          <w:color w:val="111111"/>
          <w:sz w:val="28"/>
          <w:sz w:val="28"/>
          <w:szCs w:val="28"/>
          <w:rtl w:val="true"/>
          <w:lang w:bidi="ar-SA"/>
        </w:rPr>
        <w:t>وأمّا الشَيْن الذي ادّعي عدم وجدان الخلاف في جواز التيمّم معه</w:t>
      </w:r>
      <w:r>
        <w:rPr>
          <w:rStyle w:val="FootnoteAnchor"/>
          <w:rtl w:val="true"/>
        </w:rPr>
        <w:footnoteReference w:id="19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عند علمائنا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وهو ظاهر في الإجماع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صريحاً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كان</w:t>
      </w:r>
    </w:p>
    <w:p>
      <w:pPr>
        <w:pStyle w:val="BookText"/>
        <w:rPr/>
      </w:pPr>
      <w:r>
        <w:rPr>
          <w:rFonts w:ascii="Amiri" w:hAnsi="Amiri" w:eastAsia="Amiri" w:cs="Amiri"/>
          <w:color w:val="111111"/>
          <w:sz w:val="28"/>
          <w:sz w:val="28"/>
          <w:szCs w:val="28"/>
          <w:rtl w:val="true"/>
          <w:lang w:bidi="ar-SA"/>
        </w:rPr>
        <w:t xml:space="preserve">المراد منه بعض الأمراض الجلدية من قبيل الجرب والسوداء ، فلا إشكال في صحّة التيمّم معه ؛ لإطلاق الآية ، بل يستفاد حكمه من أدلّة القرح والجرح ؛ إمّا بدعوى اندراجه فيها ، أو بدعوى إلغاء الخصوصية عرفاً ، مضافاً إلى أدلّة نفي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هو الخشونة التي تعلو البَشَرة ، وقد تنتهي إلى انشقاق الجلد ، فمع خوف الانشقاق المعتدّ به ينسلك في الأدلّة ولو بإلغاء الخصوصية ، ومع عدمه فلا دليل عليه إلاّ أدلّة نفي الحرج ، فلا بدّ من كونه بحدّ يصدق معه الحرج والمشقّة ، وصار التوضّي مع خوفه مندرجاً في التضييق والتحريج </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8645891_3381743652"/>
      <w:bookmarkStart w:id="113" w:name="_Toc37"/>
      <w:bookmarkEnd w:id="112"/>
      <w:r>
        <w:rPr>
          <w:rtl w:val="true"/>
        </w:rPr>
        <w:t xml:space="preserve">المراد من </w:t>
      </w:r>
      <w:r>
        <w:rPr>
          <w:rtl w:val="true"/>
        </w:rPr>
        <w:t>«</w:t>
      </w:r>
      <w:r>
        <w:rPr>
          <w:rtl w:val="true"/>
        </w:rPr>
        <w:t>الحرج</w:t>
      </w:r>
      <w:r>
        <w:rPr>
          <w:rtl w:val="true"/>
        </w:rPr>
        <w:t>»</w:t>
      </w:r>
      <w:bookmarkEnd w:id="11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بعضهم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جزئيات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بما لا يتحمّل عادة</w:t>
      </w:r>
      <w:r>
        <w:rPr>
          <w:rStyle w:val="FootnoteAnchor"/>
          <w:rtl w:val="true"/>
        </w:rPr>
        <w:footnoteReference w:id="193"/>
      </w:r>
      <w:r>
        <w:rPr>
          <w:rFonts w:ascii="Amiri" w:hAnsi="Amiri" w:eastAsia="Amiri" w:cs="Amiri"/>
          <w:color w:val="111111"/>
          <w:sz w:val="28"/>
          <w:sz w:val="28"/>
          <w:szCs w:val="28"/>
          <w:rtl w:val="true"/>
          <w:lang w:bidi="ar-SA"/>
        </w:rPr>
        <w:t xml:space="preserve">، والظاهر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المشقّة التي لا تتحمّل </w:t>
      </w:r>
    </w:p>
    <w:p>
      <w:pPr>
        <w:pStyle w:val="BookText"/>
        <w:rPr/>
      </w:pP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الحرج أضيق الضيق</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ضيق ؛ بأن يكلّفكم ما لا طاقة لكم به وما تعجزون عنه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يَحْرَج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الشيخ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مدخل له ،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مدخل</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مكانٌ حَرَجٌ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كثير الشجر لا تصل إليه الراعية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ونُقِل ذلك عن ابن عبّاس أيضاً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لكنّ الظاهر من كثير من كتب اللغة تفسيره بالضيّق من غير تقييد بما لا يتحمّل أو غيره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التحريج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حَرِج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 حَرّجه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الحَرَج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بالضيق والعنت عن جميع المفسّرين</w:t>
      </w:r>
      <w:r>
        <w:rPr>
          <w:rStyle w:val="FootnoteAnchor"/>
          <w:rtl w:val="true"/>
        </w:rPr>
        <w:footnoteReference w:id="2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فسّره به في صحيحة زرارة المتقدّمة</w:t>
      </w:r>
      <w:r>
        <w:rPr>
          <w:rStyle w:val="FootnoteAnchor"/>
          <w:rtl w:val="true"/>
        </w:rPr>
        <w:footnoteReference w:id="202"/>
      </w:r>
      <w:r>
        <w:rPr>
          <w:rFonts w:ascii="Amiri" w:hAnsi="Amiri" w:eastAsia="Amiri" w:cs="Amiri"/>
          <w:color w:val="111111"/>
          <w:sz w:val="28"/>
          <w:sz w:val="28"/>
          <w:szCs w:val="28"/>
          <w:rtl w:val="true"/>
          <w:lang w:bidi="ar-SA"/>
        </w:rPr>
        <w:t xml:space="preserve">عن المشايخ الثلاثة ، قال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من أين علمت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المسح ببعض الرأس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والحديث طويل متعرّض لتفسير الآية والنكات التي فيها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 عن أبيه ، عن النبي صلی الله علیه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اللّه اُمّتي وفضّلهم به على سائر الاُمم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تعالى أعطى اُمّتي ذلك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أبي بصير في أبواب المياه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نسافر ، فربّما بُلينا بالغدير من المطر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افرج الماء بيدك ثمّ توضّأ ؛ فإنّ الدين ليس بمضيّق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أيضاً من بعض موارد تمسّكهم بدليل نفي الحرج ، أوسعية الأمر ممّا </w:t>
      </w:r>
    </w:p>
    <w:p>
      <w:pPr>
        <w:pStyle w:val="BookText"/>
        <w:rPr/>
      </w:pPr>
      <w:r>
        <w:rPr>
          <w:rFonts w:ascii="Amiri" w:hAnsi="Amiri" w:eastAsia="Amiri" w:cs="Amiri"/>
          <w:color w:val="111111"/>
          <w:sz w:val="28"/>
          <w:sz w:val="28"/>
          <w:szCs w:val="28"/>
          <w:rtl w:val="true"/>
          <w:lang w:bidi="ar-SA"/>
        </w:rPr>
        <w:t>قيل ، كرواية عبد الأعلى</w:t>
      </w:r>
      <w:r>
        <w:rPr>
          <w:rStyle w:val="FootnoteAnchor"/>
          <w:rtl w:val="true"/>
        </w:rPr>
        <w:footnoteReference w:id="208"/>
      </w:r>
      <w:r>
        <w:rPr>
          <w:rFonts w:ascii="Amiri" w:hAnsi="Amiri" w:eastAsia="Amiri" w:cs="Amiri"/>
          <w:color w:val="111111"/>
          <w:sz w:val="28"/>
          <w:sz w:val="28"/>
          <w:szCs w:val="28"/>
          <w:rtl w:val="true"/>
          <w:lang w:bidi="ar-SA"/>
        </w:rPr>
        <w:t xml:space="preserve">، فإنّ رفع المرارة ليس ممّا لا يتحمّل عادة ، بل فيه مشقّة وكلفة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الرواية المحكيّة عن حمزة بن الطيّار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إذا نظرت في جميع الأشياء لم تجد أحداً في ضيق</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أبيه ، عن آبائه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غِلَظَ على مسلم في شيء</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لسان الآيات الشريفة الواردة في مقام الامتنان ، لسان عدم جعل مطلق الضيق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14" w:name="pg17116_198596"/>
    </w:p>
    <w:p>
      <w:pPr>
        <w:pStyle w:val="Heading5"/>
        <w:numPr>
          <w:ilvl w:val="4"/>
          <w:numId w:val="1"/>
        </w:numPr>
        <w:rPr/>
      </w:pPr>
      <w:bookmarkStart w:id="115" w:name="__RefHeading___Toc8645893_3381743652"/>
      <w:bookmarkStart w:id="116" w:name="_Toc38"/>
      <w:bookmarkEnd w:id="114"/>
      <w:bookmarkEnd w:id="115"/>
      <w:r>
        <w:rPr>
          <w:rtl w:val="true"/>
        </w:rPr>
        <w:t>السبب الرابع</w:t>
      </w:r>
      <w:r>
        <w:rPr>
          <w:rtl w:val="true"/>
        </w:rPr>
        <w:t xml:space="preserve">: </w:t>
      </w:r>
      <w:r>
        <w:rPr>
          <w:rtl w:val="true"/>
        </w:rPr>
        <w:t>الخوف من العطش</w:t>
      </w:r>
      <w:bookmarkEnd w:id="116"/>
    </w:p>
    <w:p>
      <w:p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العطش في استعمال الماء على نفسه ، أو أولاده وعائلته ، أو صديقه ، بل كلّ ما يتعلّق به من الإنسان والحيوان ؛ من تلف ، أو حدوث مرض ، أو علّة ، أو عروض حرج ، أو مشقّة من فقد الماء ؛ لأدلّة نفي الحرج ؛ ضرورة أ نّه كما يكون التكليف بالوضوء مع خوف ما ذكر على نفسه تحريجاً وتضييقاً ، كذلك إذا خاف على أطفاله وعياله ، أو صديقه ، بل غلمته ، بل حيوانه الذي يحتاج إليه في سفره ، بل مطلقاً إذا كان في حفظه غرض عقلائي ؛ سواء اُخذ للذبح لكن لا يكون في السفر محلّ ذبحه ويشقّ عليه حمله ، أو لم يؤخذ لذلك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اُخذ له ، ولا يتعلّق الغرض ببقائه ، ولا يكون في ذبحه أو حمله حرج ، فلا يستفاد حكمه من دليل نفي الحرج وإن لا يبعد استفادته من سائر الأدلّة ، كموثّقة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يكون معه الماء في </w:t>
      </w:r>
    </w:p>
    <w:p>
      <w:pPr>
        <w:pStyle w:val="BookText"/>
        <w:rPr/>
      </w:pPr>
      <w:r>
        <w:rPr>
          <w:rFonts w:ascii="Amiri" w:hAnsi="Amiri" w:eastAsia="Amiri" w:cs="Amiri"/>
          <w:color w:val="111111"/>
          <w:sz w:val="28"/>
          <w:sz w:val="28"/>
          <w:szCs w:val="28"/>
          <w:rtl w:val="true"/>
          <w:lang w:bidi="ar-SA"/>
        </w:rPr>
        <w:t xml:space="preserve">السفر ، فيخاف قلّته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يتيمّم بالصعيد ، ويستبقي الماء ؛ فإنّ اللّه عزّ وجلّ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والصعيد</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لصدق خوف القلّة على من كان في سفر مع عائلته وكلّ ما يتعلّق ويرتبط به ؛ إنساناً أو حيواناً ، ذمّياً أو مسلماً ، بل لعلّه يشمل الخوف على الحربي المتعلّق به ؛ وإن كان الأقرب انصرافه عن مثل الحربي الذي يجب على الناس قتله بأيّة وسيلة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يكن مهدور الدم ، لكن يكون مرتكباً لما يكون حدّه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كالقاتل والزاني المحصن ؛ ممّن يكون قتله بيد شخص خاصّ أو بنحو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شمول الرواية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شمولها للخوف على غير ما يتعلّق به ؛ آدمياً كان أو غيره ممّا له</w:t>
      </w:r>
    </w:p>
    <w:p>
      <w:pPr>
        <w:pStyle w:val="BookText"/>
        <w:rPr/>
      </w:pPr>
      <w:r>
        <w:rPr>
          <w:rFonts w:ascii="Amiri" w:hAnsi="Amiri" w:eastAsia="Amiri" w:cs="Amiri"/>
          <w:color w:val="111111"/>
          <w:sz w:val="28"/>
          <w:sz w:val="28"/>
          <w:szCs w:val="28"/>
          <w:rtl w:val="true"/>
          <w:lang w:bidi="ar-SA"/>
        </w:rPr>
        <w:t xml:space="preserve">كبد حرّى ؛ ضرورة أ نّه مع رؤية الإنسان إنساناً أو حيواناً يتلظّى عطشاً بمحضر منه ، يكون التكليف بالوضوء عليه تحريجاً وتضييقاً ؛ لأنّ النفوس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القاسية والشقيّة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عن ذلك ، فحينئذٍ مع خوف حصول ذلك يصدق خوف القلّة ، بل تشمله أدلّة نفي الحرج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استفادته من صحيحة ابن سنان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في رجل أصابته جنابة في السفر ، وليس معه إلاّ ماء قليل ، ويخاف إن هو اغتسل أن يعطش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خاف عطشاً فلا يهريق منه قطرة ، وليتيمّم </w:t>
      </w:r>
    </w:p>
    <w:p>
      <w:pPr>
        <w:pStyle w:val="BookText"/>
        <w:rPr/>
      </w:pPr>
      <w:r>
        <w:rPr>
          <w:rFonts w:ascii="Amiri" w:hAnsi="Amiri" w:eastAsia="Amiri" w:cs="Amiri"/>
          <w:color w:val="111111"/>
          <w:sz w:val="28"/>
          <w:sz w:val="28"/>
          <w:szCs w:val="28"/>
          <w:rtl w:val="true"/>
          <w:lang w:bidi="ar-SA"/>
        </w:rPr>
        <w:t>بالصعيد ؛ فإنّ الصعيد أحبّ إليّ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تغيير الجواب عمّا هو متعارف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يُشعر أو يدلّ على توسعة الموضوع من عطش نفسه ، وإلاّ كان حقّ الجواب إمّا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أن يعطش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فتبديل الجواب بما هو غير متعارف لا بدّ فيه من نكتة ؛ وهي إفادة توسعة الحكم لخوف عطش على نفسه أو غيره ؛ آدمي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خوف العطش والقلّة أن يكونا مخوفين ، ولا يطلق عرفاً ذلك إلاّ على ما يكون في احتمالهما خطر هلاك أو مرض أو مشقّة ، وأمّا إذا احتمل العطش المتعارف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احتمال حصول أوّل مراتب العطش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قلّة الماء لمثل الطبخ والقهوة والقليان خارج من مصبّ الرواية ؛ لأنّ القلّة لا تكون مخوفة معه عادة ، ضرورة أنّ احتمال القلّة لكلّ حاجة لا يوجب الخوف ، ولا يطلق عليه ، فخوف القلّة ينحصر عرفاً بما يكون معرضاً لخطر أو حرج أو مشقّة </w:t>
      </w:r>
      <w:r>
        <w:rPr>
          <w:rFonts w:eastAsia="Amiri" w:cs="Amiri" w:ascii="Amiri" w:hAnsi="Amiri"/>
          <w:color w:val="111111"/>
          <w:sz w:val="28"/>
          <w:szCs w:val="28"/>
          <w:rtl w:val="true"/>
          <w:lang w:bidi="ar-SA"/>
        </w:rPr>
        <w:t xml:space="preserve">. </w:t>
      </w:r>
      <w:bookmarkStart w:id="117" w:name="pg17116_198599"/>
    </w:p>
    <w:p>
      <w:pPr>
        <w:pStyle w:val="Heading5"/>
        <w:numPr>
          <w:ilvl w:val="4"/>
          <w:numId w:val="1"/>
        </w:numPr>
        <w:rPr/>
      </w:pPr>
      <w:bookmarkStart w:id="118" w:name="__RefHeading___Toc8645895_3381743652"/>
      <w:bookmarkStart w:id="119" w:name="_Toc39"/>
      <w:bookmarkEnd w:id="117"/>
      <w:bookmarkEnd w:id="118"/>
      <w:r>
        <w:rPr>
          <w:rtl w:val="true"/>
        </w:rPr>
        <w:t>السبب الخامس</w:t>
      </w:r>
      <w:r>
        <w:rPr>
          <w:rtl w:val="true"/>
        </w:rPr>
        <w:t xml:space="preserve">: </w:t>
      </w:r>
      <w:r>
        <w:rPr>
          <w:rtl w:val="true"/>
        </w:rPr>
        <w:t>لزوم المحذور الشرعي من استعمال الماء</w:t>
      </w:r>
      <w:bookmarkEnd w:id="119"/>
    </w:p>
    <w:p>
      <w:pPr>
        <w:pStyle w:val="Heading6"/>
        <w:numPr>
          <w:ilvl w:val="5"/>
          <w:numId w:val="1"/>
        </w:numPr>
        <w:rPr/>
      </w:pPr>
      <w:bookmarkStart w:id="120" w:name="__RefHeading___Toc8645897_3381743652"/>
      <w:bookmarkStart w:id="121" w:name="_Toc40"/>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لزم من استعمال الماء في الوضوء أو الغسل محذور شرعي ؛ من ترك واجب ، كما لو لزم من الاشتغال بأحدهما والصلاة تركُ إنقاذ غريق ، دون التيمّم ، أو تأخيرُ أداء الدين المطالَب به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فعلِ محرّم ، كاستعمال ماء مغصوب ، أو العبور من طريق مغصوب ، أو استعمال آنية الذهب والفضّة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تركِ شرط معتبر في الصلاة ، كما لو لزم منه نجاسة مسجد الجبهة مع الانحصار وعدم إمكان التحرّز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حصولِ مانع ، كما لو لزم منه نجاسة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لو كان الماء بقدر تطهير الثوب النجس أو الوضوء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الموارد ، فهل يكون في جميع الأعذار الشرعية كذلك ، أو يكون من باب الأهمّ والمهمّ ولا بدّ من ملاحظة قاعدة باب التزاحم ؟ </w:t>
      </w:r>
    </w:p>
    <w:p>
      <w:pPr>
        <w:pStyle w:val="BookText"/>
        <w:rPr/>
      </w:pPr>
      <w:r>
        <w:rPr>
          <w:rFonts w:ascii="Amiri" w:hAnsi="Amiri" w:eastAsia="Amiri" w:cs="Amiri"/>
          <w:color w:val="111111"/>
          <w:sz w:val="28"/>
          <w:sz w:val="28"/>
          <w:szCs w:val="28"/>
          <w:rtl w:val="true"/>
          <w:lang w:bidi="ar-SA"/>
        </w:rPr>
        <w:t>قد يقال</w:t>
      </w:r>
      <w:r>
        <w:rPr>
          <w:rStyle w:val="FootnoteAnchor"/>
          <w:rtl w:val="true"/>
        </w:rPr>
        <w:footnoteReference w:id="215"/>
      </w:r>
      <w:r>
        <w:rPr>
          <w:rFonts w:ascii="Amiri" w:hAnsi="Amiri" w:eastAsia="Amiri" w:cs="Amiri"/>
          <w:color w:val="111111"/>
          <w:sz w:val="28"/>
          <w:sz w:val="28"/>
          <w:szCs w:val="28"/>
          <w:rtl w:val="true"/>
          <w:lang w:bidi="ar-SA"/>
        </w:rPr>
        <w:t>باستفادة كون كلّ عذر شرعي أو عقلي موجباً للتيمّم من الآية الكريمة</w:t>
      </w:r>
      <w:r>
        <w:rPr>
          <w:rStyle w:val="FootnoteAnchor"/>
          <w:rtl w:val="true"/>
        </w:rPr>
        <w:footnoteReference w:id="216"/>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ذكر عدم الوجدان عقيب الأمر بالوضوء والغسل ، عدم وجدان ما يستعمل في الطهور بلا محذور مطلقاً ؛ ألا ترى أ نّه لو وجد أقلّ من الوضوء ، أو كان الماء للغير ، لا ينقدح في الذهن صدق وجدانه وعدم صحّة التيمّم معه ، فيظهر منه أنّ الموضوع هو الوجدان من غير محذور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ريب في أنّ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وجدان ما يمكن استعماله في الطهارة كما مرّ</w:t>
      </w:r>
      <w:r>
        <w:rPr>
          <w:rStyle w:val="FootnoteAnchor"/>
          <w:rtl w:val="true"/>
        </w:rPr>
        <w:footnoteReference w:id="217"/>
      </w:r>
      <w:r>
        <w:rPr>
          <w:rFonts w:ascii="Amiri" w:hAnsi="Amiri" w:eastAsia="Amiri" w:cs="Amiri"/>
          <w:color w:val="111111"/>
          <w:sz w:val="28"/>
          <w:sz w:val="28"/>
          <w:szCs w:val="28"/>
          <w:rtl w:val="true"/>
          <w:lang w:bidi="ar-SA"/>
        </w:rPr>
        <w:t>، ففي صورة كون الماء غير وافٍ يتيمّم ، كما أ نّه لو كان الماء للغير يصدق عدم الوجدان عرفاً ، فإنّه غير واجد لمال الغير ، كما أ نّه يستفاد حكم عدم إمكان التوصّل إليه من الآية كما مرّ</w:t>
      </w:r>
      <w:r>
        <w:rPr>
          <w:rStyle w:val="FootnoteAnchor"/>
          <w:rtl w:val="true"/>
        </w:rPr>
        <w:footnoteReference w:id="218"/>
      </w:r>
      <w:r>
        <w:rPr>
          <w:rFonts w:ascii="Amiri" w:hAnsi="Amiri" w:eastAsia="Amiri" w:cs="Amiri"/>
          <w:color w:val="111111"/>
          <w:sz w:val="28"/>
          <w:sz w:val="28"/>
          <w:szCs w:val="28"/>
          <w:rtl w:val="true"/>
          <w:lang w:bidi="ar-SA"/>
        </w:rPr>
        <w:t xml:space="preserve">، لكن إلحاق كلّ محذور شرعي به غير ظاهر ؛ فإنّ الوجدان صادق بلا شبهة مع وجوده في آنية الذهب والفضّة ، أو كان في التوصّل إليه وفي طريقه محذور شرعي ، فعدم الوجدان وإن عمّ ما تقدّم ، لكنّه لا يعمّ لمثل المحذور الشرعي ، وليس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ولو بالارتكاز العرفي والمناسبات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الوجدان هو العرفي منه ، كما في جميع الموضوعات المتعلّقة للأحكام ، وهو صادق مع ما تقدّم ، دون مطلق المحذور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سائر المحاذير بمثل التصرّف في مال الغير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غصب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لصدق عدم الوجدان عرفاً مع كونه للغير ، لا لأجل حكم الشارع بالحرمة ، بل لحكم العقلاء بأنّ الإنسان لم يكن واجداً لمال غيره ، وأمّا إذا كان الماء له والآنية من الذهب أو من مال الغير ، فلا شبهة</w:t>
      </w:r>
    </w:p>
    <w:p>
      <w:pPr>
        <w:pStyle w:val="BookText"/>
        <w:rPr/>
      </w:pPr>
      <w:r>
        <w:rPr>
          <w:rFonts w:ascii="Amiri" w:hAnsi="Amiri" w:eastAsia="Amiri" w:cs="Amiri"/>
          <w:color w:val="111111"/>
          <w:sz w:val="28"/>
          <w:sz w:val="28"/>
          <w:szCs w:val="28"/>
          <w:rtl w:val="true"/>
          <w:lang w:bidi="ar-SA"/>
        </w:rPr>
        <w:t xml:space="preserve">في صدق الوجدان ، وعدم إشعار في الآية بالإلحاق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على المطلوب ببعض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 أجنب في سفر ، ولم يجد إلاّ الثلج أو ماءً جامداً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الضرورة يتيمّم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أنّ الضرورة أو ما هو بمنزلتها موضوع لصحّة التيمّم ، وموردها وإن كان من الضرورات التكوينية ، لكن لا يقيّد ما هو بمنزلة التعليل أو الكبرى بالمورد ، ولا ريب في أنّ التخلّص عن ارتكاب المحرّم أو ترك الواجب أو شرطه أو إتيان مانعه ، من الضرورات عرفاً وعقلاً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الشرعي ليس محذوراً في نظر العرف مع كونه متعبّداً بحكم هذا الشرع ، فأيّ ضرورة أعظم من التخلّص من مخالفة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الإطلاق في الرواية غير وجيهة ، فإنّه لو كان موضوع التبديل عنواناً آخر لكان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خصوصاً مع كونه بمنزلة التعليل ، فالظاهر أنّ كلّ ضرورة موجبة للانتقال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في حال </w:t>
      </w:r>
    </w:p>
    <w:p>
      <w:pPr>
        <w:pStyle w:val="BookText"/>
        <w:rPr/>
      </w:pPr>
      <w:r>
        <w:rPr>
          <w:rFonts w:ascii="Amiri" w:hAnsi="Amiri" w:eastAsia="Amiri" w:cs="Amiri"/>
          <w:color w:val="111111"/>
          <w:sz w:val="28"/>
          <w:sz w:val="28"/>
          <w:szCs w:val="28"/>
          <w:rtl w:val="true"/>
          <w:lang w:bidi="ar-SA"/>
        </w:rPr>
        <w:t>لا تقدر إلاّ على الطين فتيمّم به ؛ فإنّ اللّه أولى بالعذر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أنّ موضوع التبديل هو العذر من التيمّم بالتراب ، وهي وإن كانت في مورد آخر ، لكن يمكن الاستشهاد بها للمورد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عبداللّه بن أبي يعفور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البئر وأنت جنب ، فلم تجد دَلْواً ولا شيئاً تغرف به ، فتيمّم بالصعيد ؛ فإنّ ربّ الماء هو ربّ الصعيد ، ولا تقع في البئر ، ولا تفسد على القوم ماءهم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فساد الماء عليهم محذور يوجب الانتقال ، والمحذور إمّا الحرمة الشرعية ، فيفهم أ نّه مع وقوع الحرام لا يجوز التوضّي والغسل ، وإمّا الغضاضة العرفية مع عدم محذور شرعي ، فيدلّ على التبديل مع المحذور الشرعي قطعاً ؛ لدلالتها على صحّة التيمّم بأدنى شيء ؛ ولو بمثل تنفّر الطباع عن الورود في الماء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المتفاهم من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أحد الطهورين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ربّهما واحد</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عشر سنين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وما دلّ على عدم </w:t>
      </w:r>
    </w:p>
    <w:p>
      <w:pPr>
        <w:pStyle w:val="BookText"/>
        <w:rPr/>
      </w:pPr>
      <w:r>
        <w:rPr>
          <w:rFonts w:ascii="Amiri" w:hAnsi="Amiri" w:eastAsia="Amiri" w:cs="Amiri"/>
          <w:color w:val="111111"/>
          <w:sz w:val="28"/>
          <w:sz w:val="28"/>
          <w:szCs w:val="28"/>
          <w:rtl w:val="true"/>
          <w:lang w:bidi="ar-SA"/>
        </w:rPr>
        <w:t>لزوم الفحص عن الماء أكثر من غلوة وغلوتين</w:t>
      </w:r>
      <w:r>
        <w:rPr>
          <w:rStyle w:val="FootnoteAnchor"/>
          <w:rtl w:val="true"/>
        </w:rPr>
        <w:footnoteReference w:id="225"/>
      </w:r>
      <w:r>
        <w:rPr>
          <w:rFonts w:ascii="Amiri" w:hAnsi="Amiri" w:eastAsia="Amiri" w:cs="Amiri"/>
          <w:color w:val="111111"/>
          <w:sz w:val="28"/>
          <w:sz w:val="28"/>
          <w:szCs w:val="28"/>
          <w:rtl w:val="true"/>
          <w:lang w:bidi="ar-SA"/>
        </w:rPr>
        <w:t>مع احتمال وجوده ، بل الظنّ به ، وأخبار الركية</w:t>
      </w:r>
      <w:r>
        <w:rPr>
          <w:rStyle w:val="FootnoteAnchor"/>
          <w:rtl w:val="true"/>
        </w:rPr>
        <w:footnoteReference w:id="226"/>
      </w:r>
      <w:r>
        <w:rPr>
          <w:rFonts w:ascii="IRNazanin" w:hAnsi="IRNazanin" w:eastAsia="IRNazanin"/>
          <w:color w:val="111111"/>
          <w:sz w:val="28"/>
          <w:sz w:val="28"/>
          <w:szCs w:val="28"/>
          <w:rtl w:val="true"/>
          <w:lang w:bidi="fa-IR"/>
        </w:rPr>
        <w:t>، وما دلّ على جواز إجناب النفس مع عدم الماء</w:t>
      </w:r>
      <w:r>
        <w:rPr>
          <w:rStyle w:val="FootnoteAnchor"/>
          <w:rtl w:val="true"/>
        </w:rPr>
        <w:footnoteReference w:id="227"/>
      </w:r>
      <w:r>
        <w:rPr>
          <w:rFonts w:ascii="Amiri" w:hAnsi="Amiri" w:eastAsia="Amiri" w:cs="Amiri"/>
          <w:color w:val="111111"/>
          <w:sz w:val="28"/>
          <w:sz w:val="28"/>
          <w:szCs w:val="28"/>
          <w:rtl w:val="true"/>
          <w:lang w:bidi="ar-SA"/>
        </w:rPr>
        <w:t>، وما دلّ على جواز إتمام الصلاة مع التيمّم لو وجد الماء بعد الدخول في الركوع ، بل بعد الدخول في الصلاة</w:t>
      </w:r>
      <w:r>
        <w:rPr>
          <w:rStyle w:val="FootnoteAnchor"/>
          <w:rtl w:val="true"/>
        </w:rPr>
        <w:footnoteReference w:id="228"/>
      </w:r>
      <w:r>
        <w:rPr>
          <w:rFonts w:ascii="IRNazanin" w:hAnsi="IRNazanin" w:eastAsia="IRNazanin"/>
          <w:color w:val="111111"/>
          <w:sz w:val="28"/>
          <w:sz w:val="28"/>
          <w:szCs w:val="28"/>
          <w:rtl w:val="true"/>
          <w:lang w:bidi="fa-IR"/>
        </w:rPr>
        <w:t>على الأقرب ، وما دلّ على جواز البدار</w:t>
      </w:r>
      <w:r>
        <w:rPr>
          <w:rStyle w:val="FootnoteAnchor"/>
          <w:rtl w:val="true"/>
        </w:rPr>
        <w:footnoteReference w:id="229"/>
      </w:r>
      <w:r>
        <w:rPr>
          <w:rFonts w:ascii="Amiri" w:hAnsi="Amiri" w:eastAsia="Amiri" w:cs="Amiri"/>
          <w:color w:val="111111"/>
          <w:sz w:val="28"/>
          <w:sz w:val="28"/>
          <w:szCs w:val="28"/>
          <w:rtl w:val="true"/>
          <w:lang w:bidi="ar-SA"/>
        </w:rPr>
        <w:t>وجواز التيمّم مع خوف العطش ولو على الذمّي والحيوان</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التبديل سهل يوجبه أدنى 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الخدشة لو أمكنت في كلّ واحد ممّا ذكر ، لكن من مجموع ما ذكر تطمئنّ النفس بأنّ المحذور الشرعي مطلقاً يوجب التبديل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اُغمض عن ذلك ، ورجعنا إلى باب المزاحمة ، فمع إحراز الأهمّية في طرف يؤخذ بالأهمّ ، وكذا مع احتمالها ؛ بناءً على التعيين في دوران الأمر بين التعيين والتخيير ، ومع التساوي بينهما يتخيّر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لمّا كان له البدل ، يتأخّر في الدوران عمّا لا يكون له البدل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22" w:name="pg17116_198604"/>
    </w:p>
    <w:p>
      <w:pPr>
        <w:pStyle w:val="BookText"/>
        <w:rPr/>
      </w:pPr>
      <w:bookmarkEnd w:id="122"/>
      <w:r>
        <w:rPr>
          <w:rFonts w:ascii="Amiri" w:hAnsi="Amiri" w:eastAsia="Amiri" w:cs="Amiri"/>
          <w:color w:val="111111"/>
          <w:sz w:val="28"/>
          <w:sz w:val="28"/>
          <w:szCs w:val="28"/>
          <w:rtl w:val="true"/>
          <w:lang w:bidi="ar-SA"/>
        </w:rPr>
        <w:t xml:space="preserve">لكن إن اُريد به دعوى إحراز الأهمّية فيما ليس له البدل بذلك ، فهي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الأخذ بالبدل جمع بين الغرضين في مرتبة ، والعقل حاكم بلزومه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أنّ احتمال الأهمّية في الغرض الأقصى ، مساوٍ لاحتمالها فيما ليس له البدل ، فليس الأخذ به جمعاً بين الغرضين </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645899_3381743652"/>
      <w:bookmarkStart w:id="124" w:name="_Toc41"/>
      <w:bookmarkEnd w:id="123"/>
      <w:r>
        <w:rPr>
          <w:rtl w:val="true"/>
        </w:rPr>
        <w:t>تقديم رفع الخبث على رفع الحدث</w:t>
      </w:r>
      <w:bookmarkEnd w:id="124"/>
    </w:p>
    <w:p>
      <w:pPr>
        <w:pStyle w:val="BookText"/>
        <w:rPr/>
      </w:pPr>
      <w:r>
        <w:rPr>
          <w:rFonts w:ascii="Amiri" w:hAnsi="Amiri" w:eastAsia="Amiri" w:cs="Amiri"/>
          <w:color w:val="111111"/>
          <w:sz w:val="28"/>
          <w:sz w:val="28"/>
          <w:szCs w:val="28"/>
          <w:rtl w:val="true"/>
          <w:lang w:bidi="ar-SA"/>
        </w:rPr>
        <w:t xml:space="preserve">نعم ، في خصوص دوران الأمر بين الوضوء والغسل ، وبين رفع النجاسة عن البدن والثوب ، ادّعي الإجماع على تقديم التطهير عن الخبث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وتشهد له رواية أبي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الحائض ترى الطهر وهي في السفر ، وليس معها ماء يكفيها لغسلها ، وقد حضرت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معها بقدر ما تغسل به فرجها فتغسله ، ثمّ تتيمّم وتصلّي</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بغسل البدن دون الوضوء ، وقد مرّ وجوب الوضوء مع كلّ غسل إلاّ الجنابة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الأدلّة الواردة في تتميم الصلاة مع التيمّم إذا دخل فيها </w:t>
      </w:r>
      <w:r>
        <w:rPr>
          <w:rStyle w:val="FootnoteAnchor"/>
          <w:rtl w:val="true"/>
        </w:rPr>
        <w:footnoteReference w:id="235"/>
      </w:r>
      <w:r>
        <w:rPr>
          <w:rFonts w:ascii="Amiri" w:hAnsi="Amiri" w:eastAsia="Amiri" w:cs="Amiri"/>
          <w:color w:val="111111"/>
          <w:sz w:val="28"/>
          <w:sz w:val="28"/>
          <w:szCs w:val="28"/>
          <w:rtl w:val="true"/>
          <w:lang w:bidi="ar-SA"/>
        </w:rPr>
        <w:t xml:space="preserve">أو ركع ، فأصاب الماء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 أحد الطهورين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وما ورد في عروض النجاسة في الأثناء من وجوب غسلها أو انتزاع الثوب ، ومع عدم الإمكان تبطل الصلاة</w:t>
      </w:r>
      <w:r>
        <w:rPr>
          <w:rStyle w:val="FootnoteAnchor"/>
          <w:rtl w:val="true"/>
        </w:rPr>
        <w:footnoteReference w:id="237"/>
      </w:r>
      <w:r>
        <w:rPr>
          <w:rFonts w:ascii="Amiri" w:hAnsi="Amiri" w:eastAsia="Amiri" w:cs="Amiri"/>
          <w:color w:val="111111"/>
          <w:sz w:val="28"/>
          <w:sz w:val="28"/>
          <w:szCs w:val="28"/>
          <w:rtl w:val="true"/>
          <w:lang w:bidi="ar-SA"/>
        </w:rPr>
        <w:t xml:space="preserve">، فيستشعر من الطائفتين كون إزالة النجاسة أهمّ في نظر الشارع </w:t>
      </w:r>
      <w:r>
        <w:rPr>
          <w:rFonts w:eastAsia="Amiri" w:cs="Amiri" w:ascii="Amiri" w:hAnsi="Amiri"/>
          <w:color w:val="111111"/>
          <w:sz w:val="28"/>
          <w:szCs w:val="28"/>
          <w:rtl w:val="true"/>
          <w:lang w:bidi="ar-SA"/>
        </w:rPr>
        <w:t xml:space="preserve">. </w:t>
      </w:r>
      <w:bookmarkStart w:id="125" w:name="pg17116_198606"/>
    </w:p>
    <w:p>
      <w:pPr>
        <w:pStyle w:val="Heading5"/>
        <w:numPr>
          <w:ilvl w:val="4"/>
          <w:numId w:val="1"/>
        </w:numPr>
        <w:rPr/>
      </w:pPr>
      <w:bookmarkStart w:id="126" w:name="__RefHeading___Toc8645901_3381743652"/>
      <w:bookmarkStart w:id="127" w:name="_Toc42"/>
      <w:bookmarkEnd w:id="125"/>
      <w:bookmarkEnd w:id="126"/>
      <w:r>
        <w:rPr>
          <w:rtl w:val="true"/>
        </w:rPr>
        <w:t>السبب السادس</w:t>
      </w:r>
      <w:r>
        <w:rPr>
          <w:rtl w:val="true"/>
        </w:rPr>
        <w:t xml:space="preserve">: </w:t>
      </w:r>
      <w:r>
        <w:rPr>
          <w:rtl w:val="true"/>
        </w:rPr>
        <w:t>ضيق الوقت</w:t>
      </w:r>
      <w:bookmarkEnd w:id="127"/>
    </w:p>
    <w:p>
      <w:pPr>
        <w:pStyle w:val="Heading6"/>
        <w:numPr>
          <w:ilvl w:val="5"/>
          <w:numId w:val="1"/>
        </w:numPr>
        <w:rPr/>
      </w:pPr>
      <w:bookmarkStart w:id="128" w:name="__RefHeading___Toc8645903_3381743652"/>
      <w:bookmarkStart w:id="129" w:name="_Toc43"/>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 فقد يلزم من الطهارة المائية فوت جميع الوقت ، وقد يلزم فوت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تدرك ركعة من الوقت ، وقد لا 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يدرك مع التيمّم جميع الوقت ، وقد يدرك بعضه بمقدار ركعة أو أقلّ أو أكثر ، لكن يكون الإدراك معه أكثر من الإدراك مع المائية </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8645905_3381743652"/>
      <w:bookmarkStart w:id="131" w:name="_Toc44"/>
      <w:bookmarkEnd w:id="130"/>
      <w:r>
        <w:rPr>
          <w:rtl w:val="true"/>
        </w:rPr>
        <w:t>حكم إدراك جميع الوقت مع الترابية وعدم إدراك شيء منه مع المائية</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التيمّم لضيق الوقت ؛ لاشتراط الصلاة بالطهارة المائية ، وعدم ثبوت مسوّغية ضيق الوقت للتيمّم ؛ لتعليقه على عدم الوجدان ، والمكلّف واجد للماء متمكّن من استعماله ، غاية الأمر أنّ الوقت لا يتّسع 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مشروعيته</w:t>
      </w:r>
      <w:r>
        <w:rPr>
          <w:rStyle w:val="FootnoteAnchor"/>
          <w:rtl w:val="true"/>
        </w:rPr>
        <w:footnoteReference w:id="239"/>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الأشهر</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تأخّر عنه من المحقّقين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للآية الكريمة</w:t>
      </w:r>
      <w:r>
        <w:rPr>
          <w:rStyle w:val="FootnoteAnchor"/>
          <w:rtl w:val="true"/>
        </w:rPr>
        <w:footnoteReference w:id="242"/>
      </w:r>
      <w:r>
        <w:rPr>
          <w:rFonts w:ascii="Amiri" w:hAnsi="Amiri" w:eastAsia="Amiri" w:cs="Amiri"/>
          <w:color w:val="111111"/>
          <w:sz w:val="28"/>
          <w:sz w:val="28"/>
          <w:szCs w:val="28"/>
          <w:rtl w:val="true"/>
          <w:lang w:bidi="ar-SA"/>
        </w:rPr>
        <w:t xml:space="preserve">، 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تعليق الطلب المطلق في صدرها على الوضوء والغسل ، وتعليق الترابية على بعض العناوين العجزية ؛ أي المرض والفقدان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التنزّل إلى المصداق الاضطراري ورفع اليد عن المطلوب المطلق ، إنّما هو لإلجاء المكلّف إلى إتيان الصلاة في الوقت ، فيكون حفظ مصلحة الوقت ، موجباً لإلجاء المكلّف إلى إتيان الصلاة فيه كائنة ما كانت ، وهذا الإلجاء والاضطرار صار سبباً لعجز المكلّف عن المائية وتشريع الترابية له ، فلولا حفظ الوقت لم يكن مضطرّاً ، ولا معنى لقبول الفرد الاضطراري وترك المصلحة المطلقة ، فحينئذٍ يستفيد العرف والعقلاء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الترابية</w:t>
      </w:r>
      <w:r>
        <w:rPr>
          <w:rStyle w:val="FootnoteAnchor"/>
          <w:rtl w:val="true"/>
        </w:rPr>
        <w:footnoteReference w:id="243"/>
      </w:r>
      <w:r>
        <w:rPr>
          <w:rFonts w:ascii="Amiri" w:hAnsi="Amiri" w:eastAsia="Amiri" w:cs="Amiri"/>
          <w:color w:val="111111"/>
          <w:sz w:val="28"/>
          <w:sz w:val="28"/>
          <w:szCs w:val="28"/>
          <w:rtl w:val="true"/>
          <w:lang w:bidi="ar-SA"/>
        </w:rPr>
        <w:t xml:space="preserve">المتروكة لحفظ الوقت لا تدفع مصلحة الوقت ، ولا تصير سبباً لترك الصلاة في وقتها المضروب لها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أهمّية الوقت موجبة لرفع اليد عن مصلحة المائية ، </w:t>
      </w:r>
    </w:p>
    <w:p>
      <w:pPr>
        <w:pStyle w:val="BookText"/>
        <w:rPr/>
      </w:pPr>
      <w:r>
        <w:rPr>
          <w:rFonts w:ascii="Amiri" w:hAnsi="Amiri" w:eastAsia="Amiri" w:cs="Amiri"/>
          <w:color w:val="111111"/>
          <w:sz w:val="28"/>
          <w:sz w:val="28"/>
          <w:szCs w:val="28"/>
          <w:rtl w:val="true"/>
          <w:lang w:bidi="ar-SA"/>
        </w:rPr>
        <w:t>كيف يمكن مصادمة المائية مع مصلحته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فقدان الماء صار موجباً لحدوث مصلحة في الصلاة مع الترابية ؛ لأنّ ذلك خلاف ظاهر الأدلّة آية ورواية ، فإنّ الظاهر منها أنّ الترابية</w:t>
      </w:r>
    </w:p>
    <w:p>
      <w:pPr>
        <w:pStyle w:val="BookText"/>
        <w:rPr/>
      </w:pPr>
      <w:r>
        <w:rPr>
          <w:rFonts w:ascii="IRNazanin" w:hAnsi="IRNazanin" w:eastAsia="IRNazanin"/>
          <w:color w:val="111111"/>
          <w:sz w:val="28"/>
          <w:sz w:val="28"/>
          <w:szCs w:val="28"/>
          <w:rtl w:val="true"/>
          <w:lang w:bidi="fa-IR"/>
        </w:rPr>
        <w:t>مرتبة ناقصة ، كما عبّر عنها في الروايات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ابن أبي يعفور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 نّه إنّما جعل عليه نصف الطهور؟</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ومثلها رواية الحسين بن أبي العلاء</w:t>
      </w:r>
      <w:r>
        <w:rPr>
          <w:rStyle w:val="FootnoteAnchor"/>
          <w:rtl w:val="true"/>
        </w:rPr>
        <w:footnoteReference w:id="245"/>
      </w:r>
      <w:r>
        <w:rPr>
          <w:rFonts w:ascii="Amiri" w:hAnsi="Amiri" w:eastAsia="Amiri" w:cs="Amiri"/>
          <w:color w:val="111111"/>
          <w:sz w:val="28"/>
          <w:sz w:val="28"/>
          <w:szCs w:val="28"/>
          <w:rtl w:val="true"/>
          <w:lang w:bidi="ar-SA"/>
        </w:rPr>
        <w:t>، وإن احتمل أن يكون المراد بهما نصف الوضوء ، كما في صحيحة الحلبي</w:t>
      </w:r>
      <w:r>
        <w:rPr>
          <w:rStyle w:val="FootnoteAnchor"/>
          <w:rtl w:val="true"/>
        </w:rPr>
        <w:footnoteReference w:id="246"/>
      </w:r>
      <w:r>
        <w:rPr>
          <w:rFonts w:ascii="Amiri" w:hAnsi="Amiri" w:eastAsia="Amiri" w:cs="Amiri"/>
          <w:color w:val="111111"/>
          <w:sz w:val="28"/>
          <w:sz w:val="28"/>
          <w:szCs w:val="28"/>
          <w:rtl w:val="true"/>
          <w:lang w:bidi="ar-SA"/>
        </w:rPr>
        <w:t>فيكون المقصود المسح على بعض الوجه واليد ، لكن لا ينافي ذلك فهم قصور الترابية عن المائية ، بل قد عرفت سابقاً دلالة الآية عليه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دلالة الأدلّة على أنّ الوجدان المنافي لدرك الوقت ، يعدّ من عدم الوجدان وعدم مزاحمة المائية للوقت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الفحص عن موارد الأعذار ، وأنّ الشارع لم يرفع اليد عن الصلاة في وقتها لأجل عذر من الأعذار ، ويكون التخلّف عنه في غاية القلّة ، يوجب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للوقت أهمّية لا يزاحمها شيء من الأعذار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يشعر بذلك تسمية ترك الإتيان في الوقت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فقدان غيره من </w:t>
      </w:r>
    </w:p>
    <w:p>
      <w:pPr>
        <w:pStyle w:val="BookText"/>
        <w:rPr/>
      </w:pPr>
      <w:r>
        <w:rPr>
          <w:rFonts w:ascii="Amiri" w:hAnsi="Amiri" w:eastAsia="Amiri" w:cs="Amiri"/>
          <w:color w:val="111111"/>
          <w:sz w:val="28"/>
          <w:sz w:val="28"/>
          <w:szCs w:val="28"/>
          <w:rtl w:val="true"/>
          <w:lang w:bidi="ar-SA"/>
        </w:rPr>
        <w:t xml:space="preserve">الأجزاء والشرائط ، فالآتي بها بعد الوقت جامعة لسائر ما يعتبر فيها فاتت منه ، والآتي بها فيه مع فقد جلّ الأجزاء والشرائط لم تفت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الناظر فيما ورد في تارك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من تركها متعمّداً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منه ذمّة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تركها أعظم من سائر الكبائر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يرى أنّ المراد من تركها عدم إتيانها في وقتها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يستنبط منها أنّ الصلاة لا تترك بحال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المقصود أيضاً صحيحة زرارة ، عن أحدهما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 فإذا خاف أن يفوته الوقت فليتيمّم وليصلِّ في آخر الوقت</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وجوب الطلب أو استحبابه ، لأجل التوصّل إلى المطلوب الأعلى ، لا لأجل دخالته في موضوع الصلاة مع التيمّم ، وأنّ الأمر بالتيمّم مخافة فوت الوقت ، إنّما هو لتقديم الشارع حفظ الوقت على الطهارة المائية ، وإلاّ فلا وجه لرفع اليد عن المطلوب المطلق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علم المكلّف بوجود الماء بعد الوقت ، فليس له تركها فيه وإتيانها مع المائية في خارجه ، كلّ ذلك لأجل رعاية الوقت وأهمّيته ، ومع ذلك كيف يحتمل أن يكون وجدان الماء المفوّت للوقت ، موجباً لترك الصلاة فيه مع المائية والترابية ؟</w:t>
      </w:r>
      <w:r>
        <w:rPr>
          <w:rFonts w:eastAsia="Amiri" w:cs="Amiri" w:ascii="Amiri" w:hAnsi="Amiri"/>
          <w:color w:val="111111"/>
          <w:sz w:val="28"/>
          <w:szCs w:val="28"/>
          <w:rtl w:val="true"/>
          <w:lang w:bidi="ar-SA"/>
        </w:rPr>
        <w:t xml:space="preserve">! </w:t>
      </w:r>
      <w:bookmarkStart w:id="132" w:name="pg17116_198610"/>
    </w:p>
    <w:p>
      <w:pPr>
        <w:pStyle w:val="BookText"/>
        <w:rPr/>
      </w:pPr>
      <w:bookmarkEnd w:id="132"/>
      <w:r>
        <w:rPr>
          <w:rFonts w:ascii="Amiri" w:hAnsi="Amiri" w:eastAsia="Amiri" w:cs="Amiri"/>
          <w:color w:val="111111"/>
          <w:sz w:val="28"/>
          <w:sz w:val="28"/>
          <w:szCs w:val="28"/>
          <w:rtl w:val="true"/>
          <w:lang w:bidi="ar-SA"/>
        </w:rPr>
        <w:t xml:space="preserve">فممّا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الوجدان ليس قيداً للموضوع ، بل مخافة الفوت تمام الموضوع لوجوب التيمّم وعدم ترك الصلاة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إنّما هو لمن سبق ذكره في الرواية ، وهو من لم يجد ماء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الفاقد خائفاً فوت الوقت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غير محلّه ؛ لما أشرنا</w:t>
      </w:r>
    </w:p>
    <w:p>
      <w:pPr>
        <w:pStyle w:val="BookText"/>
        <w:rPr/>
      </w:pPr>
      <w:r>
        <w:rPr>
          <w:rFonts w:ascii="Amiri" w:hAnsi="Amiri" w:eastAsia="Amiri" w:cs="Amiri"/>
          <w:color w:val="111111"/>
          <w:sz w:val="28"/>
          <w:sz w:val="28"/>
          <w:szCs w:val="28"/>
          <w:rtl w:val="true"/>
          <w:lang w:bidi="ar-SA"/>
        </w:rPr>
        <w:t>إليه من أنّ الأمر بالتيمّم عند خوف الفوت ، إنّما هو لرعاية الوقت وكونه أهمّ من المائية ، ومعه كيف يمكن مزاحمتها للوقت وإيجابها ترك الصلاة فيه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 إنّ الحكم بعد التأمّل فيما ذكرنا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إدراك جميع الوقت مع الترابية ، وعدم إدراك شيء منه مع المائية </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8645907_3381743652"/>
      <w:bookmarkStart w:id="134" w:name="_Toc45"/>
      <w:bookmarkEnd w:id="133"/>
      <w:r>
        <w:rPr>
          <w:rtl w:val="true"/>
        </w:rPr>
        <w:t>حكم إدراك ركعة من الوقت مع المائية وجميعه مع الترابية</w:t>
      </w:r>
      <w:bookmarkEnd w:id="134"/>
    </w:p>
    <w:p>
      <w:pPr>
        <w:pStyle w:val="BookText"/>
        <w:rPr/>
      </w:pPr>
      <w:r>
        <w:rPr>
          <w:rFonts w:ascii="Amiri" w:hAnsi="Amiri" w:eastAsia="Amiri" w:cs="Amiri"/>
          <w:color w:val="111111"/>
          <w:sz w:val="28"/>
          <w:sz w:val="28"/>
          <w:szCs w:val="28"/>
          <w:rtl w:val="true"/>
          <w:lang w:bidi="ar-SA"/>
        </w:rPr>
        <w:t xml:space="preserve">وأمّا إذا أدرك مع المائية ركعة من الوقت ، ومع الترابية جميعه ، فقد يقال بتقديم المائية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البناء على دلالة صحيحة زرارة المتقدّمة على أنّ خوف فوت الوقت تمام الموضوع لصحّة التيمّم ، يقع الكلام في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أن يفوته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خوف فوت جميع الوقت ؛ بحيث لو علم إدراك بعضه وجب أو استحبّ الطلب لإدراك المائية ، فتكون غاية الطلب ولزوم التيمّم خوف فوت تمام الوقت ، وعليه إذا كان الماء موجوداً ولم يخف فوت الوقت ، لزم الوضوء من غير احتياج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يكون مفادها أعمّ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 </w:t>
      </w:r>
      <w:bookmarkStart w:id="135" w:name="pg17116_198611"/>
    </w:p>
    <w:p>
      <w:pPr>
        <w:pStyle w:val="BookText"/>
        <w:rPr/>
      </w:pPr>
      <w:bookmarkEnd w:id="135"/>
      <w:r>
        <w:rPr>
          <w:rFonts w:ascii="Amiri" w:hAnsi="Amiri" w:eastAsia="Amiri" w:cs="Amiri"/>
          <w:color w:val="111111"/>
          <w:sz w:val="28"/>
          <w:sz w:val="28"/>
          <w:szCs w:val="28"/>
          <w:rtl w:val="true"/>
          <w:lang w:bidi="ar-SA"/>
        </w:rPr>
        <w:t>أو أنّ المراد منه خوف فوت الوقت المضروب للصلاة ؛ أي خوف أن يفوته ما هو ظرف لطبيعة الصلاة ، فمع خوف وقوع جزء منها خارج الوقت ، فقد خاف أن يفوته الوقت الذي هو ظرفها ، فإنّ ظرفها هو مقدار من الوقت يسع جميع الصلاة ، ومع ذهاب جزء منه لا يكون الوقت وقتاً لها وإن كان جزءاً من النهار ، فحينئذٍ تدلّ الرواية على أ نّه مع خوف فوت الوقت ولو بجزء منه لا بدّ من التيمّم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8645909_3381743652"/>
      <w:bookmarkStart w:id="137" w:name="_Toc46"/>
      <w:bookmarkEnd w:id="136"/>
      <w:r>
        <w:rPr>
          <w:rtl w:val="true"/>
        </w:rPr>
        <w:t xml:space="preserve">حكومة </w:t>
      </w:r>
      <w:r>
        <w:rPr>
          <w:rtl w:val="true"/>
        </w:rPr>
        <w:t>«</w:t>
      </w:r>
      <w:r>
        <w:rPr>
          <w:rtl w:val="true"/>
        </w:rPr>
        <w:t xml:space="preserve">من أدرك </w:t>
      </w:r>
      <w:r>
        <w:rPr>
          <w:rtl w:val="true"/>
        </w:rPr>
        <w:t xml:space="preserve">. . .» </w:t>
      </w:r>
      <w:r>
        <w:rPr>
          <w:rtl w:val="true"/>
        </w:rPr>
        <w:t>على صحيحة زرارة في فرض واحد</w:t>
      </w:r>
      <w:bookmarkEnd w:id="137"/>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حاكم على الصحيحة وموسّع لموضوعها ؛ فإنّه يدلّ على أنّ إدراك ركعة من الوقت إدراك للوقت ، ومع تنزيل الوقت الخارج منزلة الوقت ، أو تنزيل إدراك ركعة منه منزلة إدراك جميعه ، أو تنزيل إدراك ركعة من الصلاة في الوقت منزلة إدراك الصلاة فيه ، يتمّ المطلوب ، ويرفع خوف فوت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وجيه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روي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من الصلاة فقد أدرك الصلاة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وعن الوصيّ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من العصر قبل أن تغرب الشمس فقد أدرك العصر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أدرك من الغداة ركعة قبل طلوع </w:t>
      </w:r>
    </w:p>
    <w:p>
      <w:pPr>
        <w:pStyle w:val="BookText"/>
        <w:rPr/>
      </w:pPr>
      <w:r>
        <w:rPr>
          <w:rFonts w:ascii="Amiri" w:hAnsi="Amiri" w:eastAsia="Amiri" w:cs="Amiri"/>
          <w:color w:val="111111"/>
          <w:sz w:val="28"/>
          <w:sz w:val="28"/>
          <w:szCs w:val="28"/>
          <w:rtl w:val="true"/>
          <w:lang w:bidi="ar-SA"/>
        </w:rPr>
        <w:t>الشمس فقد أدرك الغداة تامّة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ضعاف ؛ بعضها بالإرسال ، وبعضها بضعف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الجبر بالاشتهار بين الأصحاب</w:t>
      </w:r>
      <w:r>
        <w:rPr>
          <w:rStyle w:val="FootnoteAnchor"/>
          <w:rtl w:val="true"/>
        </w:rPr>
        <w:footnoteReference w:id="255"/>
      </w:r>
      <w:r>
        <w:rPr>
          <w:rFonts w:ascii="IRNazanin" w:hAnsi="IRNazanin" w:eastAsia="IRNazanin"/>
          <w:color w:val="111111"/>
          <w:sz w:val="28"/>
          <w:sz w:val="28"/>
          <w:szCs w:val="28"/>
          <w:rtl w:val="true"/>
          <w:lang w:bidi="fa-IR"/>
        </w:rPr>
        <w:t xml:space="preserve">مشكلة ؛ لعدم ثبوت كون اتّكالهم في صحّة الصلاة مع إدراك ركعة من الوقت على تلك الروايات ؛ لورود موثّقة عمّار بن موسى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صلّى ركعة من الغداة ثمّ طلعت الشمس فليتمّ، فقد جازت صلاته</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واحتمال اتّكالهم عليها مع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التعدّي من مثل الموثّقة الواردة في الغداة إلى غيرها ، فلا محالة يكون مستندهم 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الروايات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وإن ضعف سندها ، إلاّ أنّ عمل الطائفة عليها ، ولا معارض لها ، فتعيّن العمل بها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فيها من هذه الجهة غير وجيهة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في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العلوي ، يحتمل في بادئ الأمر أحد معانٍ </w:t>
      </w:r>
      <w:r>
        <w:rPr>
          <w:rFonts w:eastAsia="Amiri" w:cs="Amiri" w:ascii="Amiri" w:hAnsi="Amiri"/>
          <w:color w:val="111111"/>
          <w:sz w:val="28"/>
          <w:szCs w:val="28"/>
          <w:rtl w:val="true"/>
          <w:lang w:bidi="ar-SA"/>
        </w:rPr>
        <w:t xml:space="preserve">: </w:t>
      </w:r>
      <w:bookmarkStart w:id="138" w:name="pg17116_198613"/>
    </w:p>
    <w:p>
      <w:pPr>
        <w:pStyle w:val="BookText"/>
        <w:rPr/>
      </w:pPr>
      <w:bookmarkEnd w:id="138"/>
      <w:r>
        <w:rPr>
          <w:rFonts w:ascii="Amiri" w:hAnsi="Amiri" w:eastAsia="Amiri" w:cs="Amiri"/>
          <w:color w:val="111111"/>
          <w:sz w:val="28"/>
          <w:sz w:val="28"/>
          <w:szCs w:val="28"/>
          <w:rtl w:val="true"/>
          <w:lang w:bidi="ar-SA"/>
        </w:rPr>
        <w:t xml:space="preserve">إمّا توسعة الوقت حقيقة لمن أدرك الركعة ، فيكون خارج الوقت وقتاً اضطرارياً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تنزيل الصلاة الناقصة بحسب الوقت منزلة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تنزيل مقدار ركعة من الوقت منزلة تمام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تنزيل خارج الوقت منزلة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يتمّ المطلوب وتوجّه الحكومة أو الورود ، لو كان المراد منها المعنى الأوّل ، فإنّه مع توسعة الوقت حقيقة يرفع خوف الفوت وجداناً ، فيصير دليله حاكماً على الصحيحة ، ونتيجتها الورود ، ومفنياً لموضوعها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الصحيحة خوف فوت الاختياري من الوقت ؛ أي الوقت المضروب بحسب الأدلّة الأوّلية المحدّدة للأوقات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التوسعة الحقيقية توجب رفع خوف فوت طبيعة الوقت المأخوذة في الصحيحة ، وليس موضوعها متقيّداً بالاختياري ؛ وإن كان المنصرَف مع عدم الدليل ، هو الوقت المضروب بحسب الأدلّة الأوّلية لكن بالنظر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وتحكيمه على الأدلّة ، يكون مقتضاه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عدم جواز تأخير الصلاة إلى الوقت الإدراكي الاضطراري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الحكومة فإنّما هي في هذا الفرض </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8645911_3381743652"/>
      <w:bookmarkStart w:id="140" w:name="_Toc47"/>
      <w:bookmarkEnd w:id="139"/>
      <w:r>
        <w:rPr>
          <w:rtl w:val="true"/>
        </w:rPr>
        <w:t>عدم تمامية الحكومة بالنسبة لسائر الفروض</w:t>
      </w:r>
      <w:bookmarkEnd w:id="140"/>
    </w:p>
    <w:p>
      <w:pPr>
        <w:pStyle w:val="BookText"/>
        <w:rPr/>
      </w:pPr>
      <w:r>
        <w:rPr>
          <w:rFonts w:ascii="Amiri" w:hAnsi="Amiri" w:eastAsia="Amiri" w:cs="Amiri"/>
          <w:color w:val="111111"/>
          <w:sz w:val="28"/>
          <w:sz w:val="28"/>
          <w:szCs w:val="28"/>
          <w:rtl w:val="true"/>
          <w:lang w:bidi="ar-SA"/>
        </w:rPr>
        <w:t xml:space="preserve">وأمّا في سائر الفروض فلا يرفع الخوف الوجداني المأخوذ في الموضوع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فرض تنزيل الصلاة الناقصة منزلة التامّة فواضح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فرض تنزيل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متوجّهاً إلى الوقت الناقص ، أو إلى</w:t>
      </w:r>
    </w:p>
    <w:p>
      <w:pPr>
        <w:pStyle w:val="BookText"/>
        <w:rPr/>
      </w:pPr>
      <w:r>
        <w:rPr>
          <w:rFonts w:ascii="Amiri" w:hAnsi="Amiri" w:eastAsia="Amiri" w:cs="Amiri"/>
          <w:color w:val="111111"/>
          <w:sz w:val="28"/>
          <w:sz w:val="28"/>
          <w:szCs w:val="28"/>
          <w:rtl w:val="true"/>
          <w:lang w:bidi="ar-SA"/>
        </w:rPr>
        <w:t xml:space="preserve">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دليل التنزيل لا يوجب رفع خوف فوت الوقت ؛ فإنّ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قرّره الشارع من دلوك الشمس إلى غروبها ، فمع احتمال ضيقه بمقدار لا يسع أربع ركعات ، لا محالة يخاف فوت الوقت المقرّر ، والتنزيل لا يرفع هذا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استصحاب بقاء الوقت لا يرفعه ، فلا يجوز الاتّكال على الاستصحاب وإتيان الطهارة المائية ؛ لعدم زوال الخوف الوجداني به ، مع أ نّه أولى بذلك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المستصحب هو الوقت المضروب ، فيكون الاستصحاب حاكماً ببقاء الوقت ، لكن مع ذلك لا يُرفع به موضوع دليل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تنزيل الوقت لا يرفع خوف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وجداناً ، وهو ظاهر ، ولا تعبّداً ؛ لعدم توجّه التنزيل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الوقت الخارج منزلة الداخل أو الوقت الناقص منزلة التامّ ، غير تنزيل خوف الفوت منزلة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ما هو المشهور الذي يمكن دعوى جبره ، هو النبوي الظاهر في تنزيل الصلاة الناقصة منزلة التامّة ؛ من غير تعرّض لتنزيل الوقت ، فضلاً عن تنزيل خوف فوته منزلة العدم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التنزيل فيما إذا فات الوقت ولم يبق إلاّ ركعة ، وهو لا يوجب جواز تفويته اختياراً ، فحينئذٍ يقع التزاحم بين الوقت والطهور ، فلا بدّ من إثبات أهمّية الوقت حتّى في هذه الصورة ؛ حتّى يحكم بوجوب التيمّم ، وهو مشكل بعد ورود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يسهّل الخطب عدم المجال للتزاحم بعد ما قدّمناه </w:t>
      </w:r>
      <w:r>
        <w:rPr>
          <w:rFonts w:eastAsia="Amiri" w:cs="Amiri" w:ascii="Amiri" w:hAnsi="Amiri"/>
          <w:color w:val="111111"/>
          <w:sz w:val="28"/>
          <w:szCs w:val="28"/>
          <w:rtl w:val="true"/>
          <w:lang w:bidi="ar-SA"/>
        </w:rPr>
        <w:t xml:space="preserve">. </w:t>
      </w:r>
      <w:bookmarkStart w:id="141" w:name="pg17116_198615"/>
    </w:p>
    <w:p>
      <w:pPr>
        <w:pStyle w:val="BookText"/>
        <w:rPr/>
      </w:pPr>
      <w:bookmarkEnd w:id="141"/>
      <w:r>
        <w:rPr>
          <w:rFonts w:ascii="Amiri" w:hAnsi="Amiri" w:eastAsia="Amiri" w:cs="Amiri"/>
          <w:color w:val="111111"/>
          <w:sz w:val="28"/>
          <w:sz w:val="28"/>
          <w:szCs w:val="28"/>
          <w:rtl w:val="true"/>
          <w:lang w:bidi="ar-SA"/>
        </w:rPr>
        <w:t xml:space="preserve">ثمّ إنّه يظهر الكلام ممّا تقدّم فيما إذا لم يدرك مع المائية ركعة ، وأدرك جميع الوقت مع الترابية </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8645913_3381743652"/>
      <w:bookmarkStart w:id="143" w:name="_Toc48"/>
      <w:bookmarkEnd w:id="142"/>
      <w:r>
        <w:rPr>
          <w:rtl w:val="true"/>
        </w:rPr>
        <w:t>حكم ما إذا أدرك ركعة مع الترابية</w:t>
      </w:r>
      <w:bookmarkEnd w:id="143"/>
    </w:p>
    <w:p>
      <w:pPr>
        <w:pStyle w:val="BookText"/>
        <w:rPr/>
      </w:pPr>
      <w:r>
        <w:rPr>
          <w:rFonts w:ascii="Amiri" w:hAnsi="Amiri" w:eastAsia="Amiri" w:cs="Amiri"/>
          <w:color w:val="111111"/>
          <w:sz w:val="28"/>
          <w:sz w:val="28"/>
          <w:szCs w:val="28"/>
          <w:rtl w:val="true"/>
          <w:lang w:bidi="ar-SA"/>
        </w:rPr>
        <w:t xml:space="preserve">وأمّا إذا أدرك ركعة مع الترابية ففي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نوع خفاء ؛ لاحتمال أن يكون المراد إدراك ركعة حسب وظيفته مع قطع النظر عن الوقت ؛ وإن كان الأقرب صحّة الترابية ولزومها بعد عدم ترك الصلاة بحال ، وأنّ التراب أحد الطهورين ، وأنّ الصلاة معه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التنزيل بملاحظة أهمّية الوقت وعدم ترك الصلاة حتّى الإمكان ، فلا يبعد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مع إدراك ركعة مع الترابية يصدق إدراك ركعة</w:t>
      </w:r>
    </w:p>
    <w:p>
      <w:pPr>
        <w:pStyle w:val="BookText"/>
        <w:rPr/>
      </w:pP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تنزيل الترابية منزلة المائية ، حاكم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ومحقّق لموضوعه </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8645915_3381743652"/>
      <w:bookmarkStart w:id="145" w:name="_Toc49"/>
      <w:bookmarkEnd w:id="144"/>
      <w:r>
        <w:rPr>
          <w:rtl w:val="true"/>
        </w:rPr>
        <w:t>حكم إدراك ركعة مع المائية وأزيد منها مع الترابية</w:t>
      </w:r>
      <w:bookmarkEnd w:id="145"/>
    </w:p>
    <w:p>
      <w:pPr>
        <w:pStyle w:val="BookText"/>
        <w:rPr/>
      </w:pPr>
      <w:r>
        <w:rPr>
          <w:rFonts w:ascii="Amiri" w:hAnsi="Amiri" w:eastAsia="Amiri" w:cs="Amiri"/>
          <w:color w:val="111111"/>
          <w:sz w:val="28"/>
          <w:sz w:val="28"/>
          <w:szCs w:val="28"/>
          <w:rtl w:val="true"/>
          <w:lang w:bidi="ar-SA"/>
        </w:rPr>
        <w:t xml:space="preserve">وإن أدرك مع المائية ركعة ومع الترابية أزيد منها ، ففي تقديم الترابية ؛ بدعوى أهمّية الوقت وعدم سقوط الميسور بالمعسور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تقديم المائية ؛ لعدم شمول أدلّة الوقت مطلقاً للمقام ؛ ضرورة فوت الصلاة مع فوت بعض الوقت بحسبها ، فيبقى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وظاهره أنّ إدراك ركعة إدراك للصلاة تامّة ، كما صرّح به في العلوي من طريقنا ، </w:t>
      </w:r>
    </w:p>
    <w:p>
      <w:pPr>
        <w:pStyle w:val="BookText"/>
        <w:rPr/>
      </w:pPr>
      <w:r>
        <w:rPr>
          <w:rFonts w:ascii="Amiri" w:hAnsi="Amiri" w:eastAsia="Amiri" w:cs="Amiri"/>
          <w:color w:val="111111"/>
          <w:sz w:val="28"/>
          <w:sz w:val="28"/>
          <w:szCs w:val="28"/>
          <w:rtl w:val="true"/>
          <w:lang w:bidi="ar-SA"/>
        </w:rPr>
        <w:t>فلا فرق بحسبه بين إدراك ركعة أو أزيد ، فحينئذٍ لا وجه لرفع اليد عن</w:t>
      </w:r>
    </w:p>
    <w:p>
      <w:pPr>
        <w:pStyle w:val="BookText"/>
        <w:rPr/>
      </w:pPr>
      <w:r>
        <w:rPr>
          <w:rFonts w:ascii="Amiri" w:hAnsi="Amiri" w:eastAsia="Amiri" w:cs="Amiri"/>
          <w:color w:val="111111"/>
          <w:sz w:val="28"/>
          <w:sz w:val="28"/>
          <w:szCs w:val="28"/>
          <w:rtl w:val="true"/>
          <w:lang w:bidi="ar-SA"/>
        </w:rPr>
        <w:t xml:space="preserve">الطهارة 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وجهان ، أقربهما الثاني ، لكن الالتزام ببعض لوازمه في غاية الإشكال ، كتجويز تأخير الصلاة مع إدراك ثلاث ركعات منها مثلاً إلى بقاء الوقت بمقدار إدراك ركعة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146" w:name="pg17116_198617"/>
    </w:p>
    <w:p>
      <w:pPr>
        <w:pStyle w:val="Heading6"/>
        <w:numPr>
          <w:ilvl w:val="5"/>
          <w:numId w:val="1"/>
        </w:numPr>
        <w:rPr/>
      </w:pPr>
      <w:bookmarkStart w:id="147" w:name="__RefHeading___Toc8645917_3381743652"/>
      <w:bookmarkStart w:id="148" w:name="_Toc50"/>
      <w:bookmarkEnd w:id="146"/>
      <w:bookmarkEnd w:id="147"/>
      <w:r>
        <w:rPr>
          <w:rtl w:val="true"/>
        </w:rPr>
        <w:t>الأمر الأوّل</w:t>
      </w:r>
      <w:r>
        <w:rPr>
          <w:rtl w:val="true"/>
        </w:rPr>
        <w:t xml:space="preserve">: </w:t>
      </w:r>
      <w:r>
        <w:rPr>
          <w:rtl w:val="true"/>
        </w:rPr>
        <w:t>في المراد من الخوف المأخوذ في الأدلّة</w:t>
      </w:r>
      <w:bookmarkEnd w:id="148"/>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الأدلّة هو مطلق الخوف ، أو ما يكون حاصلاً من منشأ مَخُوف عرفاً ؟</w:t>
      </w:r>
    </w:p>
    <w:p>
      <w:pPr>
        <w:pStyle w:val="BookText"/>
        <w:rPr/>
      </w:pPr>
      <w:r>
        <w:rPr>
          <w:rFonts w:ascii="Amiri" w:hAnsi="Amiri" w:eastAsia="Amiri" w:cs="Amiri"/>
          <w:color w:val="111111"/>
          <w:sz w:val="28"/>
          <w:sz w:val="28"/>
          <w:szCs w:val="28"/>
          <w:rtl w:val="true"/>
          <w:lang w:bidi="ar-SA"/>
        </w:rPr>
        <w:t xml:space="preserve">فإنّ الخوف الوجداني قد يحصل من منشأ مخوف ، كالخوف الحاصل من مفازة تكون في معرض السباع واللصوص ولو باحتمال عقلائي ، أو من قلّة الماء في مفازة قفر ، وكخوف فوت الوقت الحاصل من ضيقه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يحصل من اعتقاد باطل ، كما لو اعتقد كونه في مفازة كذائية مع كونه في محلّ أمن كثير الماء ، أو اعتقد ضيق الوقت مع كونه في سعته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الأدلّة هو الثاني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غير دليل الحرج ، فلأنّ ما في الباب من الأخبار ظاهرة فيه أو منصرفة إليه ، ففي صحيحة داود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وثاقته ، كما لا يبعد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السفر فتحضر الصلاة ، وليس معي ماء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قريب منّا ، أفأطلب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وشمالاً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تطلب الماء ، </w:t>
      </w:r>
    </w:p>
    <w:p>
      <w:pPr>
        <w:pStyle w:val="BookText"/>
        <w:rPr/>
      </w:pPr>
      <w:r>
        <w:rPr>
          <w:rFonts w:ascii="Amiri" w:hAnsi="Amiri" w:eastAsia="Amiri" w:cs="Amiri"/>
          <w:color w:val="111111"/>
          <w:sz w:val="28"/>
          <w:sz w:val="28"/>
          <w:szCs w:val="28"/>
          <w:rtl w:val="true"/>
          <w:lang w:bidi="ar-SA"/>
        </w:rPr>
        <w:t>ولكن تيمّم ؛ فإنّي أخاف عليك التخلّف عن أصحابك ، فتضلّ ويأكلك السبع</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يعقوب ،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كون الماء عن يمين الطريق ويساره غلوتين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أن يغرّر بنفسه ، فيعرض له لصّ أو سَبُع</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منهما أنّ في المحلّ المخوف الذي يكون معرضاً للخطر ويخاف منه على النفس يتيمّم ، وأمّا المحلّ الأمن الذي لا يكون معرضاً لذلك ، لكن حصل الخوف لخطأ في الاعتقاد ، فغير مشمول لهما ، خصوصاً أنّ المارّة في تلك الأزمنة والأمكنة ، كانوا يمرّون على مفاوز مخوفة للنفوس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صحيحتي ابن أبي نصر وابن سرحان عن الرضا وأبي عبداللّه‌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الرجل تصيبه الجنابة ، وبه جروح أو قروح ، أو يخاف على نفسه من البرد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 ويتيمّم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منهما الخوف من البرد المحقّق ، لا من تخيّله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الهواء بارداً فخاف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ريب في عدم شمولهما لمن خاف على نفسه من تخيّل البرد مع كون الهواء حارّاً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ليس فيها ماء ، وفيها طين ، ما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 فإنّه الصعيد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راكب لا يمكنه النزول من خوف ، وليس هو على وضوء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وخاف فوت الوقت فليتيمّم ؛ يضرب بيده على اللِبْد أو البَرْذَعة ، ويتيمّم ويصلّي</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ظاهرة فيما ذكرناه ، خصوصاً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محلّ الأسد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وعلى أيّ تقدير لا تشمل الخوف من اعتقاد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روايات خوف العطش</w:t>
      </w:r>
      <w:r>
        <w:rPr>
          <w:rStyle w:val="FootnoteAnchor"/>
          <w:rtl w:val="true"/>
        </w:rPr>
        <w:footnoteReference w:id="263"/>
      </w:r>
      <w:r>
        <w:rPr>
          <w:rFonts w:ascii="Amiri" w:hAnsi="Amiri" w:eastAsia="Amiri" w:cs="Amiri"/>
          <w:color w:val="111111"/>
          <w:sz w:val="28"/>
          <w:sz w:val="28"/>
          <w:szCs w:val="28"/>
          <w:rtl w:val="true"/>
          <w:lang w:bidi="ar-SA"/>
        </w:rPr>
        <w:t xml:space="preserve">، فإنّها أيضاً ظاهرة في أنّ المحلّ كان بحيث يخاف فيه من قلّة الماء أو من العطش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في صحيحة زرارة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يجد المسافر الماء فليطلب ما دام في الوقت ، فإذا خاف أن يفوته الوقت فليتيمّم وليصلِّ في آخر الوقت </w:t>
      </w:r>
      <w:r>
        <w:rPr>
          <w:rFonts w:eastAsia="IRNazanin" w:cs="IRNazanin"/>
          <w:color w:val="111111"/>
          <w:sz w:val="28"/>
          <w:szCs w:val="28"/>
          <w:rtl w:val="true"/>
          <w:lang w:bidi="fa-IR"/>
        </w:rPr>
        <w:t>. . .»</w:t>
      </w:r>
      <w:r>
        <w:rPr>
          <w:rStyle w:val="FootnoteAnchor"/>
          <w:rtl w:val="true"/>
        </w:rPr>
        <w:footnoteReference w:id="264"/>
      </w:r>
      <w:r>
        <w:rPr>
          <w:rFonts w:ascii="Amiri" w:hAnsi="Amiri" w:eastAsia="Amiri" w:cs="Amiri"/>
          <w:color w:val="111111"/>
          <w:sz w:val="28"/>
          <w:sz w:val="28"/>
          <w:szCs w:val="28"/>
          <w:rtl w:val="true"/>
          <w:lang w:bidi="ar-SA"/>
        </w:rPr>
        <w:t xml:space="preserve">إلى آخره ؛ لأنّ الظاهر منها الخوف الحاصل من ضيق الوقت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نفي الحرج</w:t>
      </w:r>
      <w:r>
        <w:rPr>
          <w:rStyle w:val="FootnoteAnchor"/>
          <w:rtl w:val="true"/>
        </w:rPr>
        <w:footnoteReference w:id="265"/>
      </w:r>
      <w:r>
        <w:rPr>
          <w:rFonts w:ascii="Amiri" w:hAnsi="Amiri" w:eastAsia="Amiri" w:cs="Amiri"/>
          <w:color w:val="111111"/>
          <w:sz w:val="28"/>
          <w:sz w:val="28"/>
          <w:szCs w:val="28"/>
          <w:rtl w:val="true"/>
          <w:lang w:bidi="ar-SA"/>
        </w:rPr>
        <w:t>، فقد يمكن أن يقال بصدقه فيما إذا خاف على نفسه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 منشأ كان ، فيكون التكليف بالوضوء حرجياً على المكلّف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معرضية المحلّ للخطر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أيضاً مشكل ؛ لأنّ الظاهر الأوّلي من دليل نفي الحرج ، عدم جعل الحرج</w:t>
      </w:r>
    </w:p>
    <w:p>
      <w:pPr>
        <w:pStyle w:val="BookText"/>
        <w:rPr/>
      </w:pPr>
      <w:r>
        <w:rPr>
          <w:rFonts w:ascii="Amiri" w:hAnsi="Amiri" w:eastAsia="Amiri" w:cs="Amiri"/>
          <w:color w:val="111111"/>
          <w:sz w:val="28"/>
          <w:sz w:val="28"/>
          <w:szCs w:val="28"/>
          <w:rtl w:val="true"/>
          <w:lang w:bidi="ar-SA"/>
        </w:rPr>
        <w:t xml:space="preserve">في الدين ؛ أي الأحكام المجعولة فيه ، وغاية ما يمكن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في ذيل آية التيمّم</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يلزم منه الحرج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مقدّماته ، كتحصيل الماء للوضوء ، أو ما يترتّب عليه ، كأن لزم من التكليف به عطاش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غير مجعول ، وأمّا الحرج الحاصل من تخيّل باطل أو تخيّل الحرج ، كما لو تخيّل المرض مع عدمه ، أو البرد في مكان حارّ ، فليس مشمولاً للأدلّة ؛ لعدم الحرج في الدين ولا من قبله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إلغاء الخصوصية بالنسبة إلى ما يلزم من اعتقاد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دعوى الفرق بين ما إذا شكّ في ضيق الوقت وسعته ، وبين ما إذا علم ضيقه وشكّ في كفايته لتحصيل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بقاء الوقت في الأوّل للاستصحاب دون الثاني ، 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خوف الفوت في الثاني دون الأوّل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ضرورة تحقّق خوفه في الصورتين ؛ لأنّ احتمال الضيق موجب له وجداناً ، بل لأنّ الموضوع في الدليل هو الخوف الناشئ من ضيق ، وفي الصورة الاُولى يكون الخوف من احتماله لا من نفسه ، فيجري الاستصحاب بلا دليل حاكم عليه ، بخلاف الثانية ؛ للدليل الحاكم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صحيحة زرارة أنّ الأمر بالتيمّم عند خوف الفوت ، إنّما هو لترجيح إدراك الوقت على الإدراك مع المائية ، فأهمّية الوقت أوجبت الأمر بالتيمّم مع خوف فوته ، وهو حاصل في الصورة الاُولى أيضاً ، </w:t>
      </w:r>
      <w:bookmarkStart w:id="149" w:name="pg17116_198621"/>
    </w:p>
    <w:p>
      <w:pPr>
        <w:pStyle w:val="BookText"/>
        <w:rPr/>
      </w:pPr>
      <w:bookmarkEnd w:id="149"/>
      <w:r>
        <w:rPr>
          <w:rFonts w:ascii="Amiri" w:hAnsi="Amiri" w:eastAsia="Amiri" w:cs="Amiri"/>
          <w:color w:val="111111"/>
          <w:sz w:val="28"/>
          <w:sz w:val="28"/>
          <w:szCs w:val="28"/>
          <w:rtl w:val="true"/>
          <w:lang w:bidi="ar-SA"/>
        </w:rPr>
        <w:t xml:space="preserve">فالشارع أسقط الاستصحاب في المقام لأجل أهمّية الوقت ، واعتنى بخوف فوته لذلك ، فمع الدوران بين احتمال فوت الوقت وفوت الطهارة المائية ، يلاحظ حال الأهمّ ، فيحكم العقل بالتيمّم ، وأسقط الشارع الأصل لذلك ، فلا فرق حينئذٍ بين الفرعين في لزوم التيمّم </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8645919_3381743652"/>
      <w:bookmarkStart w:id="151" w:name="_Toc51"/>
      <w:bookmarkEnd w:id="150"/>
      <w:r>
        <w:rPr>
          <w:rtl w:val="true"/>
        </w:rPr>
        <w:t xml:space="preserve">الأمر الثاني هل </w:t>
      </w:r>
      <w:r>
        <w:rPr>
          <w:rtl w:val="true"/>
        </w:rPr>
        <w:t>«</w:t>
      </w:r>
      <w:r>
        <w:rPr>
          <w:rtl w:val="true"/>
        </w:rPr>
        <w:t>الخوف</w:t>
      </w:r>
      <w:r>
        <w:rPr>
          <w:rtl w:val="true"/>
        </w:rPr>
        <w:t xml:space="preserve">» </w:t>
      </w:r>
      <w:r>
        <w:rPr>
          <w:rtl w:val="true"/>
        </w:rPr>
        <w:t>المأخوذ في موضوع الأدلّة على نسقٍ واحد ؟</w:t>
      </w:r>
      <w:bookmarkEnd w:id="151"/>
    </w:p>
    <w:p>
      <w:pPr>
        <w:pStyle w:val="BookText"/>
        <w:rPr/>
      </w:pPr>
      <w:r>
        <w:rPr>
          <w:rFonts w:ascii="Amiri" w:hAnsi="Amiri" w:eastAsia="Amiri" w:cs="Amiri"/>
          <w:color w:val="111111"/>
          <w:sz w:val="28"/>
          <w:sz w:val="28"/>
          <w:szCs w:val="28"/>
          <w:rtl w:val="true"/>
          <w:lang w:bidi="ar-SA"/>
        </w:rPr>
        <w:t>بمعنى أنّ الموضوع لتشريع التيمّم في جميع الموارد هو الخوف ، أو الموضوع في جميعها هو الواقع الذي خاف منه ، فإذا تيمّم من خوف العطش ولو في محلّ مخوف ، ثمّ تبيّن عدم حصول العطش على فرض استعمال الماء ، بطل على الثاني ، دون الأوّل ، وكذا في سائر موارد الخوف ، أو يفصّل بين المقامات ؟</w:t>
      </w:r>
    </w:p>
    <w:p>
      <w:pPr>
        <w:pStyle w:val="BookText"/>
        <w:rPr/>
      </w:pPr>
      <w:r>
        <w:rPr>
          <w:rFonts w:ascii="Amiri" w:hAnsi="Amiri" w:eastAsia="Amiri" w:cs="Amiri"/>
          <w:color w:val="111111"/>
          <w:sz w:val="28"/>
          <w:sz w:val="28"/>
          <w:szCs w:val="28"/>
          <w:rtl w:val="true"/>
          <w:lang w:bidi="ar-SA"/>
        </w:rPr>
        <w:t xml:space="preserve">التحقيق هو التفصيل ، فإنّ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معرضيته للخطر الموجبة للخوف ، موضوع لتشريع التيمّم ورفع الوضوء ، فقوله في صحيحة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 فلا يهريق منه قطرة ، وليتيمّم بالصعيد ؛ فإنّ الصعيد أحبّ إليّ</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ظاهر في أنّ مجرّد خوف العطش يوجب محبوبية الصعيد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خوف قلّة الماء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يتيمّم بالصعيد ، </w:t>
      </w:r>
    </w:p>
    <w:p>
      <w:pPr>
        <w:pStyle w:val="BookText"/>
        <w:rPr/>
      </w:pPr>
      <w:r>
        <w:rPr>
          <w:rFonts w:ascii="Amiri" w:hAnsi="Amiri" w:eastAsia="Amiri" w:cs="Amiri"/>
          <w:color w:val="111111"/>
          <w:sz w:val="28"/>
          <w:sz w:val="28"/>
          <w:szCs w:val="28"/>
          <w:rtl w:val="true"/>
          <w:lang w:bidi="ar-SA"/>
        </w:rPr>
        <w:t xml:space="preserve">ويستبقي الماء ؛ فإنّ اللّه عزّ وجلّ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والصعيد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وقوله 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انحصار الماء بمقدار شربه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يتيمّم أفضل ؛ ألا ترى أ نّه إنّما جعل عليه نصف الطهور؟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ظاهران في مشروعية التيمّم ، وأ نّه أحد الطهورين ، وأنّ عليه نصف الطهور في هذا الحال ، وكذا الحال في 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تلك الموارد أنّ الشارع لاحظ حال المكلّف ؛ لئلاّ يقع في معرض الخطر ، وهذه المعرضية أوجبت رفع الوضوء وتشريع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في تلك الموارد ، إنّما رفع الوضوء لنكتة رفع الحرج عن المكلّف ، ولا شبهة في أنّ الإلزام بالإقدام على ما هو معرض الخطر حرج عليه ، ففي تلك الموارد إذا تيمّم وصلّى صحّت صلاته ، ولا إعادة عليه ، ولو انكشف عدم اللصّ وعدم إضرار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خوف فوت الوقت ، فالظاهر أ نّه ليس على مساق سائر الموارد ، بل الشارع لاحظ فيه حفظ التكليف الأهمّ لدى الدوران بينه وبين المهمّ ، فأمر بالتيمّم لا لأجل صيرورة خوف الفوت موجباً لإسقاط المائية ومحبوبية الترابية ، بل لأجل الاعتناء باحتمال فوت الأهمّ في قبال المهمّ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بعدم تشريع التيمّم في هذا الحال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خاف </w:t>
      </w:r>
      <w:bookmarkStart w:id="152" w:name="pg17116_198623"/>
    </w:p>
    <w:p>
      <w:pPr>
        <w:pStyle w:val="BookText"/>
        <w:rPr/>
      </w:pPr>
      <w:bookmarkEnd w:id="152"/>
      <w:r>
        <w:rPr>
          <w:rFonts w:ascii="Amiri" w:hAnsi="Amiri" w:eastAsia="Amiri" w:cs="Amiri"/>
          <w:color w:val="111111"/>
          <w:sz w:val="28"/>
          <w:sz w:val="28"/>
          <w:szCs w:val="28"/>
          <w:rtl w:val="true"/>
          <w:lang w:bidi="ar-SA"/>
        </w:rPr>
        <w:t>أن يفوته الوقت فليتيمّم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إرشاد إلى أهمّية الوقت ، وأ نّه مع الدوران بين</w:t>
      </w:r>
    </w:p>
    <w:p>
      <w:pPr>
        <w:pStyle w:val="BookText"/>
        <w:rPr/>
      </w:pPr>
      <w:r>
        <w:rPr>
          <w:rFonts w:ascii="Amiri" w:hAnsi="Amiri" w:eastAsia="Amiri" w:cs="Amiri"/>
          <w:color w:val="111111"/>
          <w:sz w:val="28"/>
          <w:sz w:val="28"/>
          <w:szCs w:val="28"/>
          <w:rtl w:val="true"/>
          <w:lang w:bidi="ar-SA"/>
        </w:rPr>
        <w:t xml:space="preserve">احتمال فوت الوقت وفوت الطهارة المائية ، توجب أهمّية الوقت تقديمه ؛ من غير تشريع للتيمّم في هذا الحال ، ومعه لا وجه للإجزاء ، فلو صلّى ثمّ تبيّن سعة الوقت لإعادتها مع المائية تجب الإعادة ، وكذا لو تبيّن صلوح الوقت للمائية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فات بواسطة الصلاة مع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القضاء ، كلّ ذلك لما تقدّم من عدم استفادة التشريع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معنى للتشريع بعد حكومة العقل بتقديم الأهمّ ؛ وتقديم احتمال فوت الأهمّ على احتمال فوت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في عدم الإجزاء احتمال ما ذكرناه ؛ لأنّ الإجزاء متقوّم بالتشريع ، ومع عدم إحرازه يحكم بالإعادة والقضاء ؛ وإن كان في الحكم بالقضاء إشكال يحتاج إلى بسط في المقال وتأمّل في المسألة </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8645921_3381743652"/>
      <w:bookmarkStart w:id="154" w:name="_Toc52"/>
      <w:bookmarkEnd w:id="153"/>
      <w:r>
        <w:rPr>
          <w:rtl w:val="true"/>
        </w:rPr>
        <w:t>الأمر الثالث في أنّ المستفاد من أدلّة الحرج سقوط المائية على نحو العزيمة</w:t>
      </w:r>
      <w:bookmarkEnd w:id="154"/>
    </w:p>
    <w:p>
      <w:pPr>
        <w:pStyle w:val="Heading6"/>
        <w:numPr>
          <w:ilvl w:val="5"/>
          <w:numId w:val="1"/>
        </w:numPr>
        <w:rPr/>
      </w:pPr>
      <w:bookmarkStart w:id="155" w:name="__RefHeading___Toc8645923_3381743652"/>
      <w:bookmarkStart w:id="156" w:name="_Toc53"/>
      <w:bookmarkEnd w:id="155"/>
      <w:r>
        <w:rPr>
          <w:rtl w:val="true"/>
        </w:rPr>
        <w:t>اشارة</w:t>
      </w:r>
      <w:bookmarkEnd w:id="1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بينهم حتّى صار كالاُصول المسلّمة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أدلّة الحرج لمكان ورودها في مقام الامتنان وبيان توسعة الدين ، لا تدلّ إلاّ على نفي الوجوب ، ولا يستفاد منها عدم الجواز</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فالتيمّم فيما نحن فيه إذا ثبت تشريعه بدليل نفي الحرج ، رخصة لا عزيمة ، فلو تحمّل المكلّف المشقّة الرافعة للتكليف ، </w:t>
      </w:r>
    </w:p>
    <w:p>
      <w:pPr>
        <w:pStyle w:val="BookText"/>
        <w:rPr/>
      </w:pPr>
      <w:r>
        <w:rPr>
          <w:rFonts w:ascii="Amiri" w:hAnsi="Amiri" w:eastAsia="Amiri" w:cs="Amiri"/>
          <w:color w:val="111111"/>
          <w:sz w:val="28"/>
          <w:sz w:val="28"/>
          <w:szCs w:val="28"/>
          <w:rtl w:val="true"/>
          <w:lang w:bidi="ar-SA"/>
        </w:rPr>
        <w:t>وتوضّأ واغتسل ، لم يرتكب محذوراً ، وصحّت طهارته ، ولا توجب حكومةُ أدلّة الحرج على الأدلّة الأوّلية وتخصيصُها بغير مورد الحرج ، بطلانَ العبادة ولو قلنا بعدم بقاء الجواز ؛ لأنّ غاية ذلك عدم بقاء الحكم الشرعي على جواز المائية ؛ لكن لا يقتضي ذلك رفع مقتضي الطلب ومحبوبية الفعل ، وهو يكفي في صحّة العبادة ، كما قُرّر في مبحث الضدّ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فهاهنا مقامان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هل هو السقوط على نحو العزيمة ، أو الرخصة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خالف وأتى بما فيه الحرج بطلت عبادته أو لا ؟ ولا ملازمة بينهما ، كما سيأتي في الأمر الرابع البحث عنه وعن المقام الثاني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يدّعى عدم دلالة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على كون الرفع على وجه العزيمة ، وأمّا الدلالة على كونه على وجه الرخصة فلا ، فلو دلّ دليل على كونه على وجه العزيمة لا يعارضه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العزيمة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فَعِدَّةٌ مِنْ أَيَّامٍ اُخَرَ 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إذا أراد بنا اليُسر في أحكامه ، لا يجوز علينا مخالفة إرادته </w:t>
      </w:r>
    </w:p>
    <w:p>
      <w:pPr>
        <w:pStyle w:val="BookText"/>
        <w:rPr/>
      </w:pPr>
      <w:r>
        <w:rPr>
          <w:rFonts w:ascii="Amiri" w:hAnsi="Amiri" w:eastAsia="Amiri" w:cs="Amiri"/>
          <w:color w:val="111111"/>
          <w:sz w:val="28"/>
          <w:sz w:val="28"/>
          <w:szCs w:val="28"/>
          <w:rtl w:val="true"/>
          <w:lang w:bidi="ar-SA"/>
        </w:rPr>
        <w:t xml:space="preserve">بإيقاع العُسر على أنفسنا ، فكما أ نّه لو أراد منّا شيئاً لا يجوز لنا التخلّف عن إرادته تعالى ، كذلك لو أراد في حقّنا شيئاً لا يجوز التخلّف عنها ، خصوصاً مع وقوعه في ذيل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الصوم على المسافر بل المريض الذي يضرّ به الصوم حراماً ، ويكون السقوط عنهما على سبيل 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فدلّت الآية على أنّ إرادته تعالى اليسر في سائر الموارد التي تشملها بالإطلاق ، كإرادته في صيام المسافر والمريض ، والتفكيك بينهما غير جائز إلاّ مع قيام دليل في مورد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لرفع الصوم عن المسافر والمريض ، ولا يصحّ التعليل بشيء ظاهر في عدم الإلزام على أمر إلزامي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إلزامية الإرادة فيهما تفهم من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عدم الجواز في المريض والمسافر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تعالى بمجرّد السفر والمرض عدّةً من غير أيّام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مجرّد جعل عدّة اُخر ، لا يدلّ على حرمة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دلّ عليه يوجب تأكّد المطلوب بأنّ إرادة اليُسر إلزامية ؛ وأ نّها في سائر الموارد كإرادته في الموردين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العزيمة أيضاً رواية يحيى بن أبي العلاء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في السفر في شهر رمضان كالمفطر فيه في الحضر</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أصوم شهر رمضان في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إنّه عليّ يسير ، فقال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تصدّق على مرضى اُمّتي ومسافريها بالإفطار في شهر رمضان ، أيحبّ أحدكم لو تصدّق بصدقة أن تردّ عليه صدقته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استشهاد أبي عبداللّه‌ علیه السلام  فيها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الصائم في السفر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بقول رسول اللّه‌ صلی الله علیه و آله وسلم  دليل على أنّ ردّ صدقته تعالى غير جائز ، وإلاّ لما صحّ الاستشهاد للقول بالحرمة بأمر لا يكون محرّماً ، مع أنّ ردّ الصدقة مبغوض وثقيل على النفوس الشريفة ، فيكون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أيحبّ أحدكم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تقريباً لمبغوضيته عند اللّه بما هو مبغوض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محبوبيته الأعمّ من المبغوضية ، بل الظاهر من مثله حصول المبغوضية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فتدلّ الرواية على أنّ ردّ صدقته تعالى وهديّته مبغوض 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شبهة في أنّ الرفع بدليل نفي الحرج ، صدقة من اللّه تعالى وتفضّل على الاُمّة وهديّة منه تعالى لهم ، كما هو مقتضى الامتنان ، ويدلّ عليه بعض الروايات ، ففي موثّقة السكوني ، عن جعفر بن محمّد ، عن أبيه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أهدى إليّ وإلى اُمّتي هديّة لا يهديها إلى أحد من الاُمم ؛ كرامةً من اللّه لنا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السفر ، والتقصير في الصلاة ، فمن لم يفعل ذلك فقد ردّ على اللّه عزّ وجلّ </w:t>
      </w:r>
    </w:p>
    <w:p>
      <w:pPr>
        <w:pStyle w:val="BookText"/>
        <w:rPr/>
      </w:pPr>
      <w:r>
        <w:rPr>
          <w:rFonts w:ascii="Amiri" w:hAnsi="Amiri" w:eastAsia="Amiri" w:cs="Amiri"/>
          <w:color w:val="111111"/>
          <w:sz w:val="28"/>
          <w:sz w:val="28"/>
          <w:szCs w:val="28"/>
          <w:rtl w:val="true"/>
          <w:lang w:bidi="ar-SA"/>
        </w:rPr>
        <w:t>هديته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دلالة على أنّ وجه حرمة الصوم في السفر وإتمام الصلاة ؛ هو كونه ردّ</w:t>
      </w:r>
    </w:p>
    <w:p>
      <w:pPr>
        <w:pStyle w:val="BookText"/>
        <w:rPr/>
      </w:pPr>
      <w:r>
        <w:rPr>
          <w:rFonts w:ascii="Amiri" w:hAnsi="Amiri" w:eastAsia="Amiri" w:cs="Amiri"/>
          <w:color w:val="111111"/>
          <w:sz w:val="28"/>
          <w:sz w:val="28"/>
          <w:szCs w:val="28"/>
          <w:rtl w:val="true"/>
          <w:lang w:bidi="ar-SA"/>
        </w:rPr>
        <w:t xml:space="preserve">هديّة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المطلوب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مروان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عن اُمّتي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إليه ، وما نَسُوا ، وما اُكرهوا عليه ، وما لم يُطيقوا ، وذلك في</w:t>
      </w:r>
    </w:p>
    <w:p>
      <w:pPr>
        <w:pStyle w:val="BookText"/>
        <w:rPr/>
      </w:pPr>
      <w:r>
        <w:rPr>
          <w:rFonts w:ascii="Amiri" w:hAnsi="Amiri" w:eastAsia="Amiri" w:cs="Amiri"/>
          <w:color w:val="111111"/>
          <w:sz w:val="28"/>
          <w:sz w:val="28"/>
          <w:szCs w:val="28"/>
          <w:rtl w:val="true"/>
          <w:lang w:bidi="ar-SA"/>
        </w:rPr>
        <w:t xml:space="preserve">كتاب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ذكر الآية المربوطة بالتقيّة في سياق حديث الرفع ، مع أنّ التقيّة واجبة</w:t>
      </w:r>
    </w:p>
    <w:p>
      <w:pPr>
        <w:pStyle w:val="BookText"/>
        <w:rPr/>
      </w:pPr>
      <w:r>
        <w:rPr>
          <w:rFonts w:ascii="Amiri" w:hAnsi="Amiri" w:eastAsia="Amiri" w:cs="Amiri"/>
          <w:color w:val="111111"/>
          <w:sz w:val="28"/>
          <w:sz w:val="28"/>
          <w:szCs w:val="28"/>
          <w:rtl w:val="true"/>
          <w:lang w:bidi="ar-SA"/>
        </w:rPr>
        <w:t>ليس للمكلّف تركها ، كما قرّرناه في رسالة مفردة في التقيّة</w:t>
      </w:r>
      <w:r>
        <w:rPr>
          <w:rStyle w:val="FootnoteAnchor"/>
          <w:rtl w:val="true"/>
        </w:rPr>
        <w:footnoteReference w:id="283"/>
      </w:r>
      <w:r>
        <w:rPr>
          <w:rFonts w:ascii="Amiri" w:hAnsi="Amiri" w:eastAsia="Amiri" w:cs="Amiri"/>
          <w:color w:val="111111"/>
          <w:sz w:val="28"/>
          <w:sz w:val="28"/>
          <w:szCs w:val="28"/>
          <w:rtl w:val="true"/>
          <w:lang w:bidi="ar-SA"/>
        </w:rPr>
        <w:t xml:space="preserve">، فتشعر الرواية بأنّ الرفع عن الاُمّة في موارده على نحو العزيمة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تشعر به ما عن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Style w:val="FootnoteAnchor"/>
          <w:rtl w:val="true"/>
        </w:rPr>
        <w:footnoteReference w:id="284"/>
      </w:r>
      <w:r>
        <w:rPr>
          <w:rFonts w:ascii="Amiri" w:hAnsi="Amiri" w:eastAsia="Amiri" w:cs="Amiri"/>
          <w:color w:val="111111"/>
          <w:sz w:val="28"/>
          <w:sz w:val="28"/>
          <w:szCs w:val="28"/>
          <w:rtl w:val="true"/>
          <w:lang w:bidi="ar-SA"/>
        </w:rPr>
        <w:t xml:space="preserve">والرواية طويلة جدّاً ، وفيها عدّ عدّة موارد رُفعت الآصار عن الاُمّة بدعاء </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قرض أذى النجاسة من أجسادهم ، وجعل الماء طهوراً للاُمّة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الصلوات المفروضة على سائر الاُمم في ظلم الليل وأنصاف النهار ، وجعلها في أطراف الليل والنهار وفي أوقات نشاطهم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خمسين صلاة ، وجعل الخمس في أوقات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فيستشعر أنّ ما رفع عن الاُمّة من التكاليف مثل تلك الموارد ، ليس لهم التكلّف بإتيانها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الترابية وسقوط المائية إنّما هو على وجه العزيمة ، وليس للعبد اختيار المائية ؛ إمّا لأجل إرادة اللّه التوسيع على العباد ، وإمّا لأجل انطباق عنوان ردّ الهديّة على الإتيان بها ، وإمّا لأجل حرمة الردّ ، لا حرمة المائية ، لكن لأجل اتّحادهما في الخارج يتعيّن عليه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الأمر الآتي الفارق بين الاحتمالات وما هو الأظهر بينها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المحتمل أن يكون رفع الحرج عن العباد وإرادة التوسيع عليهم ، لا لصِرف الامتنان عليهم حتّى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يقتضي الإلزام ، أو لا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 نّه تعالى لا يرضى بوقوع عباده في المشقّة والحرج ، كالأب الشفيق الذي لا يرضى بوقوع ابنه المحبوب في الحرج ولو باختياره ، فيمنعه إشفاقاً عليه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رفع الحرج في عباداته ومن قبله ؛ لعدم رضائه بوقوع العبيد في المشقّة من ناحيتها ؛ لكونه مظنّة لانزجارهم عنها ، فينتهي إلى إدبار </w:t>
      </w:r>
    </w:p>
    <w:p>
      <w:pPr>
        <w:pStyle w:val="BookText"/>
        <w:rPr/>
      </w:pPr>
      <w:r>
        <w:rPr>
          <w:rFonts w:ascii="Amiri" w:hAnsi="Amiri" w:eastAsia="Amiri" w:cs="Amiri"/>
          <w:color w:val="111111"/>
          <w:sz w:val="28"/>
          <w:sz w:val="28"/>
          <w:szCs w:val="28"/>
          <w:rtl w:val="true"/>
          <w:lang w:bidi="ar-SA"/>
        </w:rPr>
        <w:t>نفوسهم عن عبادة اللّه ودينه ، وهو أمر مرغوب عنه ، ففي رواية عمرو بن جميع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 هذا الدين متين ، فأوغل فيه بالرفق ، ولا تبغّض إلى نفسك عبادة ربّك ؛ إنّ المُنبتَّ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ظهراً أبقى ، ولا أرضاً قطع</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تُكرهوا إلى أنفسكم العبادة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عدم جواز ذلك إذا كانت مخافة الوقوع في الانزجار من دين اللّه ، والعياذ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عن بعض الأئمّة المعصومين  علیهم السلام  من إيقاع المشقّة على نفوسهم الشريفة</w:t>
      </w:r>
      <w:r>
        <w:rPr>
          <w:rStyle w:val="FootnoteAnchor"/>
          <w:rtl w:val="true"/>
        </w:rPr>
        <w:footnoteReference w:id="288"/>
      </w:r>
      <w:r>
        <w:rPr>
          <w:rFonts w:ascii="Amiri" w:hAnsi="Amiri" w:eastAsia="Amiri" w:cs="Amiri"/>
          <w:color w:val="111111"/>
          <w:sz w:val="28"/>
          <w:sz w:val="28"/>
          <w:szCs w:val="28"/>
          <w:rtl w:val="true"/>
          <w:lang w:bidi="ar-SA"/>
        </w:rPr>
        <w:t>؛ فلأ نّهم مأمونون من خطوات الشيطان وخطراته ، وأمّا سائر الناس فأ نّى لهم بالعلم أو الاطمئنان بالأمن من كيده ووسوسته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لنفوسهم الشريفة مقامات من الحبّ لعبادة اللّه والاشتياق إلى لقاء اللّه ، ربّما لا يكون ما هو شاقّ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سائر النفوس مشقّة عليهم ، بل لهم لذّات في عباداتهم ورياضاتهم ، كما هو معلوم ، رزقنا اللّه تعالى الاقتداء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الكلام من طرز البحث الفقهي إلى وادٍ يتحيّر فيه العقول </w:t>
      </w:r>
      <w:r>
        <w:rPr>
          <w:rFonts w:eastAsia="Amiri" w:cs="Amiri" w:ascii="Amiri" w:hAnsi="Amiri"/>
          <w:color w:val="111111"/>
          <w:sz w:val="28"/>
          <w:szCs w:val="28"/>
          <w:rtl w:val="true"/>
          <w:lang w:bidi="ar-SA"/>
        </w:rPr>
        <w:t xml:space="preserve">. </w:t>
      </w:r>
      <w:bookmarkStart w:id="157" w:name="pg17116_198630"/>
    </w:p>
    <w:p>
      <w:pPr>
        <w:pStyle w:val="BookText"/>
        <w:rPr/>
      </w:pPr>
      <w:bookmarkEnd w:id="157"/>
      <w:r>
        <w:rPr>
          <w:rFonts w:ascii="IRNazanin" w:hAnsi="IRNazanin" w:eastAsia="IRNazanin"/>
          <w:color w:val="111111"/>
          <w:sz w:val="28"/>
          <w:sz w:val="28"/>
          <w:szCs w:val="28"/>
          <w:rtl w:val="true"/>
          <w:lang w:bidi="fa-IR"/>
        </w:rPr>
        <w:t>مع أنّ ما ورد من تحمّل المشاقّ منهم إنّما هو في المستحبّات دون الواجبات ، وما ورد في غسل أبي عبداللّه‌ علیه السلام  في ليلة باردة ، قد مرّ الكلام فيه</w:t>
      </w:r>
      <w:r>
        <w:rPr>
          <w:rStyle w:val="FootnoteAnchor"/>
          <w:rtl w:val="true"/>
        </w:rPr>
        <w:footnoteReference w:id="289"/>
      </w:r>
      <w:r>
        <w:rPr>
          <w:rFonts w:ascii="Amiri" w:hAnsi="Amiri" w:eastAsia="Amiri" w:cs="Amiri"/>
          <w:color w:val="111111"/>
          <w:sz w:val="28"/>
          <w:sz w:val="28"/>
          <w:szCs w:val="28"/>
          <w:rtl w:val="true"/>
          <w:lang w:bidi="ar-SA"/>
        </w:rPr>
        <w:t xml:space="preserve">، وفي المستحبّات كلام آخر ، ولا يبعد عدم شمول أدلّة الحرج لها ؛ لعدم حرجية الأمر الاستحبابي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مورد الحرج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8645925_3381743652"/>
      <w:bookmarkStart w:id="159" w:name="_Toc54"/>
      <w:bookmarkEnd w:id="158"/>
      <w:r>
        <w:rPr>
          <w:rtl w:val="true"/>
        </w:rPr>
        <w:t>ميزان سقوط المائية على نحو العزيمة في غير مورد الحرج</w:t>
      </w:r>
      <w:bookmarkEnd w:id="159"/>
    </w:p>
    <w:p>
      <w:pPr>
        <w:pStyle w:val="BookText"/>
        <w:rPr/>
      </w:pPr>
      <w:r>
        <w:rPr>
          <w:rFonts w:ascii="Amiri" w:hAnsi="Amiri" w:eastAsia="Amiri" w:cs="Amiri"/>
          <w:color w:val="111111"/>
          <w:sz w:val="28"/>
          <w:sz w:val="28"/>
          <w:szCs w:val="28"/>
          <w:rtl w:val="true"/>
          <w:lang w:bidi="ar-SA"/>
        </w:rPr>
        <w:t xml:space="preserve">وأمّا سائر الموارد ، فالميزان في كون التيمّم متعيّناً وسقوطِ المائية على وجه العزيمة ، هو لزوم محذور شرعي من الوضوء والغسل ولو لم يلزم منه حرمتهما ، كما لو كان في التوصّل إلى الماء خوف التلف ، كما إذا خاف من السبع أو السقوط في البئر فيتلف ، أو خاف من استعمال الماء العطشَ المهلك ، أو خاف الهلكة من البرد أو المرض أو غير ذلك ، أو لزم منه ارتكاب محرّم ، كالوضوء من آنية الذهب أو الفضّة ، أو المرور من طريق مغصوب ، أو ترك واجب ، كإنقاذ نفس محترمة ، أو لزم منه فوت الوقت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فيما إذا اُحرز المحذور الشرعي ، نعم في بعض موارد الضرر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طول المرض ، أو حدوث مرض غير مهلك ، أو الضرر على الجرح والقرح ، أو لزوم طول زمان البُرء ، أو لزوم ضرر غير مهلك على النفس في طيّ الطريق إلى الماء ، أو خوفه في الموارد التي قد يتردّد في قيام الدليل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استفادة تعيّن التيمّم وكون سقوط المائية عزيمة من </w:t>
      </w:r>
    </w:p>
    <w:p>
      <w:pPr>
        <w:pStyle w:val="BookText"/>
        <w:rPr/>
      </w:pPr>
      <w:r>
        <w:rPr>
          <w:rFonts w:ascii="Amiri" w:hAnsi="Amiri" w:eastAsia="Amiri" w:cs="Amiri"/>
          <w:color w:val="111111"/>
          <w:sz w:val="28"/>
          <w:sz w:val="28"/>
          <w:szCs w:val="28"/>
          <w:rtl w:val="true"/>
          <w:lang w:bidi="ar-SA"/>
        </w:rPr>
        <w:t xml:space="preserve">أدلّة الباب أو لا ؟ لا يبعد ذلك من مجموع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طائفة منها وردت فيما كان الغسل ضررياً ، كصحيحة محمّد بن سكين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 فغسّلوه فمات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 ألا سألوا ، ألا يمّموه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شفاء العيّ السؤال</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مرسلة ابن أبي عمير</w:t>
      </w:r>
      <w:r>
        <w:rPr>
          <w:rStyle w:val="FootnoteAnchor"/>
          <w:rtl w:val="true"/>
        </w:rPr>
        <w:footnoteReference w:id="291"/>
      </w:r>
      <w:r>
        <w:rPr>
          <w:rFonts w:ascii="IRNazanin" w:hAnsi="IRNazanin" w:eastAsia="IRNazanin"/>
          <w:color w:val="111111"/>
          <w:sz w:val="28"/>
          <w:sz w:val="28"/>
          <w:szCs w:val="28"/>
          <w:rtl w:val="true"/>
          <w:lang w:bidi="fa-IR"/>
        </w:rPr>
        <w:t>ورواية الجعفري ، عن أبي عبداللّه‌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صلی الله علیه و آله وسلم  ذُكر له أنّ رجلاً أصابته جنابة على جرح كان به ، فاُمر بالغُسل ، فاغتسل فكزّ فمات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 إنّما كان دواء العيّ السؤال</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هذه الروايات يقتضي شمولها لما إذا خاف على نفسه التلف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خروج خوف التلف منها ، فإنّ أحداً من العقلاء لا يرتكب الاغتسال أو الأمر به عند خوف تلف النفس ، فيكون خوفه مفروض العدم ، فتدلّ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باشتمالها على اللوم الشديد ، والدعاء على الآمر بالغسل ، وأ نّه إذا سألوا لكان</w:t>
      </w:r>
    </w:p>
    <w:p>
      <w:pPr>
        <w:pStyle w:val="BookText"/>
        <w:rPr/>
      </w:pPr>
      <w:r>
        <w:rPr>
          <w:rFonts w:ascii="Amiri" w:hAnsi="Amiri" w:eastAsia="Amiri" w:cs="Amiri"/>
          <w:color w:val="111111"/>
          <w:sz w:val="28"/>
          <w:sz w:val="28"/>
          <w:szCs w:val="28"/>
          <w:rtl w:val="true"/>
          <w:lang w:bidi="ar-SA"/>
        </w:rPr>
        <w:t xml:space="preserve">الجواب تعيّن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السقوط عزيمة لا رخصة ، وإلاّ لما توجّه التقصير إليهم بعد كونه رخصة والغسل جائزاً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 نّهم تعمّدوا في قتله ، أو كان في مَعرض الموت ، </w:t>
      </w:r>
    </w:p>
    <w:p>
      <w:pPr>
        <w:pStyle w:val="BookText"/>
        <w:rPr/>
      </w:pPr>
      <w:r>
        <w:rPr>
          <w:rFonts w:ascii="Amiri" w:hAnsi="Amiri" w:eastAsia="Amiri" w:cs="Amiri"/>
          <w:color w:val="111111"/>
          <w:sz w:val="28"/>
          <w:sz w:val="28"/>
          <w:szCs w:val="28"/>
          <w:rtl w:val="true"/>
          <w:lang w:bidi="ar-SA"/>
        </w:rPr>
        <w:t xml:space="preserve">بل تصحّ النسبة بوجه ؛ لأجل انتهاء أمر الآمر إلى موته ولو لم يكن المفروض خوف الموت ، بل الظاهر منها أنّ التعيير واللوم على الآمر بما هو خلاف حكم الشرع ، أو العمل على خلاف التكليف ؛ من غير دخالة للانتهاء إلى الموت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إطلاق الروايات لصورة عدم الخوف من الهلاك ، يستفاد منها تعيّن التيمّم في مطلق الخوف على النفس ؛ من غير فرق بين الجُدَري والجرح وغيرهما ،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في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أبي نصر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الرجل تُصيبه الجنابة ، وبه قروح أو جروح ، أو يخاف على نفسه من البرد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صحيحة داود بن سِرحان ، عن أبي عبداللّه‌ علیه 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والخوف على النفس من البرد إمّا ظاهر في خوف التلف ، أو أعمّ منه ، فشموله له هو القدر المتيقّن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يمكن حمل النهي عن الاغتسال والأمر بالتيمّم على رفع الوجوب والترخيص ؛ بدعوى أنّ النهيَ في مقام توهّم الوجوب والأمرَ في مقام توهّم الحظر ؛ ضرورة أ نّه مع الخوف على النفس من الهلاك لايمكن الترخيص وتجويز </w:t>
      </w:r>
    </w:p>
    <w:p>
      <w:pPr>
        <w:pStyle w:val="BookText"/>
        <w:rPr/>
      </w:pPr>
      <w:r>
        <w:rPr>
          <w:rFonts w:ascii="Amiri" w:hAnsi="Amiri" w:eastAsia="Amiri" w:cs="Amiri"/>
          <w:color w:val="111111"/>
          <w:sz w:val="28"/>
          <w:sz w:val="28"/>
          <w:szCs w:val="28"/>
          <w:rtl w:val="true"/>
          <w:lang w:bidi="ar-SA"/>
        </w:rPr>
        <w:t xml:space="preserve">الإلقاء في الهلكة ، فلا أقلّ من كون المقام في نظر السائل من قبيل الدوران بين المحذورين ؛ لأجل خوف الضرر والتلف ، فلا يُرفع اليد معه عن ظاهر النهي والأمر ، فحينئذٍ يقتضي ذكر القروح والجروح مع الخوف على النفس ، أن يكون الأمر بالتيمّم والنهي عن الغسل في جميعها على نسق واحد ؛ وهو العزيمة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يكون به القرح والجراحة يُجنب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لا يغتسل ؛ يتيمّم</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وقريب منها روايته الاُخرى</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وحدتهما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تقاوم الروايات المتقدّمة ؛ فإنّ غاية ما في نفي البأس الإشعار بالترخيص ، لا الدلالة عليه ، فنفي البأس إنّما هو لرفع توهّم عدم جواز ترك الغسل ، فهو نصّ في جواز ترك الغسل ، وأمّا لزوم التيمّم وكونه على وجه العزيمة أو كونه على وجه الرخصة ، فلا تعرّض فيها له ، لو لم نقل بظهورها في العزيمة أخذاً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رفع اليد عن ظاهر الأدلّة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كثيراً ما يعبّر بمثله في مورد لزوم فعله ، كما في روايات التيمّم بالطين</w:t>
      </w:r>
    </w:p>
    <w:p>
      <w:pPr>
        <w:pStyle w:val="BookText"/>
        <w:rPr/>
      </w:pPr>
      <w:r>
        <w:rPr>
          <w:rFonts w:ascii="IRNazanin" w:hAnsi="IRNazanin" w:eastAsia="IRNazanin"/>
          <w:color w:val="111111"/>
          <w:sz w:val="28"/>
          <w:sz w:val="28"/>
          <w:szCs w:val="28"/>
          <w:rtl w:val="true"/>
          <w:lang w:bidi="fa-IR"/>
        </w:rPr>
        <w:t xml:space="preserve">إذا لم يجد غيره ، كقول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حال لا تجد إلاّ الطين فلا بأس أن تتيمّم به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لزومه عند عدم وجدان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الطائفة وإن وردت في الغسل ، لكن يستفاد منها حكم الوضوء بلا ريب ؛ فإنّ الأمر بالتيمّم إنّما هو لخوف الضرر الأعمّ من الهلاك ، فإذا خاف على نفسه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كخوفه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التيمّم ، ويستفيد العرف من الروايات حكمه ، ولعلّ ذكر الغسل لأجل كون الخوف غالباً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طائفة اُخرى من الروايات ، وهي ما وردت في مورد خوف العطش ، كموثّقة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يكون معه الماء في السفر ، فيخاف قلّته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يتيمّم بالصعيد ويستبقي الماء ؛ فإنّ اللّه عزّ وجلّ جعلهما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 والصعيد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يكون معه الماء القليل ، فإن هو اغتسل به خاف العطش ، أيغتسل به ، أو يتيمّم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يتيمّم ، وكذلك إذا أراد الوضوء</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وخوف القلّة والعطش أعمّ من خوف الهلاك على نفس محترمة وغيره ، ولا يكون الخوف من الهلاك في تلك الأسفار وتلك الأمكنة في تلك الأعصار بعيداً قليلاً ، فحينئذٍ تدلّ الروايتان على تعيّن التيمّم ووجوب استبقاء الماء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عبداللّه بن سِنان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خاف عطشاً </w:t>
      </w:r>
    </w:p>
    <w:p>
      <w:pPr>
        <w:pStyle w:val="BookText"/>
        <w:rPr/>
      </w:pPr>
      <w:r>
        <w:rPr>
          <w:rFonts w:ascii="Amiri" w:hAnsi="Amiri" w:eastAsia="Amiri" w:cs="Amiri"/>
          <w:color w:val="111111"/>
          <w:sz w:val="28"/>
          <w:sz w:val="28"/>
          <w:szCs w:val="28"/>
          <w:rtl w:val="true"/>
          <w:lang w:bidi="ar-SA"/>
        </w:rPr>
        <w:t>فلا يُهريق منه قطرة ، وليتيمّم بالصعيد ؛ فإنّ الصعيد أحبّ إليّ</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 ورواية ابن أبي يعفور ،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 الماء بقدر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أفضل ؛ ألا ترى إنّما جعل عليه نصف الطهور؟</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فلا يراد بأفعل التفضيل إثبات الجواز والمحبوبية لإهراق الماء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خوف العطش أعمّ من خوف التلف ، وفي فرضه لا يمكن تجويز الإهراق ، بل في فرض حصول الحرج أيضاً ، لا يكون الإيقاع في الحرج بإهراقه محبوباً ،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يهريق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يناسب إثبات الفضل لإهراق جميعه بالاغتسال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قوله 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إنّما جعل عليه نصف الطهور؟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منه التيمّم الظاهر في حصر جعل التيمّم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كونه أفضل فردي التخيير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يبعد استفادة حرمة إيقاع الضرر على النفس من مجموع الروايات في موارد متفرّقة ، كأبواب الصوم الضرري والوضوء والغسل والتيمّم وغيرها </w:t>
      </w:r>
      <w:r>
        <w:rPr>
          <w:rFonts w:eastAsia="Amiri" w:cs="Amiri" w:ascii="Amiri" w:hAnsi="Amiri"/>
          <w:color w:val="111111"/>
          <w:sz w:val="28"/>
          <w:szCs w:val="28"/>
          <w:rtl w:val="true"/>
          <w:lang w:bidi="ar-SA"/>
        </w:rPr>
        <w:t xml:space="preserve">. </w:t>
      </w:r>
      <w:bookmarkStart w:id="160" w:name="pg17116_198636"/>
    </w:p>
    <w:p>
      <w:pPr>
        <w:pStyle w:val="Heading6"/>
        <w:numPr>
          <w:ilvl w:val="5"/>
          <w:numId w:val="1"/>
        </w:numPr>
        <w:rPr/>
      </w:pPr>
      <w:bookmarkStart w:id="161" w:name="__RefHeading___Toc8645927_3381743652"/>
      <w:bookmarkStart w:id="162" w:name="_Toc55"/>
      <w:bookmarkEnd w:id="160"/>
      <w:bookmarkEnd w:id="161"/>
      <w:r>
        <w:rPr>
          <w:rtl w:val="true"/>
        </w:rPr>
        <w:t>الأمر الرابع في صحّة الطهارة المائية عند تعيّن التيمّم</w:t>
      </w:r>
      <w:bookmarkEnd w:id="162"/>
    </w:p>
    <w:p>
      <w:pPr>
        <w:pStyle w:val="Heading6"/>
        <w:numPr>
          <w:ilvl w:val="5"/>
          <w:numId w:val="1"/>
        </w:numPr>
        <w:rPr/>
      </w:pPr>
      <w:bookmarkStart w:id="163" w:name="__RefHeading___Toc8645929_3381743652"/>
      <w:bookmarkStart w:id="164" w:name="_Toc56"/>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هل يصحّ الوضوء أو الغسل في موارد تعيّن عليه التيمّم ؟ لا بدّ من البحث أوّلاً على مقتضى القواعد ، ثمّ النظر في مقتضى الأدلّة الخاصّة </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8645931_3381743652"/>
      <w:bookmarkStart w:id="166" w:name="_Toc57"/>
      <w:bookmarkEnd w:id="165"/>
      <w:r>
        <w:rPr>
          <w:rtl w:val="true"/>
        </w:rPr>
        <w:t>بيان مقتضى القواعد في المقام</w:t>
      </w:r>
      <w:bookmarkEnd w:id="16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صحّتهما إذا كان التعيّن لأجل توقّفهما على مقدّمة محرّمة ، كطيّ طريق مغصوب أو مخوف ، فلو عصى وأتى الماءَ تجب عليه المائية وتصحّ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المحرّم من العناوين المتّحدة مع فعلهما ، فقد يقال بالبطلان بدعوى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الفعل الخارجي الذي تعلّق به النهي وصحّ العقاب عليه ، لا يعقل أن يقع عبادة ؛ لتوقّفها على الأمر الممتنع تعلّقه بالمنهيّ عنه ؛ لتعذّر الامتثال ،</w:t>
      </w:r>
    </w:p>
    <w:p>
      <w:pPr>
        <w:pStyle w:val="BookText"/>
        <w:rPr/>
      </w:pPr>
      <w:r>
        <w:rPr>
          <w:rFonts w:ascii="Amiri" w:hAnsi="Amiri" w:eastAsia="Amiri" w:cs="Amiri"/>
          <w:color w:val="111111"/>
          <w:sz w:val="28"/>
          <w:sz w:val="28"/>
          <w:szCs w:val="28"/>
          <w:rtl w:val="true"/>
          <w:lang w:bidi="ar-SA"/>
        </w:rPr>
        <w:t>ولكون النهي ناشئاً عن قُبح الفعل بلحاظ مفسدته الملزمة القاهرة المقبّحة له ، فيقبح الأمر بإيجاده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تنحلّ إلى دعويين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تعلّق الأمر والنهي بالفعل الخارجي ؛ إمّا لأجل الامتناع الذاتي للتضادّ بينهما ، أو العرضي لأجل تعذّر الامتثال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فرغنا من جواز اجتماع الأمر والنهي ، وقلنا بأنّ الأوامر والنواهي متعلّقة بالطبائع ، لا المصاديق الخارجية ، بل ولا الوجودات العنوانية ، فموضوع تعلّق كلٍّ غير الآخر في وعاء تعلّقهما ، وظرف اتّحاد المتعلّقين هو الخارج ، ولا يمكن أن يكون ظرفَ تعلّقهما ؛ للزوم طلب الحاصل والزجر عنه ، وهو محال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الخارجي الذي تعلّق به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ظاهره فهو كما ترى ؛ فإنّ الفعل لا يصير خارجياً إلاّ بتحقّقه ووجوده ، وبعده لا يمكن تعلّق الأمر والنهي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الوجود العنواني كما لا يبعد ، فمع كونه خلاف التحقيق لا يلزم منه الامتناع ؛ لأنّ الوجود العنواني للمنهيّ عنه لا يتّحد مع الوجود العنواني للمأمور به ، وإنّما اتّحدا في المصداق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اُموراً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الوضوء والغسل وطبيعتهما ، وماهية الغصب والتصرّف في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العنواني للقبيلتين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العنواني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الخارجي العيني ، أو الإيجاد الخارجي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لزوم الامتناع للتضادّ إذا تعلّق الأمر والنهي بالماهيات </w:t>
      </w:r>
    </w:p>
    <w:p>
      <w:pPr>
        <w:pStyle w:val="BookText"/>
        <w:rPr/>
      </w:pPr>
      <w:r>
        <w:rPr>
          <w:rFonts w:ascii="Amiri" w:hAnsi="Amiri" w:eastAsia="Amiri" w:cs="Amiri"/>
          <w:color w:val="111111"/>
          <w:sz w:val="28"/>
          <w:sz w:val="28"/>
          <w:szCs w:val="28"/>
          <w:rtl w:val="true"/>
          <w:lang w:bidi="ar-SA"/>
        </w:rPr>
        <w:t xml:space="preserve">والطبائع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المحقّق في محلّه مع دفع ما يتخيّل من الإشكال فيه</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لاختلافهما ذاتاً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تعلّقا بالوجود العنواني أو الإيجاد كذلك ؛ لأ نّهما مفهوم الوجود والإيجاد المضاف الحاكي عن المعنون ، والمفهومان مختلفان متغايران في وعاء المفهومية لا اتّحاد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تعلّقهما بهما خلاف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إلاّ الوجود والإيجاد ؛ أي الخارجيان المتّحدان ، والمتّحد معهما كلّ العناوين الصادقة عليهما ، ولا ريب في امتناع تعلّقهما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الوجودات العنوانية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تصير متعلّقة للأمر والنهي حال كونها مرآةً للخارج ؛ لعدم تعقّل تعلّقهما بالوجود الذهني بما هو كذلك ، ولا بالماهية من حيث هي ، فإنّها ليست إلاّ هي ، فمع المرآتية لا يمكن اجتماعهما ؛ للتضادّ أو لرؤيته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امتناع تعلّقهما بالعناوين المرآتية إن اُريد تعلّقهما بالمرئيّ دون المرآة ؛ لعين ما ذكر آنفاً إن كان للمرئيّ وجود وحقيقة ، وإلاّ فلا محالة يتعلّق بعنوان لا وعاء له إلاّ الذهن ، وفي هذا الوعاء لا يتّحدان واقعاً ولا في نظر المولى حتّى يلزم منه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المرآتية لا يمكن أن تحكي إلاّ عن نفس الطبائع بوجودها الخارجي ، لا عن مقارناتها ومتّحداتها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الحكاية عن الغصب أو الصلاة في الدار المغصوبة ؛ لعدم التناسب الحقيقي ولا الجعلي بينهما ، ولا يمكن أن يكون </w:t>
      </w:r>
    </w:p>
    <w:p>
      <w:pPr>
        <w:pStyle w:val="BookText"/>
        <w:rPr/>
      </w:pPr>
      <w:r>
        <w:rPr>
          <w:rFonts w:ascii="Amiri" w:hAnsi="Amiri" w:eastAsia="Amiri" w:cs="Amiri"/>
          <w:color w:val="111111"/>
          <w:sz w:val="28"/>
          <w:sz w:val="28"/>
          <w:szCs w:val="28"/>
          <w:rtl w:val="true"/>
          <w:lang w:bidi="ar-SA"/>
        </w:rPr>
        <w:t xml:space="preserve">المرئيّ مغايراً ذاتاً لمرآته والمحكيّ لحاكيه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متعلّقهما هو نفس الطبائع والماهيات من حيث هي ، والهيئة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الإيجاد لتحصيل المكلّف الوجودَ الخارجي ، والتفصيل موكول إلى محلّه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الامتناع عرضاً لتعذّر الامتثال ؛ ضرورة إمكانه بعد كون الطبائع مأموراً بها ومنهيّاً عنها ، وسيأتي ما في توهّم تعذّره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يقبح الأمر بإيجاد ما هو القبيح ، فإنّ النهي ناشئ عن قبح الفعل بلحاظ مفسدته ، فالفعل قبيح ، ولا يمكن أن يتعلّق الأمر بما هو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متعلّق بطبيعة المأمور به ، وهي حسنة ، ولا يتعلّق بالغصب ولا بالوجود الخارجي المتّحد معه حتّى يكون قبيحاً ، ولا يمكن أن يتعدّى كلّ من الأمر والنهي عن متعلّقهما إلى مقارناته ومتّحداته ، فالأمر بالوضوء ليس إلاّ أمراً بهذه الطبيعة ، وهي ليست بمنهيّ عنها ، ولا مشتملة على مفسدة حتّى يكون التعلّق بها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الدعويين نشأتا من مبدأ واحد ؛ هو الخلط بين متعلّقات الأوامر والنواهي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تُقرّر الدعوى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إيجاد الفرد الخارجي يعرضه صفة الحسن أو القبح باعتبار جهته القاهرة ، فلا يكون ما يوجده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حسناً أو قبيحاً على سبيل منع الجمع ؛ لامتناع توارد الوصفين المتضادّين على </w:t>
      </w:r>
    </w:p>
    <w:p>
      <w:pPr>
        <w:pStyle w:val="BookText"/>
        <w:rPr/>
      </w:pPr>
      <w:r>
        <w:rPr>
          <w:rFonts w:ascii="Amiri" w:hAnsi="Amiri" w:eastAsia="Amiri" w:cs="Amiri"/>
          <w:color w:val="111111"/>
          <w:sz w:val="28"/>
          <w:sz w:val="28"/>
          <w:szCs w:val="28"/>
          <w:rtl w:val="true"/>
          <w:lang w:bidi="ar-SA"/>
        </w:rPr>
        <w:t>الفعل الخاصّ الصادر من المكلّف من حيث صدوره منه ، الذي لا يتّصف بشيء من الوصفين إلاّ من هذه الحيثية ، فالفرد الخارجي من الصلاة الذي يتحقّق به الغصب المحرّم على الإطلاق ، يمتنع أن يطلبه الشارع ؛ فإنّ الأمر بشيء في الجملة ينافي النهي عنه على الإطلاق</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أيضاً تنحلّ إلى دعويين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ذكرها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امتناع تعلّق الطلب بشيء في الجملة مع تعلّق النهي عنه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مورد الخلط فيها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يمكن أن يتعلّق بغير عنوان متعلّقه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كما أنّ النهي أيضاً لا يمكن أن يتعلّق بغير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يتّحد المتعلّقان في وعاء التعلّق ، والخارج ليس وعاءه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الخارجي لا يمكن أن يكون حسناً وقبيحاً ؛ لأ نّهما وصفان متضادّان لا يمكن تواردهما على الفعل الخاصّ الصادر من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ليسا من الأعراض والكيفيات الخارجية الحالّة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كالسواد والبياض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يكفي اختلاف الجهة في رفع التضادّ بينهما ، فقبح الظلم لا يكون له صورة خارجية حالّة في الجسم ، بل هو أمر عقلي منتزع من التصرّف عدواناً في مال الغير ، أو من قتل نفس محترمة عدواناً مثلاً ، وكذا حسن العدل ليس من الأعراض الخارجية ، بل من الانتزاعيات ، فيمكن أن يكون شيء خارجي ذا عناوين حسنة وقبيحة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الخاصّ الخارجي ليس قبحه لأجل كونه من مقولة خاصّة ، أو كونه </w:t>
      </w:r>
    </w:p>
    <w:p>
      <w:pPr>
        <w:pStyle w:val="BookText"/>
        <w:rPr/>
      </w:pPr>
      <w:r>
        <w:rPr>
          <w:rFonts w:ascii="Amiri" w:hAnsi="Amiri" w:eastAsia="Amiri" w:cs="Amiri"/>
          <w:color w:val="111111"/>
          <w:sz w:val="28"/>
          <w:sz w:val="28"/>
          <w:szCs w:val="28"/>
          <w:rtl w:val="true"/>
          <w:lang w:bidi="ar-SA"/>
        </w:rPr>
        <w:t xml:space="preserve">صادراً من فاعل كذا ، أو في وقت كذا ، أو حالاًّ في محلّ كذا ، مع أنّ كلّها عناوين متّحدة معه ، بل إنّما هو لأجل كونه ظلماً وعدواناً ، فإذا لم يَسْرِ قبحه إلى سائر الجهات ، وبقيت هي على ما هي عليه بلا اقتضاء للحُسْن والقبح ، يعلم أنّ القبح لا يسري من عنوانه وحيثيته إلى حيثية اُخرى وعنوان آخر ، وكذا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مانع من أن يكون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صادقين على موجود خارجي ، فيكون حسناً بوجه ، وقبيحاً بوجه ، والجهات في العقليات تقييدية ، فتكون الحيثيات بما هي موضوعةً للحسن والقبح ، فالصلاة في الدار المغصوبة حسنة بما هي صلاة ليست إلاّ ، والغصب في حال الصلاة قبيح ليس إلاّ ؛ من غير سراية ما لكلّ عنوان وحيثية إلى عنوان آخر وحيثية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الكسر والانكسار في الجهات المقتضية ، وبعد قاهرية جهة يتمحّض الفعل في الجهة القاهرة ، فإذا كانت مقبّحة يتمحّض في القبح فقط ، فالفعل الخاصّ الصادر من المكلّف ، لا يكون إلاّ حسناً أو قبيحاً على سبيل منع الجمع</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الفعل الخارجي مجمع لعناوين ، وله جهات ، فإذا فرض في إحدى عناوينه جهة مقبّحة ، وفي الاُخرى جهة محسّنة ، وفرض غلبة المقبّحة على المحسّنة ، لا توجب خروج الجهة المحسّنة عن كونها جهة محسّنة ؛ لأنّ معنى قاهرية إحدى الجهتين ، ليس سراية القبح منها إلى الجهة التي هي حسنة ، بل لا يكون إلاّ كتقديم الأهمّ على المهمّ ، والفارق الذي بينهما ليس </w:t>
      </w:r>
    </w:p>
    <w:p>
      <w:pPr>
        <w:pStyle w:val="BookText"/>
        <w:rPr/>
      </w:pPr>
      <w:r>
        <w:rPr>
          <w:rFonts w:ascii="Amiri" w:hAnsi="Amiri" w:eastAsia="Amiri" w:cs="Amiri"/>
          <w:color w:val="111111"/>
          <w:sz w:val="28"/>
          <w:sz w:val="28"/>
          <w:szCs w:val="28"/>
          <w:rtl w:val="true"/>
          <w:lang w:bidi="ar-SA"/>
        </w:rPr>
        <w:t>فارقاً من الجهة المنظورة عقلاً ؛ لأنّ شأن العقل تحليل الجهات وتكثير الحيثيات</w:t>
      </w:r>
    </w:p>
    <w:p>
      <w:pPr>
        <w:pStyle w:val="BookText"/>
        <w:rPr/>
      </w:pPr>
      <w:r>
        <w:rPr>
          <w:rFonts w:ascii="Amiri" w:hAnsi="Amiri" w:eastAsia="Amiri" w:cs="Amiri"/>
          <w:color w:val="111111"/>
          <w:sz w:val="28"/>
          <w:sz w:val="28"/>
          <w:szCs w:val="28"/>
          <w:rtl w:val="true"/>
          <w:lang w:bidi="ar-SA"/>
        </w:rPr>
        <w:t xml:space="preserve">وعدم الإهمال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نتيجة الكسر والانكسار إعدام الجهة المقهورة ، فما فيه الجهتان يكون كلٌّ منهما ممحّضاً فيما هو شأنه ، فالوضوء من الماء المغصوب والصلاة في الدار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قاهرية حيثية الغصب على حيثيتهما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يخرجا عن الجهة المحسّنة التي فيهما بعنوانهما وحيثيتهما الذاتية ؛ وإن حكم العقل بلزوم تركهما والأخذ بما هو ذو جهة 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الآن بصدد بيان مقتضى حكم العقل ، لا الترجيحات التي وقعت من الشارع في مقام التشريع ، بل الكلام بعد التشريع على العناوين واتّفاق اتّحادها في الخارج ، فلا يرد علينا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إذا رجّح إحدى الجهتين على الاُخرى في مقام التشريع ، فليس للمكلّف الأخذ بالجهة المرجوحة ، فليس النظر في قاهرية بعض الجهات على بعضها في مقام تشريع الأحكام ، بل في القاهرية التي يدركها العقل بعد التشريع في أحد التكليفين ، والتحقيق فيها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ذكرنا ينحلّ سائر الشبهات ، كامتناع كون شيء واحد شخصي مقرّباً ومبعّداً ، وذا مصلحة ومفسدة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ممّا ذكرنا ظهر وجه الصحّة في المسألة الاُخرى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إذا توقّف فعل الوضوء أو الغسل على مقدّمة مقارنة محرّمة ، بل الأمر هاهنا أوضح ؛ فإنّ ذات الوضوء والغسل لا تتّحدان مع المحرّم حتّى يأتي فيه بعض ما تقدّم مع 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يقال هاهنا بأنّ الأمر بما يتوقّف على القبيح قبيح ، كالأمر بالقبيح بل هو هو ؛ فإنّ الأمر بالشيء يقتضي إيجاب ما يتوقّف عليه ، ولا أقلّ من أ نّه يقتضي جوازه ، والمفروض حرمة المقدّمة ، فيمتنع أن يكون ما يتوقّف عليها واجباً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بالامتناع ما يلزم من اجتماع الأمر والنهي ، فمع الغضّ عن عدم وجوب المقدّمة ، أ نّه 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المقدّمة الموصلة بما هي كذلك ؛ أي حيثية ما يتوصّل به إلى ذي المقدّمة ، فيكون الوجوب متعلِّقاً بهذا العنوان ، لا ذات المقدّمة ، ولا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 عليه</w:t>
      </w:r>
    </w:p>
    <w:p>
      <w:pPr>
        <w:pStyle w:val="BookText"/>
        <w:rPr/>
      </w:pPr>
      <w:r>
        <w:rPr>
          <w:rFonts w:ascii="IRNazanin" w:hAnsi="IRNazanin" w:eastAsia="IRNazanin"/>
          <w:color w:val="111111"/>
          <w:sz w:val="28"/>
          <w:sz w:val="28"/>
          <w:szCs w:val="28"/>
          <w:rtl w:val="true"/>
          <w:lang w:bidi="fa-IR"/>
        </w:rPr>
        <w:t>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دفعنا الإشكالات التي أوردوها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p>
    <w:p>
      <w:pPr>
        <w:pStyle w:val="BookText"/>
        <w:rPr/>
      </w:pPr>
      <w:r>
        <w:rPr>
          <w:rFonts w:ascii="Amiri" w:hAnsi="Amiri" w:eastAsia="Amiri" w:cs="Amiri"/>
          <w:color w:val="111111"/>
          <w:sz w:val="28"/>
          <w:sz w:val="28"/>
          <w:szCs w:val="28"/>
          <w:rtl w:val="true"/>
          <w:lang w:bidi="ar-SA"/>
        </w:rPr>
        <w:t>ونقّحنا مقصده بما لا مزيد عليه ، فراجع</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يتعلّق به الأمر الغيري ليس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الاغتراف الذي هو موصل ، بل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 وهو متّحد الوجود مع الاغتراف الخارجي ، المتّحد مع كونه من الآنية المغصوبة ، أو آنية الذهب والفضّة ، وما هو المحرّم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 الغير بلا إذنه واستعمال الآنيتين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المتّحدان في الخارج ، فيندفع الإشكال بما دفعناه في المسألة الاُولى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دفع توهّم قبح تعلّق الأمر بما يتوقّف على مقدّمة محرّمة ؛ لمنع القبح على فرض ، ومنع التعلّق على آخر ، ويتّضح بالتأمّل فيما مرّ ، </w:t>
      </w:r>
    </w:p>
    <w:p>
      <w:pPr>
        <w:pStyle w:val="BookText"/>
        <w:rPr/>
      </w:pPr>
      <w:r>
        <w:rPr>
          <w:rFonts w:ascii="Amiri" w:hAnsi="Amiri" w:eastAsia="Amiri" w:cs="Amiri"/>
          <w:color w:val="111111"/>
          <w:sz w:val="28"/>
          <w:sz w:val="28"/>
          <w:szCs w:val="28"/>
          <w:rtl w:val="true"/>
          <w:lang w:bidi="ar-SA"/>
        </w:rPr>
        <w:t xml:space="preserve">فلا نعيده ، وأمّا سائر الإشكالات المتقدّمة فلا يتأتّى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إمكان تصحيح الوضوء المتوقّف على الاغتراف من الآنية المغصوبة ؛ لاشتراط تحقّقه في الخارج بقصد حصول عنوانه بداعي التقرّب ، فيكون القصد المحصّل لعنوانه من مقوّمات ماهية المأمور به ، فيشترط فيه عدم كونه مبغوضاً للشارع ، فغسل الوجه إنّما يقع جزءاً من الوضوء إذا كان الآتي به بانياً على إتمامه وضوءاً ، وهذا البناء ممّن يرتكب المقدّمة المحرّمة ، قبيح يجب هدمه والعزم على ترك الوضوء بترك الغصب ، فلا يجوز أن يكون هذا العزم من مقوّمات العبادة ، بل العزم على ذي المقدّمة عزم على إيجاد مقدّمته إجمالاً ولدى التحليل ، لا أ نّه موقوف عليه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القبيح العزم على الغصب ، لا العزم على إتمام الوضوء ، وحكم العقل بلزوم ترجيح جانب الغصب وهدم العزم ، ليس لأجل كون الوضوء أو عزمه قبيحاً أو حراماً ، بل لأجل ترجيح الأهمّ ، فما هو من مقوّمات ماهية الوضوء ، هو العزم على الوضوء متقرّباً به إلى اللّه ، لا العزم على المعصية</w:t>
      </w:r>
    </w:p>
    <w:p>
      <w:pPr>
        <w:pStyle w:val="BookText"/>
        <w:rPr/>
      </w:pPr>
      <w:r>
        <w:rPr>
          <w:rFonts w:ascii="Amiri" w:hAnsi="Amiri" w:eastAsia="Amiri" w:cs="Amiri"/>
          <w:color w:val="111111"/>
          <w:sz w:val="28"/>
          <w:sz w:val="28"/>
          <w:szCs w:val="28"/>
          <w:rtl w:val="true"/>
          <w:lang w:bidi="ar-SA"/>
        </w:rPr>
        <w:t xml:space="preserve">والتصرّف في الآنية المغصوبة ، وما هو قبيح يجب هدمه هو هذا العزم ، لا الأوّل ، فلو فرض تحليل العزم إلى العزم على التصرّف عدواناً ، والعزم على الوضوء ، يكون الأوّل قبيحاً دون الثاني ، ولزوم هدم الثاني عقلاً ، ليس لقبحه وعدم إمكان وقوعه مقوّماً لماهية العبادة ، بل لاتّحاده مع الأوّل وحكم العقل بالترجيح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ما ذكره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العزم على ذي المقدّمة ، عزم على مقدّمته </w:t>
      </w:r>
    </w:p>
    <w:p>
      <w:pPr>
        <w:pStyle w:val="BookText"/>
        <w:rPr/>
      </w:pPr>
      <w:r>
        <w:rPr>
          <w:rFonts w:ascii="Amiri" w:hAnsi="Amiri" w:eastAsia="Amiri" w:cs="Amiri"/>
          <w:color w:val="111111"/>
          <w:sz w:val="28"/>
          <w:sz w:val="28"/>
          <w:szCs w:val="28"/>
          <w:rtl w:val="true"/>
          <w:lang w:bidi="ar-SA"/>
        </w:rPr>
        <w:t>إجمالاً ولدى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المساعدة عليه ؛ ضرورة أنّ العزم والإرادة وغيرهما من الأوصاف ذات الإضافة ، إنّما يكون تشخّصها بمتعلّقاتها ، ومع كثرة المتعلّقات لا يمكن وحدتها ، فالعزم المتعلّق بالكون على السطح ، لا يمكن أن يصير متشخّصاً إلاّ بالوجود العنواني لذلك العنوان ، لا العنوان الآخر ، ولا يمكن أن يكون الوجودان مشخّصاً لإرادة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مبادئ إرادة ذي المقدّمة غير مبادئ إرادة مقدّمته ، فإرادة ذي المقدّمة موقوفة على تصوّره والتصديق بفائدته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المبادئ ، وإرادة المقدّمة موقوفة على تصوّرها ، وتصوّر توقّف ذي المقدّمة عليها ، وكونها موصلة إليه ، والتصديق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آخرها ، فلا معنى لانحلال إرادة ذي المقدّمة إلى إرادتها ، وهو معلوم جدّاً ، فإذا اختلفت الإرادتان لا يبقى مجال للقول بقبح العزم على إتمام الوضوء ؛ ولو فرض لزوم إرادة اُخرى بمقدّماتها لحصول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فساد ما ربّما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الأمر بالوضوء مع المقدّمة المحرّمة المنحصرة ؛ للزوم الأمر بما يلازم الحرام ، وهو قبيح ، بل محال مع بقاء النهي على فعليته ، كما هو المفروض</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w:t>
      </w:r>
      <w:r>
        <w:rPr>
          <w:rStyle w:val="FootnoteAnchor"/>
          <w:rtl w:val="true"/>
        </w:rPr>
        <w:footnoteReference w:id="313"/>
      </w:r>
      <w:r>
        <w:rPr>
          <w:rFonts w:ascii="Amiri" w:hAnsi="Amiri" w:eastAsia="Amiri" w:cs="Amiri"/>
          <w:color w:val="111111"/>
          <w:sz w:val="28"/>
          <w:sz w:val="28"/>
          <w:szCs w:val="28"/>
          <w:rtl w:val="true"/>
          <w:lang w:bidi="ar-SA"/>
        </w:rPr>
        <w:t xml:space="preserve">من تعلّق الأمر والنهي بالعناوين ، وعدم سراية حكم كلٍّ إلى الآخر وإن اتّحدا في الخارج ، ولا يكون الحاكم ناظراً في مقام جعل الحكم إلى حال الخارج ، وحال مقارنات الموضوع في ظرفه ، وكيفية الامتثال ، وترجيح </w:t>
      </w:r>
    </w:p>
    <w:p>
      <w:pPr>
        <w:pStyle w:val="BookText"/>
        <w:rPr/>
      </w:pPr>
      <w:r>
        <w:rPr>
          <w:rFonts w:ascii="Amiri" w:hAnsi="Amiri" w:eastAsia="Amiri" w:cs="Amiri"/>
          <w:color w:val="111111"/>
          <w:sz w:val="28"/>
          <w:sz w:val="28"/>
          <w:szCs w:val="28"/>
          <w:rtl w:val="true"/>
          <w:lang w:bidi="ar-SA"/>
        </w:rPr>
        <w:t xml:space="preserve">الراجح على المرجوح ، بل الحاكم فيها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ورد حكم في هذا المقام</w:t>
      </w:r>
    </w:p>
    <w:p>
      <w:pPr>
        <w:pStyle w:val="BookText"/>
        <w:rPr/>
      </w:pPr>
      <w:r>
        <w:rPr>
          <w:rFonts w:ascii="Amiri" w:hAnsi="Amiri" w:eastAsia="Amiri" w:cs="Amiri"/>
          <w:color w:val="111111"/>
          <w:sz w:val="28"/>
          <w:sz w:val="28"/>
          <w:szCs w:val="28"/>
          <w:rtl w:val="true"/>
          <w:lang w:bidi="ar-SA"/>
        </w:rPr>
        <w:t xml:space="preserve">من الشارع ، لا يكون إلاّ إرشاداً إلى حكم العقل ، أو إرشاداً إلى أهمّية أحد التكليفين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بين العنوانين تلازم ، لا يمكن جعل الحكمين المتضادّين عليهما ؛ لامتناع الامتثال ، ولكنّه خارج عن محطّ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يقال في تصوير الأمر بالوضوء في المقدّمة المقارنة بالترتّب ، لا بأن يكون العصيان الخارجي شرطاً فيه ؛ لأ نّه متأخّر عن الشروع في الفعل ، ويمتنع تقدّم المعلول على علّته ، ولا بأن يكون العزم على المعصية شرطاً للوجوب ؛ فإنّ العزم عليها لا يبيحها ، ولا يخرج فعلها عن كونه مقدّمة لإيجاد ذي المقدّمة حتّى يتنجّز التكليف به على تقدير حصول العزم ، بل يجب عليه نقض العزم وترك المحرّم ، لا إيجاد ما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عنوان كونه عاصياً في الواقع شرط ؛ بمعنى أنّ الطلب الشرعي تعلّق بمن يعصي في فعل المقدّمة ، ويقدر على إيجاد المأمور به ، فعزمه على المعصية طريق لإحراز كونه من مصاديق هذا العنوان ؛ من دون أن يجب عليه تحصيله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كشفه عن تحقّق عنوان كونه ممّن يعصي مَن عزمه المعصية ، لا يوجب سقوط النهي المتعلّق بالمقدّمة ، ومع تحقّق النهي الفعلي لا يمكن الأمر بها بناءً على هذا المبنى ، فكما أنّ العزم على المعصية لا يبيحها ، ويجب عليه نقضه وترك المعصية ، كذلك العزم الكاشف عن المعصية ، وكذا صدق </w:t>
      </w:r>
      <w:bookmarkStart w:id="167" w:name="pg17116_198647"/>
    </w:p>
    <w:p>
      <w:pPr>
        <w:pStyle w:val="BookText"/>
        <w:rPr/>
      </w:pPr>
      <w:bookmarkEnd w:id="167"/>
      <w:r>
        <w:rPr>
          <w:rFonts w:ascii="Amiri" w:hAnsi="Amiri" w:eastAsia="Amiri" w:cs="Amiri"/>
          <w:color w:val="111111"/>
          <w:sz w:val="28"/>
          <w:sz w:val="28"/>
          <w:szCs w:val="28"/>
          <w:rtl w:val="true"/>
          <w:lang w:bidi="ar-SA"/>
        </w:rPr>
        <w:t xml:space="preserve">عنوان كونه ممّن يعصي لا يوجب إباحتها وسقوط النهي ، بل يجب عليه نقض العزم وهدم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القبيح أو الممتنع ، تعلّق الأمر بالوضوء اللازم منه تعلّق الأمر بمقدّماته المحرّمة أو تجويزها ، لا يمكن التخلّص عنهما في المقدّمات المقارنة بالترتّب ؛ سواء جعل الشرط المعصية ، أو عزمها ، أو عنوان من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ما عرفت من دون لزوم تكلّف </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8645933_3381743652"/>
      <w:bookmarkStart w:id="169" w:name="_Toc58"/>
      <w:bookmarkEnd w:id="168"/>
      <w:r>
        <w:rPr>
          <w:rtl w:val="true"/>
        </w:rPr>
        <w:t>حكم مزاحمة الطهارة المائية لواجب أهمّ</w:t>
      </w:r>
      <w:bookmarkEnd w:id="169"/>
    </w:p>
    <w:p>
      <w:pPr>
        <w:pStyle w:val="BookText"/>
        <w:rPr/>
      </w:pPr>
      <w:r>
        <w:rPr>
          <w:rFonts w:ascii="Amiri" w:hAnsi="Amiri" w:eastAsia="Amiri" w:cs="Amiri"/>
          <w:color w:val="111111"/>
          <w:sz w:val="28"/>
          <w:sz w:val="28"/>
          <w:szCs w:val="28"/>
          <w:rtl w:val="true"/>
          <w:lang w:bidi="ar-SA"/>
        </w:rPr>
        <w:t xml:space="preserve">وممّا ذكرنا يظهر الحال في مسألة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زاحمت الطهارة المائية</w:t>
      </w:r>
    </w:p>
    <w:p>
      <w:pPr>
        <w:pStyle w:val="BookText"/>
        <w:rPr/>
      </w:pPr>
      <w:r>
        <w:rPr>
          <w:rFonts w:ascii="Amiri" w:hAnsi="Amiri" w:eastAsia="Amiri" w:cs="Amiri"/>
          <w:color w:val="111111"/>
          <w:sz w:val="28"/>
          <w:sz w:val="28"/>
          <w:szCs w:val="28"/>
          <w:rtl w:val="true"/>
          <w:lang w:bidi="ar-SA"/>
        </w:rPr>
        <w:t>واجباً أهمّ ، لا لأجل الترتّب المعروف الذي فرغنا عن إبطاله في الاُصول</w:t>
      </w:r>
      <w:r>
        <w:rPr>
          <w:rStyle w:val="FootnoteAnchor"/>
          <w:rtl w:val="true"/>
        </w:rPr>
        <w:footnoteReference w:id="315"/>
      </w:r>
      <w:r>
        <w:rPr>
          <w:rFonts w:ascii="Amiri" w:hAnsi="Amiri" w:eastAsia="Amiri" w:cs="Amiri"/>
          <w:color w:val="111111"/>
          <w:sz w:val="28"/>
          <w:sz w:val="28"/>
          <w:szCs w:val="28"/>
          <w:rtl w:val="true"/>
          <w:lang w:bidi="ar-SA"/>
        </w:rPr>
        <w:t xml:space="preserve">، بل لأجل عدم امتناع تعلّق الأمرين بعنوانين متزاحمين في الوجود ؛ سواء كانا من قبيل الأهمّ والمهمّ أو لا ؛ لأنّ الأوامر متعلّقة بنفس الطبائع ؛ من غير سراية إلى الخصوصيات 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كالعموم في تعلّق حكمه بالأفراد ، بل مقتضاه بعدها كون نفس الطبيعة تمام الموضوع ؛ بلا دخالة شيء آخر من الخصوصيات الفردية والحالات الطارئة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الأدلّة غير ناظرة إلى حال المتزاحمات ولا حال علاجها ، فإطلاق دليل المتزاحمين شامل لحال التزاحم ؛ من غير أن يكون ناظراً إلى التزاحم وعلاجه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الأحكام القانونية تعمّ العاجز والقادر والعالم والجاهل ؛ من غير تقييد بحال دون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الأمر بكلٍّ من المتزاحمين أمر بالمقدور ، والجمع غير مقدور ، وهو ليس بمأمور به ، ففي المتزاحمين أمران كلٌّ تعلّق بمقدور ، لا أمر واحد بالجمع الذي هو غير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تلك المقدّمات التي فصّلناها في محلّها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لدليل المتزاحمين إطلاقاً يشمل حال التزاحم من غير تقييد ، وإنّما يحكم العقل بلزوم الأخذ بالأهمّ وترك المهمّ مع كونه مأموراً به ، فيكون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معذوراً في ترك التكليف الفعلي بالاشتغال بالأهمّ ، ومع ترك الأهمّ والإتيان بالمهمّ ، أتى بالمأمور به ويثاب عليه ، ولم يكن معذوراً في ترك الأهمّ ، فيستحقّ العقوبة على تركه ، ومع تركهما يستحقّ العقوبة عليهما ؛ لتركه كلاًّ من التكليفين المقدورين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من محلّه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الصحّة لا تتوقّف على تصوير الأمر ، بل تصحّ العبادة مع عدمه ، بل لا يبعد القول بها مع الالتزام بكون الأمر بالشيء يقتضي النهي عن ضدّه ؛ لعدم اقتضاء النهي الغيري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الوضوء مع الابتلاء بالمزاحم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حال تلك المسائل من ناحية حكم العقل </w:t>
      </w:r>
      <w:r>
        <w:rPr>
          <w:rFonts w:eastAsia="Amiri" w:cs="Amiri" w:ascii="Amiri" w:hAnsi="Amiri"/>
          <w:color w:val="111111"/>
          <w:sz w:val="28"/>
          <w:szCs w:val="28"/>
          <w:rtl w:val="true"/>
          <w:lang w:bidi="ar-SA"/>
        </w:rPr>
        <w:t xml:space="preserve">. </w:t>
      </w:r>
      <w:bookmarkStart w:id="170" w:name="pg17116_198649"/>
    </w:p>
    <w:p>
      <w:pPr>
        <w:pStyle w:val="Heading6"/>
        <w:numPr>
          <w:ilvl w:val="5"/>
          <w:numId w:val="1"/>
        </w:numPr>
        <w:rPr/>
      </w:pPr>
      <w:bookmarkStart w:id="171" w:name="__RefHeading___Toc8645935_3381743652"/>
      <w:bookmarkStart w:id="172" w:name="_Toc59"/>
      <w:bookmarkEnd w:id="170"/>
      <w:bookmarkEnd w:id="171"/>
      <w:r>
        <w:rPr>
          <w:rtl w:val="true"/>
        </w:rPr>
        <w:t>بيان مقتضى الأدلّة النقلية في المقام</w:t>
      </w:r>
      <w:bookmarkEnd w:id="172"/>
    </w:p>
    <w:p>
      <w:pPr>
        <w:pStyle w:val="Heading6"/>
        <w:numPr>
          <w:ilvl w:val="5"/>
          <w:numId w:val="1"/>
        </w:numPr>
        <w:rPr/>
      </w:pPr>
      <w:bookmarkStart w:id="173" w:name="__RefHeading___Toc8645937_3381743652"/>
      <w:bookmarkStart w:id="174" w:name="_Toc60"/>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وأمّا حالها بالنظر إلى الأدلّة النقلية ، فلا بدّ لبيانها من إفراز بعض المسائل التي وردت فيها النصوص </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8645939_3381743652"/>
      <w:bookmarkStart w:id="176" w:name="_Toc61"/>
      <w:bookmarkEnd w:id="175"/>
      <w:r>
        <w:rPr>
          <w:rtl w:val="true"/>
        </w:rPr>
        <w:t>المسألة الاُولى في بطلان الطهارة المائية في موارد سقوطها بدليل نفي الحرج</w:t>
      </w:r>
      <w:bookmarkEnd w:id="176"/>
    </w:p>
    <w:p>
      <w:pPr>
        <w:pStyle w:val="Heading6"/>
        <w:numPr>
          <w:ilvl w:val="5"/>
          <w:numId w:val="1"/>
        </w:numPr>
        <w:rPr/>
      </w:pPr>
      <w:bookmarkStart w:id="177" w:name="__RefHeading___Toc8645941_3381743652"/>
      <w:bookmarkStart w:id="178" w:name="_Toc62"/>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الأقرب بطلان الوضوء والغسل في الموارد التي سقطا بدليل العسر والحرج ، والدليل عليه التعليل المستفاد من الآية الكريمة الواردة في الصوم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مفاد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والمحتمل بحسب التصوّر أن يكون مفادها حرمة صوم المريض والمسافر ؛ لجهة إرادة اليسر ، أو لجهة عدم إرادة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إبقاء اليسر وعدم هدمه واجباً ، لا عنوان الصوم العسير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إيقاع العسر على النفس حراماً بعنوانه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الاحتمالين الأخيرين لا يلزم بطلان الصوم ؛ لما مرّ من عدم بطلان </w:t>
      </w:r>
    </w:p>
    <w:p>
      <w:pPr>
        <w:pStyle w:val="BookText"/>
        <w:rPr/>
      </w:pPr>
      <w:r>
        <w:rPr>
          <w:rFonts w:ascii="Amiri" w:hAnsi="Amiri" w:eastAsia="Amiri" w:cs="Amiri"/>
          <w:color w:val="111111"/>
          <w:sz w:val="28"/>
          <w:sz w:val="28"/>
          <w:szCs w:val="28"/>
          <w:rtl w:val="true"/>
          <w:lang w:bidi="ar-SA"/>
        </w:rPr>
        <w:t>العبادة المتّحدة مع عنوان محرّم</w:t>
      </w:r>
      <w:r>
        <w:rPr>
          <w:rStyle w:val="FootnoteAnchor"/>
          <w:rtl w:val="true"/>
        </w:rPr>
        <w:footnoteReference w:id="319"/>
      </w:r>
      <w:r>
        <w:rPr>
          <w:rFonts w:ascii="Amiri" w:hAnsi="Amiri" w:eastAsia="Amiri" w:cs="Amiri"/>
          <w:color w:val="111111"/>
          <w:sz w:val="28"/>
          <w:sz w:val="28"/>
          <w:szCs w:val="28"/>
          <w:rtl w:val="true"/>
          <w:lang w:bidi="ar-SA"/>
        </w:rPr>
        <w:t xml:space="preserve">، وكذا إذا كانت العبادة ضدّ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الأوّل يقع باطلاً ؛ لتعلّق الحرمة بنفس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بعض احتمالات اُخر منفيّ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من بينها هو الاحتمال الأوّل ؛ إمّا لمفهوم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w:t>
      </w:r>
    </w:p>
    <w:p>
      <w:pPr>
        <w:pStyle w:val="BookText"/>
        <w:rPr/>
      </w:pPr>
      <w:r>
        <w:rPr>
          <w:rFonts w:ascii="Amiri" w:hAnsi="Amiri" w:eastAsia="Amiri" w:cs="Amiri"/>
          <w:color w:val="111111"/>
          <w:sz w:val="28"/>
          <w:sz w:val="28"/>
          <w:szCs w:val="28"/>
          <w:rtl w:val="true"/>
          <w:lang w:bidi="ar-SA"/>
        </w:rPr>
        <w:t>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مفهومه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يشهد فلا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المفهوم وكذا كونه كذلك وإن كان محلّ مناقشة في الاُصول</w:t>
      </w:r>
      <w:r>
        <w:rPr>
          <w:rStyle w:val="FootnoteAnchor"/>
          <w:rtl w:val="true"/>
        </w:rPr>
        <w:footnoteReference w:id="320"/>
      </w:r>
      <w:r>
        <w:rPr>
          <w:rFonts w:ascii="Amiri" w:hAnsi="Amiri" w:eastAsia="Amiri" w:cs="Amiri"/>
          <w:color w:val="111111"/>
          <w:sz w:val="28"/>
          <w:sz w:val="28"/>
          <w:szCs w:val="28"/>
          <w:rtl w:val="true"/>
          <w:lang w:bidi="ar-SA"/>
        </w:rPr>
        <w:t xml:space="preserve">، لكن لا يبعد مساعدة العرف عليهما فيما إذا كان الجزاء من قبيل الهيئة ، لا المعنى الاسمي ؛ للفرق عرفاً بين أخذ 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فيجب 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المفهوم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في الآية ، فلا يبعد أن يكون مفهومه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تصمه</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عليه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بن زرارة التي لا يبعد أن تكون حسنة برواية الصدوق</w:t>
      </w:r>
      <w:r>
        <w:rPr>
          <w:rStyle w:val="FootnoteAnchor"/>
          <w:rtl w:val="true"/>
        </w:rPr>
        <w:footnoteReference w:id="32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فليصمه ، ومن سافر فلا يصمه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المصر وحضر ولم يغب في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 والمراد به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فليصم جميعه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ما رواه زرارة عن أبي جعفر علیه السلام  أ نّه قال لمّا سُئل عن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أبينها لمن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شهر رمضان فليصمه ، ومن سافر فيه فليفطر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لإطلاق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دلّت على أنّ نفس المرض والسفر توجب عدّة من أيّام اُخر ؛ من غير دخالة شيء آخر من إفطار أو غيره فيه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المكلّف مريضاً أو مسافراً في الشهر ، تأتي على عهدته عدّة أيّام اُخر بدل شهر رمضان ، ولا شبهة في أنّ هذه العدّة قضاء شهر رمضان ؛ لما يستفاد من الآية من أنّ الواجب الأصلي هو صيام الشهر ، ومع طروّ العنوانين يتبدّل بعدّة من غيره ، فإذا وجب القضاء بمجرّد طروّهما ، فلا بدّ وأن يقع الصوم معهما باطلاً ، وإلاّ فيلزم إمّا إيجاب البدل ولو على فرض إيجاد المبدل منه وصحّته ، أو تقدير </w:t>
      </w:r>
    </w:p>
    <w:p>
      <w:pPr>
        <w:pStyle w:val="BookText"/>
        <w:rPr/>
      </w:pPr>
      <w:r>
        <w:rPr>
          <w:rFonts w:ascii="Amiri" w:hAnsi="Amiri" w:eastAsia="Amiri" w:cs="Amiri"/>
          <w:color w:val="111111"/>
          <w:sz w:val="28"/>
          <w:sz w:val="28"/>
          <w:szCs w:val="28"/>
          <w:rtl w:val="true"/>
          <w:lang w:bidi="ar-SA"/>
        </w:rPr>
        <w:t xml:space="preserve">في الآية وتقييد بلا دليل وحجّة ؛ بأن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وأفطر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وتؤيّده رواية الزُهري ، عن علي بن الحسين علیهما 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صوم السفر والمرض فإنّ العامّة قد اختلفت في ذلك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صام ، وإن شاء أفطر ،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الحالين جميعاً ، فإن صام في حال السفر أو في حال المرض فعليه القضاء ؛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فحكم بوجوب القضاء عليهما وإن صاما ؛ مستدلاًّ بالآية ومستظهراً منها من دون إعمال تعبّد ، وقد عرفت أنّ ذلك مقتضى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الآية أنّ صوم المريض والمسافر بعنوانهما محرّم باطل ، ويظهر منها تعليله بإرادة اليسر وعدم إرادة العسر على الاُمّة ، فيجب التعميم بمقتضى العلّة المنصوصة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يقع الكلام في أنّ القضايا المعلّلة المعمّمة ، هل تكون ظاهرة في أنّ الحكم لحيثية العلّة ، كما يقال في الأحكام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الحيثيات التعليلية عناوين للموضوعات</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فيكون حكم العرف كحكم العقل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الظاهر كون عنوان الموضوع ما اُخذ في ظاهر القضيّة المعلّلة ، وما اُخذ </w:t>
      </w:r>
    </w:p>
    <w:p>
      <w:pPr>
        <w:pStyle w:val="BookText"/>
        <w:rPr/>
      </w:pPr>
      <w:r>
        <w:rPr>
          <w:rFonts w:ascii="Amiri" w:hAnsi="Amiri" w:eastAsia="Amiri" w:cs="Amiri"/>
          <w:color w:val="111111"/>
          <w:sz w:val="28"/>
          <w:sz w:val="28"/>
          <w:szCs w:val="28"/>
          <w:rtl w:val="true"/>
          <w:lang w:bidi="ar-SA"/>
        </w:rPr>
        <w:t xml:space="preserve">علّةً واسطة في ثبوت الحكم لموضوعه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عرفاً في أنّ موضوع الحرمة هو الخمر ، وكونه مُسكراً واسطة لتعلّقها به ؟</w:t>
      </w:r>
    </w:p>
    <w:p>
      <w:pPr>
        <w:pStyle w:val="BookText"/>
        <w:rPr/>
      </w:pPr>
      <w:r>
        <w:rPr>
          <w:rFonts w:ascii="Amiri" w:hAnsi="Amiri" w:eastAsia="Amiri" w:cs="Amiri"/>
          <w:color w:val="111111"/>
          <w:sz w:val="28"/>
          <w:sz w:val="28"/>
          <w:szCs w:val="28"/>
          <w:rtl w:val="true"/>
          <w:lang w:bidi="ar-SA"/>
        </w:rPr>
        <w:t xml:space="preserve">الأقرب هو الثاني ؛ فإنّ الأوّل حكم عقلي دقيق برهاني ، لا عرفي عقلائي ؛ إذ لا إشكال في أنّ العرف يرى في تلك القضايا اُموراً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والحكم ، وواسطة ثبوته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المتفاهم من الآية أنّ صوم المريض والمسافر حرام بعنوانه ؛ لأجل إرادة اليسر ، والظاهر بحسب فهم العرف أنّ القضايا المفهومة من تعميم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كالقضيّة الأصلية المعلّلة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موضوع ، وحكم ، ووسط ، فقضيّة تعميم التعليل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الفُقّاع والنبيذ كذلك بعنوانهما لكونهما مسكرين ؛ فإنّ الحكم في الفرع تابع لأصله ، فاحتمال كون الحكم في الفرع لحيثية الإسكار ، وكون الشيء مسكراً بما هو كذلك ، ضعيف مخالف لفهم العرف والعقلاء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تعميم العلّة بنحو ما مرّ ، أنّ ما يلزم منه الحرج والعسر بعنوانه حرام ، فالوضوء الحرجي والغسل العسير بعنوانهما حرام ، فيقعان باطلين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قوله في آية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كقوله في آية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مجرّد السفر صار سبباً لعدّة اُخرى </w:t>
      </w:r>
      <w:bookmarkStart w:id="179" w:name="pg17116_198654"/>
    </w:p>
    <w:p>
      <w:pPr>
        <w:pStyle w:val="BookText"/>
        <w:rPr/>
      </w:pPr>
      <w:bookmarkEnd w:id="179"/>
      <w:r>
        <w:rPr>
          <w:rFonts w:ascii="Amiri" w:hAnsi="Amiri" w:eastAsia="Amiri" w:cs="Amiri"/>
          <w:color w:val="111111"/>
          <w:sz w:val="28"/>
          <w:sz w:val="28"/>
          <w:szCs w:val="28"/>
          <w:rtl w:val="true"/>
          <w:lang w:bidi="ar-SA"/>
        </w:rPr>
        <w:t>من غير دخالة شيء آخر كما مرّ</w:t>
      </w:r>
      <w:r>
        <w:rPr>
          <w:rStyle w:val="FootnoteAnchor"/>
          <w:rtl w:val="true"/>
        </w:rPr>
        <w:footnoteReference w:id="328"/>
      </w:r>
      <w:r>
        <w:rPr>
          <w:rFonts w:ascii="Amiri" w:hAnsi="Amiri" w:eastAsia="Amiri" w:cs="Amiri"/>
          <w:color w:val="111111"/>
          <w:sz w:val="28"/>
          <w:sz w:val="28"/>
          <w:szCs w:val="28"/>
          <w:rtl w:val="true"/>
          <w:lang w:bidi="ar-SA"/>
        </w:rPr>
        <w:t xml:space="preserve">، كذلك الظاهر أنّ المرض بنفسه سبب لإيجاب التيمّم ، وكذا في سائر الأعذار إن عمّمناها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الاستشهاد على المقصود بتمسّك الأئمّة  علیهم السلام  بآية الصوم للحرمة تارة بمفهوم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روايتي زرارة وابنه ، واُخرى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الزُهري ، مع كونها في مقام الامتنان ، وسياقها كسياق آية التيمّم ، فلو كان الأمر في الرفع امتناناً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المتأخّرون من عدم الدلالة على العزيمة ولا البطلان على فرض التخلّف</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وجه لتمسّكهم  علیهم السلام  بها في مقابل من ذهب إلى الرخصة ، فيستشعر منه</w:t>
      </w:r>
    </w:p>
    <w:p>
      <w:pPr>
        <w:pStyle w:val="BookText"/>
        <w:rPr/>
      </w:pPr>
      <w:r>
        <w:rPr>
          <w:rFonts w:ascii="Amiri" w:hAnsi="Amiri" w:eastAsia="Amiri" w:cs="Amiri"/>
          <w:color w:val="111111"/>
          <w:sz w:val="28"/>
          <w:sz w:val="28"/>
          <w:szCs w:val="28"/>
          <w:rtl w:val="true"/>
          <w:lang w:bidi="ar-SA"/>
        </w:rPr>
        <w:t xml:space="preserve">أنّ جعل التيمّم بدل الوضوء عزيمة ، كجعل عدّة من أيّام اُخر بدل صوم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مفاد الآية الكريمة </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8645943_3381743652"/>
      <w:bookmarkStart w:id="181" w:name="_Toc63"/>
      <w:bookmarkEnd w:id="180"/>
      <w:r>
        <w:rPr>
          <w:rtl w:val="true"/>
        </w:rPr>
        <w:t>مفاد رواية يحيى بن أبي العلاء</w:t>
      </w:r>
      <w:bookmarkEnd w:id="181"/>
    </w:p>
    <w:p>
      <w:pPr>
        <w:pStyle w:val="BookText"/>
        <w:rPr/>
      </w:pPr>
      <w:r>
        <w:rPr>
          <w:rFonts w:ascii="IRNazanin" w:hAnsi="IRNazanin" w:eastAsia="IRNazanin"/>
          <w:color w:val="111111"/>
          <w:sz w:val="28"/>
          <w:sz w:val="28"/>
          <w:szCs w:val="28"/>
          <w:rtl w:val="true"/>
          <w:lang w:bidi="fa-IR"/>
        </w:rPr>
        <w:t>ويأتي الكلام المتقدّم في مثل رواية يحيى بن أبي العلاء ، عن أبي عبداللّه‌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الشيخ الصدوق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 ، لكن لم يرد في يحيى توثيق ، واحتمل</w:t>
      </w:r>
    </w:p>
    <w:p>
      <w:pPr>
        <w:pStyle w:val="BookText"/>
        <w:rPr/>
      </w:pPr>
      <w:r>
        <w:rPr>
          <w:rFonts w:ascii="Amiri" w:hAnsi="Amiri" w:eastAsia="Amiri" w:cs="Amiri"/>
          <w:color w:val="111111"/>
          <w:sz w:val="28"/>
          <w:sz w:val="28"/>
          <w:szCs w:val="28"/>
          <w:rtl w:val="true"/>
          <w:lang w:bidi="ar-SA"/>
        </w:rPr>
        <w:t>بعضهم أن يكون متّحداً مع يحيى بن العلاء الثقة</w:t>
      </w:r>
      <w:r>
        <w:rPr>
          <w:rStyle w:val="FootnoteAnchor"/>
          <w:rtl w:val="true"/>
        </w:rPr>
        <w:footnoteReference w:id="330"/>
      </w:r>
      <w:r>
        <w:rPr>
          <w:rFonts w:ascii="Amiri" w:hAnsi="Amiri" w:eastAsia="Amiri" w:cs="Amiri"/>
          <w:color w:val="111111"/>
          <w:sz w:val="28"/>
          <w:sz w:val="28"/>
          <w:szCs w:val="28"/>
          <w:rtl w:val="true"/>
          <w:lang w:bidi="ar-SA"/>
        </w:rPr>
        <w:t xml:space="preserve">، وهو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في شهر رمضان كالمفطر فيه في الحضر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أصوم شهر رمضان في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إنّه عليّ يسير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تصدّق على مرضى اُمّتي ومسافريها بالإفطار في شهر رمضان ، أيُحبّ أحدُكم لو تصدّق بصدقة أن تردّ عليه صدقته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فيأتي فيها الاحتمالات المتقدّمة</w:t>
      </w:r>
      <w:r>
        <w:rPr>
          <w:rStyle w:val="FootnoteAnchor"/>
          <w:rtl w:val="true"/>
        </w:rPr>
        <w:footnoteReference w:id="332"/>
      </w:r>
      <w:r>
        <w:rPr>
          <w:rFonts w:ascii="Amiri" w:hAnsi="Amiri" w:eastAsia="Amiri" w:cs="Amiri"/>
          <w:color w:val="111111"/>
          <w:sz w:val="28"/>
          <w:sz w:val="28"/>
          <w:szCs w:val="28"/>
          <w:rtl w:val="true"/>
          <w:lang w:bidi="ar-SA"/>
        </w:rPr>
        <w:t xml:space="preserve">، إلاّ أنّ العنوان هاهنا ردّ الصدقة ، وأقرب الاحتمالات هاهنا أيضاً حرمة عنوان الصوم بعلّية كونه ردّ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فيها الكلام في التعميم الذي ذكرنا في الآية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ظاهر الآية أنّ العلّة لحرمة الصوم ، إرادة اللّه اليسر بالعباد ، وظاهر الرواية وبعض روايات اُخر</w:t>
      </w:r>
      <w:r>
        <w:rPr>
          <w:rStyle w:val="FootnoteAnchor"/>
          <w:rtl w:val="true"/>
        </w:rPr>
        <w:footnoteReference w:id="333"/>
      </w:r>
      <w:r>
        <w:rPr>
          <w:rFonts w:ascii="Amiri" w:hAnsi="Amiri" w:eastAsia="Amiri" w:cs="Amiri"/>
          <w:color w:val="111111"/>
          <w:sz w:val="28"/>
          <w:sz w:val="28"/>
          <w:szCs w:val="28"/>
          <w:rtl w:val="true"/>
          <w:lang w:bidi="ar-SA"/>
        </w:rPr>
        <w:t xml:space="preserve">أنّ العلّة كونه ردّ الصدقة ، والظاهر عدم التنافي بينهما ، ولا مجال لتفصيله </w:t>
      </w:r>
      <w:r>
        <w:rPr>
          <w:rFonts w:eastAsia="Amiri" w:cs="Amiri" w:ascii="Amiri" w:hAnsi="Amiri"/>
          <w:color w:val="111111"/>
          <w:sz w:val="28"/>
          <w:szCs w:val="28"/>
          <w:rtl w:val="true"/>
          <w:lang w:bidi="ar-SA"/>
        </w:rPr>
        <w:t xml:space="preserve">. </w:t>
      </w:r>
      <w:bookmarkStart w:id="182" w:name="pg17116_198656"/>
    </w:p>
    <w:p>
      <w:pPr>
        <w:pStyle w:val="Heading6"/>
        <w:numPr>
          <w:ilvl w:val="5"/>
          <w:numId w:val="1"/>
        </w:numPr>
        <w:rPr/>
      </w:pPr>
      <w:bookmarkStart w:id="183" w:name="__RefHeading___Toc8645945_3381743652"/>
      <w:bookmarkStart w:id="184" w:name="_Toc64"/>
      <w:bookmarkEnd w:id="182"/>
      <w:bookmarkEnd w:id="183"/>
      <w:r>
        <w:rPr>
          <w:rtl w:val="true"/>
        </w:rPr>
        <w:t>نكتة اُخرى تقتضي بطلان الصلاة مع المائية</w:t>
      </w:r>
      <w:bookmarkEnd w:id="18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نكتة اُخرى في باب التكاليف الحرجية ؛ وهي أ نّه لو سُلّم</w:t>
      </w:r>
    </w:p>
    <w:p>
      <w:pPr>
        <w:pStyle w:val="BookText"/>
        <w:rPr/>
      </w:pPr>
      <w:r>
        <w:rPr>
          <w:rFonts w:ascii="Amiri" w:hAnsi="Amiri" w:eastAsia="Amiri" w:cs="Amiri"/>
          <w:color w:val="111111"/>
          <w:sz w:val="28"/>
          <w:sz w:val="28"/>
          <w:szCs w:val="28"/>
          <w:rtl w:val="true"/>
          <w:lang w:bidi="ar-SA"/>
        </w:rPr>
        <w:t xml:space="preserve">عدم دلالة ما دلّ على نفي الحرج على بطلان متعلّقات التكاليف النفسية الحرجية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بدعوى بقاء الجواز بل الرجحان مع رفع الإلزام ؛ لأجل أنّ الواجب عبارة عن الأمر بالشيء مع عدم الرخصة بالترك ، ودليل نفي الحرج يرفع عدم الرخصة ، ويبقى الأمر مع الرخصة فيه ؛ وهو الاستحباب ، أو لكفاية ما يقتضي الطلب ومحبوبية الفعل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شرط المأمور به أو جزؤه حرجياً فلا يُسلّم ذلك ؛ لأنّ مقتضى نفي الحرج نفي الشرطية والجزئية ، فيكون المأموربه هو الفاقد لهما ؛ سواء قلنا بإمكان تعلّق الرفع والجعل بهما استقلالاً كما</w:t>
      </w:r>
    </w:p>
    <w:p>
      <w:pPr>
        <w:pStyle w:val="BookText"/>
        <w:rPr/>
      </w:pPr>
      <w:r>
        <w:rPr>
          <w:rFonts w:ascii="Amiri" w:hAnsi="Amiri" w:eastAsia="Amiri" w:cs="Amiri"/>
          <w:color w:val="111111"/>
          <w:sz w:val="28"/>
          <w:sz w:val="28"/>
          <w:szCs w:val="28"/>
          <w:rtl w:val="true"/>
          <w:lang w:bidi="ar-SA"/>
        </w:rPr>
        <w:t>هو التحقيق</w:t>
      </w:r>
      <w:r>
        <w:rPr>
          <w:rStyle w:val="FootnoteAnchor"/>
          <w:rtl w:val="true"/>
        </w:rPr>
        <w:footnoteReference w:id="334"/>
      </w:r>
      <w:r>
        <w:rPr>
          <w:rFonts w:ascii="Amiri" w:hAnsi="Amiri" w:eastAsia="Amiri" w:cs="Amiri"/>
          <w:color w:val="111111"/>
          <w:sz w:val="28"/>
          <w:sz w:val="28"/>
          <w:szCs w:val="28"/>
          <w:rtl w:val="true"/>
          <w:lang w:bidi="ar-SA"/>
        </w:rPr>
        <w:t xml:space="preserve">، أو قلنا بامتناعه ولزوم رفع الأمر عن المقيّد والمركّب الواجد ، وتعلّق أمر آخر بفاقدهما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يكون المأمور به فعلاً هو الطبيعة</w:t>
      </w:r>
    </w:p>
    <w:p>
      <w:pPr>
        <w:pStyle w:val="BookText"/>
        <w:rPr/>
      </w:pPr>
      <w:r>
        <w:rPr>
          <w:rFonts w:ascii="Amiri" w:hAnsi="Amiri" w:eastAsia="Amiri" w:cs="Amiri"/>
          <w:color w:val="111111"/>
          <w:sz w:val="28"/>
          <w:sz w:val="28"/>
          <w:szCs w:val="28"/>
          <w:rtl w:val="true"/>
          <w:lang w:bidi="ar-SA"/>
        </w:rPr>
        <w:t xml:space="preserve">الفاقدة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بدّل الشرط أو الجزء بآخر ، يكون المأمور به فعلاً هو الطبيعة المتقيّدة بالبدل أو المشتملة عليه ، لا المبدل منه ، فيكون الإتيان به مع الجزء الساقط زيادةً في المأمور به الفعلي ، والاكتفاء به مع فرض التبديل غيرَ مجزٍ عن الواقع ؛ وهو المأمور به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اقتضاء الجزئية أو الشرطية لا يوجب عدمَ الزيادة ، وجوازَ ترك الشرط الفعلي والجزء كذلك ، والاكتفاءَ بما فيه الاقتضاء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فالصلاة المشروطة بالتيمّم أو بالطهارة الحاصلة منه ، هي المأمور بها فعلاً ، ولم تكن مشروطة بالوضوء والغسل ، والآتي بها معهما آتٍ بغير شرطها ، وكذا في تبديل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حصول الطهارة التي من الترابية ، من الغسل والوضوء مع شيء زائد ؛ لأ نّها مرتبة كاملة من الطهارة ، غير متّضحة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المائية أكمل من الترابية في تحصيل الغرض ، لا يوجب وحدتَهما واقعاً واختلافَهما بالشدّة والضعف ؛ لإمكان أن تكونا صنفين أحدهما أفضل من الآخر ، فلا يحصل من أحدهما ما يحصل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أصل دعوى كون الشرط أمراً معنوياً حاصلاً منهما كلاماً ؛ لقوّة احتمال أن يكون الطهور عبارة عن الوضوء والغسل والتيمّم ، لا أمراً حاصلاً منها ، ولا تبعد أقربية ذلك إلى ظواهر الأدلّة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لا يدلّ على أ نّه أمر معنوي ، ولا على وحدتهما ذاتاً واختلافهما رتبة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نور</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وطهور</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لا يدلّ على كون الطهور أمراً معنوياً ؛ لو لم نقل بدلالته على الخلاف </w:t>
      </w:r>
      <w:r>
        <w:rPr>
          <w:rFonts w:eastAsia="Amiri" w:cs="Amiri" w:ascii="Amiri" w:hAnsi="Amiri"/>
          <w:color w:val="111111"/>
          <w:sz w:val="28"/>
          <w:szCs w:val="28"/>
          <w:rtl w:val="true"/>
          <w:lang w:bidi="ar-SA"/>
        </w:rPr>
        <w:t xml:space="preserve">. </w:t>
      </w:r>
      <w:bookmarkStart w:id="185" w:name="pg17116_198658"/>
    </w:p>
    <w:p>
      <w:pPr>
        <w:pStyle w:val="BookText"/>
        <w:rPr/>
      </w:pPr>
      <w:bookmarkEnd w:id="185"/>
      <w:r>
        <w:rPr>
          <w:rFonts w:ascii="Amiri" w:hAnsi="Amiri" w:eastAsia="Amiri" w:cs="Amiri"/>
          <w:color w:val="111111"/>
          <w:sz w:val="28"/>
          <w:sz w:val="28"/>
          <w:szCs w:val="28"/>
          <w:rtl w:val="true"/>
          <w:lang w:bidi="ar-SA"/>
        </w:rPr>
        <w:t>بل الظاهر من آية الوضوء</w:t>
      </w:r>
      <w:r>
        <w:rPr>
          <w:rStyle w:val="FootnoteAnchor"/>
          <w:rtl w:val="true"/>
        </w:rPr>
        <w:footnoteReference w:id="340"/>
      </w:r>
      <w:r>
        <w:rPr>
          <w:rFonts w:ascii="Amiri" w:hAnsi="Amiri" w:eastAsia="Amiri" w:cs="Amiri"/>
          <w:color w:val="111111"/>
          <w:sz w:val="28"/>
          <w:sz w:val="28"/>
          <w:szCs w:val="28"/>
          <w:rtl w:val="true"/>
          <w:lang w:bidi="ar-SA"/>
        </w:rPr>
        <w:t xml:space="preserve">أنّ نفس تلك الأفعال أو العناوين شرط للصلاة ، وليس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الغسل بحسب وحدة السياق وفهم العرف ، خصوصاً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الاُخرى</w:t>
      </w:r>
      <w:r>
        <w:rPr>
          <w:rStyle w:val="FootnoteAnchor"/>
          <w:rtl w:val="true"/>
        </w:rPr>
        <w:footnoteReference w:id="341"/>
      </w:r>
      <w:r>
        <w:rPr>
          <w:rFonts w:ascii="Amiri" w:hAnsi="Amiri" w:eastAsia="Amiri" w:cs="Amiri"/>
          <w:color w:val="111111"/>
          <w:sz w:val="28"/>
          <w:sz w:val="28"/>
          <w:szCs w:val="28"/>
          <w:rtl w:val="true"/>
          <w:lang w:bidi="ar-SA"/>
        </w:rPr>
        <w:t xml:space="preserve">، لا تحصيل طهارة 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دليل نفي الحرج رفع شرطية الطهارة المائية ، ومقتضى جعل التيمّم بدلاً اشتراط الصلاة به فعلاً ، وقضيّ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تهما بطلان الصلاة مع الاكتفاء بالمائية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بأنّ مقتضى دليل نفي الحرج رفع سببية الوضوء والغسل للطهارة ، ومقتضى جعل البدل جعل السببية له ، لكان البطلان أوضح مع الذهاب إلى أنّ الشرط هو الأمر الحاصل بها </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8645947_3381743652"/>
      <w:bookmarkStart w:id="187" w:name="_Toc65"/>
      <w:bookmarkEnd w:id="186"/>
      <w:r>
        <w:rPr>
          <w:rtl w:val="true"/>
        </w:rPr>
        <w:t>المسألة الثانية في صحّة الطهارة المائية في موارد سقوطها بغير دليل نفي الحرج</w:t>
      </w:r>
      <w:bookmarkEnd w:id="1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حال أدلّة نفي الحرج ، وأمّا سائر الأدلّة الدالّة على عدم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القرح والجرح والخوف على النفس ، مثل صحيحتي البزنطي وابن سرحان وغيرهما </w:t>
      </w:r>
      <w:r>
        <w:rPr>
          <w:rStyle w:val="FootnoteAnchor"/>
          <w:rtl w:val="true"/>
        </w:rPr>
        <w:footnoteReference w:id="342"/>
      </w:r>
      <w:r>
        <w:rPr>
          <w:rFonts w:ascii="Amiri" w:hAnsi="Amiri" w:eastAsia="Amiri" w:cs="Amiri"/>
          <w:color w:val="111111"/>
          <w:sz w:val="28"/>
          <w:sz w:val="28"/>
          <w:szCs w:val="28"/>
          <w:rtl w:val="true"/>
          <w:lang w:bidi="ar-SA"/>
        </w:rPr>
        <w:t xml:space="preserve">، وما وردت في مورد خوف العطش ، مثل </w:t>
      </w:r>
    </w:p>
    <w:p>
      <w:pPr>
        <w:pStyle w:val="BookText"/>
        <w:rPr/>
      </w:pPr>
      <w:r>
        <w:rPr>
          <w:rFonts w:ascii="Amiri" w:hAnsi="Amiri" w:eastAsia="Amiri" w:cs="Amiri"/>
          <w:color w:val="111111"/>
          <w:sz w:val="28"/>
          <w:sz w:val="28"/>
          <w:szCs w:val="28"/>
          <w:rtl w:val="true"/>
          <w:lang w:bidi="ar-SA"/>
        </w:rPr>
        <w:t xml:space="preserve">صحيحة ابن سنان وموثّقة سَماعة وغيرهما </w:t>
      </w:r>
      <w:r>
        <w:rPr>
          <w:rStyle w:val="FootnoteAnchor"/>
          <w:rtl w:val="true"/>
        </w:rPr>
        <w:footnoteReference w:id="343"/>
      </w:r>
      <w:r>
        <w:rPr>
          <w:rFonts w:ascii="Amiri" w:hAnsi="Amiri" w:eastAsia="Amiri" w:cs="Amiri"/>
          <w:color w:val="111111"/>
          <w:sz w:val="28"/>
          <w:sz w:val="28"/>
          <w:szCs w:val="28"/>
          <w:rtl w:val="true"/>
          <w:lang w:bidi="ar-SA"/>
        </w:rPr>
        <w:t>، وما وردت في الركية وفرض إفساد الماء ، مثل صحيحة عبداللّه بن أبي يعفور</w:t>
      </w:r>
      <w:r>
        <w:rPr>
          <w:rStyle w:val="FootnoteAnchor"/>
          <w:rtl w:val="true"/>
        </w:rPr>
        <w:footnoteReference w:id="344"/>
      </w:r>
      <w:r>
        <w:rPr>
          <w:rFonts w:ascii="Amiri" w:hAnsi="Amiri" w:eastAsia="Amiri" w:cs="Amiri"/>
          <w:color w:val="111111"/>
          <w:sz w:val="28"/>
          <w:sz w:val="28"/>
          <w:szCs w:val="28"/>
          <w:rtl w:val="true"/>
          <w:lang w:bidi="ar-SA"/>
        </w:rPr>
        <w:t>، وما وردت في مورد خوف فوت الوقت ، مثل صحيحة زرارة</w:t>
      </w:r>
      <w:r>
        <w:rPr>
          <w:rStyle w:val="FootnoteAnchor"/>
          <w:rtl w:val="true"/>
        </w:rPr>
        <w:footnoteReference w:id="345"/>
      </w:r>
      <w:r>
        <w:rPr>
          <w:rFonts w:ascii="Amiri" w:hAnsi="Amiri" w:eastAsia="Amiri" w:cs="Amiri"/>
          <w:color w:val="111111"/>
          <w:sz w:val="28"/>
          <w:sz w:val="28"/>
          <w:szCs w:val="28"/>
          <w:rtl w:val="true"/>
          <w:lang w:bidi="ar-SA"/>
        </w:rPr>
        <w:t xml:space="preserve">؛ بناءً على ما قدّمناه من الاستفادة منها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استفادة بطلان المائية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لا يتعلّق النهي فيها بالغسل ، بل تعلّق بعنوان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كإفساد الماء أو عدم</w:t>
      </w:r>
      <w:r>
        <w:rPr>
          <w:rStyle w:val="FootnoteAnchor"/>
          <w:rtl w:val="true"/>
        </w:rPr>
        <w:footnoteReference w:id="347"/>
      </w:r>
      <w:r>
        <w:rPr>
          <w:rFonts w:ascii="Amiri" w:hAnsi="Amiri" w:eastAsia="Amiri" w:cs="Amiri"/>
          <w:color w:val="111111"/>
          <w:sz w:val="28"/>
          <w:sz w:val="28"/>
          <w:szCs w:val="28"/>
          <w:rtl w:val="true"/>
          <w:lang w:bidi="ar-SA"/>
        </w:rPr>
        <w:t xml:space="preserve">إهراقه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لأنّ الظاهر منها أنّ الأمر بالتيمّم لأجل ترجيح أحد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إفساد الماء ووجوب 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المائية ، فالأمر بالشرط الناقص ليس لأجل تبديل الكامل به وإسقاط شرطيته ، كما قلنا في نفي الحرج ، بل للمزاحمة الواقعة بين الأهمّ والمهمّ ، فيأتي فيه ما مرّ</w:t>
      </w:r>
    </w:p>
    <w:p>
      <w:pPr>
        <w:pStyle w:val="BookText"/>
        <w:rPr/>
      </w:pPr>
      <w:r>
        <w:rPr>
          <w:rFonts w:ascii="Amiri" w:hAnsi="Amiri" w:eastAsia="Amiri" w:cs="Amiri"/>
          <w:color w:val="111111"/>
          <w:sz w:val="28"/>
          <w:sz w:val="28"/>
          <w:szCs w:val="28"/>
          <w:rtl w:val="true"/>
          <w:lang w:bidi="ar-SA"/>
        </w:rPr>
        <w:t>في باب المتزاحمين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تعلّق النهي في ظاهر الدليل بالغسل ، فهو أيضاً كذلك ؛ لأنّ المتفاهم من مجموعها أنّ النهي عنه ليس لمبغوضية فيه ، بل للإرشاد إلى الأخذ بأهمّ التكليفين ، فسبيل قوله في فرض القروح والجروح والمخافة على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 ويتيمّم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البئر ، ولا تفسد على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 فلا يهريق منه قطرة ، وليتيمّم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لا يفهم منها مبغوضية الغسل والوضوء بعنوانهما ، بل الظاهر أنّ المبغوض هلاك</w:t>
      </w:r>
    </w:p>
    <w:p>
      <w:pPr>
        <w:pStyle w:val="BookText"/>
        <w:rPr/>
      </w:pPr>
      <w:r>
        <w:rPr>
          <w:rFonts w:ascii="Amiri" w:hAnsi="Amiri" w:eastAsia="Amiri" w:cs="Amiri"/>
          <w:color w:val="111111"/>
          <w:sz w:val="28"/>
          <w:sz w:val="28"/>
          <w:szCs w:val="28"/>
          <w:rtl w:val="true"/>
          <w:lang w:bidi="ar-SA"/>
        </w:rPr>
        <w:t xml:space="preserve">النفس أو الواجب حفظها ، فلا يدلّ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مقتضى القاعدة أيضاً الصحّة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ما ذكرنا من الصحّة بمقتضى القاعدة أو بحسب سائر الأدلّة ، إنّما هو حيثي ، فإذا انطبق على مورد عنوان آخر يقتضي البطلان نحكم به ، كما إذا انطبق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الضرر أو الخوف على النفس ؛ لما عرفت من أنّ مقتضى أدلّة نفي الحرج البطلان ، فيفصّل في الحكم به بين ما إذا انطبق على مورد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انطبق عليه عنوان محرّم ، كالغسل في آنية الذهب والفضّة والوضوء ارتماساً فيها ، فيحكم بالبطلان في الأوّل دون الثاني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 في الصحّة ما إذا تزاحم مع تكليف أهمّ ، كالوضوء في ضيق الوقت المزاحم لفعل الصلاة ، فإنّه صحيح من غير فرق بين أن يكون قصده امتثال الأمر المتعلّق به من ناحية هذه الصلاة على وجه التقييد وغيره ؛ لما ذكرنا </w:t>
      </w:r>
      <w:r>
        <w:rPr>
          <w:rStyle w:val="FootnoteAnchor"/>
          <w:rtl w:val="true"/>
        </w:rPr>
        <w:footnoteReference w:id="350"/>
      </w:r>
      <w:r>
        <w:rPr>
          <w:rFonts w:ascii="Amiri" w:hAnsi="Amiri" w:eastAsia="Amiri" w:cs="Amiri"/>
          <w:color w:val="111111"/>
          <w:sz w:val="28"/>
          <w:sz w:val="28"/>
          <w:szCs w:val="28"/>
          <w:rtl w:val="true"/>
          <w:lang w:bidi="ar-SA"/>
        </w:rPr>
        <w:t xml:space="preserve">من أنّ ملاك عبادية الطهارات ، ليس الأمر الغيري من ناحية الأمر بالصلاة ؛ لعدم وجوب المقدّمة إلاّ عقلاً ، ولأنّ الطهارات بما هي عبادةٌ جعلت شرطاً ، فعباديتها مقدّمة على تعلّق الأمر الغيري على فرضه ، ولا منافاة بين الأمر الاستحبابي الذاتي والأمر الغيري ؛ لاختلاف العنوان ، فحينئذٍ لو جهل المكلّف وقصد الأمر الغيري ، أو قصد التقرّب به ، يقع قصده لغواً ، وعبادته صحيحة ؛ لعدم اعتبار شيء فيها إلاّ الرجحان الذاتي وقصد كونه للّه </w:t>
      </w:r>
      <w:r>
        <w:rPr>
          <w:rFonts w:eastAsia="Amiri" w:cs="Amiri" w:ascii="Amiri" w:hAnsi="Amiri"/>
          <w:color w:val="111111"/>
          <w:sz w:val="28"/>
          <w:szCs w:val="28"/>
          <w:rtl w:val="true"/>
          <w:lang w:bidi="ar-SA"/>
        </w:rPr>
        <w:t xml:space="preserve">. </w:t>
      </w:r>
      <w:bookmarkStart w:id="188" w:name="pg17116_198661"/>
    </w:p>
    <w:p>
      <w:pPr>
        <w:pStyle w:val="BookText"/>
        <w:rPr/>
      </w:pPr>
      <w:bookmarkEnd w:id="188"/>
      <w:r>
        <w:rPr>
          <w:rFonts w:ascii="Amiri" w:hAnsi="Amiri" w:eastAsia="Amiri" w:cs="Amiri"/>
          <w:color w:val="111111"/>
          <w:sz w:val="28"/>
          <w:sz w:val="28"/>
          <w:szCs w:val="28"/>
          <w:rtl w:val="true"/>
          <w:lang w:bidi="ar-SA"/>
        </w:rPr>
        <w:t xml:space="preserve">نعم ، لو كان من قصده عدم التعبّد إلاّ بالأمر الغيري ، يقع باطلاً ولو في سعة الوقت ؛ لعدم وجوده ، وعدم كونه مقرّباً على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نحو انقياد للمولى ، وهو كافٍ في الصحّة ، فحينئذٍ لا يفرّق بين السعة والضيق </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8645949_3381743652"/>
      <w:bookmarkStart w:id="190" w:name="_Toc66"/>
      <w:bookmarkEnd w:id="189"/>
      <w:r>
        <w:rPr>
          <w:rtl w:val="true"/>
        </w:rPr>
        <w:t>الأمر الخامس في الإتيان بالمائية لعذر عند تعيّن التيمّم</w:t>
      </w:r>
      <w:bookmarkEnd w:id="190"/>
    </w:p>
    <w:p>
      <w:pPr>
        <w:pStyle w:val="BookText"/>
        <w:rPr/>
      </w:pPr>
      <w:r>
        <w:rPr>
          <w:rFonts w:ascii="Amiri" w:hAnsi="Amiri" w:eastAsia="Amiri" w:cs="Amiri"/>
          <w:color w:val="111111"/>
          <w:sz w:val="28"/>
          <w:sz w:val="28"/>
          <w:szCs w:val="28"/>
          <w:rtl w:val="true"/>
          <w:lang w:bidi="ar-SA"/>
        </w:rPr>
        <w:t>لو قلنا في الموارد التي تعيّن عليه التيمّم بالحرمة والبطلان ، فأتى بالمائية</w:t>
      </w:r>
    </w:p>
    <w:p>
      <w:pPr>
        <w:pStyle w:val="BookText"/>
        <w:rPr/>
      </w:pPr>
      <w:r>
        <w:rPr>
          <w:rFonts w:ascii="Amiri" w:hAnsi="Amiri" w:eastAsia="Amiri" w:cs="Amiri"/>
          <w:color w:val="111111"/>
          <w:sz w:val="28"/>
          <w:sz w:val="28"/>
          <w:szCs w:val="28"/>
          <w:rtl w:val="true"/>
          <w:lang w:bidi="ar-SA"/>
        </w:rPr>
        <w:t xml:space="preserve">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غفلة ، أو جهل بالموضوع ، أو بالحكم قصوراً ونحوها ، ففي صحّتها مطلقاً ، أو التفصيل بين الموارد ، وجهان أقواهما التفصيل بين الموارد التي استفدنا</w:t>
      </w:r>
    </w:p>
    <w:p>
      <w:pPr>
        <w:pStyle w:val="BookText"/>
        <w:rPr/>
      </w:pPr>
      <w:r>
        <w:rPr>
          <w:rFonts w:ascii="Amiri" w:hAnsi="Amiri" w:eastAsia="Amiri" w:cs="Amiri"/>
          <w:color w:val="111111"/>
          <w:sz w:val="28"/>
          <w:sz w:val="28"/>
          <w:szCs w:val="28"/>
          <w:rtl w:val="true"/>
          <w:lang w:bidi="ar-SA"/>
        </w:rPr>
        <w:t>من الأدلّة تقييد المكلّف به بغير المائية وإسقاط شرطيتها ، كما قلنا في مورد الحرج</w:t>
      </w:r>
      <w:r>
        <w:rPr>
          <w:rStyle w:val="FootnoteAnchor"/>
          <w:rtl w:val="true"/>
        </w:rPr>
        <w:footnoteReference w:id="351"/>
      </w:r>
      <w:r>
        <w:rPr>
          <w:rFonts w:ascii="Amiri" w:hAnsi="Amiri" w:eastAsia="Amiri" w:cs="Amiri"/>
          <w:color w:val="111111"/>
          <w:sz w:val="28"/>
          <w:sz w:val="28"/>
          <w:szCs w:val="28"/>
          <w:rtl w:val="true"/>
          <w:lang w:bidi="ar-SA"/>
        </w:rPr>
        <w:t xml:space="preserve">، فنحكم فيها بالبطلان ؛ لفقد ما هو شرط واقعاً ، ولا تأثير في العمد وغيره والعذر وغيره ، وبين الموارد التي قيل ببطلانها لأجل أنّ المبعّد القبيح لا يمكن أن يقع عبادة وصحيحاً ولو قلنا بجواز الاجتماع ؛ لأ نّه مع العذر لا يقع قبيحاً ومبعّداً ، فلا مانع من مقرّبيته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والغسل صحيحان ؛ لرجحانهما الذاتي ، بل فعلية الأمر بهما ، وعدمِ مانع آخر من صحّتهما ، فالوضوء في آنية الذهب وبالماء المغصوب صحيح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قلنا بجواز الاجتماع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مع القول بامتناعه وترجيح جانب النهي ، فالصحّة تتوقّف على وجود الملاك في المتعلّق وإمكان مقرّبية الملاك المكسور ، وقد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تحقّق الملاكين للشيء الواحد ، يهدم أساس الامتناع إذا كان ملاكه لزوم التكليف المحال ، لا التكليف بالمحال</w:t>
      </w:r>
      <w:r>
        <w:rPr>
          <w:rStyle w:val="FootnoteAnchor"/>
          <w:rtl w:val="true"/>
        </w:rPr>
        <w:footnoteReference w:id="352"/>
      </w:r>
      <w:r>
        <w:rPr>
          <w:rFonts w:ascii="Amiri" w:hAnsi="Amiri" w:eastAsia="Amiri" w:cs="Amiri"/>
          <w:color w:val="111111"/>
          <w:sz w:val="28"/>
          <w:sz w:val="28"/>
          <w:szCs w:val="28"/>
          <w:rtl w:val="true"/>
          <w:lang w:bidi="ar-SA"/>
        </w:rPr>
        <w:t xml:space="preserve">، فإنّ وجود الحيثيتين لحمل الملاكين إذا كان رافعاً للتضادّ بينهما ، يكون رافعاً للتضادّ بين الحكمين قطعاً ، فالقائل بالامتناع لا بدّ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الحيثية التي تعلّق بها الأمر عين ما تعلّق به النهي ؛ حتّى يتحقّق التضادّ الموجب للامتناع ، ومع وحدة الحيثية لا يمكن تحقّق الملاكين ، ومع ترجيح جانب النهي يستكشف عدم ملاك الأمر في المتعلّق ، فيقع باطلاً حتّى مع الجهل وسائر الأعذار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ملاك الامتناع التكليف بالمحال ، أو أغمضنا عن الإشكال والتزمنا بوجود الملاك ، فالظاهر وقوعه صحيحاً حتّى مع العلم ؛ لوجود الملاك وعدم تقوّم العبادة بالأمر ، بل يكون حاله حال المتزاحمين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باب التزاحم إنّما يتزاحم الحكمان في مقام الامتثال عقلاً بعد إنشائهما من قِبَل المولى ، وأمّا في باب الاجتماع فتتزاحم المقتضيات لدى المولى ، فلا تأثير لعلم المكلّف وجهله في وقوعه باطلاً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 لأنّ تقييد المولى أحد التكليفين بحال ، قد يكون لفقدان الملاك في غير هذا الحال ، وقد يكون لترجيح أحد الملاكين على الآخر ، فإن كان من قبيل الثاني ، يكون حكمه كحكم العقل في ترجيح الأهمّ على المهمّ ، وفي مثله </w:t>
      </w:r>
    </w:p>
    <w:p>
      <w:pPr>
        <w:pStyle w:val="BookText"/>
        <w:rPr/>
      </w:pPr>
      <w:r>
        <w:rPr>
          <w:rFonts w:ascii="Amiri" w:hAnsi="Amiri" w:eastAsia="Amiri" w:cs="Amiri"/>
          <w:color w:val="111111"/>
          <w:sz w:val="28"/>
          <w:sz w:val="28"/>
          <w:szCs w:val="28"/>
          <w:rtl w:val="true"/>
          <w:lang w:bidi="ar-SA"/>
        </w:rPr>
        <w:t>لا مانع من الصحّة لو قلنا بكفاية الملاك ، والملاك المرجوح صالح للمقرّبية</w:t>
      </w:r>
    </w:p>
    <w:p>
      <w:pPr>
        <w:pStyle w:val="BookText"/>
        <w:rPr/>
      </w:pPr>
      <w:r>
        <w:rPr>
          <w:rFonts w:ascii="Amiri" w:hAnsi="Amiri" w:eastAsia="Amiri" w:cs="Amiri"/>
          <w:color w:val="111111"/>
          <w:sz w:val="28"/>
          <w:sz w:val="28"/>
          <w:szCs w:val="28"/>
          <w:rtl w:val="true"/>
          <w:lang w:bidi="ar-SA"/>
        </w:rPr>
        <w:t xml:space="preserve">والتقييد في مقام ترجيح الملاكات ، كالتقييد في مقام التزاحم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w:t>
      </w:r>
    </w:p>
    <w:p>
      <w:pPr>
        <w:pStyle w:val="BookText"/>
        <w:rPr/>
      </w:pPr>
      <w:r>
        <w:rPr>
          <w:rFonts w:ascii="Amiri" w:hAnsi="Amiri" w:eastAsia="Amiri" w:cs="Amiri"/>
          <w:color w:val="111111"/>
          <w:sz w:val="28"/>
          <w:sz w:val="28"/>
          <w:szCs w:val="28"/>
          <w:rtl w:val="true"/>
          <w:lang w:bidi="ar-SA"/>
        </w:rPr>
        <w:t xml:space="preserve">ناظر إليه ، أو أنّ العقل يقيّد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الملاك المكسور غير صالح للمقرّبية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الملاك أو نقصانه عمّا هو عليه بواسطة التزاحم ، فهو ممنوع ؛ لأنّ حامل الملاكات الحيثيات ، ولا يسري حكم حيثية إلى حيثية اُخرى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مرجوحيته ، فهي لا توجب البطلان بعد فرض كفاية الملاك ولو لم يكن مأموراً به ، والتقييد بغير حال الاجتماع لا يستتبع نهياً فرضاً ، فالفعل وإن لم يكن مأموراً به ، لكن مشتمل على الملاك التامّ ، كاشتماله في غير مورد الاجتماع ، فيقع صحيحاً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7116_198665"/>
      <w:bookmarkStart w:id="192" w:name="pg17116_198665"/>
      <w:bookmarkEnd w:id="192"/>
    </w:p>
    <w:p>
      <w:pPr>
        <w:pStyle w:val="Heading4"/>
        <w:numPr>
          <w:ilvl w:val="3"/>
          <w:numId w:val="1"/>
        </w:numPr>
        <w:rPr/>
      </w:pPr>
      <w:bookmarkStart w:id="193" w:name="pg17116_198665"/>
      <w:bookmarkStart w:id="194" w:name="__RefHeading___Toc8645951_3381743652"/>
      <w:bookmarkStart w:id="195" w:name="_Toc67"/>
      <w:bookmarkEnd w:id="193"/>
      <w:bookmarkEnd w:id="194"/>
      <w:r>
        <w:rPr>
          <w:rtl w:val="true"/>
        </w:rPr>
        <w:t>المبحث الثاني</w:t>
      </w:r>
      <w:r>
        <w:rPr>
          <w:rtl w:val="true"/>
        </w:rPr>
        <w:t xml:space="preserve">: </w:t>
      </w:r>
      <w:r>
        <w:rPr>
          <w:rtl w:val="true"/>
        </w:rPr>
        <w:t>فيما يتيمّم به</w:t>
      </w:r>
      <w:bookmarkEnd w:id="195"/>
    </w:p>
    <w:p>
      <w:pPr>
        <w:pStyle w:val="Heading5"/>
        <w:numPr>
          <w:ilvl w:val="4"/>
          <w:numId w:val="1"/>
        </w:numPr>
        <w:rPr/>
      </w:pPr>
      <w:bookmarkStart w:id="196" w:name="__RefHeading___Toc8645953_3381743652"/>
      <w:bookmarkStart w:id="197" w:name="_Toc68"/>
      <w:bookmarkEnd w:id="196"/>
      <w:r>
        <w:rPr>
          <w:rtl w:val="true"/>
        </w:rPr>
        <w:t>اشارة</w:t>
      </w:r>
      <w:bookmarkEnd w:id="1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ذلك في ضمن اُمور </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7116_198667"/>
      <w:bookmarkStart w:id="199" w:name="pg17116_198667"/>
      <w:bookmarkEnd w:id="199"/>
    </w:p>
    <w:p>
      <w:pPr>
        <w:pStyle w:val="Heading5"/>
        <w:numPr>
          <w:ilvl w:val="4"/>
          <w:numId w:val="1"/>
        </w:numPr>
        <w:rPr/>
      </w:pPr>
      <w:bookmarkStart w:id="200" w:name="pg17116_198667"/>
      <w:bookmarkStart w:id="201" w:name="__RefHeading___Toc8645955_3381743652"/>
      <w:bookmarkStart w:id="202" w:name="_Toc69"/>
      <w:bookmarkEnd w:id="200"/>
      <w:bookmarkEnd w:id="201"/>
      <w:r>
        <w:rPr>
          <w:rtl w:val="true"/>
        </w:rPr>
        <w:t>الأمر الأوّل</w:t>
      </w:r>
      <w:r>
        <w:rPr>
          <w:rtl w:val="true"/>
        </w:rPr>
        <w:t xml:space="preserve">: </w:t>
      </w:r>
      <w:r>
        <w:rPr>
          <w:rtl w:val="true"/>
        </w:rPr>
        <w:t>في اشتراط كونه أرضاً</w:t>
      </w:r>
      <w:bookmarkEnd w:id="202"/>
    </w:p>
    <w:p>
      <w:pPr>
        <w:pStyle w:val="Heading6"/>
        <w:numPr>
          <w:ilvl w:val="5"/>
          <w:numId w:val="1"/>
        </w:numPr>
        <w:rPr/>
      </w:pPr>
      <w:bookmarkStart w:id="203" w:name="__RefHeading___Toc8645957_3381743652"/>
      <w:bookmarkStart w:id="204" w:name="_Toc70"/>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لا إشكال في اشتراط كونه أرضاً ، فلا يجوز بما هو خارج عن مسمّاها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وادّعى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الإجماع منعقد على أنّ التيمّم لا يكون إلاّ بالأرض ، أو ما يطلق عليه اسمها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 جنس الأرض أو </w:t>
      </w:r>
    </w:p>
    <w:p>
      <w:pPr>
        <w:pStyle w:val="BookText"/>
        <w:rPr/>
      </w:pPr>
      <w:r>
        <w:rPr>
          <w:rFonts w:ascii="Amiri" w:hAnsi="Amiri" w:eastAsia="Amiri" w:cs="Amiri"/>
          <w:color w:val="111111"/>
          <w:sz w:val="28"/>
          <w:sz w:val="28"/>
          <w:szCs w:val="28"/>
          <w:rtl w:val="true"/>
          <w:lang w:bidi="ar-SA"/>
        </w:rPr>
        <w:t xml:space="preserve">متّصلاً بها من الثلج والصخر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والشجر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به ، وبه قال مالك</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الجواز بالثلج إلى أبي حنيفة ، وبالنبات إلى مالك</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الحنفية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الصعيد الطهور هو كلّ ما كان من جنس الأرض ، فيجوز التيمّم على التراب والرمل والحصى والحجر ولو أملس ، والسبخ المنعقد من الأرض ، أمّا الماء المنعقد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التيمّم عليه ؛ لأ نّه ليس من أجزاء الأرض ، كما</w:t>
      </w:r>
    </w:p>
    <w:p>
      <w:pPr>
        <w:pStyle w:val="BookText"/>
        <w:rPr/>
      </w:pPr>
      <w:r>
        <w:rPr>
          <w:rFonts w:ascii="Amiri" w:hAnsi="Amiri" w:eastAsia="Amiri" w:cs="Amiri"/>
          <w:color w:val="111111"/>
          <w:sz w:val="28"/>
          <w:sz w:val="28"/>
          <w:szCs w:val="28"/>
          <w:rtl w:val="true"/>
          <w:lang w:bidi="ar-SA"/>
        </w:rPr>
        <w:t xml:space="preserve">لا يجوز التيمّم على الأشجار والزجاج والمعادن </w:t>
      </w:r>
      <w:r>
        <w:rPr>
          <w:rFonts w:eastAsia="Amiri" w:cs="Amiri" w:ascii="Amiri" w:hAnsi="Amiri"/>
          <w:color w:val="111111"/>
          <w:sz w:val="28"/>
          <w:szCs w:val="28"/>
          <w:rtl w:val="true"/>
          <w:lang w:bidi="ar-SA"/>
        </w:rPr>
        <w:t>. . .»</w:t>
      </w:r>
      <w:r>
        <w:rPr>
          <w:rStyle w:val="FootnoteAnchor"/>
          <w:rtl w:val="true"/>
        </w:rPr>
        <w:footnoteReference w:id="36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أن يكون مراده من الحنفية أصحاب أبي حنيفة وتابعيه لا نفسه بعيد ، بل عن ابن رشد عدم تجويز أبي حنيفة التيمّم بالثلج</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جوازه بغير الأرض وما خرج عن مسمّاها ، بل ولا خلاف ظاهراً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حال التيمّم بالثلج عند الاضطرار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05" w:name="pg17116_198669"/>
    </w:p>
    <w:p>
      <w:pPr>
        <w:pStyle w:val="Heading6"/>
        <w:numPr>
          <w:ilvl w:val="5"/>
          <w:numId w:val="1"/>
        </w:numPr>
        <w:rPr/>
      </w:pPr>
      <w:bookmarkStart w:id="206" w:name="__RefHeading___Toc8645959_3381743652"/>
      <w:bookmarkStart w:id="207" w:name="_Toc71"/>
      <w:bookmarkEnd w:id="205"/>
      <w:bookmarkEnd w:id="206"/>
      <w:r>
        <w:rPr>
          <w:rtl w:val="true"/>
        </w:rPr>
        <w:t>تحديد ما يصحّ التيمّم عليه</w:t>
      </w:r>
      <w:bookmarkEnd w:id="207"/>
    </w:p>
    <w:p>
      <w:pPr>
        <w:pStyle w:val="BookText"/>
        <w:rPr/>
      </w:pPr>
      <w:r>
        <w:rPr>
          <w:rFonts w:ascii="Amiri" w:hAnsi="Amiri" w:eastAsia="Amiri" w:cs="Amiri"/>
          <w:color w:val="111111"/>
          <w:sz w:val="28"/>
          <w:sz w:val="28"/>
          <w:szCs w:val="28"/>
          <w:rtl w:val="true"/>
          <w:lang w:bidi="ar-SA"/>
        </w:rPr>
        <w:t xml:space="preserve">ثمّ إنّه اختلفت كلمات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اشتراط كونه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والكاتب والتقيّ</w:t>
      </w:r>
      <w:r>
        <w:rPr>
          <w:rStyle w:val="FootnoteAnchor"/>
          <w:rtl w:val="true"/>
        </w:rPr>
        <w:footnoteReference w:id="366"/>
      </w: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 ما يقع عليه اسم الأرض</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الجواز بالحجر</w:t>
      </w:r>
      <w:r>
        <w:rPr>
          <w:rStyle w:val="FootnoteAnchor"/>
          <w:rtl w:val="true"/>
        </w:rPr>
        <w:footnoteReference w:id="37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الأكثر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أن يكون لا نزاع فيه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جمع التفصيل بين حال الاختيار والاضطرار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208" w:name="pg17116_198670"/>
    </w:p>
    <w:p>
      <w:pPr>
        <w:pStyle w:val="BookText"/>
        <w:rPr/>
      </w:pPr>
      <w:bookmarkEnd w:id="208"/>
      <w:r>
        <w:rPr>
          <w:rFonts w:ascii="Amiri" w:hAnsi="Amiri" w:eastAsia="Amiri" w:cs="Amiri"/>
          <w:color w:val="111111"/>
          <w:sz w:val="28"/>
          <w:sz w:val="28"/>
          <w:szCs w:val="28"/>
          <w:rtl w:val="true"/>
          <w:lang w:bidi="ar-SA"/>
        </w:rPr>
        <w:t xml:space="preserve">ومنشأ اختلافهم اختلاف اجتهادهم في الاستنباط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 الشهرة والإجماع في مثل هذه المسألة الاجتهادية المتراكمة فيها الأدلّة والآراء في دلالة الكتاب ، ليست حجّة مستقلّة ، فالأولى صرف الكلام إلى ظواهر الأدلّة </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8645961_3381743652"/>
      <w:bookmarkStart w:id="210" w:name="_Toc72"/>
      <w:bookmarkEnd w:id="209"/>
      <w:r>
        <w:rPr>
          <w:rtl w:val="true"/>
        </w:rPr>
        <w:t>الاستدلال بالكتاب في المقام</w:t>
      </w:r>
      <w:bookmarkEnd w:id="210"/>
    </w:p>
    <w:p>
      <w:pPr>
        <w:pStyle w:val="BookText"/>
        <w:rPr/>
      </w:pPr>
      <w:r>
        <w:rPr>
          <w:rFonts w:ascii="Amiri" w:hAnsi="Amiri" w:eastAsia="Amiri" w:cs="Amiri"/>
          <w:color w:val="111111"/>
          <w:sz w:val="28"/>
          <w:sz w:val="28"/>
          <w:szCs w:val="28"/>
          <w:rtl w:val="true"/>
          <w:lang w:bidi="ar-SA"/>
        </w:rPr>
        <w:t xml:space="preserve">أمّا الكتاب ، فقد نزلت فيه آيتان كريمتان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مَآءً فَتَيَمَّمُوا صَعِيداً طَيِّباً فَامْسَحُوا بِوُجُوهِكُمْ وَأَيْدِيكُمْ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بعينها مع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8645963_3381743652"/>
      <w:bookmarkStart w:id="212" w:name="_Toc73"/>
      <w:bookmarkEnd w:id="211"/>
      <w:r>
        <w:rPr>
          <w:rtl w:val="true"/>
        </w:rPr>
        <w:t xml:space="preserve">بيان المراد من </w:t>
      </w:r>
      <w:r>
        <w:rPr>
          <w:rtl w:val="true"/>
        </w:rPr>
        <w:t>«</w:t>
      </w:r>
      <w:r>
        <w:rPr>
          <w:rtl w:val="true"/>
        </w:rPr>
        <w:t>الصعيد</w:t>
      </w:r>
      <w:r>
        <w:rPr>
          <w:rtl w:val="true"/>
        </w:rPr>
        <w:t>»</w:t>
      </w:r>
      <w:bookmarkEnd w:id="2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كلمة أهل اللغة والعربية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وجمع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وجه الأرض</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بل عن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يعلم اختلافاً بين أهل اللغة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وعن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فضلاء أهل اللغة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الصعيد يتناول الحجر ، كما صرّح به أئمّة اللغة والتفسير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فسّر كثير من علماء اللغة الصعيد بوجه الأرض وادّعى بعضهم الإجماع عليه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382"/>
      </w:r>
      <w:r>
        <w:rPr>
          <w:rFonts w:ascii="Amiri" w:hAnsi="Amiri" w:eastAsia="Amiri" w:cs="Amiri"/>
          <w:color w:val="111111"/>
          <w:sz w:val="28"/>
          <w:sz w:val="28"/>
          <w:szCs w:val="28"/>
          <w:rtl w:val="true"/>
          <w:lang w:bidi="ar-SA"/>
        </w:rPr>
        <w:t xml:space="preserve">بعضهم بكونه وجه الأرض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وقول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يوم القيامة حفاةً عراةً على صعيد واحد</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أي أرض واحدة ؛ لعدم تناسب التراب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جمع من أهل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والأصمعي وأبي عبيدة</w:t>
      </w:r>
      <w:r>
        <w:rPr>
          <w:rStyle w:val="FootnoteAnchor"/>
          <w:rtl w:val="true"/>
        </w:rPr>
        <w:footnoteReference w:id="385"/>
      </w: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الأعرابي وعبّاس وفارس</w:t>
      </w:r>
      <w:r>
        <w:rPr>
          <w:rStyle w:val="FootnoteAnchor"/>
          <w:rtl w:val="true"/>
        </w:rPr>
        <w:footnoteReference w:id="386"/>
      </w:r>
      <w:r>
        <w:rPr>
          <w:rFonts w:ascii="Amiri" w:hAnsi="Amiri" w:eastAsia="Amiri" w:cs="Amiri"/>
          <w:color w:val="111111"/>
          <w:sz w:val="28"/>
          <w:sz w:val="28"/>
          <w:szCs w:val="28"/>
          <w:rtl w:val="true"/>
          <w:lang w:bidi="ar-SA"/>
        </w:rPr>
        <w:t>بل عن السيّد حكايته عن أهل اللغة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بعضهم الاشتراك اللفظي بين التراب الخالص ومطلق وجه الأرض ، بل والطريق لا نبات فيه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الخالص الذي لا يخالطه سَبَخ ولا رمل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تراباً كان أو غيره ، وهو قول الزجّاج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اختلافاً</w:t>
      </w:r>
    </w:p>
    <w:p>
      <w:pPr>
        <w:pStyle w:val="BookText"/>
        <w:rPr/>
      </w:pPr>
      <w:r>
        <w:rPr>
          <w:rFonts w:ascii="Amiri" w:hAnsi="Amiri" w:eastAsia="Amiri" w:cs="Amiri"/>
          <w:color w:val="111111"/>
          <w:sz w:val="28"/>
          <w:sz w:val="28"/>
          <w:szCs w:val="28"/>
          <w:rtl w:val="true"/>
          <w:lang w:bidi="ar-SA"/>
        </w:rPr>
        <w:t xml:space="preserve">بين أهل اللغة في ذلك ، فيشمل الحجر والمدر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لا نبات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أكثر العلماء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الطاهر الذي على وجه الأرض ، أو خرج من باطنها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 القبر ، الطريق ، ما ارتفع من الأرض</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الاشتراك اللفظي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مطلق وجه الأرض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بل إذا دار الأمر بين اللفظي والمعنوي يقدّم الثاني</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ناشئ من تخيّل أنّ وقوع الاشتراك اللفظي في الألسن من واضع واحد أو طائفة واحدة ، لكن الظاهر أنّ الاشتراك حاصل من ضمّ الطوائف بعضها إلى بعض ، واختلاط اللغات ، كاختلاط لغة العرب بالعجم ؛ لأجل سلطة الأعراب واختلاطهم مع غيرهم ، فربّما نسي بعض اللغات من إحدى الطائفتين ، وقامت اللغة الاُخرى مقامه ، وربّما بقيت اللغتان ، فبقي لمعنىً واحد لفظان أو أكثر من اختلاط الطوائف ، فيظنّ </w:t>
      </w:r>
    </w:p>
    <w:p>
      <w:pPr>
        <w:pStyle w:val="BookText"/>
        <w:rPr/>
      </w:pPr>
      <w:r>
        <w:rPr>
          <w:rFonts w:ascii="Amiri" w:hAnsi="Amiri" w:eastAsia="Amiri" w:cs="Amiri"/>
          <w:color w:val="111111"/>
          <w:sz w:val="28"/>
          <w:sz w:val="28"/>
          <w:szCs w:val="28"/>
          <w:rtl w:val="true"/>
          <w:lang w:bidi="ar-SA"/>
        </w:rPr>
        <w:t xml:space="preserve">من ذلك الاشتراك اللفظي البعيد أو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لنا الاتّكال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أهل اللغة مع هذا الاختلاف الفاحش بينهم ؛ فإنّ حجّية قولهم ؛ إمّا لحجّية قول أهل الخبرة ، فمع اختلافهم وتعارض أقوالهم تسقط عنها ، أو للاطمئنان والوثوق منه ، فلا يحصل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الزجّاج عدم الاختلاف بين أهل اللغة ، يردّها قول من عرفت من كونه التراب الخالص ، أو الاشتراك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الاستدلال على كونه مطلق وجه الأرض بقول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w:t>
      </w:r>
    </w:p>
    <w:p>
      <w:pPr>
        <w:pStyle w:val="BookText"/>
        <w:rPr/>
      </w:pPr>
      <w:r>
        <w:rPr>
          <w:rFonts w:ascii="IRNazanin" w:hAnsi="IRNazanin" w:eastAsia="IRNazanin"/>
          <w:color w:val="111111"/>
          <w:sz w:val="28"/>
          <w:sz w:val="28"/>
          <w:szCs w:val="28"/>
          <w:rtl w:val="true"/>
          <w:lang w:bidi="fa-IR"/>
        </w:rPr>
        <w:t>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صلی الله علیه و آله وسلم  في النبوي المتقدّم ، في غير محلّه ؛ لعدم جريان أصالة الحقيقة مع معلومية المراد والشكّ في الوضع ، وإنّما هي حجّة في تشخيص المراد بعد العلم بالوضع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دعوى الانصراف إلى التراب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الفرد الغالب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محلّها ، لمنع تحقّق الشيوع الموجب له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تنصرف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w:t>
      </w:r>
      <w:r>
        <w:rPr>
          <w:rStyle w:val="FootnoteAnchor"/>
          <w:rtl w:val="true"/>
        </w:rPr>
        <w:footnoteReference w:id="392"/>
      </w:r>
      <w:r>
        <w:rPr>
          <w:rFonts w:ascii="Amiri" w:hAnsi="Amiri" w:eastAsia="Amiri" w:cs="Amiri"/>
          <w:color w:val="111111"/>
          <w:sz w:val="28"/>
          <w:sz w:val="28"/>
          <w:szCs w:val="28"/>
          <w:rtl w:val="true"/>
          <w:lang w:bidi="ar-SA"/>
        </w:rPr>
        <w:t xml:space="preserve">لتشخيص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في المائدة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المتبادر منها هو المسح ببعض الصعيد ؛ لظهور رجوع الضمير إليه وعدم إمكان المسح بجميعه ، فلا بدّ من المسح ببعضه ، ولا يمكن ذلك إلاّ بإرادة التراب منه ؛ لحصول العلوق به ، دون الحجر ومثله ؛ سواء كان الاستعمال على وجه الحقيقة أو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إثبات المطلوب ، لا إثبات المعنى الحقيقي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بدواً فيها كون الضمير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ابتدائية ، وعليه يكون معنى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تيمّموا واقصدوا صعيداً ، فإذا انتهيتم إليه فارجعوا منه إلى مسح الوجوه والأيدي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الصعيد منتهى المقصود أوّلاً ، فإذا انتهى المكلّف إليه صار مبدأ الرجوع إلى عمل المسح ، فاستفيد منها عدم جواز مسح الوجه واليد على الأرض وعدم جواز التمرّغ والتمعّك ، كما فعل عمّار رضى‌الله‌عنه فكأنّ رسول اللّه‌ صلی الله علیه و آله وسلم  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يصنع الحمار ، وإنّما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 صَعِيداً طَيِّباً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أراد تفهيم أنّ المستفاد من الآية خلاف ما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منها كون اليد آلة المسح ، وطريق الاستفادة أ نّه إذا أمر بالمسح بعد الانتهاء إلى المقصد وهو الصعيد ، والرجوع منه إلى مسح الوجه والأيدي ، يعلم أنّ المسح باليد ؛ فإنّها الآلة المتعارفة للعمل ، وبهذا يعلم أنّ المسح بباطن الكفّ</w:t>
      </w:r>
    </w:p>
    <w:p>
      <w:pPr>
        <w:pStyle w:val="BookText"/>
        <w:rPr/>
      </w:pPr>
      <w:r>
        <w:rPr>
          <w:rFonts w:ascii="Amiri" w:hAnsi="Amiri" w:eastAsia="Amiri" w:cs="Amiri"/>
          <w:color w:val="111111"/>
          <w:sz w:val="28"/>
          <w:sz w:val="28"/>
          <w:szCs w:val="28"/>
          <w:rtl w:val="true"/>
          <w:lang w:bidi="ar-SA"/>
        </w:rPr>
        <w:t xml:space="preserve">لكونه الآلة المتعارفة ، وبعد كون باطنها آلته يعلم أنّ الممسوح غيره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لا يستفاد منها أنّ الممسوح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الوجه بالتقريب المتقدّم ، أقوى الوجوه وأنسبها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مع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يدّعي المدّعي ، فيكون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بوجوهكم وأيديكم بعض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يتّضح من الآية أنّ آلة المسح اليد ؛ لإمكان أن تكون الآلة نفس بعضه ؛ بأن يرفع حجراً أو مدراً ويمسح به ، أو يضع وجهه على الصعيد ويمسحه به ؛ لصدق مسح وجهه ببعض الصعيد ، بل لمّا كان بعض الصعيد هو الصعيد ؛ لصدق </w:t>
      </w:r>
    </w:p>
    <w:p>
      <w:pPr>
        <w:pStyle w:val="BookText"/>
        <w:rPr/>
      </w:pPr>
      <w:r>
        <w:rPr>
          <w:rFonts w:ascii="Amiri" w:hAnsi="Amiri" w:eastAsia="Amiri" w:cs="Amiri"/>
          <w:color w:val="111111"/>
          <w:sz w:val="28"/>
          <w:sz w:val="28"/>
          <w:szCs w:val="28"/>
          <w:rtl w:val="true"/>
          <w:lang w:bidi="ar-SA"/>
        </w:rPr>
        <w:t xml:space="preserve">الجنس على الكثير والقليل بنحو واحد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امسحوا بوجوهكم وأيديكم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الصعيد آلة المسح أو الممسوح ، والماسحُ الوجهَ ، فيكون مناسباً لما صنع عمّار ، لكنّه تخيّل أنّ ما هو بدل الوضوء ، عبارة عن وضع الوجه والأيدي على الأرض ، وما هو بدل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المرتكزة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مسح جميع البدن بالتراب ، كما يغسل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لازمه اعتبار زائد في الصعيد حتّى يخرجه عن المعنى الجنسي الشامل للقليل والكثير بنحو واحد ؛ وهو لحاظه مجموعاً ذا أبعاض ، وهو خلاف الظاهر ، ولأنّ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 على ما قالوا </w:t>
      </w:r>
      <w:r>
        <w:rPr>
          <w:rStyle w:val="FootnoteAnchor"/>
          <w:rtl w:val="true"/>
        </w:rPr>
        <w:footnoteReference w:id="394"/>
      </w:r>
      <w:r>
        <w:rPr>
          <w:rFonts w:ascii="Amiri" w:hAnsi="Amiri" w:eastAsia="Amiri" w:cs="Amiri"/>
          <w:color w:val="111111"/>
          <w:sz w:val="28"/>
          <w:sz w:val="28"/>
          <w:szCs w:val="28"/>
          <w:rtl w:val="true"/>
          <w:lang w:bidi="ar-SA"/>
        </w:rPr>
        <w:t xml:space="preserve">، والاستعمال في غيرها بضرب من التأويل ، ولأنّ ذكر المسح ببعضه غير محتاج إليه بعد عدم إمكانه بجميع ما يصدق عليه الصعيد ، بل غير محتاج إليه مع الإمكان أيضاً ؛ لأنّ طبيعة المسح توجد بأوّل مصداقه عرفاً ، والفرض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صادق على الكلّ وبعضه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مدّعاهم ؛ وهو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عدم دليل في ظاهر الآية على أنّ الماسح الكفّ ، بل يمكن أن يكون نفس الصعيد برفع بعضه إلى الوجه ، وهو يشعر بخلاف مطلوبهم، وأن يكون المراد مسح الوجه على الأرض ، نظير ما صنع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والمنظور الآن هو النظر في نفس الآية ، لا الأدلّة الخارجية والمرتكزات الحاصلة من معهودية كيفية التيمّم ، وإلاّ يكون مطلوبهم واضح البطلان ، كما يأتي التنبيه عليه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وجه الأرض لا ينحصر بالتراب والحجر حتّى يثبت مطلوبهم ، بل كثير من الأراضي يكون لها علوق مع عدم كونها تراباً ، كالجصّ والنورة والرمل ، بل والحجر المسحوق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إن لم يكن أقرب من الاحتمال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لزومه على ذاك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مساواته معه ، ويأتي فيه ما مرّ آنفاً في فرض ذاك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مجيء الحرف للتأكيد خلاف الظاهر ، والأصل أن تستعمل في 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إذا كان سائر المعاني خلاف ما وضع له ، كما يظهر منهم هاهنا من أنّ الأصل فيها الابتدائية ، بل عن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وأنّ جميع النحويّين من البصريّين منعوا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الابتداء</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لو ثبت اشتراكها بين المعاني المذكورة لها ، يكون المجيء للتأكيد خلاف الأصل ، لكنّه غير معلوم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بدلية ، مع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أيضاً لا يقصر من احتمال كونها تبعيضية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تكون ابتدائية ، والضمير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تكون سببية ، والضمير راجعاً إلى الحدث المستفاد من سوق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مساقها مساق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الاحتمالات التي بعضها أقرب من التبعيضية أو مساوٍ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w:t>
      </w:r>
      <w:r>
        <w:rPr>
          <w:rStyle w:val="FootnoteAnchor"/>
          <w:rtl w:val="true"/>
        </w:rPr>
        <w:footnoteReference w:id="400"/>
      </w:r>
      <w:r>
        <w:rPr>
          <w:rFonts w:ascii="IRNazanin" w:hAnsi="IRNazanin" w:eastAsia="IRNazanin"/>
          <w:color w:val="111111"/>
          <w:sz w:val="28"/>
          <w:sz w:val="28"/>
          <w:szCs w:val="28"/>
          <w:rtl w:val="true"/>
          <w:lang w:bidi="fa-IR"/>
        </w:rPr>
        <w:t xml:space="preserve">لتعيين المراد من الآية بصحيحة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تخبرني من أين علمت وقلت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المسح ببعض الرأس وبعض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وضع الوضوء عمّن لم يجد الماء أثبت بعض الغسل مسحاً ؛ لأ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التيمّم ؛ لأ نّه علم أنّ ذلك أجمع لم يجرِ على الوجه ؛ لأ نّه يعلق من ذلك الصعيد ببعض الكفّ ، ولا يعلق ببعضها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التيمّم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يتيمّم به ؛ لبعد الرجوع إلى ذات التيمّم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فيتناسب التعليل مع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من بعض الصعيد ؛ لعدم إجراء جميعه على الوجه ، لعلوقه ببعض اليد لا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يتمّ المطلوب ؛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ما يرد على الاستدلال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تمامية جميع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اختصاص العلوق بالتراب ، فهذه الصحيحة والآية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لزوم كون التيمّم بما يصلح أن يعلق منه في الجملة باليد بضربها عليه ، كالرمل والجصّ والنورة والحجر المسحوق ، بل تدلاّن حينئذٍ على لزوم كون المسح بما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 أي ولو لم يلزم الاستيعاب ، فلا يجوز النفض اللازم منه عدم بقاء ما يصدق عليه الصعيد والتراب ؛ ضرورة أنّ الغالب أن يكون الباقي بعد النفض أثر الأرض والتراب ، لا نفسهما وجنسهما ؛ للفرق بين الأثر الباقي بعد النفض وبين التراب ، كالفرق بين النداوة والماء ، وسيأتي الكلام فيه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ممنوعية 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يتيمّم به ؛ لوضوح كون عناية أبي جعفر علیه السلام  برجوع الضمير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رجوعه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أراد الرجوع إلى ما يتيمّم به لكان اللازم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ذلك 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ذكره في الآية لئلاّ يصير الكلام المعجز كاللغز ؛ لأنّ عدمَ رجوعه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الكلام ، والرجوعَ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المذكور ، وإرادةَ ما يتيمّم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إرادةَ الصعيد ممّا يُتيمّم به ، أشبه بالاُحْجِيّة من الكلام المتعارف ، فلا محيص</w:t>
      </w:r>
    </w:p>
    <w:p>
      <w:pPr>
        <w:pStyle w:val="BookText"/>
        <w:rPr/>
      </w:pPr>
      <w:r>
        <w:rPr>
          <w:rFonts w:ascii="Amiri" w:hAnsi="Amiri" w:eastAsia="Amiri" w:cs="Amiri"/>
          <w:color w:val="111111"/>
          <w:sz w:val="28"/>
          <w:sz w:val="28"/>
          <w:szCs w:val="28"/>
          <w:rtl w:val="true"/>
          <w:lang w:bidi="ar-SA"/>
        </w:rPr>
        <w:t xml:space="preserve">عن إرجاعه إلى نفس التيمّم بناءً على هذا التفسير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محالة يكون ذلك لنكتة ، ولعلّها إفادة أنّ المسح بالوجه والأيدي ، لا بدّ وأن يكون من ذلك التيمّم الذي هو كناية عن ضرب الأرض ، فكأ نّه لإفادة لزوم </w:t>
      </w:r>
    </w:p>
    <w:p>
      <w:pPr>
        <w:pStyle w:val="BookText"/>
        <w:rPr/>
      </w:pPr>
      <w:r>
        <w:rPr>
          <w:rFonts w:ascii="Amiri" w:hAnsi="Amiri" w:eastAsia="Amiri" w:cs="Amiri"/>
          <w:color w:val="111111"/>
          <w:sz w:val="28"/>
          <w:sz w:val="28"/>
          <w:szCs w:val="28"/>
          <w:rtl w:val="true"/>
          <w:lang w:bidi="ar-SA"/>
        </w:rPr>
        <w:t xml:space="preserve">حفظ العلاقة العرفية ؛ وعدم التأخير أو الاشتغال بأمر رافع للربط بين المسح والضرب على الأرض ، فإن ضرب كفّيه على الأرض وغسلهما مثلاً فمسح بهما وجهه ، لم يكن مسحه من ذلك التيمّم ، وكذلك لو فصل بين الضرب والمسح بما يقطع العلاقة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التعليل في الصحيحة ، فالظاهر أن يكون لعدم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يتوهّم منه لزوم المسح به مع عدم إمكانه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التيمّم لا من الصعيد ؛ لعدم إمكان المسح منه ، لعدم إجرائه على الوجه ؛ لأ نّه يعلق منه ببعض الكفّ ، ولا يعلق ببعض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ذكرنا في توجيه الرواية وإن لا يخلو من بُعد وارتكاب خلاف ظاهر ، لكنّه أهون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يتيمّم به ؛ فإنّ النفس لا ترضى</w:t>
      </w:r>
    </w:p>
    <w:p>
      <w:pPr>
        <w:pStyle w:val="BookText"/>
        <w:rPr/>
      </w:pPr>
      <w:r>
        <w:rPr>
          <w:rFonts w:ascii="Amiri" w:hAnsi="Amiri" w:eastAsia="Amiri" w:cs="Amiri"/>
          <w:color w:val="111111"/>
          <w:sz w:val="28"/>
          <w:sz w:val="28"/>
          <w:szCs w:val="28"/>
          <w:rtl w:val="true"/>
          <w:lang w:bidi="ar-SA"/>
        </w:rPr>
        <w:t xml:space="preserve">بانتسابه إلى متعارف الناس ، فضلاً عن أفضلهم علماً وفصاحة ، فضلاً عن الانتساب إلى الوحي المعجز ، فلا بدّ من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وتوجيه التعليل ، ومع العجز فردّ علمه إلى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احتمالات اُخر يطول بنا البحث في الخوض فيها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الذهن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 نّه مع إبقاء ظاهر الآية على حاله ، ورجوع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الابتدائية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ما يراد بالرواية بالتوجيه الذي ذكرناه ، فلا تتوقّف إفادة ما ذكر على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من 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مبتدئاً منه إلى مسح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عرفاً ما يفهم من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نكتة اُخرى فيه غير ما تقدّم ، فلعلّها لإفادة كون المسح على الوجه والأيدي جميعاً من ذلك التيمّم ؛ أي عدم </w:t>
      </w:r>
      <w:bookmarkStart w:id="213" w:name="pg17116_198680"/>
    </w:p>
    <w:p>
      <w:pPr>
        <w:pStyle w:val="BookText"/>
        <w:rPr/>
      </w:pPr>
      <w:bookmarkEnd w:id="213"/>
      <w:r>
        <w:rPr>
          <w:rFonts w:ascii="Amiri" w:hAnsi="Amiri" w:eastAsia="Amiri" w:cs="Amiri"/>
          <w:color w:val="111111"/>
          <w:sz w:val="28"/>
          <w:sz w:val="28"/>
          <w:szCs w:val="28"/>
          <w:rtl w:val="true"/>
          <w:lang w:bidi="ar-SA"/>
        </w:rPr>
        <w:t xml:space="preserve">لزوم تجديد الضرب ، أو عدم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التعليل على هذا الاحتمال أقرب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إفادة أنّ الضرب الثاني لا يحصل به إلاّ ما يحصل بالضرب الأوّل ، ولا يعلق الصعيد على جميع اليد حتّى يجري على الوجه ، بل يعلق على بعضه ، فلا يلزم العلوق ، بل ما لزم هو كون المسح من ذلك التيمّم ، وهو حاصل بالضرب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اللازم في المسح أن يكون بأجزاء الأرض ؛ لأ نّه غير ممكن في التيمّم ، لأنّ الأجزاء لا تعلق بجميع اليد حتّى تجري على الوجه ، بل اللازم أن يكون من التيمّم ، وهو حاصل بالضرب الأوّل من دون 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الصحيح فيه إشارة إلى عدم اعتبار العلوق</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وهو كذلك ؛ لأنّ فيها إشارة إلى أنّ المعتبر هو العلاقة ، لا العلوق </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645965_3381743652"/>
      <w:bookmarkStart w:id="215" w:name="_Toc74"/>
      <w:bookmarkEnd w:id="214"/>
      <w:r>
        <w:rPr>
          <w:rtl w:val="true"/>
        </w:rPr>
        <w:t>الاستدلال بالسنّة على كفاية مطلق وجه الأرض</w:t>
      </w:r>
      <w:bookmarkEnd w:id="215"/>
    </w:p>
    <w:p>
      <w:pPr>
        <w:pStyle w:val="BookText"/>
        <w:rPr/>
      </w:pPr>
      <w:r>
        <w:rPr>
          <w:rFonts w:ascii="Amiri" w:hAnsi="Amiri" w:eastAsia="Amiri" w:cs="Amiri"/>
          <w:color w:val="111111"/>
          <w:sz w:val="28"/>
          <w:sz w:val="28"/>
          <w:szCs w:val="28"/>
          <w:rtl w:val="true"/>
          <w:lang w:bidi="ar-SA"/>
        </w:rPr>
        <w:t>ثمّ إنّ الأقوى ما عليه المشهور ؛ من كون ما يتيمّم به مطلق وجه الأرض ، لا التراب خاصّة ؛ لطوائف من الروايات فيها الصحيح والموثّق ، ربّما يستفاد منها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مطلق وجه الأرض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مشهورة مستفيضة نقلاً ، لو لم نقل بتواترها ، ولهذا نسبها الشيخ </w:t>
      </w:r>
    </w:p>
    <w:p>
      <w:pPr>
        <w:pStyle w:val="BookText"/>
        <w:rPr/>
      </w:pPr>
      <w:r>
        <w:rPr>
          <w:rFonts w:ascii="IRNazanin" w:hAnsi="IRNazanin" w:eastAsia="IRNazanin"/>
          <w:color w:val="111111"/>
          <w:sz w:val="28"/>
          <w:sz w:val="28"/>
          <w:szCs w:val="28"/>
          <w:rtl w:val="true"/>
          <w:lang w:bidi="fa-IR"/>
        </w:rPr>
        <w:t>الصدوق رحمه الله علیه  إلى النبي صلی الله علیه و آله وسلم  على سبيل الجزم</w:t>
      </w:r>
      <w:r>
        <w:rPr>
          <w:rStyle w:val="FootnoteAnchor"/>
          <w:rtl w:val="true"/>
        </w:rPr>
        <w:footnoteReference w:id="405"/>
      </w:r>
      <w:r>
        <w:rPr>
          <w:rFonts w:ascii="IRNazanin" w:hAnsi="IRNazanin" w:eastAsia="IRNazanin"/>
          <w:color w:val="111111"/>
          <w:sz w:val="28"/>
          <w:sz w:val="28"/>
          <w:szCs w:val="28"/>
          <w:rtl w:val="true"/>
          <w:lang w:bidi="fa-IR"/>
        </w:rPr>
        <w:t>، ولا يمكن ذلك من مثله رحمه الله علیه</w:t>
      </w:r>
    </w:p>
    <w:p>
      <w:pPr>
        <w:pStyle w:val="BookText"/>
        <w:rPr/>
      </w:pPr>
      <w:r>
        <w:rPr>
          <w:rFonts w:ascii="Amiri" w:hAnsi="Amiri" w:eastAsia="Amiri" w:cs="Amiri"/>
          <w:color w:val="111111"/>
          <w:sz w:val="28"/>
          <w:sz w:val="28"/>
          <w:szCs w:val="28"/>
          <w:rtl w:val="true"/>
          <w:lang w:bidi="ar-SA"/>
        </w:rPr>
        <w:t>إلاّ مع علمه بصدورها وقد ذكرنا أنّ جواز الاتّكال على مثل هذا الإرسال بنفسه من مثله لا يخلو من قوّة</w:t>
      </w:r>
      <w:r>
        <w:rPr>
          <w:rStyle w:val="FootnoteAnchor"/>
          <w:rtl w:val="true"/>
        </w:rPr>
        <w:footnoteReference w:id="406"/>
      </w:r>
      <w:r>
        <w:rPr>
          <w:rFonts w:ascii="Amiri" w:hAnsi="Amiri" w:eastAsia="Amiri" w:cs="Amiri"/>
          <w:color w:val="111111"/>
          <w:sz w:val="28"/>
          <w:sz w:val="28"/>
          <w:szCs w:val="28"/>
          <w:rtl w:val="true"/>
          <w:lang w:bidi="ar-SA"/>
        </w:rPr>
        <w:t xml:space="preserve">، فضلاً عن مثل المقام مع استفاضة النقل ، فقد رواها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وابن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والشيخ حسن بن سليمان الحلّي فيما رواه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قد ينقدح في الذهن وقوع اشتباه فيما روى الصدوق رحمه الله علیه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w:t>
      </w:r>
    </w:p>
    <w:p>
      <w:pPr>
        <w:pStyle w:val="BookText"/>
        <w:rPr/>
      </w:pPr>
      <w:r>
        <w:rPr>
          <w:rFonts w:ascii="IRNazanin" w:hAnsi="IRNazanin" w:eastAsia="IRNazanin"/>
          <w:color w:val="111111"/>
          <w:sz w:val="28"/>
          <w:sz w:val="28"/>
          <w:szCs w:val="28"/>
          <w:rtl w:val="true"/>
          <w:lang w:bidi="fa-IR"/>
        </w:rPr>
        <w:t xml:space="preserve">في غاية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لك ولاُمّتك الأرض كلّها مسجداً ، وترابها طهوراً</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وكذا في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 ؛ أينما كنت أتيمّم من تربتها واُصلّي عليها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 فلا يخالف الروايات ؛ لأنّ عمله صلی الله علیه و آله وسلم  يمكن أن يكون لأجل أفضلية التراب لا لتعيّنه ، فلا ينافي صدرها ، ولا يصلح لتقييد إطلاقه ، فضلاً عن سائر المطلقات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احتمال كون المراد من طهورية الأرض طهوريتها من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طهور منه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الاختصاص مقطوع البطلان بعد معروفية التيمّم ، وكونه أحد الطهورين</w:t>
      </w:r>
      <w:r>
        <w:rPr>
          <w:rStyle w:val="FootnoteAnchor"/>
          <w:rtl w:val="true"/>
        </w:rPr>
        <w:footnoteReference w:id="420"/>
      </w:r>
      <w:r>
        <w:rPr>
          <w:rFonts w:ascii="Amiri" w:hAnsi="Amiri" w:eastAsia="Amiri" w:cs="Amiri"/>
          <w:color w:val="111111"/>
          <w:sz w:val="28"/>
          <w:sz w:val="28"/>
          <w:szCs w:val="28"/>
          <w:rtl w:val="true"/>
          <w:lang w:bidi="ar-SA"/>
        </w:rPr>
        <w:t>، ونزول الوحي به في آيتين</w:t>
      </w:r>
      <w:r>
        <w:rPr>
          <w:rStyle w:val="FootnoteAnchor"/>
          <w:rtl w:val="true"/>
        </w:rPr>
        <w:footnoteReference w:id="421"/>
      </w:r>
      <w:r>
        <w:rPr>
          <w:rFonts w:ascii="Amiri" w:hAnsi="Amiri" w:eastAsia="Amiri" w:cs="Amiri"/>
          <w:color w:val="111111"/>
          <w:sz w:val="28"/>
          <w:sz w:val="28"/>
          <w:szCs w:val="28"/>
          <w:rtl w:val="true"/>
          <w:lang w:bidi="ar-SA"/>
        </w:rPr>
        <w:t>، مضافاً إلى التصريح بالتيمّم في بعض الروايات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شبهة في إرادة خصوص التيمّم منه أو الأعمّ ، فحينئذٍ يمكن الاستشهاد به </w:t>
      </w:r>
    </w:p>
    <w:p>
      <w:pPr>
        <w:pStyle w:val="BookText"/>
        <w:rPr/>
      </w:pPr>
      <w:r>
        <w:rPr>
          <w:rFonts w:ascii="Amiri" w:hAnsi="Amiri" w:eastAsia="Amiri" w:cs="Amiri"/>
          <w:color w:val="111111"/>
          <w:sz w:val="28"/>
          <w:sz w:val="28"/>
          <w:szCs w:val="28"/>
          <w:rtl w:val="true"/>
          <w:lang w:bidi="ar-SA"/>
        </w:rPr>
        <w:t xml:space="preserve">لكون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مطلق الأرض ؛ فإنّه ناظر إلى الآيتين الكريمتين ، حيث جعل اللّه تعالى فيهما الصعيد طهوراً ، فيكون بمنزلة المفسّر للآية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في قضيّة عمّار بن ياسر رضى‌الله‌عنه ففي موثّقة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عمّار بن ياسر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أجنبت الليلة فلم يكن معي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ثيابي وقمت على الصعيد فتمعّكت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الحمار ، 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بيديه على الأرض ، ثمّ ضرب إحداهما على الاُخرى ، ثمّ مسح بجبينيه </w:t>
      </w:r>
      <w:r>
        <w:rPr>
          <w:rFonts w:eastAsia="Amiri" w:cs="Amiri" w:ascii="Amiri" w:hAnsi="Amiri"/>
          <w:color w:val="111111"/>
          <w:sz w:val="28"/>
          <w:szCs w:val="28"/>
          <w:rtl w:val="true"/>
          <w:lang w:bidi="ar-SA"/>
        </w:rPr>
        <w:t>. . .»</w:t>
      </w:r>
      <w:r>
        <w:rPr>
          <w:rStyle w:val="FootnoteAnchor"/>
          <w:rtl w:val="true"/>
        </w:rPr>
        <w:footnoteReference w:id="42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  ذات</w:t>
      </w:r>
    </w:p>
    <w:p>
      <w:pPr>
        <w:pStyle w:val="BookText"/>
        <w:rPr/>
      </w:pPr>
      <w:r>
        <w:rPr>
          <w:rFonts w:ascii="Amiri" w:hAnsi="Amiri" w:eastAsia="Amiri" w:cs="Amiri"/>
          <w:color w:val="111111"/>
          <w:sz w:val="28"/>
          <w:sz w:val="28"/>
          <w:szCs w:val="28"/>
          <w:rtl w:val="true"/>
          <w:lang w:bidi="ar-SA"/>
        </w:rPr>
        <w:t xml:space="preserve">يوم لعمّار في سفر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بلغنا أ نّك أجنبت ، فكيف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يا رسول اللّه في التراب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يتمرّغ الحمار ؛ 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 فوضعهما على الصعيد ، ثمّ مسح بجبينيه </w:t>
      </w:r>
      <w:r>
        <w:rPr>
          <w:rFonts w:eastAsia="Amiri" w:cs="Amiri" w:ascii="Amiri" w:hAnsi="Amiri"/>
          <w:color w:val="111111"/>
          <w:sz w:val="28"/>
          <w:szCs w:val="28"/>
          <w:rtl w:val="true"/>
          <w:lang w:bidi="ar-SA"/>
        </w:rPr>
        <w:t>. . .»</w:t>
      </w:r>
      <w:r>
        <w:rPr>
          <w:rStyle w:val="FootnoteAnchor"/>
          <w:rtl w:val="true"/>
        </w:rPr>
        <w:footnoteReference w:id="424"/>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دلالة الصحيحة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 حيث قال فيها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بيديه إلى الأرض ، فوضعهما على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فوضعهما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 المحتمل أن يكون ذلك لأجل إفادة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الأرض ؛ فإنّ هذه الطائفة مضافاً إلى دلالتها على المذهب المشهور ، يمكن الاستشهاد بها على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هو الأرض ، لا التراب خاصّة ؛ فإنّه لا شبهة في أنّ قضيّة عمّار قضيّة واحدة حكاها الأئمّة  علیهم السلام  بتعبيرات مختلفة نقلاً بالمعنى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يده على المِسْح</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بيديه إلى الأرض ، فوضعهما على الصعيد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فيظهر منها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ليصحّ النقل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بالأعمّ والأخصّ غير مضرّ بعد أن لا تكون العناية</w:t>
      </w:r>
    </w:p>
    <w:p>
      <w:pPr>
        <w:pStyle w:val="BookText"/>
        <w:rPr/>
      </w:pPr>
      <w:r>
        <w:rPr>
          <w:rFonts w:ascii="IRNazanin" w:hAnsi="IRNazanin" w:eastAsia="IRNazanin"/>
          <w:color w:val="111111"/>
          <w:sz w:val="28"/>
          <w:sz w:val="28"/>
          <w:szCs w:val="28"/>
          <w:rtl w:val="true"/>
          <w:lang w:bidi="fa-IR"/>
        </w:rPr>
        <w:t xml:space="preserve">بنقل ما يتيمّم به ، بل بأصل القضيّة ، ولهذا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يده على المِسْح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يظهر من أبي جعفر علیه السلام  في نقل القضيّة عناية بذكر ما يتيمّم به ، فراجع</w:t>
      </w:r>
    </w:p>
    <w:p>
      <w:pPr>
        <w:pStyle w:val="BookText"/>
        <w:rPr/>
      </w:pPr>
      <w:r>
        <w:rPr>
          <w:rFonts w:ascii="Amiri" w:hAnsi="Amiri" w:eastAsia="Amiri" w:cs="Amiri"/>
          <w:color w:val="111111"/>
          <w:sz w:val="28"/>
          <w:sz w:val="28"/>
          <w:szCs w:val="28"/>
          <w:rtl w:val="true"/>
          <w:lang w:bidi="ar-SA"/>
        </w:rPr>
        <w:t>ما روي عنه في القضيّة ، فحينئذٍ يتمّ المطلوب ؛ وهو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الأرض لا التراب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يصنع الحمار ، 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w:t>
      </w:r>
    </w:p>
    <w:p>
      <w:pPr>
        <w:pStyle w:val="BookText"/>
        <w:rPr/>
      </w:pP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 أنّ ما صنع عمّار خلاف المتفاهم من الآية الشريفة ، فيحتمل أن يكون مراده إفادة أنّ الآية تدلّ على أنّ المسح من الصعيد ، لا مسح الجسد على الأرض ، فتدلّ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الابتدائية ، وإلاّ فمع التبعيضية كان الظاهر جواز مسح الأعضاء بالأرض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اعتراض رسول اللّه‌ صلی الله علیه و آله وسلم  عليه لتمرّغه على الأرض في بدل الغسل بتوهّم أنّ المناسب فيه ذلك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تدلّ على أنّ للتيمّم كيفية واحدة بدلاً عن الوضوء والغسل ، فَلِمَ تمرّغت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دلالتها على المسح ببعض الوجه والأيدي ، كما تشهد به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 تمعّكت تمعّك الحمار ، قد كان يجزيك من ذلك أن تمسح بيديك وجهك وكفّيك ، كما قال اللّه عزّ وجلّ</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حتّى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أرجع عمّاراً إلى ظاهر الآية ، وأ نّها دالّة على أنّ آلة المسح هي اليدان ؛ فإنّ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ذلك أن تمسح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استفادة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يدلّ على دلالة الآية على كيفية التيمّم ، ولا بُعد في استفادته منها ، كما أشرنا إلى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استشمامه منها ، ولعلّه يأتي تتمّة لذلك</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اُخر ، كصحيحة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الرجل طهوراً وكان جنباً فليمسح من الأرض وليصلّ ، وإذا وجد ماءً فليغتسل ، وقد أجزأته صلاته التي صلّى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احتمال كونها بصدد بيان إجزاء الصلاة التي صلّى مع التيمّم ، لا في مقام</w:t>
      </w:r>
    </w:p>
    <w:p>
      <w:pPr>
        <w:pStyle w:val="BookText"/>
        <w:rPr/>
      </w:pPr>
      <w:r>
        <w:rPr>
          <w:rFonts w:ascii="Amiri" w:hAnsi="Amiri" w:eastAsia="Amiri" w:cs="Amiri"/>
          <w:color w:val="111111"/>
          <w:sz w:val="28"/>
          <w:sz w:val="28"/>
          <w:szCs w:val="28"/>
          <w:rtl w:val="true"/>
          <w:lang w:bidi="ar-SA"/>
        </w:rPr>
        <w:t xml:space="preserve">بيان ما يتيمّم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كونها بصدد بيان أ نّه مع عدم وجدان الماء ، يصحّ التيمّم ولو في سعة الوقت ، ولا يجب الصبر إلى آخره ، وإهمال بيان ما يتيمّم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ونظيرها صحيحة ابن سِنان ، عن أبي عبداللّه‌ علیه السلام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وكصحيحة المرادي ، عن أبي عبداللّه‌ علیه السلام  في التيمّم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w:t>
      </w:r>
    </w:p>
    <w:p>
      <w:pPr>
        <w:pStyle w:val="BookText"/>
        <w:rPr/>
      </w:pPr>
      <w:r>
        <w:rPr>
          <w:rFonts w:ascii="Amiri" w:hAnsi="Amiri" w:eastAsia="Amiri" w:cs="Amiri"/>
          <w:color w:val="111111"/>
          <w:sz w:val="28"/>
          <w:sz w:val="28"/>
          <w:szCs w:val="28"/>
          <w:rtl w:val="true"/>
          <w:lang w:bidi="ar-SA"/>
        </w:rPr>
        <w:t>على الأرض مرّتين ، ثمّ تنفضهما وتمسح بهما وجهك وذراعيك</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زرارة ، عن أبي جعفر علیه السلام  في التيمّم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 الأرض ، ثمّ تنفضهما وتمسح بهما وجهك ويديك</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كونهما بصدد بيان كيفية التيمّم ؛ أي المسحتين ، لا ما يتيمّم به ، </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سلّم يكون الضرب على الأرض من كيفياته ، وداخلاً في ماهيته ومقوّماته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ظهور مثل تلك الروايات في أنّ ما يتيمّم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تبعد استفادة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من مثلها ؛ فإنّ الظاهر أنّ كلّها واردة لبيان مفاد الآية ، لا بيان تشريع آخر زائداً على مضمونها وصل إليهم من غير طريقها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رفع الإجمال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إجمالها وتردّدها بين الابتدائية وغيرها ، وعن ذيل صحيحة زرارة المتقدّمة وتعليلها </w:t>
      </w:r>
      <w:r>
        <w:rPr>
          <w:rStyle w:val="FootnoteAnchor"/>
          <w:rtl w:val="true"/>
        </w:rPr>
        <w:footnoteReference w:id="434"/>
      </w:r>
      <w:r>
        <w:rPr>
          <w:rFonts w:ascii="Amiri" w:hAnsi="Amiri" w:eastAsia="Amiri" w:cs="Amiri"/>
          <w:color w:val="111111"/>
          <w:sz w:val="28"/>
          <w:sz w:val="28"/>
          <w:szCs w:val="28"/>
          <w:rtl w:val="true"/>
          <w:lang w:bidi="ar-SA"/>
        </w:rPr>
        <w:t xml:space="preserve">، فإنّه مع النفض لا يبقى من أجزاء الأرض على الكفّ ، وما بقي من الأثر الضعيف لا تصدق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كونها تبعيضية لزم المسح بأجزاء الصعيد ، فيقع التنافي بين الآية والروايات ، فمع نصوصية تلك الروايات في مضمونها ، يرفع الإجمال المتوهّم</w:t>
      </w:r>
      <w:r>
        <w:rPr>
          <w:rStyle w:val="FootnoteAnchor"/>
          <w:rtl w:val="true"/>
        </w:rPr>
        <w:footnoteReference w:id="435"/>
      </w:r>
      <w:r>
        <w:rPr>
          <w:rFonts w:ascii="Amiri" w:hAnsi="Amiri" w:eastAsia="Amiri" w:cs="Amiri"/>
          <w:color w:val="111111"/>
          <w:sz w:val="28"/>
          <w:sz w:val="28"/>
          <w:szCs w:val="28"/>
          <w:rtl w:val="true"/>
          <w:lang w:bidi="ar-SA"/>
        </w:rPr>
        <w:t xml:space="preserve">عن الآية والصحيحة وتعليلها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النفض أو رجحانه دليل على وجوب كون التيمّم بالتراب ، لا مطلق الأرض</w:t>
      </w:r>
      <w:r>
        <w:rPr>
          <w:rStyle w:val="FootnoteAnchor"/>
          <w:rtl w:val="true"/>
        </w:rPr>
        <w:footnoteReference w:id="436"/>
      </w:r>
      <w:r>
        <w:rPr>
          <w:rFonts w:ascii="IRNazanin" w:hAnsi="IRNazanin" w:eastAsia="IRNazanin"/>
          <w:color w:val="111111"/>
          <w:sz w:val="28"/>
          <w:sz w:val="28"/>
          <w:szCs w:val="28"/>
          <w:rtl w:val="true"/>
          <w:lang w:bidi="fa-IR"/>
        </w:rPr>
        <w:t>مدفوع بما مرّ</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يدلّ على مدّعاهم ، بل لو سُلّم يدلّ على لزوم كون الأرض صالحةً للعلوق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وارد مورد الغالب ؛ فإنّ الأراضي غالباً ذات أجزاء تعلق باليد ؛ حتّى مثل أراضي الحجاز التي لا تكون </w:t>
      </w:r>
    </w:p>
    <w:p>
      <w:pPr>
        <w:pStyle w:val="BookText"/>
        <w:rPr/>
      </w:pPr>
      <w:r>
        <w:rPr>
          <w:rFonts w:ascii="Amiri" w:hAnsi="Amiri" w:eastAsia="Amiri" w:cs="Amiri"/>
          <w:color w:val="111111"/>
          <w:sz w:val="28"/>
          <w:sz w:val="28"/>
          <w:szCs w:val="28"/>
          <w:rtl w:val="true"/>
          <w:lang w:bidi="ar-SA"/>
        </w:rPr>
        <w:t xml:space="preserve">تراباً أو تراباً خالصاً ، فلا تصلح مثلها لرفع اليد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p>
    <w:p>
      <w:pPr>
        <w:pStyle w:val="BookText"/>
        <w:rPr/>
      </w:pPr>
      <w:r>
        <w:rPr>
          <w:rFonts w:ascii="Amiri" w:hAnsi="Amiri" w:eastAsia="Amiri" w:cs="Amiri"/>
          <w:color w:val="111111"/>
          <w:sz w:val="28"/>
          <w:sz w:val="28"/>
          <w:szCs w:val="28"/>
          <w:rtl w:val="true"/>
          <w:lang w:bidi="ar-SA"/>
        </w:rPr>
        <w:t xml:space="preserve">في تمام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المطلوب برواية زرارة ،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 وفيها طين ، ما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يتيمّم ؛ فإنّه الصعيد </w:t>
      </w:r>
      <w:r>
        <w:rPr>
          <w:rFonts w:eastAsia="Amiri" w:cs="Amiri" w:ascii="Amiri" w:hAnsi="Amiri"/>
          <w:color w:val="111111"/>
          <w:sz w:val="28"/>
          <w:szCs w:val="28"/>
          <w:rtl w:val="true"/>
          <w:lang w:bidi="ar-SA"/>
        </w:rPr>
        <w:t>. . .»</w:t>
      </w:r>
      <w:r>
        <w:rPr>
          <w:rStyle w:val="FootnoteAnchor"/>
          <w:rtl w:val="true"/>
        </w:rPr>
        <w:footnoteReference w:id="438"/>
      </w:r>
      <w:r>
        <w:rPr>
          <w:rFonts w:ascii="Amiri" w:hAnsi="Amiri" w:eastAsia="Amiri" w:cs="Amiri"/>
          <w:color w:val="111111"/>
          <w:sz w:val="28"/>
          <w:sz w:val="28"/>
          <w:szCs w:val="28"/>
          <w:rtl w:val="true"/>
          <w:lang w:bidi="ar-SA"/>
        </w:rPr>
        <w:t>إلى آخره ، فإنّ الظاهر منها أنّ الطين صعيد ،</w:t>
      </w:r>
    </w:p>
    <w:p>
      <w:pPr>
        <w:pStyle w:val="BookText"/>
        <w:rPr/>
      </w:pPr>
      <w:r>
        <w:rPr>
          <w:rFonts w:ascii="Amiri" w:hAnsi="Amiri" w:eastAsia="Amiri" w:cs="Amiri"/>
          <w:color w:val="111111"/>
          <w:sz w:val="28"/>
          <w:sz w:val="28"/>
          <w:szCs w:val="28"/>
          <w:rtl w:val="true"/>
          <w:lang w:bidi="ar-SA"/>
        </w:rPr>
        <w:t xml:space="preserve">مع أ نّه ليس بتراب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مرسلة علي بن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لا يصيب الماء ولا التراب ، أيتيمّم بالطين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صعيد طيّب وماء طهور</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ظاهرة في أنّ أصل الطين صعيد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ظاهرة في أنّ الطين ليس بصعيد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فيها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السؤال عن الأراضي الممطورة التي صارت متطيّنة ، وفيها الطين والأجزاء المائية القليلة التي لا تضرّ بصدق عدم وجدان الماء ، ولا بصدق كون الأرض متطيّنة ، فيكون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الطين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الأجزاء المائية ، كما تشاهد في الأراضي الممطورة ، والطرق المطيّنة ، فتكون الرواية شاهدة على المشهور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 طيّب 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w:t>
      </w:r>
      <w:bookmarkStart w:id="216" w:name="pg17116_198689"/>
    </w:p>
    <w:p>
      <w:pPr>
        <w:pStyle w:val="BookText"/>
        <w:rPr/>
      </w:pPr>
      <w:bookmarkEnd w:id="216"/>
      <w:r>
        <w:rPr>
          <w:rFonts w:ascii="Amiri" w:hAnsi="Amiri" w:eastAsia="Amiri" w:cs="Amiri"/>
          <w:color w:val="111111"/>
          <w:sz w:val="28"/>
          <w:sz w:val="28"/>
          <w:szCs w:val="28"/>
          <w:rtl w:val="true"/>
          <w:lang w:bidi="ar-SA"/>
        </w:rPr>
        <w:t>يتطهّر به إمّا صعيد طيّب ، وإمّا ماء طهور ، والطين هو الصعيد الطيّب ، فيجوز</w:t>
      </w:r>
    </w:p>
    <w:p>
      <w:pPr>
        <w:pStyle w:val="BookText"/>
        <w:rPr/>
      </w:pPr>
      <w:r>
        <w:rPr>
          <w:rFonts w:ascii="Amiri" w:hAnsi="Amiri" w:eastAsia="Amiri" w:cs="Amiri"/>
          <w:color w:val="111111"/>
          <w:sz w:val="28"/>
          <w:sz w:val="28"/>
          <w:szCs w:val="28"/>
          <w:rtl w:val="true"/>
          <w:lang w:bidi="ar-SA"/>
        </w:rPr>
        <w:t xml:space="preserve">التيمّم به ، ومع هذه الاحتمالات لا يمكن رفع اليد عن ظاهر قوله في رواية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الصعيد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مع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التراب لا يدلّ على عدم صدقه على غيره ، غاية الأمر إشعاره أو دلالته على أنّ الطين ليس بصعيد ، ومع ذلك يكون رواية زرارة أظهر في دلالتها على كون الطين صعيداً من دلالة هذه الرواية على 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الاستشهاد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أراضي الحجاز وما حولها غالباً وغالب الأراضي الجبلية ، لا يوجد فيها التراب الخالص ، بل ليس فيها إلاّ الرمل والأحجار الصغار ، فلو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التراب الخالص ، لكان التيمّم حرجياً على سكّان محلّ نزول الوحي ، وهو ينافي شرع التيمّم والنبوي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مقام بيان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ذلك لشاع وصار مورداً للسؤال والجواب كثيراً </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8645967_3381743652"/>
      <w:bookmarkStart w:id="218" w:name="_Toc75"/>
      <w:bookmarkEnd w:id="217"/>
      <w:r>
        <w:rPr>
          <w:rtl w:val="true"/>
        </w:rPr>
        <w:t>الاستدلال بالسنّة على اشتراط خصوص التراب وجوابه</w:t>
      </w:r>
      <w:bookmarkEnd w:id="218"/>
    </w:p>
    <w:p>
      <w:pPr>
        <w:pStyle w:val="BookText"/>
        <w:rPr/>
      </w:pPr>
      <w:r>
        <w:rPr>
          <w:rFonts w:ascii="Amiri" w:hAnsi="Amiri" w:eastAsia="Amiri" w:cs="Amiri"/>
          <w:color w:val="111111"/>
          <w:sz w:val="28"/>
          <w:sz w:val="28"/>
          <w:szCs w:val="28"/>
          <w:rtl w:val="true"/>
          <w:lang w:bidi="ar-SA"/>
        </w:rPr>
        <w:t>ثمّ إنّه قد يستدلّ</w:t>
      </w:r>
      <w:r>
        <w:rPr>
          <w:rStyle w:val="FootnoteAnchor"/>
          <w:rtl w:val="true"/>
        </w:rPr>
        <w:footnoteReference w:id="440"/>
      </w:r>
      <w:r>
        <w:rPr>
          <w:rFonts w:ascii="Amiri" w:hAnsi="Amiri" w:eastAsia="Amiri" w:cs="Amiri"/>
          <w:color w:val="111111"/>
          <w:sz w:val="28"/>
          <w:sz w:val="28"/>
          <w:szCs w:val="28"/>
          <w:rtl w:val="true"/>
          <w:lang w:bidi="ar-SA"/>
        </w:rPr>
        <w:t xml:space="preserve">لمذهب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إجماع السيّد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حُمران وجميل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نّهما سألا أبا عبداللّه‌ علیه السلام </w:t>
      </w:r>
    </w:p>
    <w:p>
      <w:pPr>
        <w:pStyle w:val="BookText"/>
        <w:rPr/>
      </w:pPr>
      <w:r>
        <w:rPr>
          <w:rFonts w:ascii="Amiri" w:hAnsi="Amiri" w:eastAsia="Amiri" w:cs="Amiri"/>
          <w:color w:val="111111"/>
          <w:sz w:val="28"/>
          <w:sz w:val="28"/>
          <w:szCs w:val="28"/>
          <w:rtl w:val="true"/>
          <w:lang w:bidi="ar-SA"/>
        </w:rPr>
        <w:t xml:space="preserve">عن إمام قوم أصابته جنابة في السفر ، وليس معه من الماء ما يكفيه للغسل ، أيتوضّأ بعضهم ويصلّي 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يتيمّم الجنب ويصلّي بهم ؛ فإنّ اللّه عزّ وجلّ جعل التراب طهوراً ، كما جعل الماء طهوراً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مقام بيان امتنان اللّه على العباد ، فلو كان مطلق الأرض طهوراً كان المناسب أن يذكرها ؛ فإنّه أدخل في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 xml:space="preserve">ناظرة إلى تفسير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بصدد بيان صحّة تيمّم المجنب وإمامته مع وجود المتوضّئ ، وإنّما ذكر جعل اللّه تعالى التراب طهوراً استدلالاً على المقصود ؛ من غير نظر إلى امتنان اللّه على العباد ، ولا إلى تفسير الآية ، فلا تدلّ على المطلوب إلاّ بمفهوم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 نّه لو كان في مقام الامتنان ، لكان المناسب ذكر الأرض على أيّ حال ؛ لأ نّها طهور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قائل بالمنع مطلقاً</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والحقّ ما مرّ</w:t>
      </w:r>
      <w:r>
        <w:rPr>
          <w:rStyle w:val="FootnoteAnchor"/>
          <w:rtl w:val="true"/>
        </w:rPr>
        <w:footnoteReference w:id="444"/>
      </w:r>
      <w:r>
        <w:rPr>
          <w:rFonts w:ascii="Amiri" w:hAnsi="Amiri" w:eastAsia="Amiri" w:cs="Amiri"/>
          <w:color w:val="111111"/>
          <w:sz w:val="28"/>
          <w:sz w:val="28"/>
          <w:szCs w:val="28"/>
          <w:rtl w:val="true"/>
          <w:lang w:bidi="ar-SA"/>
        </w:rPr>
        <w:t>، ولهذا ترى أنّ الروايات التي بصدد بيان الامتنان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مرّ من الحديث المستفيض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واستدلّ أيضاً بصحيحة رِفاعة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الأرض مبتلّة ليس فيها تراب ولا ماء ، فانظر أجفّ موضع تجده فتيمّم منه </w:t>
      </w:r>
      <w:r>
        <w:rPr>
          <w:rFonts w:eastAsia="IRNazanin" w:cs="IRNazanin"/>
          <w:color w:val="111111"/>
          <w:sz w:val="28"/>
          <w:szCs w:val="28"/>
          <w:rtl w:val="true"/>
          <w:lang w:bidi="fa-IR"/>
        </w:rPr>
        <w:t>. . .»</w:t>
      </w:r>
      <w:r>
        <w:rPr>
          <w:rStyle w:val="FootnoteAnchor"/>
          <w:rtl w:val="true"/>
        </w:rPr>
        <w:footnoteReference w:id="446"/>
      </w:r>
      <w:r>
        <w:rPr>
          <w:rFonts w:ascii="Amiri" w:hAnsi="Amiri" w:eastAsia="Amiri" w:cs="Amiri"/>
          <w:color w:val="111111"/>
          <w:sz w:val="28"/>
          <w:sz w:val="28"/>
          <w:szCs w:val="28"/>
          <w:rtl w:val="true"/>
          <w:lang w:bidi="ar-SA"/>
        </w:rPr>
        <w:t>إلى آخره ، ونظيرها صحيحة عبداللّه بن المغيرة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عدم التراب خاصّة ، دليل على عدم جواز التيمّم حال الاختيار بوجه الأرض ، وإلاّ لكان عليه فرض عدم الحجر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القريب أن يكون فرض عدم التراب ، في الأرض التي لها بِلّة لم تصل إلى حدّ الطين ؛ لأجل أنّ البلّة لم تنفذ إلى باطن التراب ، فمع وجود التراب في الأرض المبتلّة بالمطر القليل مثلاً ، يكون التيمّم بالأرض اليابسة ممكناً ؛ برفع ظاهر التراب والتيمّم باليابس من الأرض الذي لم تنفذ إليه البلّة ، فالصحيحة سيقت لبيان مراتب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إن أمكن بالأرض اليابسة فهو ، وإلاّ فبأجفّ موضع منها فالأجفّ ؛ إلى أن لا يجد إلاّ الطين فيتيمّم به ، كما هو المفروض في ذيلها ، فلم تكن بصدد بيان تقدّم التراب على سائر وجه الأرض ، بل بصدد بيان تقدّم اليابس على غيره ، والأجفّ على غيره ، فهي غير مربوطة بالمقام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عدم التراب ، لفرض عدم وجود الأرض اليابسة ، لا لموضوعية التراب مقابل وجه الأرض ، فحينئذٍ إن أمكن الالتزام بمضمونها ، </w:t>
      </w:r>
      <w:bookmarkStart w:id="219" w:name="pg17116_198692"/>
    </w:p>
    <w:p>
      <w:pPr>
        <w:pStyle w:val="BookText"/>
        <w:rPr/>
      </w:pPr>
      <w:bookmarkEnd w:id="219"/>
      <w:r>
        <w:rPr>
          <w:rFonts w:ascii="Amiri" w:hAnsi="Amiri" w:eastAsia="Amiri" w:cs="Amiri"/>
          <w:color w:val="111111"/>
          <w:sz w:val="28"/>
          <w:sz w:val="28"/>
          <w:szCs w:val="28"/>
          <w:rtl w:val="true"/>
          <w:lang w:bidi="ar-SA"/>
        </w:rPr>
        <w:t xml:space="preserve">فلا محيص عن اعتبار المراتب فيما يتيمّم به ؛ تراباً كان أو غيره ، فالتراب اليابس والأرض اليابسة مقدّمان على غيرهما ، والأجفّ مقدّم على غيره ، ومع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حملهما على مراتب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يأتي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الأدلّة صحّة التيمّم اختياراً بمطلق وجه الأرض ، وأ نّه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8645969_3381743652"/>
      <w:bookmarkStart w:id="221" w:name="_Toc76"/>
      <w:bookmarkEnd w:id="220"/>
      <w:r>
        <w:rPr>
          <w:rtl w:val="true"/>
        </w:rPr>
        <w:t>الاستدلال بالإجماع على اشتراط خصوص التراب وجوابه</w:t>
      </w:r>
      <w:bookmarkEnd w:id="221"/>
    </w:p>
    <w:p>
      <w:pPr>
        <w:pStyle w:val="BookText"/>
        <w:rPr/>
      </w:pPr>
      <w:r>
        <w:rPr>
          <w:rFonts w:ascii="Amiri" w:hAnsi="Amiri" w:eastAsia="Amiri" w:cs="Amiri"/>
          <w:color w:val="111111"/>
          <w:sz w:val="28"/>
          <w:sz w:val="28"/>
          <w:szCs w:val="28"/>
          <w:rtl w:val="true"/>
          <w:lang w:bidi="ar-SA"/>
        </w:rPr>
        <w:t xml:space="preserve">بقي الكلام فيما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 بل دعواه الإجماع عليه ، وكذا في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بذكر عبارتهما حتّى يتّضح حال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من الناصر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يذهب إليه أصحابنا أنّ التيمّم لا يكون إلاّ بالتراب ، أو ما جرى مجرى التراب ؛ ممّا لم يتغيّر تغيّراً يسلبه</w:t>
      </w:r>
    </w:p>
    <w:p>
      <w:pPr>
        <w:pStyle w:val="BookText"/>
        <w:rPr/>
      </w:pPr>
      <w:r>
        <w:rPr>
          <w:rFonts w:ascii="Amiri" w:hAnsi="Amiri" w:eastAsia="Amiri" w:cs="Amiri"/>
          <w:color w:val="111111"/>
          <w:sz w:val="28"/>
          <w:sz w:val="28"/>
          <w:szCs w:val="28"/>
          <w:rtl w:val="true"/>
          <w:lang w:bidi="ar-SA"/>
        </w:rPr>
        <w:t xml:space="preserve">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التيمّم بغبار الثوب وما أشبهه ؛ إذا كان ذلك الغبار من التراب أو ما يجري مجراه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حكى أقوال العامّة وتجويز أبي حنيفة التيمّم بالزرنيخ والكحل والنورة</w:t>
      </w:r>
      <w:r>
        <w:rPr>
          <w:rStyle w:val="FootnoteAnchor"/>
          <w:rtl w:val="true"/>
        </w:rPr>
        <w:footnoteReference w:id="448"/>
      </w:r>
      <w:r>
        <w:rPr>
          <w:rFonts w:ascii="Amiri" w:hAnsi="Amiri" w:eastAsia="Amiri" w:cs="Amiri"/>
          <w:color w:val="111111"/>
          <w:sz w:val="28"/>
          <w:sz w:val="28"/>
          <w:szCs w:val="28"/>
          <w:rtl w:val="true"/>
          <w:lang w:bidi="ar-SA"/>
        </w:rPr>
        <w:t>، ومالك بالشجر وما يجري مجراه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دليلنا على صحّة مذهبنا الإجماع المتقدّم ذكره ، ويزيد عليه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دريد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الخالص الذي لا يخالطه سَبَخٌ</w:t>
      </w:r>
      <w:r>
        <w:rPr>
          <w:rStyle w:val="FootnoteAnchor"/>
          <w:rtl w:val="true"/>
        </w:rPr>
        <w:footnoteReference w:id="450"/>
      </w:r>
      <w:r>
        <w:rPr>
          <w:rFonts w:ascii="Amiri" w:hAnsi="Amiri" w:eastAsia="Amiri" w:cs="Amiri"/>
          <w:color w:val="111111"/>
          <w:sz w:val="28"/>
          <w:sz w:val="28"/>
          <w:szCs w:val="28"/>
          <w:rtl w:val="true"/>
          <w:lang w:bidi="ar-SA"/>
        </w:rPr>
        <w:t xml:space="preserve">، وقول أبي عبيدة حجّة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يراد به التراب ، أو نفس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أ نّه يطلق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ما تصاعد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فقد تمّ ما أردناه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لم يدخل فيه ما ذهب إليه أبو حنيفة ؛ لأنّ الكحل والزرنيخ لا يُسمّيان أرضاً بالإطلاق ، كما لا يسمّى سائر المعادن من الذهب والفضّة والحديد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تصاعد على الأرض ، لم يخلُ من أن يكون ما تصاعد عليها هو منها ويسمّى باسمها ، أو لا يكون كذلك ، فإن كان الأوّل فقد دخل فيما ذكرناه ، وإن كان الثاني فهو باطل ؛ لأ نّه لو تصاعد على الأرض شيء من التمر والمعادن ، أو ممّا هو خارج عن جوهر الأرض ، فإنّه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أ نّه إذا تيمّم بما ذكرناه ، استباح الصلاة بالإجماع ، وإذا تيمّم </w:t>
      </w:r>
    </w:p>
    <w:p>
      <w:pPr>
        <w:pStyle w:val="BookText"/>
        <w:rPr/>
      </w:pPr>
      <w:r>
        <w:rPr>
          <w:rFonts w:ascii="Amiri" w:hAnsi="Amiri" w:eastAsia="Amiri" w:cs="Amiri"/>
          <w:color w:val="111111"/>
          <w:sz w:val="28"/>
          <w:sz w:val="28"/>
          <w:szCs w:val="28"/>
          <w:rtl w:val="true"/>
          <w:lang w:bidi="ar-SA"/>
        </w:rPr>
        <w:t xml:space="preserve">بما ذكره المخالف لم يستبحها بإجماع وعلم ، فيجب أن يكون الاحتياط والاستظهار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أيضاً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يقين من الحدث ، فلا يجوز أن يستبيح الصلاة إلاّ</w:t>
      </w:r>
    </w:p>
    <w:p>
      <w:pPr>
        <w:pStyle w:val="BookText"/>
        <w:rPr/>
      </w:pPr>
      <w:r>
        <w:rPr>
          <w:rFonts w:ascii="Amiri" w:hAnsi="Amiri" w:eastAsia="Amiri" w:cs="Amiri"/>
          <w:color w:val="111111"/>
          <w:sz w:val="28"/>
          <w:sz w:val="28"/>
          <w:szCs w:val="28"/>
          <w:rtl w:val="true"/>
          <w:lang w:bidi="ar-SA"/>
        </w:rPr>
        <w:t>بيقين ، ولا يقين إلاّ بما ذكرناه ، دون ما ذكره المخالف</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انتهى بطوله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صدر العبارة صريح في ذهاب أصحابنا إلى صحّة التيمّم بالتراب وغيره ؛ ممّا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يتغيّر تغيّراً مُخرجاً له عن إطلاق اسمها عليه ؛ رملاً كان أو جصّاً أو حجراً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لم يتغيّر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آخره بيان لما يجري مجرى التراب ، وموضّح لمقصوده ، فاحتمال 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المسحوق من غير التراب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مثبت للمدّعى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ادّعى الإجماع على ما ذكره من جواز التيمّم بمطلق ما لا يخرج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عدم الجواز بما يخرج عنه ، في مقابل أبي حنيفة وأشباهه ممّن أجاز التيمّم بالزرنيخ والكحل أو الشجر وشبهه ، فللسيّد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صدر عبارته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التيمّم بمطلق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بما يخرج عن مسمّاها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على الاُولى بالإجماع في أوّل العبارة وأثنائها وآخرها ، وبقاعدة الشغل والاستصحاب ، وعلى الثانية بالآية الكريمة والحديث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محتملات الآية ردّاً على أبي حنيفة وأضرابه ، لا لإثبات الدعوى الاُولى وإن كان في بعض فقراتها إشعار بأنّ التراب ما يتيمّم به ، فلا ريب في لزوم ردّه إلى ما هو صريح بصحّته بمطلق الأرض ، ولا اغتشاش في عبارته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رحمه الله علیه  موافق للمشهور من صحّة التيمّم بالأرض ، وتوهّم مخالفته له ناشئ من زعم أ نّه استدلّ بالآية والرواية لمذهبه ، فاستكشف منه مذهبه ، مع أنّ التدبّر في عبارته موجب للاطمئنان بأنّ استدلاله بهما في مقابل الخصم ولدعواه الثانية ، لا لمذهبه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التراب فالذي يفعل به التيمّم ، ولا يجوز إلاّ بتراب</w:t>
      </w:r>
    </w:p>
    <w:p>
      <w:pPr>
        <w:pStyle w:val="BookText"/>
        <w:rPr/>
      </w:pPr>
      <w:r>
        <w:rPr>
          <w:rFonts w:ascii="Amiri" w:hAnsi="Amiri" w:eastAsia="Amiri" w:cs="Amiri"/>
          <w:color w:val="111111"/>
          <w:sz w:val="28"/>
          <w:sz w:val="28"/>
          <w:szCs w:val="28"/>
          <w:rtl w:val="true"/>
          <w:lang w:bidi="ar-SA"/>
        </w:rPr>
        <w:t xml:space="preserve">طاهر ، ولا يجوز بالكحل ولا بالزرنيخ ، ولا بغيرهما من المعادن ، ولا بتراب خالطه شيء من ذلك بالإجماع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الذي لا يخالطه غيره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دعواه الإجماع ، راجعة إلى عدم الجواز بالكحل والزرنيخ وغيرهما من المعادن ، والتراب المخلوط بشيء منها ، لا إلى الجملة الاُولى ، وكيف يدّعي الإجماع على عدم الجواز إلاّ بالتراب ؛ مع أنّ السيّد رحمه الله علیه  ادّعاه على جوازه بما يجري مجرى التراب ؛ أي الأرض ، وهو مختار الشيخ</w:t>
      </w:r>
      <w:r>
        <w:rPr>
          <w:rStyle w:val="FootnoteAnchor"/>
          <w:rtl w:val="true"/>
        </w:rPr>
        <w:footnoteReference w:id="453"/>
      </w:r>
      <w:r>
        <w:rPr>
          <w:rFonts w:ascii="Amiri" w:hAnsi="Amiri" w:eastAsia="Amiri" w:cs="Amiri"/>
          <w:color w:val="111111"/>
          <w:sz w:val="28"/>
          <w:sz w:val="28"/>
          <w:szCs w:val="28"/>
          <w:rtl w:val="true"/>
          <w:lang w:bidi="ar-SA"/>
        </w:rPr>
        <w:t>، بل لعلّه ادّعى الإجماع عليه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يشهد لذلك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بتراب خالطه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الكحل </w:t>
      </w:r>
    </w:p>
    <w:p>
      <w:pPr>
        <w:pStyle w:val="BookText"/>
        <w:rPr/>
      </w:pPr>
      <w:r>
        <w:rPr>
          <w:rFonts w:ascii="Amiri" w:hAnsi="Amiri" w:eastAsia="Amiri" w:cs="Amiri"/>
          <w:color w:val="111111"/>
          <w:sz w:val="28"/>
          <w:sz w:val="28"/>
          <w:szCs w:val="28"/>
          <w:rtl w:val="true"/>
          <w:lang w:bidi="ar-SA"/>
        </w:rPr>
        <w:t xml:space="preserve">وما بعده ، وإلاّ كان عليه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بتراب خالطه شيء من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منه دعوى الإجماع على عدم الصحّة إلاّ بتراب خالص ، ولو سلّم فهي موهونة بذهاب المشهور إلى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لذلك بقاعدة الشغل</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يصحّ لو كان المأمور به أو الشرط ، هو الطهور المعنوي الذي تكون تلك الأفعال محصّلاته ، وهو غير ثابت ، بل ظاهر الأدلّة أنّ الشرط للصلاة هو الوضوء والغسل والتيمّم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لا يدلّ على أ نّه غير تلك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 الروايات إشعار بما ذكر</w:t>
      </w:r>
      <w:r>
        <w:rPr>
          <w:rStyle w:val="FootnoteAnchor"/>
          <w:rtl w:val="true"/>
        </w:rPr>
        <w:footnoteReference w:id="456"/>
      </w:r>
      <w:r>
        <w:rPr>
          <w:rFonts w:ascii="Amiri" w:hAnsi="Amiri" w:eastAsia="Amiri" w:cs="Amiri"/>
          <w:color w:val="111111"/>
          <w:sz w:val="28"/>
          <w:sz w:val="28"/>
          <w:szCs w:val="28"/>
          <w:rtl w:val="true"/>
          <w:lang w:bidi="ar-SA"/>
        </w:rPr>
        <w:t xml:space="preserve">لم يصل إلى حدّ الدلالة ، ولا يقاوم سائر الأدلّة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 نّه لو سلّم فلا مجال للأصل في مقابل ما عرفت </w:t>
      </w:r>
      <w:r>
        <w:rPr>
          <w:rFonts w:eastAsia="Amiri" w:cs="Amiri" w:ascii="Amiri" w:hAnsi="Amiri"/>
          <w:color w:val="111111"/>
          <w:sz w:val="28"/>
          <w:szCs w:val="28"/>
          <w:rtl w:val="true"/>
          <w:lang w:bidi="ar-SA"/>
        </w:rPr>
        <w:t xml:space="preserve">. </w:t>
      </w:r>
      <w:bookmarkStart w:id="222" w:name="pg17116_198697"/>
    </w:p>
    <w:p>
      <w:pPr>
        <w:pStyle w:val="Heading5"/>
        <w:numPr>
          <w:ilvl w:val="4"/>
          <w:numId w:val="1"/>
        </w:numPr>
        <w:rPr/>
      </w:pPr>
      <w:bookmarkStart w:id="223" w:name="__RefHeading___Toc8645971_3381743652"/>
      <w:bookmarkStart w:id="224" w:name="_Toc77"/>
      <w:bookmarkEnd w:id="222"/>
      <w:bookmarkEnd w:id="223"/>
      <w:r>
        <w:rPr>
          <w:rtl w:val="true"/>
        </w:rPr>
        <w:t xml:space="preserve">الأمر الثاني في عدم صحّة التيمّم بما خرج عن مسمّى </w:t>
      </w:r>
      <w:r>
        <w:rPr>
          <w:rtl w:val="true"/>
        </w:rPr>
        <w:t>«</w:t>
      </w:r>
      <w:r>
        <w:rPr>
          <w:rtl w:val="true"/>
        </w:rPr>
        <w:t>الأرض</w:t>
      </w:r>
      <w:r>
        <w:rPr>
          <w:rtl w:val="true"/>
        </w:rPr>
        <w:t>»</w:t>
      </w:r>
      <w:bookmarkEnd w:id="224"/>
    </w:p>
    <w:p>
      <w:pPr>
        <w:pStyle w:val="Heading6"/>
        <w:numPr>
          <w:ilvl w:val="5"/>
          <w:numId w:val="1"/>
        </w:numPr>
        <w:rPr/>
      </w:pPr>
      <w:bookmarkStart w:id="225" w:name="__RefHeading___Toc8645973_3381743652"/>
      <w:bookmarkStart w:id="226" w:name="_Toc78"/>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لا يصحّ التيمّم بما خرج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كالمعادن الخارجة عن مسمّاها ، مثل الزرنيخ والملح والكحل والأحجار الكريمة والذهب والفضّة ، وكالنبات والشجر بلا إشكال ولا خلاف ، إلاّ المحكيّ عن ابن أبي عقيل من تجويزه بالأرض وبكلّ ما كان من جنسها ، كالكحل والزرنيخ ، لأ نّه يخرج من الأرض</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يخرج عن مسمّاها ، فيوافق المشهور ، وإن كان تمثيله بما ذكر وتعليله ربّما ينافيان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خاصّ منه بما لا ينافي كونه من جنسها ، فيكون موافقاً للحكم الكلّي للقوم ، وتمثيله بما ذكر من تعيين المصداق ، لا الاختلاف في الفتوى وإن لا يخلو من بعد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المطلوب الإجماعات المنقولة</w:t>
      </w:r>
      <w:r>
        <w:rPr>
          <w:rStyle w:val="FootnoteAnchor"/>
          <w:rtl w:val="true"/>
        </w:rPr>
        <w:footnoteReference w:id="458"/>
      </w:r>
      <w:r>
        <w:rPr>
          <w:rFonts w:ascii="Amiri" w:hAnsi="Amiri" w:eastAsia="Amiri" w:cs="Amiri"/>
          <w:color w:val="111111"/>
          <w:sz w:val="28"/>
          <w:sz w:val="28"/>
          <w:szCs w:val="28"/>
          <w:rtl w:val="true"/>
          <w:lang w:bidi="ar-SA"/>
        </w:rPr>
        <w:t>والشهرة المحقّقة</w:t>
      </w:r>
      <w:r>
        <w:rPr>
          <w:rStyle w:val="FootnoteAnchor"/>
          <w:rtl w:val="true"/>
        </w:rPr>
        <w:footnoteReference w:id="459"/>
      </w:r>
      <w:r>
        <w:rPr>
          <w:rFonts w:ascii="Amiri" w:hAnsi="Amiri" w:eastAsia="Amiri" w:cs="Amiri"/>
          <w:color w:val="111111"/>
          <w:sz w:val="28"/>
          <w:sz w:val="28"/>
          <w:szCs w:val="28"/>
          <w:rtl w:val="true"/>
          <w:lang w:bidi="ar-SA"/>
        </w:rPr>
        <w:t xml:space="preserve">وظواهر الأدلّة الدالّة على أنّ ما يتيمّم به هو الأرض والصعيد ، وما خرج عن </w:t>
      </w:r>
    </w:p>
    <w:p>
      <w:pPr>
        <w:pStyle w:val="BookText"/>
        <w:rPr/>
      </w:pPr>
      <w:r>
        <w:rPr>
          <w:rFonts w:ascii="Amiri" w:hAnsi="Amiri" w:eastAsia="Amiri" w:cs="Amiri"/>
          <w:color w:val="111111"/>
          <w:sz w:val="28"/>
          <w:sz w:val="28"/>
          <w:szCs w:val="28"/>
          <w:rtl w:val="true"/>
          <w:lang w:bidi="ar-SA"/>
        </w:rPr>
        <w:t>مسمّاها ولا يكون صعيداً وأرضاً لا يصحّ التيمّم به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عدم الجواز هو ما ذكرنا ، 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شيء من الأدلّة موضوعاً للحكم ، بل يظهر من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هو الخروج عن مسمّاها من غير دخالة لعنوان المعدن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يجوز التيمّم بما ليس بأرض على الإطلاق ، كالمعادن والنبات المنسحق والأشجار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علمائنا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الفرع الثاني من التفريعات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 ابن إدريس من التيمّم بالنورة</w:t>
      </w:r>
      <w:r>
        <w:rPr>
          <w:rStyle w:val="FootnoteAnchor"/>
          <w:rtl w:val="true"/>
        </w:rPr>
        <w:footnoteReference w:id="462"/>
      </w:r>
      <w:r>
        <w:rPr>
          <w:rFonts w:ascii="IRNazanin" w:hAnsi="IRNazanin" w:eastAsia="IRNazanin"/>
          <w:color w:val="111111"/>
          <w:sz w:val="28"/>
          <w:sz w:val="28"/>
          <w:szCs w:val="28"/>
          <w:rtl w:val="true"/>
          <w:lang w:bidi="fa-IR"/>
        </w:rPr>
        <w:t>، وهو الأقرب ؛ لأ نّها معدن ، فخرجت عن اسم الأرض</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يحمل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لأ نّهما مثّلا بالكحل والزرنيخ وبغيرهما من المعادن ، والظاهر من كلامهما أنّ مرادهما من المعادن من قبيل الكحل والزرنيخ الخارجين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دخيل في الحكم حتّى نحتاج إلى تشخيص مفهومه ومصاديقه ، فيجوز التيمّم بما لم يخرج عن مسمّاها ؛ ولو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الأحمر وحجر الرحى والمرمر وطين الرأس والأرمني ، وغيرها من المعادن الصادق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bookmarkStart w:id="227" w:name="pg17116_198699"/>
    </w:p>
    <w:p>
      <w:pPr>
        <w:pStyle w:val="Heading6"/>
        <w:numPr>
          <w:ilvl w:val="5"/>
          <w:numId w:val="1"/>
        </w:numPr>
        <w:rPr/>
      </w:pPr>
      <w:bookmarkStart w:id="228" w:name="__RefHeading___Toc8645975_3381743652"/>
      <w:bookmarkStart w:id="229" w:name="_Toc79"/>
      <w:bookmarkEnd w:id="227"/>
      <w:bookmarkEnd w:id="228"/>
      <w:r>
        <w:rPr>
          <w:rtl w:val="true"/>
        </w:rPr>
        <w:t>فيما استدلّ على جواز التيمّم بمطلق ما خرج من الأرض</w:t>
      </w:r>
      <w:bookmarkEnd w:id="229"/>
    </w:p>
    <w:p>
      <w:pPr>
        <w:pStyle w:val="BookText"/>
        <w:rPr/>
      </w:pPr>
      <w:r>
        <w:rPr>
          <w:rFonts w:ascii="Amiri" w:hAnsi="Amiri" w:eastAsia="Amiri" w:cs="Amiri"/>
          <w:color w:val="111111"/>
          <w:sz w:val="28"/>
          <w:sz w:val="28"/>
          <w:szCs w:val="28"/>
          <w:rtl w:val="true"/>
          <w:lang w:bidi="ar-SA"/>
        </w:rPr>
        <w:t>وقد يستدلّ</w:t>
      </w:r>
      <w:r>
        <w:rPr>
          <w:rStyle w:val="FootnoteAnchor"/>
          <w:rtl w:val="true"/>
        </w:rPr>
        <w:footnoteReference w:id="465"/>
      </w:r>
      <w:r>
        <w:rPr>
          <w:rFonts w:ascii="IRNazanin" w:hAnsi="IRNazanin" w:eastAsia="IRNazanin"/>
          <w:color w:val="111111"/>
          <w:sz w:val="28"/>
          <w:sz w:val="28"/>
          <w:szCs w:val="28"/>
          <w:rtl w:val="true"/>
          <w:lang w:bidi="fa-IR"/>
        </w:rPr>
        <w:t xml:space="preserve">على جوازه بمطلق ما خرج من الأرض وكان أصله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تبدّل بحقيقة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السكوني ، عن جعفر ، عن أبيه ، عن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سئل عن التيمّم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ليس يخرج من الأرض ، إنّما يخرج من الشجر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يتيمّم بالرماد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 الرماد لم يخرج من الأرض</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بالرماد ؛ لأ نّه لم يخرج من الأرض</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تلك الروايات على أنّ العلّة في عدم جواز التيمّم برماد الشجر عدم خروجه من الأرض ، فلو خرج منها لم يكن مانع منه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يدلّ التعليل إلاّ على المنع من كلّ ما لم يخرج </w:t>
      </w:r>
    </w:p>
    <w:p>
      <w:pPr>
        <w:pStyle w:val="BookText"/>
        <w:rPr/>
      </w:pPr>
      <w:r>
        <w:rPr>
          <w:rFonts w:ascii="Amiri" w:hAnsi="Amiri" w:eastAsia="Amiri" w:cs="Amiri"/>
          <w:color w:val="111111"/>
          <w:sz w:val="28"/>
          <w:sz w:val="28"/>
          <w:szCs w:val="28"/>
          <w:rtl w:val="true"/>
          <w:lang w:bidi="ar-SA"/>
        </w:rPr>
        <w:t>من الأرض ، وأمّا الجواز بكلّ ما خرج منها فلا ، وإلاّ لفهم منه جوازه بالنباتات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بطلان النقض بالنباتات ؛ فإنّها نابتة من الأرض عرفاً ، لا متبدّلة</w:t>
      </w:r>
    </w:p>
    <w:p>
      <w:pPr>
        <w:pStyle w:val="BookText"/>
        <w:rPr/>
      </w:pPr>
      <w:r>
        <w:rPr>
          <w:rFonts w:ascii="Amiri" w:hAnsi="Amiri" w:eastAsia="Amiri" w:cs="Amiri"/>
          <w:color w:val="111111"/>
          <w:sz w:val="28"/>
          <w:sz w:val="28"/>
          <w:szCs w:val="28"/>
          <w:rtl w:val="true"/>
          <w:lang w:bidi="ar-SA"/>
        </w:rPr>
        <w:t xml:space="preserve">منها ومنقلبة عنها ،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كخروج الرماد من الشجر ، لا كخروج النبات من الأرض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وارد لو اُريد الاستدلال بمفهوم التعليل ؛ بدعوى دلالته على الحصر والانتفاء عند الانتفاء ؛ ضرورة أنّ مقتضى إطلاق التعليل وإن كان تمام الموضوعية والعلّية التامّة ، لكن لا يقتضي ذلك انحصار العلّة ، فيمكن أن يقوم شيء آخر مقامها في نفي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اُريد الاستدلال بأ نّه إذا كان عدمُ الخروج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p>
    <w:p>
      <w:pPr>
        <w:pStyle w:val="BookText"/>
        <w:rPr/>
      </w:pPr>
      <w:r>
        <w:rPr>
          <w:rFonts w:ascii="Amiri" w:hAnsi="Amiri" w:eastAsia="Amiri" w:cs="Amiri"/>
          <w:color w:val="111111"/>
          <w:sz w:val="28"/>
          <w:sz w:val="28"/>
          <w:szCs w:val="28"/>
          <w:rtl w:val="true"/>
          <w:lang w:bidi="ar-SA"/>
        </w:rPr>
        <w:t xml:space="preserve">بحسب ظاهر الروايات عدم الانقلاب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لعدم جواز التيمّم بالرماد ، فلا يمكن أن يكون التبدّل والخروج من الأرض أيضاً علّة لعدم الجواز ، فالاستدلال على عدم جوازه بالمعادن بأ نّها خارجة عن مسمّى الأرض ؛ ينافي مفاد الروايات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وإن لم يدلّ على الانحصار ، ويمكن قيام علّة اُخرى مقامها ، لكن لا يمكن قيام نقيض العلّة مقامها في العلّية لشيء واحد ، فتدلّ الروايات على جوازه بكلّ ما خرج من الأرض ، ولا يكون الخروج منها مانعاً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ينقلب منها ، وأمّا لو اُريد منه أ نّه لم تكن مادّته من الأرض ، فلا ينافي قول الفقهاء ؛ بتقريب أنّ عدم الجواز معلول لعلّتين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مادّة الشيء من الأرض ، كما دلّت الروايات</w:t>
      </w:r>
      <w:r>
        <w:rPr>
          <w:rStyle w:val="FootnoteAnchor"/>
          <w:rtl w:val="true"/>
        </w:rPr>
        <w:footnoteReference w:id="470"/>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صورته من الأرض ؛ أي الخروج من مسمّاها ، كما ذكره الفقهاء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جعل الشيئين علّة فعلية لشيء إلاّ إذا أمكن افتراقهما في الجملة ، فإذا كان تبدّل صورة الأرض وعدم الخروج عن مادّتها ، علّتين لعدم الجواز ، فلا بدّ من الالتزام بأ نّه إذا لم يخرج الشيء من الأرض لا يجوز التيمّم به</w:t>
      </w:r>
    </w:p>
    <w:p>
      <w:pPr>
        <w:pStyle w:val="BookText"/>
        <w:rPr/>
      </w:pPr>
      <w:r>
        <w:rPr>
          <w:rFonts w:ascii="Amiri" w:hAnsi="Amiri" w:eastAsia="Amiri" w:cs="Amiri"/>
          <w:color w:val="111111"/>
          <w:sz w:val="28"/>
          <w:sz w:val="28"/>
          <w:szCs w:val="28"/>
          <w:rtl w:val="true"/>
          <w:lang w:bidi="ar-SA"/>
        </w:rPr>
        <w:t xml:space="preserve">ولو صدق عليه مسمّاها ، وهو كما ترى ؛ ضرورة صحّة التيمّم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أصله غير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من غير الأرض أو عدم الخروج منها ، علّة في صورة خروج صورته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تبديل الصورة الأرضية بغيرها علّة حسب الفرض ، فعلّية عدم الخروج من مادّة الأرض غير معقول ، وجعلها لغوٌ لو كانت مجعولة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التعليل في الروايات بعدم الخروج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الرماد خارج عن مسمّاها ، ولا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ما هو العلّة هو عدم الخروج من الأرض ، لا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وإلاّ لكان </w:t>
      </w:r>
    </w:p>
    <w:p>
      <w:pPr>
        <w:pStyle w:val="BookText"/>
        <w:rPr/>
      </w:pPr>
      <w:r>
        <w:rPr>
          <w:rFonts w:ascii="Amiri" w:hAnsi="Amiri" w:eastAsia="Amiri" w:cs="Amiri"/>
          <w:color w:val="111111"/>
          <w:sz w:val="28"/>
          <w:sz w:val="28"/>
          <w:szCs w:val="28"/>
          <w:rtl w:val="true"/>
          <w:lang w:bidi="ar-SA"/>
        </w:rPr>
        <w:t xml:space="preserve">الأولى بل المتعيّن التعليل به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التعليل</w:t>
      </w:r>
    </w:p>
    <w:p>
      <w:pPr>
        <w:pStyle w:val="BookText"/>
        <w:rPr/>
      </w:pPr>
      <w:r>
        <w:rPr>
          <w:rFonts w:ascii="Amiri" w:hAnsi="Amiri" w:eastAsia="Amiri" w:cs="Amiri"/>
          <w:color w:val="111111"/>
          <w:sz w:val="28"/>
          <w:sz w:val="28"/>
          <w:szCs w:val="28"/>
          <w:rtl w:val="true"/>
          <w:lang w:bidi="ar-SA"/>
        </w:rPr>
        <w:t xml:space="preserve">بالصفة النفسية ، والتعليل بأصله ومادّته ، دليل على عدم علّية الخروج عن مسمّاها 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كانت الروايات حجّة معتبرة ، لكان اللازم الالتزام بعدم مانعية تبدّل صورة الأرض ، بل الاعتبار بالأصل والمادّة ، لا بالصورة ؛ لإمكان أن يقال بحكومة تلك الروايات على الآية الكريمة والروايات الدالّة على لزوم التيمّم بالأرض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روايات ضعيفة سنداً ، شاذّة معرض عنها غير معوّل عليها </w:t>
      </w:r>
      <w:r>
        <w:rPr>
          <w:rFonts w:eastAsia="Amiri" w:cs="Amiri" w:ascii="Amiri" w:hAnsi="Amiri"/>
          <w:color w:val="111111"/>
          <w:sz w:val="28"/>
          <w:szCs w:val="28"/>
          <w:rtl w:val="true"/>
          <w:lang w:bidi="ar-SA"/>
        </w:rPr>
        <w:t xml:space="preserve">. </w:t>
      </w:r>
      <w:bookmarkStart w:id="230" w:name="pg17116_198703"/>
    </w:p>
    <w:p>
      <w:pPr>
        <w:pStyle w:val="Heading5"/>
        <w:numPr>
          <w:ilvl w:val="4"/>
          <w:numId w:val="1"/>
        </w:numPr>
        <w:rPr/>
      </w:pPr>
      <w:bookmarkStart w:id="231" w:name="__RefHeading___Toc8645977_3381743652"/>
      <w:bookmarkStart w:id="232" w:name="_Toc80"/>
      <w:bookmarkEnd w:id="230"/>
      <w:bookmarkEnd w:id="231"/>
      <w:r>
        <w:rPr>
          <w:rtl w:val="true"/>
        </w:rPr>
        <w:t>الأمر الثالث في عدم صحّة التيمّم بالرماد</w:t>
      </w:r>
      <w:bookmarkEnd w:id="232"/>
    </w:p>
    <w:p>
      <w:pPr>
        <w:pStyle w:val="BookText"/>
        <w:rPr/>
      </w:pPr>
      <w:r>
        <w:rPr>
          <w:rFonts w:ascii="Amiri" w:hAnsi="Amiri" w:eastAsia="Amiri" w:cs="Amiri"/>
          <w:color w:val="111111"/>
          <w:sz w:val="28"/>
          <w:sz w:val="28"/>
          <w:szCs w:val="28"/>
          <w:rtl w:val="true"/>
          <w:lang w:bidi="ar-SA"/>
        </w:rPr>
        <w:t>لا يصحّ التيمّم بالرماد بلا إشكال ولا خلاف ظاهراً ؛ لعدم كونه أرضاً ، وتؤيّده</w:t>
      </w:r>
    </w:p>
    <w:p>
      <w:pPr>
        <w:pStyle w:val="BookText"/>
        <w:rPr/>
      </w:pPr>
      <w:r>
        <w:rPr>
          <w:rFonts w:ascii="Amiri" w:hAnsi="Amiri" w:eastAsia="Amiri" w:cs="Amiri"/>
          <w:color w:val="111111"/>
          <w:sz w:val="28"/>
          <w:sz w:val="28"/>
          <w:szCs w:val="28"/>
          <w:rtl w:val="true"/>
          <w:lang w:bidi="ar-SA"/>
        </w:rPr>
        <w:t>الروايات المتقدّمة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يجوز بالرماد الحاصل من الحجر والأرض ؛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ولا أقلّ من الشكّ فيه ، وعدمِ حجّية الروايات الدالّة على الجواز</w:t>
      </w:r>
      <w:r>
        <w:rPr>
          <w:rStyle w:val="FootnoteAnchor"/>
          <w:rtl w:val="true"/>
        </w:rPr>
        <w:footnoteReference w:id="473"/>
      </w:r>
      <w:r>
        <w:rPr>
          <w:rFonts w:ascii="Amiri" w:hAnsi="Amiri" w:eastAsia="Amiri" w:cs="Amiri"/>
          <w:color w:val="111111"/>
          <w:sz w:val="28"/>
          <w:sz w:val="28"/>
          <w:szCs w:val="28"/>
          <w:rtl w:val="true"/>
          <w:lang w:bidi="ar-SA"/>
        </w:rPr>
        <w:t xml:space="preserve">، وعدمِ جريان الاستصحاب فيه ؛ لا موضوعاً ولا حكماً ؛ لعدم وحدة القضيّة المتيقّنة والمشكوك فيها ، فإنّ الرماد حقيقة غير حقيقة التراب والحجر عرفاً ، وليس تبدّلهما به تبدّل صفة مع بقاء الذات ، بل تبدّل حقيقة باُخرى عرفاً وعقلاً ، فما هو حاصل بعد الاحتراق لا يكون بعينه ما هو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الرماد كان حجراً فصار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 نّه كان حجراً قبل تبدّله ، وقد تبدّل بشيء آخر ، أو يراد محفوظية المادّة والهيولى ، لا بقاء الحقيقة والتغيّر في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في موردٍ عدم التبدّل في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كالخزف والآجرّ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الشكّ فلا مانع من إجراء الاستصحاب الحكمي ، دون الموضوعي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ظاهر في المقام في أ نّها مطهّرة ، ولا يراد منه أ نّها طاهرة ولا مبالغة في الطهارة كما</w:t>
      </w:r>
    </w:p>
    <w:p>
      <w:pPr>
        <w:pStyle w:val="BookText"/>
        <w:rPr/>
      </w:pPr>
      <w:r>
        <w:rPr>
          <w:rFonts w:ascii="Amiri" w:hAnsi="Amiri" w:eastAsia="Amiri" w:cs="Amiri"/>
          <w:color w:val="111111"/>
          <w:sz w:val="28"/>
          <w:sz w:val="28"/>
          <w:szCs w:val="28"/>
          <w:rtl w:val="true"/>
          <w:lang w:bidi="ar-SA"/>
        </w:rPr>
        <w:t xml:space="preserve">احتمل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فالآجرّ والخزف قبل طبخهما كانا طهورين بحكم الشارع ، فشكّ في ذلك بعد طبخهما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الاستصحاب التعليقي ، بل هو كاستصحاب كرّية الماء وطهارته ؛ حيث كان الحكم الشرعي حصول الطهارة بالتيمّم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يتيمّم بها تحصل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حكماً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استصحابه أيضاً ؛ لأ نّه في التعليقات الشرعية جارٍ ، على ما هو المحقّق في محلّه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الجريان في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من قبيل الشبهات المفهومية ، كتردّد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موضوعاً لامتداده إلى ذهاب الحمرة المشرقية ، أو إلى سقوط الشمس ، فإنّ من المعلوم أنّ الخزف ليس بتراب ، ومعلوم أ نّه خزف ، لكن يشكّ في صدق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جهة الشكّ في أنّ مفهومها شامل لما طبخ أو لا ، وفي مثله لا يجري الاستصحاب ؛ لأنّ مصبّ أدلّته هو الشكّ في بقاء الشيء بعد العلم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يجري الاستصحاب في الشبهات الحكمية التي من قبيلها ، كما لو شكّ في أنّ الكرّ شرعاً عبارة عن ثلاثة أشبار ونصف طولاً وعرضاً وعمقاً ، أو ثلاثة أشبار ، فإذا كان الماء بالمقدار المتيقّن من الكرّ ، ثمّ وصل إلى ثلاثة أشبار ، لا يجري استصحاب بقاء الكرّ ؛ لأنّ الموضوع معلوم ؛ أي يعلم أ نّه ليس بالحدّ الأوّل ، ويعلم أ نّه بالحدّ الثاني ، فليس الشكّ في بقاء ما علم ، بل في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العنوان عليه شرعاً ، وفي أنّ الشارع جعل الكرّ أيَّ الحدّين ، وفي مثله لا يجري الأصل </w:t>
      </w:r>
      <w:r>
        <w:rPr>
          <w:rFonts w:eastAsia="Amiri" w:cs="Amiri" w:ascii="Amiri" w:hAnsi="Amiri"/>
          <w:color w:val="111111"/>
          <w:sz w:val="28"/>
          <w:szCs w:val="28"/>
          <w:rtl w:val="true"/>
          <w:lang w:bidi="ar-SA"/>
        </w:rPr>
        <w:t xml:space="preserve">. </w:t>
      </w:r>
      <w:bookmarkStart w:id="233" w:name="pg17116_198706"/>
    </w:p>
    <w:p>
      <w:pPr>
        <w:pStyle w:val="Heading5"/>
        <w:numPr>
          <w:ilvl w:val="4"/>
          <w:numId w:val="1"/>
        </w:numPr>
        <w:rPr/>
      </w:pPr>
      <w:bookmarkStart w:id="234" w:name="__RefHeading___Toc8645979_3381743652"/>
      <w:bookmarkStart w:id="235" w:name="_Toc81"/>
      <w:bookmarkEnd w:id="233"/>
      <w:bookmarkEnd w:id="234"/>
      <w:r>
        <w:rPr>
          <w:rtl w:val="true"/>
        </w:rPr>
        <w:t>الأمر الرابع في جواز التيمّم بالجصّ والنورة</w:t>
      </w:r>
      <w:bookmarkEnd w:id="235"/>
    </w:p>
    <w:p>
      <w:pPr>
        <w:pStyle w:val="BookText"/>
        <w:rPr/>
      </w:pPr>
      <w:r>
        <w:rPr>
          <w:rFonts w:ascii="Amiri" w:hAnsi="Amiri" w:eastAsia="Amiri" w:cs="Amiri"/>
          <w:color w:val="111111"/>
          <w:sz w:val="28"/>
          <w:sz w:val="28"/>
          <w:szCs w:val="28"/>
          <w:rtl w:val="true"/>
          <w:lang w:bidi="ar-SA"/>
        </w:rPr>
        <w:t>يجوز التيمّم بالجصّ والنورة قبل احتراقهما ، كما عن المشهور</w:t>
      </w:r>
      <w:r>
        <w:rPr>
          <w:rStyle w:val="FootnoteAnchor"/>
          <w:rtl w:val="true"/>
        </w:rPr>
        <w:footnoteReference w:id="477"/>
      </w:r>
      <w:r>
        <w:rPr>
          <w:rFonts w:ascii="Amiri" w:hAnsi="Amiri" w:eastAsia="Amiri" w:cs="Amiri"/>
          <w:color w:val="111111"/>
          <w:sz w:val="28"/>
          <w:sz w:val="28"/>
          <w:szCs w:val="28"/>
          <w:rtl w:val="true"/>
          <w:lang w:bidi="ar-SA"/>
        </w:rPr>
        <w:t xml:space="preserve">؛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مضايقة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 لما عرفت</w:t>
      </w:r>
      <w:r>
        <w:rPr>
          <w:rStyle w:val="FootnoteAnchor"/>
          <w:rtl w:val="true"/>
        </w:rPr>
        <w:footnoteReference w:id="478"/>
      </w:r>
      <w:r>
        <w:rPr>
          <w:rFonts w:ascii="Amiri" w:hAnsi="Amiri" w:eastAsia="Amiri" w:cs="Amiri"/>
          <w:color w:val="111111"/>
          <w:sz w:val="28"/>
          <w:sz w:val="28"/>
          <w:szCs w:val="28"/>
          <w:rtl w:val="true"/>
          <w:lang w:bidi="ar-SA"/>
        </w:rPr>
        <w:t xml:space="preserve">من عدم دليل على اعتبار عدم المعدنية ، بل المناط عدم الخروج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إن يدّعِ الخروج عن مسمّاها ، فهو محجوج بالعرف واللغة ، وإن يدّعِ معدنيتهما ، فهو محجوج بأنّ المعدنية غير 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حال الاختيار والاضطرار فلا وجه له ؛ لأ نّهما لو خرجا عن</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التيمّم بهما مطلقاً ، وإلاّ فيصحّ كذلك ، ولا دليل على التفصيل فيهما ، كما في مثل الطين والغبار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رِفاعة تشعر بالتفصيل بين التراب وغيره ،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كونها في مقام بيان الترتيب بين اليابس والجافّ والأجفّ</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يجوز التيمّم بهما بعد احتراقهما ؛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الخروج عن مسمّاها بمجرّد الطبخ ، ومع الشكّ يرجع إلى الاستصحاب الحكمي لا الموضوعي ، كما مرّ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36" w:name="pg17116_198707"/>
    </w:p>
    <w:p>
      <w:pPr>
        <w:pStyle w:val="Heading5"/>
        <w:numPr>
          <w:ilvl w:val="4"/>
          <w:numId w:val="1"/>
        </w:numPr>
        <w:rPr/>
      </w:pPr>
      <w:bookmarkStart w:id="237" w:name="__RefHeading___Toc8645981_3381743652"/>
      <w:bookmarkStart w:id="238" w:name="_Toc82"/>
      <w:bookmarkEnd w:id="236"/>
      <w:bookmarkEnd w:id="237"/>
      <w:r>
        <w:rPr>
          <w:rtl w:val="true"/>
        </w:rPr>
        <w:t>الأمر الخامس في اشتراط إباحة ما يتيمّم به</w:t>
      </w:r>
      <w:bookmarkEnd w:id="238"/>
    </w:p>
    <w:p>
      <w:pPr>
        <w:pStyle w:val="BookText"/>
        <w:rPr/>
      </w:pPr>
      <w:r>
        <w:rPr>
          <w:rFonts w:ascii="Amiri" w:hAnsi="Amiri" w:eastAsia="Amiri" w:cs="Amiri"/>
          <w:color w:val="111111"/>
          <w:sz w:val="28"/>
          <w:sz w:val="28"/>
          <w:szCs w:val="28"/>
          <w:rtl w:val="true"/>
          <w:lang w:bidi="ar-SA"/>
        </w:rPr>
        <w:t>يشترط فيما يتيمّم به أن يكون مباحاً ، فلا يجوز التيمّم بالمغصوب إجماعاً ،</w:t>
      </w:r>
    </w:p>
    <w:p>
      <w:pPr>
        <w:pStyle w:val="BookText"/>
        <w:rPr/>
      </w:pP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وعقلاً إن كان الضرب على الأرض داخلاً في حقيقته ، كما هو الظاهر ؛ لعدم تعدّد العنوان والجهة معه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 فهما عنوانان متصادقان على موجود واحد ، فما هو الحرام التصرّف عدواناً ، وما هو جزء التيمّم هو الضرب على الأرض ، وهو عنوان آخر غيره ، ولهذا يفترقان بالضرب على الأرض المباحة ، وبالتصرّف بغير الضرب في الأرض المغصوبة ، تأمّل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صحّته فبمقتضى القاعدة ، لكن الالتزام بها في غاية الإشكال ، بل غير ممكن ؛ لتسلّمه بين الأصحاب ، وللإجماع المدّعى ؛ وإن أمكن المناقشة في مثل هذا الإجماع الذي للعقل فيه مدخل ويمكن اتّكال المجمعين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بعدم جواز الاجتماع وترجيح جانب النهي ، أو دعوى أنّ المبعّد لا يمكن أن يكون مقرّباً ولو مع جوازه ، أو جهات اُخر مرّ بيانها والجواب عنها </w:t>
      </w:r>
      <w:r>
        <w:rPr>
          <w:rStyle w:val="FootnoteAnchor"/>
          <w:rtl w:val="true"/>
        </w:rPr>
        <w:footnoteReference w:id="482"/>
      </w:r>
      <w:r>
        <w:rPr>
          <w:rFonts w:ascii="Amiri" w:hAnsi="Amiri" w:eastAsia="Amiri" w:cs="Amiri"/>
          <w:color w:val="111111"/>
          <w:sz w:val="28"/>
          <w:sz w:val="28"/>
          <w:szCs w:val="28"/>
          <w:rtl w:val="true"/>
          <w:lang w:bidi="ar-SA"/>
        </w:rPr>
        <w:t xml:space="preserve">، لكن مع ذلك لا محيص عمّا ذهب إليه </w:t>
      </w:r>
      <w:bookmarkStart w:id="239" w:name="pg17116_198708"/>
    </w:p>
    <w:p>
      <w:pPr>
        <w:pStyle w:val="BookText"/>
        <w:rPr/>
      </w:pPr>
      <w:bookmarkEnd w:id="239"/>
      <w:r>
        <w:rPr>
          <w:rFonts w:ascii="Amiri" w:hAnsi="Amiri" w:eastAsia="Amiri" w:cs="Amiri"/>
          <w:color w:val="111111"/>
          <w:sz w:val="28"/>
          <w:sz w:val="28"/>
          <w:szCs w:val="28"/>
          <w:rtl w:val="true"/>
          <w:lang w:bidi="ar-SA"/>
        </w:rPr>
        <w:t xml:space="preserve">الجماعة ، إلاّ أنّ ذلك فيما إذا كانت الأرض 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مباحيتها ومغصوبية الآنية أو المكان أو غيرهما ، فلا يبعد القول بالصحّة على طبق القاعدة ؛ لبُعد كون المسألة بالنسبة إلى تلك الفروع إجماعية ، والاحتياط سبيل النجاة </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8645983_3381743652"/>
      <w:bookmarkStart w:id="241" w:name="_Toc83"/>
      <w:bookmarkEnd w:id="240"/>
      <w:r>
        <w:rPr>
          <w:rtl w:val="true"/>
        </w:rPr>
        <w:t>الأمر السادس في اشتراط طهارة ما يتيمّم به</w:t>
      </w:r>
      <w:bookmarkEnd w:id="241"/>
    </w:p>
    <w:p>
      <w:pPr>
        <w:pStyle w:val="BookText"/>
        <w:rPr/>
      </w:pPr>
      <w:r>
        <w:rPr>
          <w:rFonts w:ascii="Amiri" w:hAnsi="Amiri" w:eastAsia="Amiri" w:cs="Amiri"/>
          <w:color w:val="111111"/>
          <w:sz w:val="28"/>
          <w:sz w:val="28"/>
          <w:szCs w:val="28"/>
          <w:rtl w:val="true"/>
          <w:lang w:bidi="ar-SA"/>
        </w:rPr>
        <w:t xml:space="preserve">يشترط في الأرض الطهارة ، فلا يصحّ التيمّم بالتراب النجس إجماعاً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Style w:val="FootnoteAnchor"/>
          <w:rtl w:val="true"/>
        </w:rPr>
        <w:footnoteReference w:id="48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Style w:val="FootnoteAnchor"/>
          <w:rtl w:val="true"/>
        </w:rPr>
        <w:footnoteReference w:id="485"/>
      </w:r>
      <w:r>
        <w:rPr>
          <w:rFonts w:ascii="Amiri" w:hAnsi="Amiri" w:eastAsia="Amiri" w:cs="Amiri"/>
          <w:color w:val="111111"/>
          <w:sz w:val="28"/>
          <w:sz w:val="28"/>
          <w:szCs w:val="28"/>
          <w:rtl w:val="true"/>
          <w:lang w:bidi="ar-SA"/>
        </w:rPr>
        <w:t xml:space="preserve">، وهو حجّة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بناءً على كونه بمعنى الطاهر ، كما عن ابن عبّاس</w:t>
      </w:r>
      <w:r>
        <w:rPr>
          <w:rStyle w:val="FootnoteAnchor"/>
          <w:rtl w:val="true"/>
        </w:rPr>
        <w:footnoteReference w:id="48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المفسِّرين</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دعوى ظهوره فيه عرفاً بعد عدم كون المراد منه المُستَلَذّ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معناه </w:t>
      </w:r>
    </w:p>
    <w:p>
      <w:pPr>
        <w:pStyle w:val="BookText"/>
        <w:rPr/>
      </w:pP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والموضوع ، وبكونه على الظاهر مساوقاً للنظيف عرفاً الذي جعل مقابل القذر في بعض الروايات</w:t>
      </w:r>
      <w:r>
        <w:rPr>
          <w:rStyle w:val="FootnoteAnchor"/>
          <w:rtl w:val="true"/>
        </w:rPr>
        <w:footnoteReference w:id="490"/>
      </w:r>
      <w:r>
        <w:rPr>
          <w:rFonts w:ascii="Amiri" w:hAnsi="Amiri" w:eastAsia="Amiri" w:cs="Amiri"/>
          <w:color w:val="111111"/>
          <w:sz w:val="28"/>
          <w:sz w:val="28"/>
          <w:szCs w:val="28"/>
          <w:rtl w:val="true"/>
          <w:lang w:bidi="ar-SA"/>
        </w:rPr>
        <w:t xml:space="preserve">، أو يكون المراد منه مطلق النظيف ، خرج منه النجس إجماعاً ، وبقي ما هو المقابل للقذر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كونه مقابل الخبيث</w:t>
      </w:r>
      <w:r>
        <w:rPr>
          <w:rStyle w:val="FootnoteAnchor"/>
          <w:rtl w:val="true"/>
        </w:rPr>
        <w:footnoteReference w:id="491"/>
      </w:r>
      <w:r>
        <w:rPr>
          <w:rFonts w:ascii="Amiri" w:hAnsi="Amiri" w:eastAsia="Amiri" w:cs="Amiri"/>
          <w:color w:val="111111"/>
          <w:sz w:val="28"/>
          <w:sz w:val="28"/>
          <w:szCs w:val="28"/>
          <w:rtl w:val="true"/>
          <w:lang w:bidi="ar-SA"/>
        </w:rPr>
        <w:t xml:space="preserve">،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وَالَّذِى خَبُثَ لاَ يَخْرُجُ إِلاَّ نَكِداً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فيكون المراد منه الأرض النابتة ، يُبعده ما مرّ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وجه الأرض بالشواهد المتقدّمة</w:t>
      </w:r>
      <w:r>
        <w:rPr>
          <w:rStyle w:val="FootnoteAnchor"/>
          <w:rtl w:val="true"/>
        </w:rPr>
        <w:footnoteReference w:id="493"/>
      </w:r>
      <w:r>
        <w:rPr>
          <w:rFonts w:ascii="Amiri" w:hAnsi="Amiri" w:eastAsia="Amiri" w:cs="Amiri"/>
          <w:color w:val="111111"/>
          <w:sz w:val="28"/>
          <w:sz w:val="28"/>
          <w:szCs w:val="28"/>
          <w:rtl w:val="true"/>
          <w:lang w:bidi="ar-SA"/>
        </w:rPr>
        <w:t xml:space="preserve">، فلا يبعد دعوى أقربية ما ذكرناه أوّلاً ولو بضميمة فهم المفسّرين والفقهاء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لغة بمعنى الأرض غير النابتة ، بل بمعنى الرديء وما يساوقه</w:t>
      </w:r>
      <w:r>
        <w:rPr>
          <w:rStyle w:val="FootnoteAnchor"/>
          <w:rtl w:val="true"/>
        </w:rPr>
        <w:footnoteReference w:id="494"/>
      </w:r>
      <w:r>
        <w:rPr>
          <w:rFonts w:ascii="Amiri" w:hAnsi="Amiri" w:eastAsia="Amiri" w:cs="Amiri"/>
          <w:color w:val="111111"/>
          <w:sz w:val="28"/>
          <w:sz w:val="28"/>
          <w:szCs w:val="28"/>
          <w:rtl w:val="true"/>
          <w:lang w:bidi="ar-SA"/>
        </w:rPr>
        <w:t xml:space="preserve">، والنجس أيضاً خبيث ، والمناسبات المغروسة في الأذهان توجب تعيّن الطيّب المقابل للخبيث في الطاهر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النجاسات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من الخَبَث في مقابل الطهارة من الحدث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المطلوب بعض الروايات ، كمرسلة علي بن مطر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لا يصيب الماء ولا التراب ، أيتيمّم بالطين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صعيد طيّب وماء طهور</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أنّ الطين صعيد طيّب وماء طهور ، فإنّ الظاهر منها أنّ السؤال من حيث صحّة التيمّم ، لا صيرورة بدنه نجساً للصلاة ، والجواب عن هذه الجهة ، فالرواية دالّة على صحّته به ؛ لكونه كذلك ، ولولا اعتبار الطهور في المتيمّم به لا يكون وجه لتقييده بالطهور ، بل في نفس ذكر الطيّب والطهور إشعار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عن الأرض ، 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ينحدر عنه الماء</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w:t>
      </w:r>
      <w:r>
        <w:rPr>
          <w:rStyle w:val="FootnoteAnchor"/>
          <w:rtl w:val="true"/>
        </w:rPr>
        <w:footnoteReference w:id="497"/>
      </w:r>
      <w:r>
        <w:rPr>
          <w:rFonts w:ascii="Amiri" w:hAnsi="Amiri" w:eastAsia="Amiri" w:cs="Amiri"/>
          <w:color w:val="111111"/>
          <w:sz w:val="28"/>
          <w:sz w:val="28"/>
          <w:szCs w:val="28"/>
          <w:rtl w:val="true"/>
          <w:lang w:bidi="ar-SA"/>
        </w:rPr>
        <w:t>، والأخبار الواردة في أنّ الأرض طهور</w:t>
      </w:r>
      <w:r>
        <w:rPr>
          <w:rStyle w:val="FootnoteAnchor"/>
          <w:rtl w:val="true"/>
        </w:rPr>
        <w:footnoteReference w:id="498"/>
      </w:r>
      <w:r>
        <w:rPr>
          <w:rFonts w:ascii="Amiri" w:hAnsi="Amiri" w:eastAsia="Amiri" w:cs="Amiri"/>
          <w:color w:val="111111"/>
          <w:sz w:val="28"/>
          <w:sz w:val="28"/>
          <w:szCs w:val="28"/>
          <w:rtl w:val="true"/>
          <w:lang w:bidi="ar-SA"/>
        </w:rPr>
        <w:t xml:space="preserve">؛ أي طاهرة مطهِّرة ، أو مطهِّرة مع قضاء الارتكاز بأنّ المطهّر لا بدّ وأن يكون طاهراً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ما ذكر يوجب الاطمئنان وإن أمكن الخدشة في غالبها ، فلا ينبغي الإشكال في الحكم </w:t>
      </w:r>
      <w:r>
        <w:rPr>
          <w:rFonts w:eastAsia="Amiri" w:cs="Amiri" w:ascii="Amiri" w:hAnsi="Amiri"/>
          <w:color w:val="111111"/>
          <w:sz w:val="28"/>
          <w:szCs w:val="28"/>
          <w:rtl w:val="true"/>
          <w:lang w:bidi="ar-SA"/>
        </w:rPr>
        <w:t xml:space="preserve">. </w:t>
      </w:r>
      <w:bookmarkStart w:id="242" w:name="pg17116_198711"/>
    </w:p>
    <w:p>
      <w:pPr>
        <w:pStyle w:val="Heading5"/>
        <w:numPr>
          <w:ilvl w:val="4"/>
          <w:numId w:val="1"/>
        </w:numPr>
        <w:rPr/>
      </w:pPr>
      <w:bookmarkStart w:id="243" w:name="__RefHeading___Toc8645985_3381743652"/>
      <w:bookmarkStart w:id="244" w:name="_Toc84"/>
      <w:bookmarkEnd w:id="242"/>
      <w:bookmarkEnd w:id="243"/>
      <w:r>
        <w:rPr>
          <w:rtl w:val="true"/>
        </w:rPr>
        <w:t>الأمر السابع في امتزاج ما يصحّ التيمّم به بغيره</w:t>
      </w:r>
      <w:bookmarkEnd w:id="244"/>
    </w:p>
    <w:p>
      <w:pPr>
        <w:pStyle w:val="BookText"/>
        <w:rPr/>
      </w:pPr>
      <w:r>
        <w:rPr>
          <w:rFonts w:ascii="Amiri" w:hAnsi="Amiri" w:eastAsia="Amiri" w:cs="Amiri"/>
          <w:color w:val="111111"/>
          <w:sz w:val="28"/>
          <w:sz w:val="28"/>
          <w:szCs w:val="28"/>
          <w:rtl w:val="true"/>
          <w:lang w:bidi="ar-SA"/>
        </w:rPr>
        <w:t xml:space="preserve">لو مزج ما يصحّ التيمّم به بغيره ، فإن خرج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باستهلاكه فيما لا يصحّ ، أو بالامتزاج على وجه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يصدق عليه ما اختلط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التيمّم به بلا إشكال ولا خلاف ظاهراً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يخرج عن مسمّاها باستهلاك غير الأرض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امتزج كفّ من الرماد بأمنانٍ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بلا إشكال ؛ للصدق حقيقة عند العرف من غير مسامحة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 بعض الأجزاء الضعيفة التي لا تستهلك عرفاً ، مثل الشعرة وبعض ذرّات التبن والحشيش ؛ ممّا لا ينفكّ عن الأرض نوعاً ؛ للانصراف وعدم فهم العرف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تلك الأراضي المتعارفة ، لا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المجموع من التراب وغيره عرفاً ؛ ضرورة أنّ الحبّة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كحبّة الجاوَرْس والخَشْخاش والأجزاء الصغيرة من التبن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على وجه الأرض لا يطلق على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بنحو من المسامحة حتّى في نظر العرف ، وقد مرّ</w:t>
      </w:r>
      <w:r>
        <w:rPr>
          <w:rStyle w:val="FootnoteAnchor"/>
          <w:rtl w:val="true"/>
        </w:rPr>
        <w:footnoteReference w:id="499"/>
      </w:r>
      <w:r>
        <w:rPr>
          <w:rFonts w:ascii="Amiri" w:hAnsi="Amiri" w:eastAsia="Amiri" w:cs="Amiri"/>
          <w:color w:val="111111"/>
          <w:sz w:val="28"/>
          <w:sz w:val="28"/>
          <w:szCs w:val="28"/>
          <w:rtl w:val="true"/>
          <w:lang w:bidi="ar-SA"/>
        </w:rPr>
        <w:t xml:space="preserve">أنّ تشخيص موضوعات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بنظر العرف ، لكن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الدقّة </w:t>
      </w:r>
    </w:p>
    <w:p>
      <w:pPr>
        <w:pStyle w:val="BookText"/>
        <w:rPr/>
      </w:pPr>
      <w:r>
        <w:rPr>
          <w:rFonts w:ascii="Amiri" w:hAnsi="Amiri" w:eastAsia="Amiri" w:cs="Amiri"/>
          <w:color w:val="111111"/>
          <w:sz w:val="28"/>
          <w:sz w:val="28"/>
          <w:szCs w:val="28"/>
          <w:rtl w:val="true"/>
          <w:lang w:bidi="ar-SA"/>
        </w:rPr>
        <w:t xml:space="preserve">العرفية لا مسامحته ؛ من غير فرق بين التحديدات وغيرها ، فإذا وجب التيمّم على الأرض ، ولم تكن قرينة توجب الاكتفاء بالفرد المسامحي المجازي ، لزم أن تكون الأرض خالصة عرفاً ، ويصدق عليها عنوانها من غير مسامحة ؛ تحكيماً لأصالة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الصغار ليست ملحوظة لدى العرف بحيالها ؛ لكون المجموع مصداقاً للصعيد في الفرض ، ولا يعتبر أن يكون كلّ جزء جزء يفرض منه ممّا يقع عليه الاسم</w:t>
      </w:r>
      <w:r>
        <w:rPr>
          <w:rStyle w:val="FootnoteAnchor"/>
          <w:rtl w:val="true"/>
        </w:rPr>
        <w:footnoteReference w:id="500"/>
      </w:r>
      <w:r>
        <w:rPr>
          <w:rFonts w:ascii="Amiri" w:hAnsi="Amiri" w:eastAsia="Amiri" w:cs="Amiri"/>
          <w:color w:val="111111"/>
          <w:sz w:val="28"/>
          <w:sz w:val="28"/>
          <w:szCs w:val="28"/>
          <w:rtl w:val="true"/>
          <w:lang w:bidi="ar-SA"/>
        </w:rPr>
        <w:t>، غير وجيهة ؛ ضرورة أنّ كلّ جزء إذا لم يكن أرضاً</w:t>
      </w:r>
    </w:p>
    <w:p>
      <w:pPr>
        <w:pStyle w:val="BookText"/>
        <w:rPr/>
      </w:pPr>
      <w:r>
        <w:rPr>
          <w:rFonts w:ascii="Amiri" w:hAnsi="Amiri" w:eastAsia="Amiri" w:cs="Amiri"/>
          <w:color w:val="111111"/>
          <w:sz w:val="28"/>
          <w:sz w:val="28"/>
          <w:szCs w:val="28"/>
          <w:rtl w:val="true"/>
          <w:lang w:bidi="ar-SA"/>
        </w:rPr>
        <w:t xml:space="preserve">عرفاً ، لا يمكن أن يكون المجموع أرضاً إلاّ بالمسامحة والتأوّل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بمورد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لأنّ فرض الاستهلاك العرفي ينافي البقاء العرفي ؛ وإن كان المستهلك باقياً بالبرهان والعقل البرهاني ، أو ترى الأجزاء بآلات مكبّرة ، لكن العرف لا يرى المستهلك موجوداً ولو بالدقّة ، كاستهلاك الماء في اللبن ، والمراد بالاستهلاك في الفرض الأوّل ذلك ، فلو رُئيت الأجزاء وميِّزت يكون من قبيل الثاني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مصداق المفاهيم قد يكون عقلياً برهانياً ، أو مشخّصاً بآلات غير عادية كالمكبّرات ، وقد يكون عرفياً حقيقياً من غير مسامحة ، وقد يكون عرفياً مسامحياً ، والميزان هو تشخيص العرف بالنظر الدقيق العرفي ، ولا ريب في أنّ الأرض إذا خالطها أجزاء صغار غير أرضية تدرك بالبصر ، لا يصدق على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بل الإطلاق بنحو من المسامحة وتنزيل الموجود الصغير منزلة المعدوم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يفرّق بين الموضوعات ، فيتسامح في خليط التبن بما لا يتسامح في خليط الحنطة ، ويتسامح في خليطها بما لا يتسامح في خليط الزعفران والذهب ، وذلك دليل على التسامح وغضّ البصر عن بعض الاُمور ، لا لأنّ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الخليط حقيقي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قد تقدّم وجود قرائن في بعض المقامات على أنّ الموضوع للحكم الشرعي هو الموضوع الذي يتسامح فيه العرف ، مثلاً إذا أوجب الشارع في زكاة الفطر صاعاً من الحنطة أو الشعير ، لا ينقدح في ذهن العرف من وجوب صاعٍ من الحنطة والشعير في زكاة الفطر ، إلاّ ما هو المتعارف منهما في سوق البلد ، لا الخالص غير المتعارف ، فالتعارف يوجب الانصراف إلى ما بين أيديهم من الأفراد وتقع معاملاتهم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بيع كرّ من الحنطة منصرف إلى المصاديق المتعارفة في سوق البلد ، فلو كانت الأفراد المتداولة مخلوطة بمقدار من غير الجنس ، لا يجب الأداء إلاّ ممّا هو المتعارف ، لا لأجل صدق كرّ من الحنطة حقيقة ومن غير تسامح على الناقص مع المتمّم من غير جنسها ، بل لأجل الانصراف إلى المتعارف وعدم اعتناء العرف بمثل هذا الخليط ، وإن لم يتسامح في الأجناس الغالية العزيزة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أيضاً ينصرف الأمر بالتيمّم على الصعيد والتراب إلى ما هو المتعارف ، الذي لا ينفكّ عن الخليط بما ذكرناه ؛ وإن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غير تسامح ، ولهذا لو كان الخليط غير متعارف مقداراً أو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كوقوع ذرّات من الذهب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به ؛ لعدم تعارف مثل هذا الاختلاط بالأجنبيّ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السرّ في الافتراق بين الاختلاط بغير الأرض ممّا هو متعارف ، وبين الاختلاط بغير المتعارف ، كالاختلاط بشيء من النجس ، أو الاختلاط الاختياري بشيء غير الأرض ؛ لعدم المناط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أشباه المقام ، كاختلاط مقدار من التراب اختياراً في الحنطة لتتميم الصاع ، فإنّ هذا النحو من الاختلاط غير متعارف لا ينصرف إليه الدليل ، بخلاف الاختلاط الطبيعي غير المنفكّ ، ولهذا يفرّق بين إعطاء صاع من الحنطة في زكاة الفطر ، وصاع من التمر ؛ لاختلاف تعارف الخلط فيهما ، فلو كان التمر مخلوطاً بمثل خلط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الخلط بالتراب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يكتفى به في الزكاة ؛ لأجل عدم التعارف ، بخلاف اختلاطه بما هو المتعارف ، كالأخشاب الصغار من ساقاته وجذوعه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بالتراب والأرض المتعارفين ؛ ممّا هو مخلوط بصغار التبن والحشيش وغيرهما ممّا لا ينفكّ عنه غالباً ، بخلاف الاختلاط بالأجنبيّ وما هو غير متعارف خلطاً ومخلوطاً ؛ وإن كان صغيراً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كلام بعض أهل التحقيق ممّن قارب عصرنا </w:t>
      </w:r>
      <w:r>
        <w:rPr>
          <w:rStyle w:val="FootnoteAnchor"/>
          <w:rtl w:val="true"/>
        </w:rPr>
        <w:footnoteReference w:id="501"/>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في المقام مبنيّ على لزوم استيعاب جميع الكفِّ الأرضَ ، لكن فيه كلام سيأتي التعرّض له في محلّه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45" w:name="pg17116_198715"/>
    </w:p>
    <w:p>
      <w:pPr>
        <w:pStyle w:val="Heading5"/>
        <w:numPr>
          <w:ilvl w:val="4"/>
          <w:numId w:val="1"/>
        </w:numPr>
        <w:rPr/>
      </w:pPr>
      <w:bookmarkStart w:id="246" w:name="__RefHeading___Toc8645987_3381743652"/>
      <w:bookmarkStart w:id="247" w:name="_Toc85"/>
      <w:bookmarkEnd w:id="245"/>
      <w:bookmarkEnd w:id="246"/>
      <w:r>
        <w:rPr>
          <w:rtl w:val="true"/>
        </w:rPr>
        <w:t>الأمر الثامن في جواز التيمّم بغبار الثوب ولبد السرج وعُرف الدابّة</w:t>
      </w:r>
      <w:bookmarkEnd w:id="247"/>
    </w:p>
    <w:p>
      <w:pPr>
        <w:pStyle w:val="Heading6"/>
        <w:numPr>
          <w:ilvl w:val="5"/>
          <w:numId w:val="1"/>
        </w:numPr>
        <w:rPr/>
      </w:pPr>
      <w:bookmarkStart w:id="248" w:name="__RefHeading___Toc8645989_3381743652"/>
      <w:bookmarkStart w:id="249" w:name="_Toc8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يجوز التيمّم بغبار الثوب ولِبْد السرج وعُرْف الدابّة عند فقد الأرض أو تعذّر الاستعمال ، بلا إشكال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علمائنا وأكثر العامّة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المُواقِف إن لم يكن على وضوء ، كيف يصنع ولا يقدر على النزول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من لِبْده أو سرجه أو مَعْرَفة دابّته ؛ فإنّ فيها غباراً ، ويصلّي</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وموثّقته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أصابه الثلج فلينظر لِبْد سرجه ، فليتيمّم من غباره أو من شيء معه</w:t>
      </w:r>
      <w:r>
        <w:rPr>
          <w:rStyle w:val="FootnoteAnchor"/>
          <w:rtl w:val="true"/>
        </w:rPr>
        <w:footnoteReference w:id="505"/>
      </w:r>
      <w:r>
        <w:rPr>
          <w:rFonts w:ascii="Amiri" w:hAnsi="Amiri" w:eastAsia="Amiri" w:cs="Amiri"/>
          <w:color w:val="111111"/>
          <w:sz w:val="28"/>
          <w:sz w:val="28"/>
          <w:szCs w:val="28"/>
          <w:rtl w:val="true"/>
          <w:lang w:bidi="ar-SA"/>
        </w:rPr>
        <w:t>، وإن كان في حال لا يجد إلاّ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رِفاعة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الأرض مبتلّة ليس </w:t>
      </w:r>
      <w:bookmarkStart w:id="250" w:name="pg17116_198716"/>
    </w:p>
    <w:p>
      <w:pPr>
        <w:pStyle w:val="BookText"/>
        <w:rPr/>
      </w:pPr>
      <w:bookmarkEnd w:id="250"/>
      <w:r>
        <w:rPr>
          <w:rFonts w:ascii="Amiri" w:hAnsi="Amiri" w:eastAsia="Amiri" w:cs="Amiri"/>
          <w:color w:val="111111"/>
          <w:sz w:val="28"/>
          <w:sz w:val="28"/>
          <w:szCs w:val="28"/>
          <w:rtl w:val="true"/>
          <w:lang w:bidi="ar-SA"/>
        </w:rPr>
        <w:t>فيها تراب ولا ماء ، فانظر أجفّ موضع تجده فتيمّم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توسيع من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ثلج فلينظر لِبْدَ سرجه فليتيمّم من غُباره أو شيء مُغبّر ، وإن كان في حال لا يجد إلاّ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بصير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حال لا تقدر إلاّ على الطين فتيمّم به ؛ فإنّ اللّه أولى بالعذر إذا لم يكن معك ثوب جافّ أو لِبْد تقدر أن تنفضه وتتيمّم به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8645991_3381743652"/>
      <w:bookmarkStart w:id="252" w:name="_Toc87"/>
      <w:bookmarkEnd w:id="251"/>
      <w:r>
        <w:rPr>
          <w:rtl w:val="true"/>
        </w:rPr>
        <w:t>عدم اختصاص الحكم بالأمثلة المذكورة في النصوص</w:t>
      </w:r>
      <w:bookmarkEnd w:id="2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يظهر من تعليل صحيحة زرارة وإطلاق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موثّقته ، عدمُ اختصاص الحكم بالأمثلة المذكورة في النصوص ، بل لولاهما أيضاً لا يفهم منها إلاّ التمثيل ، واختصاص تلك الأمثلة بالذكر ، لأجل كون المحارب المفروض في الصحيحة الاُولى ، والمسافر الذي يكون ظاهراً مفروض سائر الروايات ، لا يكون معهم شيء مغبّر نوعاً إلاّ ما ذكر فيها ، فلا يستفاد منها </w:t>
      </w:r>
      <w:bookmarkStart w:id="253" w:name="pg17116_198717"/>
    </w:p>
    <w:p>
      <w:pPr>
        <w:pStyle w:val="BookText"/>
        <w:rPr/>
      </w:pPr>
      <w:bookmarkEnd w:id="253"/>
      <w:r>
        <w:rPr>
          <w:rFonts w:ascii="Amiri" w:hAnsi="Amiri" w:eastAsia="Amiri" w:cs="Amiri"/>
          <w:color w:val="111111"/>
          <w:sz w:val="28"/>
          <w:sz w:val="28"/>
          <w:szCs w:val="28"/>
          <w:rtl w:val="true"/>
          <w:lang w:bidi="ar-SA"/>
        </w:rPr>
        <w:t xml:space="preserve">إلاّ التمثيل ، وتُلغى الخصوصية عرفاً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النصّ</w:t>
      </w:r>
    </w:p>
    <w:p>
      <w:pPr>
        <w:pStyle w:val="BookText"/>
        <w:rPr/>
      </w:pPr>
      <w:r>
        <w:rPr>
          <w:rFonts w:ascii="Amiri" w:hAnsi="Amiri" w:eastAsia="Amiri" w:cs="Amiri"/>
          <w:color w:val="111111"/>
          <w:sz w:val="28"/>
          <w:sz w:val="28"/>
          <w:szCs w:val="28"/>
          <w:rtl w:val="true"/>
          <w:lang w:bidi="ar-SA"/>
        </w:rPr>
        <w:t>والفتوى عدم الترتيب بين المذكورات ، فتقديم الثوب على اللِبْد</w:t>
      </w:r>
      <w:r>
        <w:rPr>
          <w:rStyle w:val="FootnoteAnchor"/>
          <w:rtl w:val="true"/>
        </w:rPr>
        <w:footnoteReference w:id="510"/>
      </w:r>
      <w:r>
        <w:rPr>
          <w:rFonts w:ascii="Amiri" w:hAnsi="Amiri" w:eastAsia="Amiri" w:cs="Amiri"/>
          <w:color w:val="111111"/>
          <w:sz w:val="28"/>
          <w:sz w:val="28"/>
          <w:szCs w:val="28"/>
          <w:rtl w:val="true"/>
          <w:lang w:bidi="ar-SA"/>
        </w:rPr>
        <w:t>أو العكس</w:t>
      </w:r>
      <w:r>
        <w:rPr>
          <w:rStyle w:val="FootnoteAnchor"/>
          <w:rtl w:val="true"/>
        </w:rPr>
        <w:footnoteReference w:id="511"/>
      </w:r>
      <w:r>
        <w:rPr>
          <w:rFonts w:ascii="IRNazanin" w:hAnsi="IRNazanin" w:eastAsia="IRNazanin"/>
          <w:color w:val="111111"/>
          <w:sz w:val="28"/>
          <w:sz w:val="28"/>
          <w:szCs w:val="28"/>
          <w:rtl w:val="true"/>
          <w:lang w:bidi="fa-IR"/>
        </w:rPr>
        <w:t xml:space="preserve">ممّا لا وجه له </w:t>
      </w:r>
      <w:r>
        <w:rPr>
          <w:rFonts w:eastAsia="IRNazanin" w:cs="IRNazanin"/>
          <w:color w:val="111111"/>
          <w:sz w:val="28"/>
          <w:szCs w:val="28"/>
          <w:rtl w:val="true"/>
          <w:lang w:bidi="fa-IR"/>
        </w:rPr>
        <w:t>.</w:t>
      </w:r>
    </w:p>
    <w:p>
      <w:pPr>
        <w:pStyle w:val="Heading6"/>
        <w:numPr>
          <w:ilvl w:val="5"/>
          <w:numId w:val="1"/>
        </w:numPr>
        <w:rPr/>
      </w:pPr>
      <w:bookmarkStart w:id="254" w:name="__RefHeading___Toc8645993_3381743652"/>
      <w:bookmarkStart w:id="255" w:name="_Toc88"/>
      <w:bookmarkEnd w:id="254"/>
      <w:r>
        <w:rPr>
          <w:rtl w:val="true"/>
        </w:rPr>
        <w:t>اشتراط جواز التيمّم بالغبار بفقد التراب أو مطلق الأرض</w:t>
      </w:r>
      <w:bookmarkEnd w:id="25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جواز التيمّم بالغبار مشروط بفقد التراب أو مطلق الأرض ، كما 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w:t>
      </w:r>
      <w:r>
        <w:rPr>
          <w:rStyle w:val="FootnoteAnchor"/>
          <w:rtl w:val="true"/>
        </w:rPr>
        <w:footnoteReference w:id="51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ظاهر أكثر الأصحاب</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تارة ، واُخرى نسبته إلى الأصحاب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 فيصحّ التيمّم به اختياراً ، كما عن السيّد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w:t>
      </w:r>
    </w:p>
    <w:p>
      <w:pPr>
        <w:pStyle w:val="BookText"/>
        <w:rPr/>
      </w:pPr>
      <w:r>
        <w:rPr>
          <w:rFonts w:ascii="IRNazanin" w:hAnsi="IRNazanin" w:eastAsia="IRNazanin"/>
          <w:color w:val="111111"/>
          <w:sz w:val="28"/>
          <w:sz w:val="28"/>
          <w:szCs w:val="28"/>
          <w:rtl w:val="true"/>
          <w:lang w:bidi="fa-IR"/>
        </w:rPr>
        <w:t>بالتراب وغبار الثوب</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 ؟</w:t>
      </w:r>
    </w:p>
    <w:p>
      <w:pPr>
        <w:pStyle w:val="BookText"/>
        <w:rPr/>
      </w:pPr>
      <w:r>
        <w:rPr>
          <w:rFonts w:ascii="Amiri" w:hAnsi="Amiri" w:eastAsia="Amiri" w:cs="Amiri"/>
          <w:color w:val="111111"/>
          <w:sz w:val="28"/>
          <w:sz w:val="28"/>
          <w:szCs w:val="28"/>
          <w:rtl w:val="true"/>
          <w:lang w:bidi="ar-SA"/>
        </w:rPr>
        <w:t xml:space="preserve">لكن لا يستفاد من عبارتهما المنقولة ذلك ، بل يمكن أن يكون مرادهما جمع الغبار بمقدار يصدق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الغبار تراب ، فإذا نفض أحد هذه الأشياء عاد إلى أصله ، فصار تراباً مطلقاً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يكون مراد السيّد من قوله المتقدّم هو الجواز في الجملة ، </w:t>
      </w:r>
    </w:p>
    <w:p>
      <w:pPr>
        <w:pStyle w:val="BookText"/>
        <w:rPr/>
      </w:pPr>
      <w:r>
        <w:rPr>
          <w:rFonts w:ascii="Amiri" w:hAnsi="Amiri" w:eastAsia="Amiri" w:cs="Amiri"/>
          <w:color w:val="111111"/>
          <w:sz w:val="28"/>
          <w:sz w:val="28"/>
          <w:szCs w:val="28"/>
          <w:rtl w:val="true"/>
          <w:lang w:bidi="ar-SA"/>
        </w:rPr>
        <w:t xml:space="preserve">ولم يكن بصدد بيان نفي الترتيب وعرضية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الأدلّة المتقدّمة الخاصّة ، وأمّا مقتضى الآية الكريمة</w:t>
      </w:r>
      <w:r>
        <w:rPr>
          <w:rStyle w:val="FootnoteAnchor"/>
          <w:rtl w:val="true"/>
        </w:rPr>
        <w:footnoteReference w:id="517"/>
      </w:r>
      <w:r>
        <w:rPr>
          <w:rFonts w:ascii="Amiri" w:hAnsi="Amiri" w:eastAsia="Amiri" w:cs="Amiri"/>
          <w:color w:val="111111"/>
          <w:sz w:val="28"/>
          <w:sz w:val="28"/>
          <w:szCs w:val="28"/>
          <w:rtl w:val="true"/>
          <w:lang w:bidi="ar-SA"/>
        </w:rPr>
        <w:t>والروايات الدالّة على أنّ التيمّم بالأرض والتراب</w:t>
      </w:r>
      <w:r>
        <w:rPr>
          <w:rStyle w:val="FootnoteAnchor"/>
          <w:rtl w:val="true"/>
        </w:rPr>
        <w:footnoteReference w:id="518"/>
      </w:r>
      <w:r>
        <w:rPr>
          <w:rFonts w:ascii="Amiri" w:hAnsi="Amiri" w:eastAsia="Amiri" w:cs="Amiri"/>
          <w:color w:val="111111"/>
          <w:sz w:val="28"/>
          <w:sz w:val="28"/>
          <w:szCs w:val="28"/>
          <w:rtl w:val="true"/>
          <w:lang w:bidi="ar-SA"/>
        </w:rPr>
        <w:t xml:space="preserve">، فعدم صحّته بالغبار مطلقاً ولو في حال الاضطرار ؛ لعدم صدقهما عرفاً على الشيء المغبّر أو الغبار الذي يعلو السرج واللِبْد ، بل هو أثر التراب لدى العرف ، كالرطوبة بالنسبة إلى الماء ، فلا بدّ من النظر في 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زرارة فلأحد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تعليلها جواز التيمّم بما فيه الغبار مطلقاً ، وفرض الراوي عدم القدرة على النزول لا يوجب تنزيل التعليل عليه ؛ فإنّ المورد لا يقيّد ولا يخصّص إطلاق التعليل أو عمومه ، فكما نتعدّى بعموم التعليل أو إطلاقه إلى كلّ ما فيه الغبار ، ونتعدّى إلى كلّ عذر ،</w:t>
      </w:r>
    </w:p>
    <w:p>
      <w:pPr>
        <w:pStyle w:val="BookText"/>
        <w:rPr/>
      </w:pPr>
      <w:r>
        <w:rPr>
          <w:rFonts w:ascii="Amiri" w:hAnsi="Amiri" w:eastAsia="Amiri" w:cs="Amiri"/>
          <w:color w:val="111111"/>
          <w:sz w:val="28"/>
          <w:sz w:val="28"/>
          <w:szCs w:val="28"/>
          <w:rtl w:val="true"/>
          <w:lang w:bidi="ar-SA"/>
        </w:rPr>
        <w:t xml:space="preserve">مع أنّ المورد عدم القدرة على النزول ، يمكن أن نتعدّى بعمومه عن مورد التعذّر إلى غيره بعد كون فرض التعذّر في كلام الراوي ، فهو بمنزلة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عنده تراب كيف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يتيمّم بالحجر ؛ فإنّه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يبعد استفادة أنّ الأرض كالتراب في صحّة التيمّم من غير ترتّب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تقديره في كلام الإمام كان ظاهراً في التأخّر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تجد إلاّ الطين فلا بأس أن تتيمّم به</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التعدّي ولو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التراب فتيمّم بالحجر ؛ فإنّه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بجواز التيمّم بالحجر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للفرق بين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تجد التراب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فإنّ الظاهر من فرض عدم التراب ، أ نّه مع وجوده لا يجوز التيمّم بغيره ، نعم لازم التعليل التعدّي من الحجر إلى غيره ، لا من فرض العجز عن التراب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يكون الفرض في السؤال وفي كلام الراوي ؛ لإمكان القول بالتعدّي وأنّ تمام الموضوع للجواز هو مورد العلّة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تسليم أنّ المفروض في الصحيحة عدم القدرة على التيمّم بالأرض ، لكنّه ممنوع ، بل المفروض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المتفاهم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النزول للوضوء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على وضوء ، كيف يصنع ولا يقدر على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 نّه لا يقدر على النزول للوضوء بقرينة ذكره ، وأمّا فرض عدم التمكّن من النزول للتيمّم ، فأمر آخر لا بدّ من فرض فقدان الماء معه ، ولم يفرضه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فقدانه نادر ، وعدم القدرة على النزول لصرف ضرب الكفّ على الأرض نادر أيضاً ، بخلاف عدم القدرة للوضوء ؛ لاحتياجه إلى زمان معتدّ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فيها العذر عن الوضوء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تعذّر</w:t>
      </w:r>
    </w:p>
    <w:p>
      <w:pPr>
        <w:pStyle w:val="BookText"/>
        <w:rPr/>
      </w:pPr>
      <w:r>
        <w:rPr>
          <w:rFonts w:ascii="Amiri" w:hAnsi="Amiri" w:eastAsia="Amiri" w:cs="Amiri"/>
          <w:color w:val="111111"/>
          <w:sz w:val="28"/>
          <w:sz w:val="28"/>
          <w:szCs w:val="28"/>
          <w:rtl w:val="true"/>
          <w:lang w:bidi="ar-SA"/>
        </w:rPr>
        <w:t>النزول للوضوء يتيمّم بلِبْد سرجه ؛ لأنّ فيه 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 نّه عند فقدان الماء</w:t>
      </w:r>
    </w:p>
    <w:p>
      <w:pPr>
        <w:pStyle w:val="BookText"/>
        <w:rPr/>
      </w:pPr>
      <w:r>
        <w:rPr>
          <w:rFonts w:ascii="Amiri" w:hAnsi="Amiri" w:eastAsia="Amiri" w:cs="Amiri"/>
          <w:color w:val="111111"/>
          <w:sz w:val="28"/>
          <w:sz w:val="28"/>
          <w:szCs w:val="28"/>
          <w:rtl w:val="true"/>
          <w:lang w:bidi="ar-SA"/>
        </w:rPr>
        <w:t xml:space="preserve">يجوز التيمّم بالغبار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المورد من الذي لا يتمكّن من التيمّم على الأرض ؛ لو فرض فقدان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تقييد الإطلاق ورفع اليد عن التعليل ؛ بعد عدم فرض فقدان الماء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موثّقة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أصابه الثلج فلينظر لِبْد سرجه ، فليتيمّم من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بدواً في الترتيب ، لكن يحتمل أن يكون المقصود </w:t>
      </w:r>
    </w:p>
    <w:p>
      <w:pPr>
        <w:pStyle w:val="BookText"/>
        <w:rPr/>
      </w:pPr>
      <w:r>
        <w:rPr>
          <w:rFonts w:ascii="Amiri" w:hAnsi="Amiri" w:eastAsia="Amiri" w:cs="Amiri"/>
          <w:color w:val="111111"/>
          <w:sz w:val="28"/>
          <w:sz w:val="28"/>
          <w:szCs w:val="28"/>
          <w:rtl w:val="true"/>
          <w:lang w:bidi="ar-SA"/>
        </w:rPr>
        <w:t xml:space="preserve">التنبيه إلى فرد مغفول عنه ، فيكون المراد إفادة صحّة التيمّم بالغبار ؛ لئلاّ يتوهّم أ نّه مع إصابة الثلج فاقد للمتيمّم به ، لا لإفادة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بصدد إفادة الترتيب ، كان عليه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إصابة الثلج ، يمكن له تحصيل التراب والأرض اليابسة نوعاً ؛ من غير حرج رافع للتكليف ، خصوصاً في المناطق الباردة التي تكون الأرض تحت الثلج يابسة ؛ لمنع البرودة من ذوبان الثلج وصيرورتها مبتلّة ، فضلاً عن صيرورتها وَحِلة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التيمّم بالأرض الندية جائز يدّعى عليه اتّفاق الأصحاب</w:t>
      </w:r>
      <w:r>
        <w:rPr>
          <w:rStyle w:val="FootnoteAnchor"/>
          <w:rtl w:val="true"/>
        </w:rPr>
        <w:footnoteReference w:id="519"/>
      </w:r>
      <w:r>
        <w:rPr>
          <w:rFonts w:ascii="Amiri" w:hAnsi="Amiri" w:eastAsia="Amiri" w:cs="Amiri"/>
          <w:color w:val="111111"/>
          <w:sz w:val="28"/>
          <w:sz w:val="28"/>
          <w:szCs w:val="28"/>
          <w:rtl w:val="true"/>
          <w:lang w:bidi="ar-SA"/>
        </w:rPr>
        <w:t xml:space="preserve">، ولا يصير تحت الثلج طيناً أو وَحَلاً إلاّ في أوقات خاصّة ، فتجويز التيمّم بالمذكورات مع إصابة الثلج مطلقاً ، دليل على كونه بها مصداقاً اختيارياً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إصابة الثلج كناية عن عدم وجدان التراب والأرض ، خلاف الظاهر ، مع وجدانهما نوعاً ، فلا يبعد أن يكون التعليق على إصابته ؛ للتنبيه على أ نّه لا يلزم مع إصابته أن يتكلّف برفعه من الأرض ويتيمّم بما تحته ، بل يجوز التيمّم بغبار الثوب ونحوه ؛ فإنّ المكلّف المأمور بالتيمّم إذا أصابه الثلج ، يرى نفسه مكلّفاً وملزماً بتحصيل التراب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الثلج وسائر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والتيمّم بها ، فيمكن أن يراد بذلك دفع توهّم لزومه ، لا إفادة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احتمال كون التعليق للإرشاد إلى مصداق آخر اختياري 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 حيث أردف فيها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الأرض مبتلّة ليس فيها تراب ولا ماء ، فانظر أجفّ </w:t>
      </w:r>
    </w:p>
    <w:p>
      <w:pPr>
        <w:pStyle w:val="BookText"/>
        <w:rPr/>
      </w:pPr>
      <w:r>
        <w:rPr>
          <w:rFonts w:ascii="Amiri" w:hAnsi="Amiri" w:eastAsia="Amiri" w:cs="Amiri"/>
          <w:color w:val="111111"/>
          <w:sz w:val="28"/>
          <w:sz w:val="28"/>
          <w:szCs w:val="28"/>
          <w:rtl w:val="true"/>
          <w:lang w:bidi="ar-SA"/>
        </w:rPr>
        <w:t>موضع تجده فتيمّم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يراد منه الترتيب بين أجفّ موضع من الأرض وبين التراب ، كما عليه الفقهاء ، فيكون المراد دفعَ توهّم عدم جواز التيمّم بالأرض المبتلّة ، والإرشادَ إلى مصداق آخر ممّا يصحّ التيمّم به اختياراً ، فيمكن الاستئناس به للفرض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عليه برواية ابن المغيرة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الأرض مبتلّة ليس فيها تراب ولا ماء ، فانظر أجفّ موضع تجده فتيمّم من غباره أو شيء مغبّر ، وإن كان في حال لا يجد إلاّ الطين فلا بأس أن يتيمّم به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فقد التراب والماء في عَرْض الموضع الأجفّ ، فمع البناء على أنّ الأرض الندية في عرض التراب ، ويجوز التيمّم بها اختياراً ، يتمّ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المظنون حصول تقطيع في تلك الرواية ؛ وأنّ أصلها هي صحيحة رِفاعة</w:t>
      </w:r>
      <w:r>
        <w:rPr>
          <w:rStyle w:val="FootnoteAnchor"/>
          <w:rtl w:val="true"/>
        </w:rPr>
        <w:footnoteReference w:id="521"/>
      </w:r>
      <w:r>
        <w:rPr>
          <w:rFonts w:ascii="Amiri" w:hAnsi="Amiri" w:eastAsia="Amiri" w:cs="Amiri"/>
          <w:color w:val="111111"/>
          <w:sz w:val="28"/>
          <w:sz w:val="28"/>
          <w:szCs w:val="28"/>
          <w:rtl w:val="true"/>
          <w:lang w:bidi="ar-SA"/>
        </w:rPr>
        <w:t xml:space="preserve">المنقولة بتوسّط ابن المغيرة ، مع أ نّها مقطوعة غير منسوبة إلى المعصوم ، ولعلّه فتواه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لولا مخافة مخالفة الأصحاب ، وعدم ثبوت مخالف في المسألة حتّى السيّد كما عرفت</w:t>
      </w:r>
      <w:r>
        <w:rPr>
          <w:rStyle w:val="FootnoteAnchor"/>
          <w:rtl w:val="true"/>
        </w:rPr>
        <w:footnoteReference w:id="522"/>
      </w:r>
      <w:r>
        <w:rPr>
          <w:rFonts w:ascii="Amiri" w:hAnsi="Amiri" w:eastAsia="Amiri" w:cs="Amiri"/>
          <w:color w:val="111111"/>
          <w:sz w:val="28"/>
          <w:sz w:val="28"/>
          <w:szCs w:val="28"/>
          <w:rtl w:val="true"/>
          <w:lang w:bidi="ar-SA"/>
        </w:rPr>
        <w:t>، لكان الجواز اختياراً غير بعيد ، لكن بعد تسليم المسألة بينهم ، وبعد ظهور الآية الكريمة في تعيّن التيمّم بالصعيد</w:t>
      </w:r>
      <w:r>
        <w:rPr>
          <w:rStyle w:val="FootnoteAnchor"/>
          <w:rtl w:val="true"/>
        </w:rPr>
        <w:footnoteReference w:id="523"/>
      </w:r>
      <w:r>
        <w:rPr>
          <w:rFonts w:ascii="IRNazanin" w:hAnsi="IRNazanin" w:eastAsia="IRNazanin"/>
          <w:color w:val="111111"/>
          <w:sz w:val="28"/>
          <w:sz w:val="28"/>
          <w:szCs w:val="28"/>
          <w:rtl w:val="true"/>
          <w:lang w:bidi="fa-IR"/>
        </w:rPr>
        <w:t xml:space="preserve">، وبعد </w:t>
      </w:r>
      <w:bookmarkStart w:id="256" w:name="pg17116_198722"/>
    </w:p>
    <w:p>
      <w:pPr>
        <w:pStyle w:val="BookText"/>
        <w:rPr/>
      </w:pPr>
      <w:bookmarkEnd w:id="256"/>
      <w:r>
        <w:rPr>
          <w:rFonts w:ascii="Amiri" w:hAnsi="Amiri" w:eastAsia="Amiri" w:cs="Amiri"/>
          <w:color w:val="111111"/>
          <w:sz w:val="28"/>
          <w:sz w:val="28"/>
          <w:szCs w:val="28"/>
          <w:rtl w:val="true"/>
          <w:lang w:bidi="ar-SA"/>
        </w:rPr>
        <w:t>ظهور الأخبار الكثيرة التي جملة منها ظاهرة في حصر المتيمّم به بالأرض</w:t>
      </w:r>
      <w:r>
        <w:rPr>
          <w:rStyle w:val="FootnoteAnchor"/>
          <w:rtl w:val="true"/>
        </w:rPr>
        <w:footnoteReference w:id="524"/>
      </w:r>
      <w:r>
        <w:rPr>
          <w:rFonts w:ascii="Amiri" w:hAnsi="Amiri" w:eastAsia="Amiri" w:cs="Amiri"/>
          <w:color w:val="111111"/>
          <w:sz w:val="28"/>
          <w:sz w:val="28"/>
          <w:szCs w:val="28"/>
          <w:rtl w:val="true"/>
          <w:lang w:bidi="ar-SA"/>
        </w:rPr>
        <w:t xml:space="preserve">،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التجويز بالغبار من جهة أ نّه ميسور الأرض ؛ لكونه أثرها ، ولهذا ترى أنّ ما دلّت على تجويزه به إنّما هي في موارد خاصّة ، كالمُواقِف غير القادر على النزول ، والمصاب بالثلج ، والخائف من سبع وغيره</w:t>
      </w:r>
      <w:r>
        <w:rPr>
          <w:rStyle w:val="FootnoteAnchor"/>
          <w:rtl w:val="true"/>
        </w:rPr>
        <w:footnoteReference w:id="525"/>
      </w:r>
      <w:r>
        <w:rPr>
          <w:rFonts w:ascii="Amiri" w:hAnsi="Amiri" w:eastAsia="Amiri" w:cs="Amiri"/>
          <w:color w:val="111111"/>
          <w:sz w:val="28"/>
          <w:sz w:val="28"/>
          <w:szCs w:val="28"/>
          <w:rtl w:val="true"/>
          <w:lang w:bidi="ar-SA"/>
        </w:rPr>
        <w:t xml:space="preserve">، وليس في الروايات العامّة إلاّ التيمّم بالأرض والصعيد والتراب ، فلو كان في حال الاختيار جائزاً ، لكان في تلك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وردت في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منه ، فيحصل الاطمئنان بما عليه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أنكرنا من دلالة الروايات على الترتيب ، مناقشات</w:t>
      </w:r>
    </w:p>
    <w:p>
      <w:pPr>
        <w:pStyle w:val="BookText"/>
        <w:rPr/>
      </w:pPr>
      <w:r>
        <w:rPr>
          <w:rFonts w:ascii="Amiri" w:hAnsi="Amiri" w:eastAsia="Amiri" w:cs="Amiri"/>
          <w:color w:val="111111"/>
          <w:sz w:val="28"/>
          <w:sz w:val="28"/>
          <w:szCs w:val="28"/>
          <w:rtl w:val="true"/>
          <w:lang w:bidi="ar-SA"/>
        </w:rPr>
        <w:t xml:space="preserve">عقلية بعيدة عن الأذهان العرفية ، والعرف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نفسه عن المناقشات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ويشهد به فهم الفقهاء وأرباب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تعليق الجواز على اُمور عذرية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التيمّم به متأخّر عن التيمّم بالصعيد الذي هو التكليف الأوّلي كتاباً وسنّة ، ولا ينقدح في الذهن كونها في مقام بيان توسعة المصداق الاختياري ، فالقول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645995_3381743652"/>
      <w:bookmarkStart w:id="258" w:name="_Toc89"/>
      <w:bookmarkEnd w:id="257"/>
      <w:r>
        <w:rPr>
          <w:rtl w:val="true"/>
        </w:rPr>
        <w:t>في اعتبار محسوسية الغبار</w:t>
      </w:r>
      <w:bookmarkEnd w:id="25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اعتبار كون الغبار محسوساً على ذي الغبار ؛ بحيث يرى ظاهره مغبّراً ، ولا يكفي ضرب اليد على ما يكون الغبار كامناً فيه وإن أثار </w:t>
      </w:r>
    </w:p>
    <w:p>
      <w:pPr>
        <w:pStyle w:val="BookText"/>
        <w:rPr/>
      </w:pPr>
      <w:r>
        <w:rPr>
          <w:rFonts w:ascii="Amiri" w:hAnsi="Amiri" w:eastAsia="Amiri" w:cs="Amiri"/>
          <w:color w:val="111111"/>
          <w:sz w:val="28"/>
          <w:sz w:val="28"/>
          <w:szCs w:val="28"/>
          <w:rtl w:val="true"/>
          <w:lang w:bidi="ar-SA"/>
        </w:rPr>
        <w:t xml:space="preserve">الغبار منه بالضرب عليه ؛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اُمر به في موثّقة زرارة وصحيحة رِفاعة</w:t>
      </w:r>
      <w:r>
        <w:rPr>
          <w:rStyle w:val="FootnoteAnchor"/>
          <w:rtl w:val="true"/>
        </w:rPr>
        <w:footnoteReference w:id="526"/>
      </w:r>
      <w:r>
        <w:rPr>
          <w:rFonts w:ascii="Amiri" w:hAnsi="Amiri" w:eastAsia="Amiri" w:cs="Amiri"/>
          <w:color w:val="111111"/>
          <w:sz w:val="28"/>
          <w:sz w:val="28"/>
          <w:szCs w:val="28"/>
          <w:rtl w:val="true"/>
          <w:lang w:bidi="ar-SA"/>
        </w:rPr>
        <w:t xml:space="preserve">ومقتضى ظاهر صحيحة أبي بصير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معك ثوب جافّ أو لِبْد تقدر أن تنفضه وتتيمّم به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فإنّ الظاهر أنّ النفض لأن يظهر غباره على ظاهره ؛ لعدم وجود ثوب أو لِبْد يمكن أن ينفض منه مقدار من الغبار يصحّ التيمّم به اختياراً ، فحمل الاشتراط عليه مرجعه إلى اشتراط لغو غير محقّق المصداق ، فلا يفهم من قوله ذلك إلاّ النفض لظهور الغبار ؛ ولو لأجل نُدرة المصداق الاختياري أو فقدانه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على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يده على ذي غبار كامن فأثار منه</w:t>
      </w:r>
      <w:r>
        <w:rPr>
          <w:rStyle w:val="FootnoteAnchor"/>
          <w:rtl w:val="true"/>
        </w:rPr>
        <w:footnoteReference w:id="528"/>
      </w:r>
      <w:r>
        <w:rPr>
          <w:rFonts w:ascii="Amiri" w:hAnsi="Amiri" w:eastAsia="Amiri" w:cs="Amiri"/>
          <w:color w:val="111111"/>
          <w:sz w:val="28"/>
          <w:sz w:val="28"/>
          <w:szCs w:val="28"/>
          <w:rtl w:val="true"/>
          <w:lang w:bidi="ar-SA"/>
        </w:rPr>
        <w:t xml:space="preserve">، في غير محلّها ؛ ضرورة أنّ الظاهر من الأمر بالتيمّم على الغبار ، أن يضرب يده عليه ، ومع عدم كون ظاهره مغبّراً لا يقع الضرب عليه ، بل يقع على الثوب ، وبعده يظهر الغبار ، نظير ما فرض من الضرب على غير الأرض ، فصار بالضرب أرضاً ، فصيرورة الشيء بعد الضرب ممّا يصحّ التيمّم به لا يوجب صدق التيمّم به ، وهو ظاهر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يحمل التعليل في صحيحة زرارة</w:t>
      </w:r>
      <w:r>
        <w:rPr>
          <w:rStyle w:val="FootnoteAnchor"/>
          <w:rtl w:val="true"/>
        </w:rPr>
        <w:footnoteReference w:id="529"/>
      </w:r>
      <w:r>
        <w:rPr>
          <w:rFonts w:ascii="Amiri" w:hAnsi="Amiri" w:eastAsia="Amiri" w:cs="Amiri"/>
          <w:color w:val="111111"/>
          <w:sz w:val="28"/>
          <w:sz w:val="28"/>
          <w:szCs w:val="28"/>
          <w:rtl w:val="true"/>
          <w:lang w:bidi="ar-SA"/>
        </w:rPr>
        <w:t xml:space="preserve">؛ إن لم يكن بنفسه ظاهراً في كون ظاهرها مغبّراً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عليها يحمل إطلاق رواية زرارة</w:t>
      </w:r>
      <w:r>
        <w:rPr>
          <w:rStyle w:val="FootnoteAnchor"/>
          <w:rtl w:val="true"/>
        </w:rPr>
        <w:footnoteReference w:id="530"/>
      </w:r>
      <w:r>
        <w:rPr>
          <w:rFonts w:ascii="Amiri" w:hAnsi="Amiri" w:eastAsia="Amiri" w:cs="Amiri"/>
          <w:color w:val="111111"/>
          <w:sz w:val="28"/>
          <w:sz w:val="28"/>
          <w:szCs w:val="28"/>
          <w:rtl w:val="true"/>
          <w:lang w:bidi="ar-SA"/>
        </w:rPr>
        <w:t xml:space="preserve">الضعيفة </w:t>
      </w:r>
    </w:p>
    <w:p>
      <w:pPr>
        <w:pStyle w:val="BookText"/>
        <w:rPr/>
      </w:pPr>
      <w:r>
        <w:rPr>
          <w:rFonts w:ascii="IRNazanin" w:hAnsi="IRNazanin" w:eastAsia="IRNazanin"/>
          <w:color w:val="111111"/>
          <w:sz w:val="28"/>
          <w:sz w:val="28"/>
          <w:szCs w:val="28"/>
          <w:rtl w:val="true"/>
          <w:lang w:bidi="fa-IR"/>
        </w:rPr>
        <w:t>بأحمد بن هلال</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ارتكازية كون الغبار ميسور الصعيد ، لا يبعد أن تمنع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إطلاقها يقتضي الجواز ولو لم يكن في اللِبْد غبار كامن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المسألة ، ولا تحتاج إلى طول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لزوم كون الغبار ممّا يصحّ التيمّم به ، فلا يصحّ بغبار الدقيق والاُشنان ؛ لانصراف الأدلّة وارتكازية كون الغبار ميسور الأرض وأثرها ، فلا ينبغي الخلاف والإشكال فيه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الأدلّة عدم الفرق بين مراتب ذي الغبار ، وأكثريته لا توجب التعيين بعد اشتراك الكلّ في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حسن على كلّ حال </w:t>
      </w:r>
      <w:r>
        <w:rPr>
          <w:rFonts w:eastAsia="Amiri" w:cs="Amiri" w:ascii="Amiri" w:hAnsi="Amiri"/>
          <w:color w:val="111111"/>
          <w:sz w:val="28"/>
          <w:szCs w:val="28"/>
          <w:rtl w:val="true"/>
          <w:lang w:bidi="ar-SA"/>
        </w:rPr>
        <w:t xml:space="preserve">. </w:t>
      </w:r>
      <w:bookmarkStart w:id="259" w:name="pg17116_198725"/>
    </w:p>
    <w:p>
      <w:pPr>
        <w:pStyle w:val="Heading5"/>
        <w:numPr>
          <w:ilvl w:val="4"/>
          <w:numId w:val="1"/>
        </w:numPr>
        <w:rPr/>
      </w:pPr>
      <w:bookmarkStart w:id="260" w:name="__RefHeading___Toc8645997_3381743652"/>
      <w:bookmarkStart w:id="261" w:name="_Toc90"/>
      <w:bookmarkEnd w:id="259"/>
      <w:bookmarkEnd w:id="260"/>
      <w:r>
        <w:rPr>
          <w:rtl w:val="true"/>
        </w:rPr>
        <w:t>الأمر التاسع في جواز التيمّم بالطين</w:t>
      </w:r>
      <w:bookmarkEnd w:id="261"/>
    </w:p>
    <w:p>
      <w:pPr>
        <w:pStyle w:val="Heading6"/>
        <w:numPr>
          <w:ilvl w:val="5"/>
          <w:numId w:val="1"/>
        </w:numPr>
        <w:rPr/>
      </w:pPr>
      <w:bookmarkStart w:id="262" w:name="__RefHeading___Toc8645999_3381743652"/>
      <w:bookmarkStart w:id="263" w:name="_Toc91"/>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لا إشكال نصّاً </w:t>
      </w:r>
      <w:r>
        <w:rPr>
          <w:rStyle w:val="FootnoteAnchor"/>
          <w:rtl w:val="true"/>
        </w:rPr>
        <w:footnoteReference w:id="532"/>
      </w:r>
      <w:r>
        <w:rPr>
          <w:rFonts w:ascii="IRNazanin" w:hAnsi="IRNazanin" w:eastAsia="IRNazanin"/>
          <w:color w:val="111111"/>
          <w:sz w:val="28"/>
          <w:sz w:val="28"/>
          <w:szCs w:val="28"/>
          <w:rtl w:val="true"/>
          <w:lang w:bidi="fa-IR"/>
        </w:rPr>
        <w:t>وفتوى</w:t>
      </w:r>
      <w:r>
        <w:rPr>
          <w:rStyle w:val="FootnoteAnchor"/>
          <w:rtl w:val="true"/>
        </w:rPr>
        <w:footnoteReference w:id="533"/>
      </w:r>
      <w:r>
        <w:rPr>
          <w:rFonts w:ascii="Amiri" w:hAnsi="Amiri" w:eastAsia="Amiri" w:cs="Amiri"/>
          <w:color w:val="111111"/>
          <w:sz w:val="28"/>
          <w:sz w:val="28"/>
          <w:szCs w:val="28"/>
          <w:rtl w:val="true"/>
          <w:lang w:bidi="ar-SA"/>
        </w:rPr>
        <w:t xml:space="preserve">في جواز التيمّم بالطين إجمالاً ، وإنّما الإشكال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مقتضى الأدلّة العامّة والخاصّة هل هو جواز التيمّم به اختياراً ، أو هو مترتّب على مطلق وجه الأرض ومصداق اضطراري للمتيمّم به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هل هو تقدّمه على الغبار أو تأخّره ؟</w:t>
      </w:r>
    </w:p>
    <w:p>
      <w:pPr>
        <w:pStyle w:val="BookText"/>
        <w:rPr/>
      </w:pPr>
      <w:r>
        <w:rPr>
          <w:rFonts w:ascii="IRNazanin" w:hAnsi="IRNazanin" w:eastAsia="IRNazanin"/>
          <w:color w:val="111111"/>
          <w:sz w:val="28"/>
          <w:sz w:val="28"/>
          <w:szCs w:val="28"/>
          <w:rtl w:val="true"/>
          <w:lang w:bidi="fa-IR"/>
        </w:rPr>
        <w:t xml:space="preserve">ولنبحث عنهما مع قطع النظر عن فتاوى الأصحاب </w:t>
      </w:r>
      <w:r>
        <w:rPr>
          <w:rFonts w:eastAsia="IRNazanin" w:cs="IRNazanin"/>
          <w:color w:val="111111"/>
          <w:sz w:val="28"/>
          <w:szCs w:val="28"/>
          <w:rtl w:val="true"/>
          <w:lang w:bidi="fa-IR"/>
        </w:rPr>
        <w:t>.</w:t>
      </w:r>
    </w:p>
    <w:p>
      <w:pPr>
        <w:pStyle w:val="Heading6"/>
        <w:numPr>
          <w:ilvl w:val="5"/>
          <w:numId w:val="1"/>
        </w:numPr>
        <w:rPr/>
      </w:pPr>
      <w:bookmarkStart w:id="264" w:name="__RefHeading___Toc8646001_3381743652"/>
      <w:bookmarkStart w:id="265" w:name="_Toc92"/>
      <w:bookmarkEnd w:id="264"/>
      <w:r>
        <w:rPr>
          <w:rtl w:val="true"/>
        </w:rPr>
        <w:t>مقتضى الأدلّة العامّة</w:t>
      </w:r>
      <w:bookmarkEnd w:id="2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الكتاب</w:t>
      </w:r>
      <w:r>
        <w:rPr>
          <w:rStyle w:val="FootnoteAnchor"/>
          <w:rtl w:val="true"/>
        </w:rPr>
        <w:footnoteReference w:id="534"/>
      </w:r>
      <w:r>
        <w:rPr>
          <w:rFonts w:ascii="Amiri" w:hAnsi="Amiri" w:eastAsia="Amiri" w:cs="Amiri"/>
          <w:color w:val="111111"/>
          <w:sz w:val="28"/>
          <w:sz w:val="28"/>
          <w:szCs w:val="28"/>
          <w:rtl w:val="true"/>
          <w:lang w:bidi="ar-SA"/>
        </w:rPr>
        <w:t>والنصوص الآمرة بالتيمّم بالصعيد والأرض</w:t>
      </w:r>
      <w:r>
        <w:rPr>
          <w:rStyle w:val="FootnoteAnchor"/>
          <w:rtl w:val="true"/>
        </w:rPr>
        <w:footnoteReference w:id="535"/>
      </w:r>
      <w:r>
        <w:rPr>
          <w:rFonts w:ascii="Amiri" w:hAnsi="Amiri" w:eastAsia="Amiri" w:cs="Amiri"/>
          <w:color w:val="111111"/>
          <w:sz w:val="28"/>
          <w:sz w:val="28"/>
          <w:szCs w:val="28"/>
          <w:rtl w:val="true"/>
          <w:lang w:bidi="ar-SA"/>
        </w:rPr>
        <w:t xml:space="preserve">، جواز التيمّم بما يصدق عليه عنوانهما ، ولا ريب في أنّ الطين إذا كان غليظاً غير رقيق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فالطين المتماسك الذي غلبت أجزاء أرضيته على مائيته ، أرض وصعيد ؛ بناءً </w:t>
      </w:r>
    </w:p>
    <w:p>
      <w:pPr>
        <w:pStyle w:val="BookText"/>
        <w:rPr/>
      </w:pPr>
      <w:r>
        <w:rPr>
          <w:rFonts w:ascii="Amiri" w:hAnsi="Amiri" w:eastAsia="Amiri" w:cs="Amiri"/>
          <w:color w:val="111111"/>
          <w:sz w:val="28"/>
          <w:sz w:val="28"/>
          <w:szCs w:val="28"/>
          <w:rtl w:val="true"/>
          <w:lang w:bidi="ar-SA"/>
        </w:rPr>
        <w:t>على ما تقدّم من كونه مطلق الأرض</w:t>
      </w:r>
      <w:r>
        <w:rPr>
          <w:rStyle w:val="FootnoteAnchor"/>
          <w:rtl w:val="true"/>
        </w:rPr>
        <w:footnoteReference w:id="536"/>
      </w:r>
      <w:r>
        <w:rPr>
          <w:rFonts w:ascii="Amiri" w:hAnsi="Amiri" w:eastAsia="Amiri" w:cs="Amiri"/>
          <w:color w:val="111111"/>
          <w:sz w:val="28"/>
          <w:sz w:val="28"/>
          <w:szCs w:val="28"/>
          <w:rtl w:val="true"/>
          <w:lang w:bidi="ar-SA"/>
        </w:rPr>
        <w:t xml:space="preserve">، ومجرّد خروجه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فاللَبِنة قبل جفافها وبعده أرض ، وليست بتراب حتّى بعد الجفاف ، كما أنّ الأواني المصنوعة من الطين قبل جفافها وبعده أرض ، وليست بتراب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رقيقاً بحيث يخرج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أو يشكّ فيه ، كالوحل ، فإنّ في بعض مراتبه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الطين أعمّ من الوحل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الطين الذي لا يُسجد عليه ، ما هو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غرقت الجبهة ولم تثبت على الأرض</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جواز السجدة على الطين الغليظ المتماسك؛ بحيث تستقرّ الجبهة عليه ، ولا شبهة في أنّ جوازها لأجل كونه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استفادة كون ما تغرق الجبهة فيه أرضاً منها ؛ لجعل المانع منها عدم الاستقرار ، لا عدم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دلالتها على أرضية الطين الذي تستقرّ عليه الجبهة لتماسكه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رواية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w:t>
      </w:r>
      <w:bookmarkStart w:id="266" w:name="pg17116_198727"/>
    </w:p>
    <w:p>
      <w:pPr>
        <w:pStyle w:val="BookText"/>
        <w:rPr/>
      </w:pPr>
      <w:bookmarkEnd w:id="266"/>
      <w:r>
        <w:rPr>
          <w:rFonts w:ascii="Amiri" w:hAnsi="Amiri" w:eastAsia="Amiri" w:cs="Amiri"/>
          <w:color w:val="111111"/>
          <w:sz w:val="28"/>
          <w:sz w:val="28"/>
          <w:szCs w:val="28"/>
          <w:rtl w:val="true"/>
          <w:lang w:bidi="ar-SA"/>
        </w:rPr>
        <w:t xml:space="preserve">ليس فيها ماء ، وفيها طين ، ما يصنع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 فإنّه الصعيد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ربّما يشعر قوله في مرسلة علي بن 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 طيّب وماء طهور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بخلاف ذلك ، لكنّ الظاهر منها أيضاً جواز التيمّم به لكونه صعيداً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رفع اليد عن ظاهره؛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بالبداهة ، فلعلّ المراد أ نّه صعيد طيّب فيه ماء طهور لا يمنع عن التيمّم به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الطين ببعض مراتبه ، يجوز التيمّم به اختياراً ولو كان بحيث تتلطّخ اليد بالضرب عليه ؛ لظاهر الكتاب والسنّة ، فلا بدّ من قيام دليل على عدم الجواز يقيّد إطلاقهما ، وهذا بخلاف الغبار</w:t>
      </w:r>
    </w:p>
    <w:p>
      <w:pPr>
        <w:pStyle w:val="BookText"/>
        <w:rPr/>
      </w:pPr>
      <w:r>
        <w:rPr>
          <w:rFonts w:ascii="Amiri" w:hAnsi="Amiri" w:eastAsia="Amiri" w:cs="Amiri"/>
          <w:color w:val="111111"/>
          <w:sz w:val="28"/>
          <w:sz w:val="28"/>
          <w:szCs w:val="28"/>
          <w:rtl w:val="true"/>
          <w:lang w:bidi="ar-SA"/>
        </w:rPr>
        <w:t xml:space="preserve">والوحل الذي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فيهما من قيام الدليل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 تقدّم التيمّم بالطين على التيمّم بالغبار بمقتضى الكتاب والسنّة ؛ للصدق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الأدلّة العامّة </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8646003_3381743652"/>
      <w:bookmarkStart w:id="268" w:name="_Toc93"/>
      <w:bookmarkEnd w:id="267"/>
      <w:r>
        <w:rPr>
          <w:rtl w:val="true"/>
        </w:rPr>
        <w:t>مقتضى الأدلّة الخاصّة</w:t>
      </w:r>
      <w:bookmarkEnd w:id="268"/>
    </w:p>
    <w:p>
      <w:pPr>
        <w:pStyle w:val="BookText"/>
        <w:rPr/>
      </w:pPr>
      <w:r>
        <w:rPr>
          <w:rFonts w:ascii="Amiri" w:hAnsi="Amiri" w:eastAsia="Amiri" w:cs="Amiri"/>
          <w:color w:val="111111"/>
          <w:sz w:val="28"/>
          <w:sz w:val="28"/>
          <w:szCs w:val="28"/>
          <w:rtl w:val="true"/>
          <w:lang w:bidi="ar-SA"/>
        </w:rPr>
        <w:t>وأمّا الأدلّة الخاصّة ، فقد استدلّ</w:t>
      </w:r>
      <w:r>
        <w:rPr>
          <w:rStyle w:val="FootnoteAnchor"/>
          <w:rtl w:val="true"/>
        </w:rPr>
        <w:footnoteReference w:id="540"/>
      </w:r>
      <w:r>
        <w:rPr>
          <w:rFonts w:ascii="IRNazanin" w:hAnsi="IRNazanin" w:eastAsia="IRNazanin"/>
          <w:color w:val="111111"/>
          <w:sz w:val="28"/>
          <w:sz w:val="28"/>
          <w:szCs w:val="28"/>
          <w:rtl w:val="true"/>
          <w:lang w:bidi="fa-IR"/>
        </w:rPr>
        <w:t xml:space="preserve">على تأخّر الطين عن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بروايات ، كموثّقة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أصابه الثلج</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لِبْد سرجه فليتيمّم من غباره أو من شيء معه ، وإن كان في حال </w:t>
      </w:r>
    </w:p>
    <w:p>
      <w:pPr>
        <w:pStyle w:val="BookText"/>
        <w:rPr/>
      </w:pPr>
      <w:r>
        <w:rPr>
          <w:rFonts w:ascii="Amiri" w:hAnsi="Amiri" w:eastAsia="Amiri" w:cs="Amiri"/>
          <w:color w:val="111111"/>
          <w:sz w:val="28"/>
          <w:sz w:val="28"/>
          <w:szCs w:val="28"/>
          <w:rtl w:val="true"/>
          <w:lang w:bidi="ar-SA"/>
        </w:rPr>
        <w:t>لا يجد إلاّ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وقريب منها صحيحة رِفاعة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جعلها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اُخرى عن زرارة ، عن أبي جعفر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الرواية الثالثة من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نّها قطعة من الرواية المتقدّمة ، لا رواية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الاستدلال بهذه الروايات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في حال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حيث علّق فيها جواز التيمّم بالطين على عدم شيء يتيمّم به ؛ ولو مثل اللِبْد والثوب ، ومقتضاه تأخّر رتبته عنه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أصابه الثلج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عدم جواز الأخذ بإطلاقه ، كما مرّ في المسألة السابقة</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بحيث يتعذّر أو يتعسّر التيمّم معه بالأرض ؛ أي لا يمكن رفع الثلج والتيمّم بها ، فيكون عدم إمكان التيمّم بالأرض ولو كانت طيناً ، مفروضاً في الروايات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المصداق الاختياري يتيمّم بالاضطراري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الغبار الذي مرّ أ نّه ليس بأرض</w:t>
      </w:r>
      <w:r>
        <w:rPr>
          <w:rStyle w:val="FootnoteAnchor"/>
          <w:rtl w:val="true"/>
        </w:rPr>
        <w:footnoteReference w:id="544"/>
      </w:r>
      <w:r>
        <w:rPr>
          <w:rFonts w:ascii="Amiri" w:hAnsi="Amiri" w:eastAsia="Amiri" w:cs="Amiri"/>
          <w:color w:val="111111"/>
          <w:sz w:val="28"/>
          <w:sz w:val="28"/>
          <w:szCs w:val="28"/>
          <w:rtl w:val="true"/>
          <w:lang w:bidi="ar-SA"/>
        </w:rPr>
        <w:t xml:space="preserve">، فحينئذٍ لا يجوز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في حال لا يجد إلاّ الطين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على تعليق التيمّم به على عدم الغبار ، بل هو محمول على فقدان الأرض غير الطين </w:t>
      </w:r>
      <w:r>
        <w:rPr>
          <w:rFonts w:eastAsia="Amiri" w:cs="Amiri" w:ascii="Amiri" w:hAnsi="Amiri"/>
          <w:color w:val="111111"/>
          <w:sz w:val="28"/>
          <w:szCs w:val="28"/>
          <w:rtl w:val="true"/>
          <w:lang w:bidi="ar-SA"/>
        </w:rPr>
        <w:t xml:space="preserve">. </w:t>
      </w:r>
      <w:bookmarkStart w:id="269" w:name="pg17116_198729"/>
    </w:p>
    <w:p>
      <w:pPr>
        <w:pStyle w:val="BookText"/>
        <w:rPr/>
      </w:pPr>
      <w:bookmarkEnd w:id="269"/>
      <w:r>
        <w:rPr>
          <w:rFonts w:ascii="Amiri" w:hAnsi="Amiri" w:eastAsia="Amiri" w:cs="Amiri"/>
          <w:color w:val="111111"/>
          <w:sz w:val="28"/>
          <w:sz w:val="28"/>
          <w:szCs w:val="28"/>
          <w:rtl w:val="true"/>
          <w:lang w:bidi="ar-SA"/>
        </w:rPr>
        <w:t xml:space="preserve">بل 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الطين عرفاً ، لا ينقدح في الذهن تأخّره عن الغبار الذي هو فرد اضطراري وليس بأرض ، فيوجب ذلك ظهوراً فيما ذكرنا لو نوقش في ظهوره ذاتاً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المناقشة في غير محلّها ظاهراً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لو كان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أصابه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فقدان الأرض غير الطين ، لكان لما ذكر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كان المراد ذلك لكان ذكر المطر أولى ، فذكر الثلج خصوصاً في تلك الآفاق التي لا ينزل فيها الثلج ، وترك المطر الذي هو أولى بالذكر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الابتلاء به وأسرعيته في تطيين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 له دخالةً في الحكم ، وللإمام علیه السلام  عنايةً في ذكره ، وليس فيه ما يوجب الخصوصية إلاّ</w:t>
      </w:r>
    </w:p>
    <w:p>
      <w:pPr>
        <w:pStyle w:val="BookText"/>
        <w:rPr/>
      </w:pPr>
      <w:r>
        <w:rPr>
          <w:rFonts w:ascii="Amiri" w:hAnsi="Amiri" w:eastAsia="Amiri" w:cs="Amiri"/>
          <w:color w:val="111111"/>
          <w:sz w:val="28"/>
          <w:sz w:val="28"/>
          <w:szCs w:val="28"/>
          <w:rtl w:val="true"/>
          <w:lang w:bidi="ar-SA"/>
        </w:rPr>
        <w:t xml:space="preserve">حيلولته عن الوصول إلى وجه الأرض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يمكن التيمّم بالأرض لإصابة الثلج وحيلولته ، يتيمّم بالغبار ، وإن أمكنه لكن لا يجد إلاّ الطين ، فلا بأس بالتيمّم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تقدّم الطين على 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تقدّم الأرض الجافّة على الطين ، فمبنيّ على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بمعنى الممنوعية ، وأمّا إذا كان المراد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التيمّم بالطين ممّا يوجب تلطّخ اليد والوجه ، وربّما ينافي النظافة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ومع احتماله وعدم ظهوره في الأوّل ، لا يمكن رفع اليد عن إطلاق الأدلّة بها </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8646005_3381743652"/>
      <w:bookmarkStart w:id="271" w:name="_Toc94"/>
      <w:bookmarkEnd w:id="270"/>
      <w:r>
        <w:rPr>
          <w:rtl w:val="true"/>
        </w:rPr>
        <w:t>أدلّة تقدّم الطين على الغبار</w:t>
      </w:r>
      <w:bookmarkEnd w:id="2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تقدّم الطين على الغبار وعرْضيته مع الأرض ، روايةُ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ليس فيها ماء ، وفيها طين ، ما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 فإنّه الصعيد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راكب ولا يمكنه النزول من خوف ، وليس هو على وضوء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على نفسه من سبع أو غيره وخاف فوت الوقت فليتيمّم ؛ يضرب بيده على اللِبْد والبَرْذَعة ويتيمّم ويصلّي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جواز التيمّم به اختياراً ؛ لكونه الصعيد الذي أمر اللّه تعالى بالتيمّم منه ، ولا ريب في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الداخل على الأجمة الكذائية راكب ، ويخاف على نفسه أن ينزل ؛ لكونها مأوى الأسد ، والحمل على سؤال مستأنف</w:t>
      </w:r>
      <w:r>
        <w:rPr>
          <w:rStyle w:val="FootnoteAnchor"/>
          <w:rtl w:val="true"/>
        </w:rPr>
        <w:footnoteReference w:id="546"/>
      </w:r>
      <w:r>
        <w:rPr>
          <w:rFonts w:ascii="Amiri" w:hAnsi="Amiri" w:eastAsia="Amiri" w:cs="Amiri"/>
          <w:color w:val="111111"/>
          <w:sz w:val="28"/>
          <w:sz w:val="28"/>
          <w:szCs w:val="28"/>
          <w:rtl w:val="true"/>
          <w:lang w:bidi="ar-SA"/>
        </w:rPr>
        <w:t xml:space="preserve">خلاف الظاهر جدّاً ، فحينئذٍ تدلّ على تقدّم الطين على الغبار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أيضاً إطلاق مرسلة علي بن مطر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لا يصيب الماء ولا التراب ، أيتيمّم بالطين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صعيد طيّب وماء طهور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أ نّه فرد اختياري لا منع من التيمّم به ، والماء الذي فيه لا مانع منه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صحيحة أبي بصير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في حال لا تقدر إلاّ على الطين فتيمّم به ؛ فإنّ اللّه أولى بالعذر إذا لم يكن معك ثوب جافّ أو </w:t>
      </w:r>
    </w:p>
    <w:p>
      <w:pPr>
        <w:pStyle w:val="BookText"/>
        <w:rPr/>
      </w:pPr>
      <w:r>
        <w:rPr>
          <w:rFonts w:ascii="Amiri" w:hAnsi="Amiri" w:eastAsia="Amiri" w:cs="Amiri"/>
          <w:color w:val="111111"/>
          <w:sz w:val="28"/>
          <w:sz w:val="28"/>
          <w:szCs w:val="28"/>
          <w:rtl w:val="true"/>
          <w:lang w:bidi="ar-SA"/>
        </w:rPr>
        <w:t>لِبْد تقدر أن تنفضه وتتيمّم به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قطع النظر عن سائر الروايات ، ظاهرة في أنّ الطين فرد اضطراري عذري متأخّر عن الأفراد الاختيارية ، وعن غبار الثوب أو اللِبْد الذي هو فرد اضطراري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يبعد أن يكون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القدرة على النفض على ما إذا حصل به مقدار من التراب يمكن إيجاد الفرد الاختياري معه ، خصوصاً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معك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عقيب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أنّ الطين مصداق عذري ، دون التيمّم بما نفض فإنّه مصداق غير 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التصرّف في سائر الأدلّة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بُعد تقديم ما ليس بصعيد على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ظاهرها أنّ التراب مقدّم على الطين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الروايات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الجمع بينها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ما دلّ على جوازه اختياراً على الطين الذي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في رواية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صحيحة أبي بصير على الوحل الذي يكون مصداقاً عذرياً ؛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تناسبه مع الطين الصادق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جعله في الصحيحة متأخّراً عن الغبار الذي لا تصدق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صدرها وإن يقتضي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bookmarkStart w:id="272" w:name="pg17116_198732"/>
    </w:p>
    <w:p>
      <w:pPr>
        <w:pStyle w:val="BookText"/>
        <w:rPr/>
      </w:pPr>
      <w:bookmarkEnd w:id="272"/>
      <w:r>
        <w:rPr>
          <w:rFonts w:ascii="Amiri" w:hAnsi="Amiri" w:eastAsia="Amiri" w:cs="Amiri"/>
          <w:color w:val="111111"/>
          <w:sz w:val="28"/>
          <w:sz w:val="28"/>
          <w:szCs w:val="28"/>
          <w:rtl w:val="true"/>
          <w:lang w:bidi="ar-SA"/>
        </w:rPr>
        <w:t xml:space="preserve">الوحل ، ويمكن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أنّ مطلق الطين فرد اضطراري ، لكن كون التعليل بأمر 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مع عدم إمكان الصعيد والعذر منه ، يتيمّم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إطلاقه ، فيفهم منه أنّ المراد به ما لا يصدق</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الوحل ، خصوصاً مع بُعد تأخّر الأرض عن الغبار ، فيكون مقتضى الصحيحة تأخّر الوحل عن الغبار ، وهي تصير قرينة على سائر الروايات ، كموثّقة زرارة</w:t>
      </w:r>
      <w:r>
        <w:rPr>
          <w:rStyle w:val="FootnoteAnchor"/>
          <w:rtl w:val="true"/>
        </w:rPr>
        <w:footnoteReference w:id="549"/>
      </w:r>
      <w:r>
        <w:rPr>
          <w:rFonts w:ascii="Amiri" w:hAnsi="Amiri" w:eastAsia="Amiri" w:cs="Amiri"/>
          <w:color w:val="111111"/>
          <w:sz w:val="28"/>
          <w:sz w:val="28"/>
          <w:szCs w:val="28"/>
          <w:rtl w:val="true"/>
          <w:lang w:bidi="ar-SA"/>
        </w:rPr>
        <w:t>وصحيحة رفاعة</w:t>
      </w:r>
      <w:r>
        <w:rPr>
          <w:rStyle w:val="FootnoteAnchor"/>
          <w:rtl w:val="true"/>
        </w:rPr>
        <w:footnoteReference w:id="550"/>
      </w:r>
      <w:r>
        <w:rPr>
          <w:rFonts w:ascii="Amiri" w:hAnsi="Amiri" w:eastAsia="Amiri" w:cs="Amiri"/>
          <w:color w:val="111111"/>
          <w:sz w:val="28"/>
          <w:sz w:val="28"/>
          <w:szCs w:val="28"/>
          <w:rtl w:val="true"/>
          <w:lang w:bidi="ar-SA"/>
        </w:rPr>
        <w:t xml:space="preserve">؛ ولو مع قطع النظر عن رواية زرارة ومرسلة ابن 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المذكور جواز التيمّم بالطين الصادق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 وعند الاضطرار يقدّم الغبار على الوحل الذي هو خارج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لظهور صحيحة أبي بصير </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8646007_3381743652"/>
      <w:bookmarkStart w:id="274" w:name="_Toc95"/>
      <w:bookmarkEnd w:id="273"/>
      <w:r>
        <w:rPr>
          <w:rtl w:val="true"/>
        </w:rPr>
        <w:t>النكتة في تعبير الفقهاء ب</w:t>
      </w:r>
      <w:r>
        <w:rPr>
          <w:rtl w:val="true"/>
        </w:rPr>
        <w:t>- «</w:t>
      </w:r>
      <w:r>
        <w:rPr>
          <w:rtl w:val="true"/>
        </w:rPr>
        <w:t>الوحل</w:t>
      </w:r>
      <w:r>
        <w:rPr>
          <w:rtl w:val="true"/>
        </w:rPr>
        <w:t>»</w:t>
      </w:r>
      <w:bookmarkEnd w:id="274"/>
    </w:p>
    <w:p>
      <w:pPr>
        <w:pStyle w:val="BookText"/>
        <w:rPr/>
      </w:pPr>
      <w:r>
        <w:rPr>
          <w:rFonts w:ascii="Amiri" w:hAnsi="Amiri" w:eastAsia="Amiri" w:cs="Amiri"/>
          <w:color w:val="111111"/>
          <w:sz w:val="28"/>
          <w:sz w:val="28"/>
          <w:szCs w:val="28"/>
          <w:rtl w:val="true"/>
          <w:lang w:bidi="ar-SA"/>
        </w:rPr>
        <w:t>ولعلّ تعبيرات الفقهاء في المتون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المذكور ، مع تطابق النصوص جميعاً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تبعيتهم لها في التعبير ، كما هو بناؤهم في سائر الموارد غالباً ، خصوصاً قدماء أصحابنا ، فرفع اليد عمّا في النصوص بعنوان مغاير في الجملة للطين ، لا بدّ له من نكتة لا يبعد أن تكون ما ذكرناه من الجمع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كان في أرض وحلة لا تراب فيها ولا صخر ، </w:t>
      </w:r>
    </w:p>
    <w:p>
      <w:pPr>
        <w:pStyle w:val="BookText"/>
        <w:rPr/>
      </w:pPr>
      <w:r>
        <w:rPr>
          <w:rFonts w:ascii="Amiri" w:hAnsi="Amiri" w:eastAsia="Amiri" w:cs="Amiri"/>
          <w:color w:val="111111"/>
          <w:sz w:val="28"/>
          <w:sz w:val="28"/>
          <w:szCs w:val="28"/>
          <w:rtl w:val="true"/>
          <w:lang w:bidi="ar-SA"/>
        </w:rPr>
        <w:t xml:space="preserve">وكانت معه دابّة ، فلينفض عرفها أو لِبْد سرجها ويتيمّم بغبرته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معه دابّة وكان معه ثوب تيمّم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معه شيء من ذلك وضع يديه جميعاً على الوحل ، ويمسح إحداهما بالاُخرى ، وينفضهما حتّى يزول عنهما الوحل ، ثمّ يتيمّم ، ولا يجوز التيمّم بما لا يقع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سوى ما ذكرناه</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الوحل بما أ نّه لا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به ، فدلّت على أنّ اختصاصه بالذكر لأجل عدم صدقها عليه ، فذكر الوحل الذي هو الطين الرقيق ، وترك ما في النصوص وتعليله ذلك ، دليل على عناية به ، ولعلّها ما ذكرناه ، وإلاّ فلا وجه لرفع اليد عن النصوص بما يخالفها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إلاّ الوحل يتيمّم به ، وهو</w:t>
      </w:r>
    </w:p>
    <w:p>
      <w:pPr>
        <w:pStyle w:val="BookText"/>
        <w:rPr/>
      </w:pPr>
      <w:r>
        <w:rPr>
          <w:rFonts w:ascii="IRNazanin" w:hAnsi="IRNazanin" w:eastAsia="IRNazanin"/>
          <w:color w:val="111111"/>
          <w:sz w:val="28"/>
          <w:sz w:val="28"/>
          <w:szCs w:val="28"/>
          <w:rtl w:val="true"/>
          <w:lang w:bidi="fa-IR"/>
        </w:rPr>
        <w:t>مذهب علمائنا</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 xml:space="preserve">وإن عبّر بالطين أيضاً في خلال المسائل ، لكن الظاهر من تلك العبارة أنّ التيمّم بالوحل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 الماتن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يجوز </w:t>
      </w:r>
    </w:p>
    <w:p>
      <w:pPr>
        <w:pStyle w:val="BookText"/>
        <w:rPr/>
      </w:pPr>
      <w:r>
        <w:rPr>
          <w:rFonts w:ascii="Amiri" w:hAnsi="Amiri" w:eastAsia="Amiri" w:cs="Amiri"/>
          <w:color w:val="111111"/>
          <w:sz w:val="28"/>
          <w:sz w:val="28"/>
          <w:szCs w:val="28"/>
          <w:rtl w:val="true"/>
          <w:lang w:bidi="ar-SA"/>
        </w:rPr>
        <w:t xml:space="preserve">التيمّم بالوحل اختياراً ، كما صرّح به المصنّف وغيره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الخلاف فيه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556"/>
      </w:r>
      <w:r>
        <w:rPr>
          <w:rFonts w:ascii="Amiri" w:hAnsi="Amiri" w:eastAsia="Amiri" w:cs="Amiri"/>
          <w:color w:val="111111"/>
          <w:sz w:val="28"/>
          <w:sz w:val="28"/>
          <w:szCs w:val="28"/>
          <w:rtl w:val="true"/>
          <w:lang w:bidi="ar-SA"/>
        </w:rPr>
        <w:t>إلى آخر ما قال ، حيث يظهر منه أنّ معقد عدم ظهور</w:t>
      </w:r>
    </w:p>
    <w:p>
      <w:pPr>
        <w:pStyle w:val="BookText"/>
        <w:rPr/>
      </w:pPr>
      <w:r>
        <w:rPr>
          <w:rFonts w:ascii="IRNazanin" w:hAnsi="IRNazanin" w:eastAsia="IRNazanin"/>
          <w:color w:val="111111"/>
          <w:sz w:val="28"/>
          <w:sz w:val="28"/>
          <w:szCs w:val="28"/>
          <w:rtl w:val="true"/>
          <w:lang w:bidi="fa-IR"/>
        </w:rPr>
        <w:t xml:space="preserve">الخلاف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اعتماد على تفسير المتأخّرين المتونَ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التفسير حسب اجتهادهم وعلى ما وجدوا النصوص كذلك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الطين الرقيق ، كما نصّ عليه جماعة من الأصحاب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Amiri" w:hAnsi="Amiri" w:eastAsia="Amiri" w:cs="Amiri"/>
          <w:color w:val="111111"/>
          <w:sz w:val="28"/>
          <w:sz w:val="28"/>
          <w:szCs w:val="28"/>
          <w:rtl w:val="true"/>
          <w:lang w:bidi="ar-SA"/>
        </w:rPr>
        <w:t xml:space="preserve">وهذا أيضاً دليل على عناية منهم بذكر الوحل مقابل الطين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تطابقهم على التعبير به ، ليس من باب الاتّفاق بلا عناية منهم بمعنى الوحل ، مع ما عرفت من حكاية تفسير جماعة منهم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حمل كلامهم على أنّ المراد به الطين مع ما عرفت ، ومع تفسير أئمّة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الرقيق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الرقيق</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الطين الرقيق ترتطم فيه الدوابّ</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 تفسيره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مخالف لما فيه </w:t>
      </w:r>
      <w:r>
        <w:rPr>
          <w:rFonts w:eastAsia="Amiri" w:cs="Amiri" w:ascii="Amiri" w:hAnsi="Amiri"/>
          <w:color w:val="111111"/>
          <w:sz w:val="28"/>
          <w:szCs w:val="28"/>
          <w:rtl w:val="true"/>
          <w:lang w:bidi="ar-SA"/>
        </w:rPr>
        <w:t xml:space="preserve">. </w:t>
      </w:r>
      <w:bookmarkStart w:id="275" w:name="pg17116_198735"/>
    </w:p>
    <w:p>
      <w:pPr>
        <w:pStyle w:val="BookText"/>
        <w:rPr/>
      </w:pPr>
      <w:bookmarkEnd w:id="275"/>
      <w:r>
        <w:rPr>
          <w:rFonts w:ascii="Amiri" w:hAnsi="Amiri" w:eastAsia="Amiri" w:cs="Amiri"/>
          <w:color w:val="111111"/>
          <w:sz w:val="28"/>
          <w:sz w:val="28"/>
          <w:szCs w:val="28"/>
          <w:rtl w:val="true"/>
          <w:lang w:bidi="ar-SA"/>
        </w:rPr>
        <w:t xml:space="preserve">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الرقيق</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وقد ذكر الفقهاء الموتحل والغريق في باب صلاة الخوف قرينين</w:t>
      </w:r>
      <w:r>
        <w:rPr>
          <w:rStyle w:val="FootnoteAnchor"/>
          <w:rtl w:val="true"/>
        </w:rPr>
        <w:footnoteReference w:id="563"/>
      </w:r>
      <w:r>
        <w:rPr>
          <w:rFonts w:ascii="Amiri" w:hAnsi="Amiri" w:eastAsia="Amiri" w:cs="Amiri"/>
          <w:color w:val="111111"/>
          <w:sz w:val="28"/>
          <w:sz w:val="28"/>
          <w:szCs w:val="28"/>
          <w:rtl w:val="true"/>
          <w:lang w:bidi="ar-SA"/>
        </w:rPr>
        <w:t xml:space="preserve">، والمراد به من غرق في الوحل ؛ وهو الطين الرقيق الذي يغرق الإنسان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ما عرفت لا يمكن دعوى الشهرة أو الإجماع على تأخّر الطين الغليظ المتماسك الذي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الصعيد ، فضلاً عن تأخّره عن الغبار ، ولا أقلّ من الشكّ فيه ، ومعه لا يمكن رفع اليد عن إطلاق الكتاب والسنّة ومقتضى الجمع بين الأدلّة ؛ وإن عبّر بعضهم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ولو نوقش في ظهور الأدلّة فيما ذكرناه وفي اقتضاء الجمع المذكور ، فلا أقلّ من أنّ ما ذكرناه احتمال مساوٍ لما ذكروه ، ودعوى الظهور فيما قالوا ممنوعة ، فلا يجوز رفع اليد عن إطلاق الآية والروايات الصحاح ، إلاّ أن يمنع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الطين بجميع مصاديقه ، أو يدّعى انصراف الأدلّة إلى غيره ، وهما ممنوعان مردودان إلى المدّعي </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646009_3381743652"/>
      <w:bookmarkStart w:id="277" w:name="_Toc96"/>
      <w:bookmarkEnd w:id="276"/>
      <w:r>
        <w:rPr>
          <w:rtl w:val="true"/>
        </w:rPr>
        <w:t>كيفية التيمّم بالوحل</w:t>
      </w:r>
      <w:bookmarkEnd w:id="2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الأدلّة أ نّه ليس للتيمّم بالوحل كيفية خاصّة ، بل كيفيته هي المعهودة المتداولة في التيمّم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فرك الطين </w:t>
      </w:r>
    </w:p>
    <w:p>
      <w:pPr>
        <w:pStyle w:val="BookText"/>
        <w:rPr/>
      </w:pPr>
      <w:r>
        <w:rPr>
          <w:rFonts w:ascii="Amiri" w:hAnsi="Amiri" w:eastAsia="Amiri" w:cs="Amiri"/>
          <w:color w:val="111111"/>
          <w:sz w:val="28"/>
          <w:sz w:val="28"/>
          <w:szCs w:val="28"/>
          <w:rtl w:val="true"/>
          <w:lang w:bidi="ar-SA"/>
        </w:rPr>
        <w:t>من اليد ، بل لا يبعد استحبابه إن قلنا باستحباب النفض ؛ بدعوى استفادته من</w:t>
      </w:r>
    </w:p>
    <w:p>
      <w:pPr>
        <w:pStyle w:val="BookText"/>
        <w:rPr/>
      </w:pPr>
      <w:r>
        <w:rPr>
          <w:rFonts w:ascii="Amiri" w:hAnsi="Amiri" w:eastAsia="Amiri" w:cs="Amiri"/>
          <w:color w:val="111111"/>
          <w:sz w:val="28"/>
          <w:sz w:val="28"/>
          <w:szCs w:val="28"/>
          <w:rtl w:val="true"/>
          <w:lang w:bidi="ar-SA"/>
        </w:rPr>
        <w:t>أدلّة النفض</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مراد الشيخ المفيد رحمه الله علیه </w:t>
      </w:r>
      <w:r>
        <w:rPr>
          <w:rStyle w:val="FootnoteAnchor"/>
          <w:rtl w:val="true"/>
        </w:rPr>
        <w:footnoteReference w:id="566"/>
      </w:r>
      <w:r>
        <w:rPr>
          <w:rFonts w:ascii="Amiri" w:hAnsi="Amiri" w:eastAsia="Amiri" w:cs="Amiri"/>
          <w:color w:val="111111"/>
          <w:sz w:val="28"/>
          <w:sz w:val="28"/>
          <w:szCs w:val="28"/>
          <w:rtl w:val="true"/>
          <w:lang w:bidi="ar-SA"/>
        </w:rPr>
        <w:t>كما أ نّه ظاهر شيخ الطائفة في عبارته المتقدّمة</w:t>
      </w:r>
      <w:r>
        <w:rPr>
          <w:rStyle w:val="FootnoteAnchor"/>
          <w:rtl w:val="true"/>
        </w:rPr>
        <w:footnoteReference w:id="567"/>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يديه جميعاً على الوحل ، ويمسح إحداهما بالاُخرى ، وينفضهما حتّى يزول عنهما الوحل ، ثمّ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إليه من مخالفته للأصحاب</w:t>
      </w:r>
      <w:r>
        <w:rPr>
          <w:rStyle w:val="FootnoteAnchor"/>
          <w:rtl w:val="true"/>
        </w:rPr>
        <w:footnoteReference w:id="568"/>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يبعد أن يكون ذلك أيضاً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يكن معه شيء من ذلك ووجد وحلاً يتيمّم منه ، وضرب بيديه عليه ، وقد أطلق الشيوخ رحمه الله علیه  ذلك 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تحقّق لي منه أ نّه يلزمه أن يضرب يديه على الوحل قليلاً ، ويتركه عليها حتّى ييبس ، ثمّ ينفض عن اليد ويتيمّم به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الظاهر من تعليق جواز التيمّم بالوحل على عدم وجود شيء ممّا يتيمّم به أنّ التيمّم به بهذه الكيفية متأخّر عن سائر المراتب ، ولو كان مراده الحيلة إلى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تحصيل التراب والتيمّم به ، لم يكن وجه لذلك التعليق ؛ فإنّ التيمّم بالتراب جائز كان أصله الوحل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منه أنّ كلامه في مقابل إطلاق الأصحاب </w:t>
      </w:r>
      <w:bookmarkStart w:id="278" w:name="pg17116_198737"/>
    </w:p>
    <w:p>
      <w:pPr>
        <w:pStyle w:val="BookText"/>
        <w:rPr/>
      </w:pPr>
      <w:bookmarkEnd w:id="278"/>
      <w:r>
        <w:rPr>
          <w:rFonts w:ascii="Amiri" w:hAnsi="Amiri" w:eastAsia="Amiri" w:cs="Amiri"/>
          <w:color w:val="111111"/>
          <w:sz w:val="28"/>
          <w:sz w:val="28"/>
          <w:szCs w:val="28"/>
          <w:rtl w:val="true"/>
          <w:lang w:bidi="ar-SA"/>
        </w:rPr>
        <w:t xml:space="preserve">في كيفية التيمّم لبيان لزوم النفض ، والظاهر رجوع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الوحل ، لا إلى المنفوض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فالمتّبع هو 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لزوم تلك الحيلة أو مثلها لتحصيل التراب ، كلاماً ربّما يأتي في ذيل مسألة جواز التيمّم في سعة الوقت </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646011_3381743652"/>
      <w:bookmarkStart w:id="280" w:name="_Toc97"/>
      <w:bookmarkEnd w:id="279"/>
      <w:r>
        <w:rPr>
          <w:rtl w:val="true"/>
        </w:rPr>
        <w:t>تتميم</w:t>
      </w:r>
      <w:bookmarkEnd w:id="280"/>
    </w:p>
    <w:p>
      <w:pPr>
        <w:pStyle w:val="BookText"/>
        <w:rPr/>
      </w:pPr>
      <w:r>
        <w:rPr>
          <w:rFonts w:ascii="Amiri" w:hAnsi="Amiri" w:eastAsia="Amiri" w:cs="Amiri"/>
          <w:color w:val="111111"/>
          <w:sz w:val="28"/>
          <w:sz w:val="28"/>
          <w:szCs w:val="28"/>
          <w:rtl w:val="true"/>
          <w:lang w:bidi="ar-SA"/>
        </w:rPr>
        <w:t>في حكم التيمّم بالثلج</w:t>
      </w:r>
    </w:p>
    <w:p>
      <w:pPr>
        <w:pStyle w:val="BookText"/>
        <w:rPr/>
      </w:pPr>
      <w:r>
        <w:rPr>
          <w:rFonts w:ascii="Amiri" w:hAnsi="Amiri" w:eastAsia="Amiri" w:cs="Amiri"/>
          <w:color w:val="111111"/>
          <w:sz w:val="28"/>
          <w:sz w:val="28"/>
          <w:szCs w:val="28"/>
          <w:rtl w:val="true"/>
          <w:lang w:bidi="ar-SA"/>
        </w:rPr>
        <w:t xml:space="preserve">الظاهر انحصار ما يتيمّم به ولو اضطراراً بما ذكر ، ومع فقده يكون 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ظاهر السيّد وابن جنيد وسلاّر التيمّم بالثلج</w:t>
      </w:r>
      <w:r>
        <w:rPr>
          <w:rStyle w:val="FootnoteAnchor"/>
          <w:rtl w:val="true"/>
        </w:rPr>
        <w:footnoteReference w:id="570"/>
      </w:r>
      <w:r>
        <w:rPr>
          <w:rFonts w:ascii="Amiri" w:hAnsi="Amiri" w:eastAsia="Amiri" w:cs="Amiri"/>
          <w:color w:val="111111"/>
          <w:sz w:val="28"/>
          <w:sz w:val="28"/>
          <w:szCs w:val="28"/>
          <w:rtl w:val="true"/>
          <w:lang w:bidi="ar-SA"/>
        </w:rPr>
        <w:t>، واستدلّ عليه</w:t>
      </w:r>
      <w:r>
        <w:rPr>
          <w:rStyle w:val="FootnoteAnchor"/>
          <w:rtl w:val="true"/>
        </w:rPr>
        <w:footnoteReference w:id="571"/>
      </w:r>
      <w:r>
        <w:rPr>
          <w:rFonts w:ascii="IRNazanin" w:hAnsi="IRNazanin" w:eastAsia="IRNazanin"/>
          <w:color w:val="111111"/>
          <w:sz w:val="28"/>
          <w:sz w:val="28"/>
          <w:szCs w:val="28"/>
          <w:rtl w:val="true"/>
          <w:lang w:bidi="fa-IR"/>
        </w:rPr>
        <w:t xml:space="preserve">بصحيحة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أجنب في سفر ، ولم يجد إلاّ الثلج أو ماءً جامداً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الضرورة يتيمّم ، ولا أرى أن يعود إلى هذه الأرض التي توبق دينه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عدم وجدان شيء ممّا يتيمّم به اختياراً واضطراراً ،</w:t>
      </w:r>
    </w:p>
    <w:p>
      <w:pPr>
        <w:pStyle w:val="BookText"/>
        <w:rPr/>
      </w:pPr>
      <w:r>
        <w:rPr>
          <w:rFonts w:ascii="Amiri" w:hAnsi="Amiri" w:eastAsia="Amiri" w:cs="Amiri"/>
          <w:color w:val="111111"/>
          <w:sz w:val="28"/>
          <w:sz w:val="28"/>
          <w:szCs w:val="28"/>
          <w:rtl w:val="true"/>
          <w:lang w:bidi="ar-SA"/>
        </w:rPr>
        <w:t xml:space="preserve">فيكون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يتيمّم بالثلج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أرى أن يعود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فإنّ التراب أحد الطهورين ، ومعه لا يوبق دينه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يجد إلاّ الثلج أو ماءً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وجدان الماء ، لا عدم وجدان الأرض ولا الطين ولا الغبار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 أي إذا لم يجد ماءً وكان الماء جامداً يتيمّم ، وعدم ذكر ما يتيمّم به لأجل وضوحه بنصّ الكتاب والسنّة ، ولو كان المراد التيمّم بالثلج كان عليه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لما ذكر ، وقد مرّ دلالة ذيلها على عدم جواز تحصيل الاضطرار عمداً والتيمّم بالتراب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أن يعود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 أي لا يعود إلى أرض لا يجد فيها ماءً للطهارة ، ومجرّد كون التراب أحد الطهورين ، لا يوجب جواز تحصيل الاضطرار ، كما مرّ في أوائل هذه الوجيزة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w:t>
      </w:r>
      <w:r>
        <w:rPr>
          <w:rStyle w:val="FootnoteAnchor"/>
          <w:rtl w:val="true"/>
        </w:rPr>
        <w:footnoteReference w:id="574"/>
      </w:r>
      <w:r>
        <w:rPr>
          <w:rFonts w:ascii="Amiri" w:hAnsi="Amiri" w:eastAsia="Amiri" w:cs="Amiri"/>
          <w:color w:val="111111"/>
          <w:sz w:val="28"/>
          <w:sz w:val="28"/>
          <w:szCs w:val="28"/>
          <w:rtl w:val="true"/>
          <w:lang w:bidi="ar-SA"/>
        </w:rPr>
        <w:t xml:space="preserve">بقاعدة الاحتياط والشغل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يوجب طهورية ما ليس بطهور ، بل مقتضاه عدم سقوط الصلاة مع فقد الطهور ، لا جعل ما ليس بطهور طهوراً ، وسيأتي تتمّة لذلك في محلّه إن شاء 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281" w:name="pg17116_198739"/>
    </w:p>
    <w:p>
      <w:pPr>
        <w:pStyle w:val="Heading6"/>
        <w:numPr>
          <w:ilvl w:val="5"/>
          <w:numId w:val="1"/>
        </w:numPr>
        <w:rPr/>
      </w:pPr>
      <w:bookmarkStart w:id="282" w:name="__RefHeading___Toc8646013_3381743652"/>
      <w:bookmarkStart w:id="283" w:name="_Toc98"/>
      <w:bookmarkEnd w:id="281"/>
      <w:bookmarkEnd w:id="282"/>
      <w:r>
        <w:rPr>
          <w:rtl w:val="true"/>
        </w:rPr>
        <w:t>حول كلام المفيد في التوضّي بالثلج مثل الدهن</w:t>
      </w:r>
      <w:bookmarkEnd w:id="283"/>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قد غطّاها الثلج ، ولا سبيل إلى التراب ، فليكسره وليتوضّأ به مثل الدهن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كان مراده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مسح الأعضاء بدل الغسل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ميسوره ؛ فإنّه عبارة عن إيصال الماء وإجرائه عليه ، ومع عدم إمكان ذلك لا يسقط ميسوره ؛ وهو إيصال رطوبة الماء وبلّته إلى العضو ومسحه به ، كما تشهد به رواية عبد الأعلى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w:t>
      </w:r>
    </w:p>
    <w:p>
      <w:pPr>
        <w:pStyle w:val="BookText"/>
        <w:rPr/>
      </w:pPr>
      <w:r>
        <w:rPr>
          <w:rFonts w:ascii="Amiri" w:hAnsi="Amiri" w:eastAsia="Amiri" w:cs="Amiri"/>
          <w:color w:val="111111"/>
          <w:sz w:val="28"/>
          <w:sz w:val="28"/>
          <w:szCs w:val="28"/>
          <w:rtl w:val="true"/>
          <w:lang w:bidi="ar-SA"/>
        </w:rPr>
        <w:t xml:space="preserve">فانقطع ظفري ، فجعلت على إصبعي مرارة ، فكيف أصنع بالوضوء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هذا وأشباهه من كتاب اللّه عزّ وجلّ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فِى الدِّينِ مِنْ حَرَجٍ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الطهارة ، أبواب الوضوء ،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المسح على المرارة ميسور المسح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 المسح عليها إلى الإمرار ومماسّة الماسح للممسوح ، فإذا رفعت المماسّة للحرج بقي الإمرار على الملاصق بالعضو ؛ لارتكازية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يكون المقام كذلك جزماً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سند القاعدة ، وعدم ثبوت جبره ، وعدم ثبوت </w:t>
      </w:r>
    </w:p>
    <w:p>
      <w:pPr>
        <w:pStyle w:val="BookText"/>
        <w:rPr/>
      </w:pPr>
      <w:r>
        <w:rPr>
          <w:rFonts w:ascii="Amiri" w:hAnsi="Amiri" w:eastAsia="Amiri" w:cs="Amiri"/>
          <w:color w:val="111111"/>
          <w:sz w:val="28"/>
          <w:sz w:val="28"/>
          <w:szCs w:val="28"/>
          <w:rtl w:val="true"/>
          <w:lang w:bidi="ar-SA"/>
        </w:rPr>
        <w:t xml:space="preserve">كونها عقلائية يتّكل عليها العقلاء في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بل</w:t>
      </w:r>
    </w:p>
    <w:p>
      <w:pPr>
        <w:pStyle w:val="BookText"/>
        <w:rPr/>
      </w:pPr>
      <w:r>
        <w:rPr>
          <w:rFonts w:ascii="Amiri" w:hAnsi="Amiri" w:eastAsia="Amiri" w:cs="Amiri"/>
          <w:color w:val="111111"/>
          <w:sz w:val="28"/>
          <w:sz w:val="28"/>
          <w:szCs w:val="28"/>
          <w:rtl w:val="true"/>
          <w:lang w:bidi="ar-SA"/>
        </w:rPr>
        <w:t xml:space="preserve">مباين للغسل ، ولا يكون ميسوره عرفاً ، ولا يعتني العرف بهذه التحليلات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الغسل بالماء لا ينحلّ إلى وصول الرطوبة التي ليست بماء ، بل أثره عرفاً ومغايرة له ذاتاً ، فلا مجال للتمسّك بالقاعدة في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عبدالأعلى وإن كانت موهمة لذلك ، لكن التأمّل فيها يدفع التوهّم ؛ فإنّ المفروض فيها حكمان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المسح على البشرة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المسح على المرارة ، وما يعرف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عدم جعل الحرج التي تمسّك بها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الحكم الأوّل ؛ ضرورة أنّ المستفاد منها ليس إلاّ عدم جعل التكاليف الحرجية ، وأمّا جعل البدل وبقاء الوضوء المركّب من المسح والغسل بعد تعذّر بعض أجزائه ، فلايكاد يستفاد ويعرف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وضوح عدم كون المسح على المرارة ميسور المسح على البشرة ، فلو صحّ التقريب والتحليل المتقدّم لصحّ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على البشرة منحلّ إلى أصل المسح ، وكونه باليد ، وكونه على البشرة ، وكونه بأثر الماء المنحلّ إلى مطلق المائع والخصوصية ، فإذا تعذّر الجميع يجب المسح ولو بأثر مائع غير الماء على غير البشرة وبغير آلية اليد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على الخرقة ليس ميسور المسح على الرجل ؛ ولو كانت الخرقة متّصلة وملصقة بها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استناده على الآية إنّما هو للحكم الأوّل ؛ أي عدم لزوم المسح على البشرة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عقيب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تعبّدي آخر لا يمكن معرفته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بالقاعدة لتبديل الغسل بالماء بالمسح بالثلج ،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Style w:val="FootnoteAnchor"/>
          <w:rtl w:val="true"/>
        </w:rPr>
        <w:footnoteReference w:id="581"/>
      </w:r>
      <w:r>
        <w:rPr>
          <w:rFonts w:ascii="Amiri" w:hAnsi="Amiri" w:eastAsia="Amiri" w:cs="Amiri"/>
          <w:color w:val="111111"/>
          <w:sz w:val="28"/>
          <w:sz w:val="28"/>
          <w:szCs w:val="28"/>
          <w:rtl w:val="true"/>
          <w:lang w:bidi="ar-SA"/>
        </w:rPr>
        <w:t xml:space="preserve">دلالة طائفة من الروايات على جواز الاغتسال والتوضّي مسحاً بدل الغسل ، كصحيحة علي بن جعفر ورواية معاوية بن شريح وسيأتي حالها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 بمثل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بأقلّ مراتب الغسل ، كما هو مقتضى الروايات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إمكان الوضوء به بلا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الوضوء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لتأخّره عن التراب ، ومع حرجيته لا يجب ، ويكون فاقد الطهورين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التيمّم في موارد الحرج لمّا كان رخصة لا عزيمة ، يجوز تحمّل المشقّة بالوضوء والغسل مع حرجيتهما ، ويجوز تركهما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ما ذكر وجه الجمع بين 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محمّد بن مسلم ومعاوية بن شريح وصحيحتي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صحيحة محمّد بن مسلم المتقدّمة</w:t>
      </w:r>
      <w:r>
        <w:rPr>
          <w:rStyle w:val="FootnoteAnchor"/>
          <w:rtl w:val="true"/>
        </w:rPr>
        <w:footnoteReference w:id="582"/>
      </w:r>
      <w:r>
        <w:rPr>
          <w:rFonts w:ascii="Amiri" w:hAnsi="Amiri" w:eastAsia="Amiri" w:cs="Amiri"/>
          <w:color w:val="111111"/>
          <w:sz w:val="28"/>
          <w:sz w:val="28"/>
          <w:szCs w:val="28"/>
          <w:rtl w:val="true"/>
          <w:lang w:bidi="ar-SA"/>
        </w:rPr>
        <w:t>؛ بحمل ما عدا الأخيرة على جواز الوضوء والغسل مع حرجيتهما ، والأخيرة على جواز التيمّم وعدم تعيّنه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كون ما يرفع بدليل الحرج عزيمة لا رخصة بما لا مزيد عليه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والأولى في المقام نقل الروايات حتّى يتّضح حال التوهّم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تبديل الغسل بالمسح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والدعوى المتقدّمة في توجيه كلام الشيخ المفيد رحمه الله علیه  ، فعن</w:t>
      </w:r>
    </w:p>
    <w:p>
      <w:pPr>
        <w:pStyle w:val="BookText"/>
        <w:rPr/>
      </w:pPr>
      <w:r>
        <w:rPr>
          <w:rFonts w:ascii="IRNazanin" w:hAnsi="IRNazanin" w:eastAsia="IRNazanin"/>
          <w:color w:val="111111"/>
          <w:sz w:val="28"/>
          <w:sz w:val="28"/>
          <w:szCs w:val="28"/>
          <w:rtl w:val="true"/>
          <w:lang w:bidi="fa-IR"/>
        </w:rPr>
        <w:t xml:space="preserve">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يجنب في السفر لا يجد إلاّ الثلج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بالثلج أو ماء النهر</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شريح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يصيبنا الدمَق والثلج ، ونريد أن نتوضّأ ، ولا نجد إلاّ ماءً جامداً ، فكيف أتوضّأ ، أدلك به</w:t>
      </w:r>
    </w:p>
    <w:p>
      <w:pPr>
        <w:pStyle w:val="BookText"/>
        <w:rPr/>
      </w:pPr>
      <w:r>
        <w:rPr>
          <w:rFonts w:ascii="Amiri" w:hAnsi="Amiri" w:eastAsia="Amiri" w:cs="Amiri"/>
          <w:color w:val="111111"/>
          <w:sz w:val="28"/>
          <w:sz w:val="28"/>
          <w:szCs w:val="28"/>
          <w:rtl w:val="true"/>
          <w:lang w:bidi="ar-SA"/>
        </w:rPr>
        <w:t xml:space="preserve">جلدي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الجنب أو على غير وضوء ، لا يكون معه ماء ، وهو يصيب ثلجاً وصعيداً ؛ أيّهما أفضل أيتيمّم ، أم يمسح بالثلج وجهه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الثلج إذا بلّ رأسه وجسده أفضل ، فإن لم يقدر على أن يغتسل به فليتيمّم</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وقريب منها روايته الاُخرى</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يتوهّم منها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من رواية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بالثلج في </w:t>
      </w:r>
    </w:p>
    <w:p>
      <w:pPr>
        <w:pStyle w:val="BookText"/>
        <w:rPr/>
      </w:pPr>
      <w:r>
        <w:rPr>
          <w:rFonts w:ascii="Amiri" w:hAnsi="Amiri" w:eastAsia="Amiri" w:cs="Amiri"/>
          <w:color w:val="111111"/>
          <w:sz w:val="28"/>
          <w:sz w:val="28"/>
          <w:szCs w:val="28"/>
          <w:rtl w:val="true"/>
          <w:lang w:bidi="ar-SA"/>
        </w:rPr>
        <w:t xml:space="preserve">صورة فقدان الماء وعدم إمكان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أمّا قوله في رواية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في أنّ الاغتسال بهما سواء ، وهو خلاف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مسح الثلج بالبشرة غير الاغتسال به بالبداهة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دلكه على الجسد بنحو يحصل به أقلّ مراتب الغسل ، وقد تقدّم في باب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ماهيتهما ليس إلاّ أقلّ مراتب الجريان ولو بإعانة اليد ، وليس الغسل فيهما كالغسل من القذارات ، كما هو المصرّح به في الروايات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هذه الرواية اعتبار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موقوف على إجراء ماء الثلج على البشرة في الجملة ؛ ولو بالدلك وإعانة حرارة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شريح فليست في مقام بيان كفاية المسح عن الغسل ، بل بعد فرض إرادة الوضوء المعهود بين المسلمين المصرّح به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الغسلتان والمسحتان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نحو تحصيله بنحو دلك الماء الجامد على العضو ، فالسؤال عمّا يتوضّأ به ، لا عن تبديل الوضوء بغيره ،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احتمال اعتبار كون ما يتوضّأ به قبل الغسل به ماءً مطلقاً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احتمال لزوم إجراء الماء على العضو كإجرائه في باب غسل القذارات ، صار منشأً لسؤاله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علي بن جعفر فلولا ذيلها لكانت ظاهرة فيما يتوهّم ، على تأمّل فيه ناشئ من أنّ ارتكازية اعتبار الغسل في ماهية الاغتسال تمنع عن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 رأسه وجسده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الرطوبة التي لا يحصل منها أقلّ مراتب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صراحة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أن يغتسل به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للتوهّم والإجمال 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حاكم على الظهور البدوي للصدر لو سلّم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حال التوهّم المتقدّم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الدعوى المتقدّمة ، فصحّتها مبنيّة على أن يكون الموضوع في تلك الروايات ، فرض حرجية الوضوء والغسل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تجويزهما مع فرضها دليل على كون السقوط رخصة لا عزيمة ، فيحمل الأمر بالتيمّم في صحيحة ابن مسلم عليه ، فيكون ذلك طريق جمع بين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كونها في مقام بيان حال حرجيتهما ، بل هي في مقام بيان حكم آخر ، بخلاف صحيحة محمّد بن مسلم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ابن مسلم وإن كان ظاهر صدرها ، السؤال عن تكليفه عند عدم وجدان غير الثلج ، فيكون مطابقاً لصحيحته في ذلك ، لكن الظاهر من الجواب ، بيان كون الاغتسال بالثلج وبماء النهر سواء ، فهو في مقام بيان صحّة الاغتسال به كالاغتسال بماء النهر ، وأمّا لزومه أو جوازه فلا يفهم منه ؛ لعدم كونه من هذه الجهة في مقام البيان ، فهو كقوله 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بالثلج كالوضوء بماء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التسوية بينهما ، وأمّا مع حرجيته فيجوز أو يجب فلا يستفاد من مثله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على فرض تسليم شموله لحال الحرج ، يكون إطلاقاً يجب تقييده </w:t>
      </w:r>
    </w:p>
    <w:p>
      <w:pPr>
        <w:pStyle w:val="BookText"/>
        <w:rPr/>
      </w:pPr>
      <w:r>
        <w:rPr>
          <w:rFonts w:ascii="Amiri" w:hAnsi="Amiri" w:eastAsia="Amiri" w:cs="Amiri"/>
          <w:color w:val="111111"/>
          <w:sz w:val="28"/>
          <w:sz w:val="28"/>
          <w:szCs w:val="28"/>
          <w:rtl w:val="true"/>
          <w:lang w:bidi="ar-SA"/>
        </w:rPr>
        <w:t xml:space="preserve">بأدلّة الحرج الحاكمة على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 المفروض حرجية الاغتسال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شريح ، ففي مقام بيان جواز الوضوء بدلك الثلج على العضو ، ولا إشعار فيها بفرض الحرج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الوضوء بالثلج ليس حرجياً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يمكن الاتّكال عليها للمدّعى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صحيحة علي بن جعفر أيضاً تكون في مقام بيان حكم آخر ؛ وهو أفضلية التيمّم أو المسح بالثلج ، فلا يكون المفروض فيها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التيمّم أيضاً جائزاً ولو كان مفضولاً ، وإن لا يخلو من وجه ، لكن مع قرب احتمال أنّ ذكره لأجل وجوده في السؤال ، لا لأجل عناية بصحّة التيمّم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أن يغتسل به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التيمّم إنّما هو مشروع مع عدم القدرة ، كما هو المرتكز في الأذهان والمستفاد من الكتاب والسنّة ، كما تقدّم</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ما يدّعى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إلاّ كقوله في صحيحة ابن سنان الواردة في خوف العطش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الصعيد أحبّ إليّ</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وكقوله في رواية ابن أبي يعفور مع فرض كون الماء بقدر شربه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أفضل</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يمكن رفع اليد عمّا تقدّم</w:t>
      </w:r>
      <w:r>
        <w:rPr>
          <w:rStyle w:val="FootnoteAnchor"/>
          <w:rtl w:val="true"/>
        </w:rPr>
        <w:footnoteReference w:id="593"/>
      </w:r>
      <w:r>
        <w:rPr>
          <w:rFonts w:ascii="Amiri" w:hAnsi="Amiri" w:eastAsia="Amiri" w:cs="Amiri"/>
          <w:color w:val="111111"/>
          <w:sz w:val="28"/>
          <w:sz w:val="28"/>
          <w:szCs w:val="28"/>
          <w:rtl w:val="true"/>
          <w:lang w:bidi="ar-SA"/>
        </w:rPr>
        <w:t xml:space="preserve">من ضروب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السقوط في مورد الحرج عزيمة بمثل هذا الإشعار الضعيف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يرفع التضادّ 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المتوهّمان بين تلك الروايات ، وبين صحيحة محمّد بن مسلم الظاهرة في أنّ موردها حرجية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 فتدبّر </w:t>
      </w:r>
      <w:r>
        <w:rPr>
          <w:rFonts w:eastAsia="Amiri" w:cs="Amiri" w:ascii="Amiri" w:hAnsi="Amiri"/>
          <w:color w:val="111111"/>
          <w:sz w:val="28"/>
          <w:szCs w:val="28"/>
          <w:rtl w:val="true"/>
          <w:lang w:bidi="ar-SA"/>
        </w:rPr>
        <w:t xml:space="preserve">. </w:t>
      </w:r>
      <w:bookmarkStart w:id="284" w:name="pg17116_198747"/>
    </w:p>
    <w:p>
      <w:pPr>
        <w:pStyle w:val="Heading4"/>
        <w:numPr>
          <w:ilvl w:val="3"/>
          <w:numId w:val="1"/>
        </w:numPr>
        <w:rPr/>
      </w:pPr>
      <w:bookmarkStart w:id="285" w:name="__RefHeading___Toc8646015_3381743652"/>
      <w:bookmarkStart w:id="286" w:name="_Toc99"/>
      <w:bookmarkEnd w:id="284"/>
      <w:bookmarkEnd w:id="285"/>
      <w:r>
        <w:rPr>
          <w:rtl w:val="true"/>
        </w:rPr>
        <w:t>المبحث الثالث</w:t>
      </w:r>
      <w:r>
        <w:rPr>
          <w:rtl w:val="true"/>
        </w:rPr>
        <w:t xml:space="preserve">: </w:t>
      </w:r>
      <w:r>
        <w:rPr>
          <w:rtl w:val="true"/>
        </w:rPr>
        <w:t>في كيفية التيمّم</w:t>
      </w:r>
      <w:bookmarkEnd w:id="286"/>
    </w:p>
    <w:p>
      <w:pPr>
        <w:pStyle w:val="Heading5"/>
        <w:numPr>
          <w:ilvl w:val="4"/>
          <w:numId w:val="1"/>
        </w:numPr>
        <w:rPr/>
      </w:pPr>
      <w:bookmarkStart w:id="287" w:name="__RefHeading___Toc8646017_3381743652"/>
      <w:bookmarkStart w:id="288" w:name="_Toc100"/>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وإن كان الترتيب يقتضي أن يذكر أوّلاً ما له دخل في ماهية التيمّم من الأجزاء المقوّمة لها، ثمّ تُذكر شروطها وما هي خارجة عن حقيقتها ، لكن وقع خلاف الترتيب ؛ تبعاً لبعض المتون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 التيمّم اُمور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الشرائع كما صرّح قدّس سرّه  به في الجزء الأوّل من 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شرائع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7116_198749"/>
      <w:bookmarkStart w:id="290" w:name="pg17116_198749"/>
      <w:bookmarkEnd w:id="290"/>
    </w:p>
    <w:p>
      <w:pPr>
        <w:pStyle w:val="Heading5"/>
        <w:numPr>
          <w:ilvl w:val="4"/>
          <w:numId w:val="1"/>
        </w:numPr>
        <w:rPr/>
      </w:pPr>
      <w:bookmarkStart w:id="291" w:name="pg17116_198749"/>
      <w:bookmarkStart w:id="292" w:name="__RefHeading___Toc8646019_3381743652"/>
      <w:bookmarkStart w:id="293" w:name="_Toc101"/>
      <w:bookmarkEnd w:id="291"/>
      <w:bookmarkEnd w:id="292"/>
      <w:r>
        <w:rPr>
          <w:rtl w:val="true"/>
        </w:rPr>
        <w:t>الأمر الأوّل</w:t>
      </w:r>
      <w:r>
        <w:rPr>
          <w:rtl w:val="true"/>
        </w:rPr>
        <w:t xml:space="preserve">: </w:t>
      </w:r>
      <w:r>
        <w:rPr>
          <w:rtl w:val="true"/>
        </w:rPr>
        <w:t>في اعتبار النيّة</w:t>
      </w:r>
      <w:bookmarkEnd w:id="293"/>
    </w:p>
    <w:p>
      <w:pPr>
        <w:pStyle w:val="Heading6"/>
        <w:numPr>
          <w:ilvl w:val="5"/>
          <w:numId w:val="1"/>
        </w:numPr>
        <w:rPr/>
      </w:pPr>
      <w:bookmarkStart w:id="294" w:name="__RefHeading___Toc8646021_3381743652"/>
      <w:bookmarkStart w:id="295" w:name="_Toc102"/>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وقد فرغنا من المباحث المتعلّقة بها في مبحث الوضوء</w:t>
      </w:r>
      <w:r>
        <w:rPr>
          <w:rStyle w:val="FootnoteAnchor"/>
          <w:rtl w:val="true"/>
        </w:rPr>
        <w:footnoteReference w:id="594"/>
      </w:r>
      <w:r>
        <w:rPr>
          <w:rFonts w:ascii="Amiri" w:hAnsi="Amiri" w:eastAsia="Amiri" w:cs="Amiri"/>
          <w:color w:val="111111"/>
          <w:sz w:val="28"/>
          <w:sz w:val="28"/>
          <w:szCs w:val="28"/>
          <w:rtl w:val="true"/>
          <w:lang w:bidi="ar-SA"/>
        </w:rPr>
        <w:t xml:space="preserve">، ونتعرّض في المقام لبعض المباحث المتعلّقة بخصوص التيمّم </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8646023_3381743652"/>
      <w:bookmarkStart w:id="297" w:name="_Toc103"/>
      <w:bookmarkEnd w:id="296"/>
      <w:r>
        <w:rPr>
          <w:rtl w:val="true"/>
        </w:rPr>
        <w:t>عدم لزوم قصد البدلية</w:t>
      </w:r>
      <w:bookmarkEnd w:id="2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حقّق في محلّه من أصالة التوصّلية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للإطلاق اللفظي ؛ لجواز أخذ جميع القيود حتّى ما تأتي من قِبل الأوامر في متعلّقاتها ، كما هو التحقيق</w:t>
      </w:r>
      <w:r>
        <w:rPr>
          <w:rStyle w:val="FootnoteAnchor"/>
          <w:rtl w:val="true"/>
        </w:rPr>
        <w:footnoteReference w:id="595"/>
      </w:r>
      <w:r>
        <w:rPr>
          <w:rFonts w:ascii="Amiri" w:hAnsi="Amiri" w:eastAsia="Amiri" w:cs="Amiri"/>
          <w:color w:val="111111"/>
          <w:sz w:val="28"/>
          <w:sz w:val="28"/>
          <w:szCs w:val="28"/>
          <w:rtl w:val="true"/>
          <w:lang w:bidi="ar-SA"/>
        </w:rPr>
        <w:t>، وإمّا للإطلاق المقامي ؛ بعد كونِ بيان جميع القيود الدخيلة في المتعلّقات المؤثّرة في حصول الغرض ، من وظائف المولى ، وإمكان بيانها بدليل منفصل</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شيء في التيمّم سوى الضرب والمسحات المأخوذة في الأدلّة كتاباً وسنّة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في إطلاق طائفة من الروايات ، كموثّقة زرارة ، عن أبي جعفر في التيمّم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 ، ثمّ تنفضهما وتمسح بهما وجهك ويديك</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منها صحيحة المرادي</w:t>
      </w:r>
      <w:r>
        <w:rPr>
          <w:rStyle w:val="FootnoteAnchor"/>
          <w:rtl w:val="true"/>
        </w:rPr>
        <w:footnoteReference w:id="598"/>
      </w:r>
      <w:r>
        <w:rPr>
          <w:rFonts w:ascii="Amiri" w:hAnsi="Amiri" w:eastAsia="Amiri" w:cs="Amiri"/>
          <w:color w:val="111111"/>
          <w:sz w:val="28"/>
          <w:sz w:val="28"/>
          <w:szCs w:val="28"/>
          <w:rtl w:val="true"/>
          <w:lang w:bidi="ar-SA"/>
        </w:rPr>
        <w:t>، وكبعض ما وردت في قضيّة عمّار بن ياسر</w:t>
      </w:r>
      <w:r>
        <w:rPr>
          <w:rStyle w:val="FootnoteAnchor"/>
          <w:rtl w:val="true"/>
        </w:rPr>
        <w:footnoteReference w:id="599"/>
      </w:r>
      <w:r>
        <w:rPr>
          <w:rFonts w:ascii="Amiri" w:hAnsi="Amiri" w:eastAsia="Amiri" w:cs="Amiri"/>
          <w:color w:val="111111"/>
          <w:sz w:val="28"/>
          <w:sz w:val="28"/>
          <w:szCs w:val="28"/>
          <w:rtl w:val="true"/>
          <w:lang w:bidi="ar-SA"/>
        </w:rPr>
        <w:t xml:space="preserve">وغيرها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إطلاق الآية الكريمة</w:t>
      </w:r>
      <w:r>
        <w:rPr>
          <w:rStyle w:val="FootnoteAnchor"/>
          <w:rtl w:val="true"/>
        </w:rPr>
        <w:footnoteReference w:id="601"/>
      </w:r>
      <w:r>
        <w:rPr>
          <w:rFonts w:ascii="Amiri" w:hAnsi="Amiri" w:eastAsia="Amiri" w:cs="Amiri"/>
          <w:color w:val="111111"/>
          <w:sz w:val="28"/>
          <w:sz w:val="28"/>
          <w:szCs w:val="28"/>
          <w:rtl w:val="true"/>
          <w:lang w:bidi="ar-SA"/>
        </w:rPr>
        <w:t xml:space="preserve">أيضاً ، كما يشهد به بعض ما ورد من تمسّك المعصوم بالخصوصيات المأخوذة فيها </w:t>
      </w:r>
      <w:r>
        <w:rPr>
          <w:rStyle w:val="FootnoteAnchor"/>
          <w:rtl w:val="true"/>
        </w:rPr>
        <w:footnoteReference w:id="602"/>
      </w:r>
      <w:r>
        <w:rPr>
          <w:rFonts w:ascii="IRNazanin" w:hAnsi="IRNazanin" w:eastAsia="IRNazanin"/>
          <w:color w:val="111111"/>
          <w:sz w:val="28"/>
          <w:sz w:val="28"/>
          <w:szCs w:val="28"/>
          <w:rtl w:val="true"/>
          <w:lang w:bidi="fa-IR"/>
        </w:rPr>
        <w:t xml:space="preserve">ممّا لا مجال له إلاّ للإطلاق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يجب الخروج عن مقتضى الإطلاقات بقيام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عبادية التيمّم ولزوم النيّة والإخلاص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بعض المباحث السالفة</w:t>
      </w:r>
      <w:r>
        <w:rPr>
          <w:rStyle w:val="FootnoteAnchor"/>
          <w:rtl w:val="true"/>
        </w:rPr>
        <w:footnoteReference w:id="603"/>
      </w:r>
      <w:r>
        <w:rPr>
          <w:rFonts w:ascii="Amiri" w:hAnsi="Amiri" w:eastAsia="Amiri" w:cs="Amiri"/>
          <w:color w:val="111111"/>
          <w:sz w:val="28"/>
          <w:sz w:val="28"/>
          <w:szCs w:val="28"/>
          <w:rtl w:val="true"/>
          <w:lang w:bidi="ar-SA"/>
        </w:rPr>
        <w:t xml:space="preserve">وفي بحث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عبادية الطهارات الثلاث ، ليس الأوامر الغيرية من غاياتها ولو قلنا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 أيضاً ؛ وأنّ عباديتها في رتبة سابقة على تعلّقها بالفرض</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اعتبار النيّة في التيمّم ، وقد تظافرت دعوى الإجماع</w:t>
      </w:r>
    </w:p>
    <w:p>
      <w:pPr>
        <w:pStyle w:val="BookText"/>
        <w:rPr/>
      </w:pPr>
      <w:r>
        <w:rPr>
          <w:rFonts w:ascii="Amiri" w:hAnsi="Amiri" w:eastAsia="Amiri" w:cs="Amiri"/>
          <w:color w:val="111111"/>
          <w:sz w:val="28"/>
          <w:sz w:val="28"/>
          <w:szCs w:val="28"/>
          <w:rtl w:val="true"/>
          <w:lang w:bidi="ar-SA"/>
        </w:rPr>
        <w:t xml:space="preserve">عليه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علماء الإسلام عليه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نعرف فيه خلافاً ، وبه قال أهل العلم سوى ما حكي عن الأوزاعي والحسن بن صالح بن حيّ</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لزوم النيّة وقصد القربة والإخلاص فيه وفي أخويه ضروري في الفقه ، ولزوم الإخلاص في العبادة مستفاد من السنّة المستفيضة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اعتبار قصد الوجه والتمييز في النيّة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 بل مقتضى الإطلاق عدمه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التيمّم بدل عن الوضوء والغسل ؛ فإنّ عنوان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لنفسه من غير دخالة للقصد فيه ، بل في إمكان ذلك تأمّل وإشكال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لا دليل على كونه بدلاً منهما ، خصوصاً إن اُريد بالبدلية كون التيمّم </w:t>
      </w:r>
    </w:p>
    <w:p>
      <w:pPr>
        <w:pStyle w:val="BookText"/>
        <w:rPr/>
      </w:pPr>
      <w:r>
        <w:rPr>
          <w:rFonts w:ascii="Amiri" w:hAnsi="Amiri" w:eastAsia="Amiri" w:cs="Amiri"/>
          <w:color w:val="111111"/>
          <w:sz w:val="28"/>
          <w:sz w:val="28"/>
          <w:szCs w:val="28"/>
          <w:rtl w:val="true"/>
          <w:lang w:bidi="ar-SA"/>
        </w:rPr>
        <w:t>بدل الطهور ، فإنّه مخالف للأدلّة ، ومجرّد كونه أمراً ثابتاً في حال الاضطرار</w:t>
      </w:r>
    </w:p>
    <w:p>
      <w:pPr>
        <w:pStyle w:val="BookText"/>
        <w:rPr/>
      </w:pPr>
      <w:r>
        <w:rPr>
          <w:rFonts w:ascii="Amiri" w:hAnsi="Amiri" w:eastAsia="Amiri" w:cs="Amiri"/>
          <w:color w:val="111111"/>
          <w:sz w:val="28"/>
          <w:sz w:val="28"/>
          <w:szCs w:val="28"/>
          <w:rtl w:val="true"/>
          <w:lang w:bidi="ar-SA"/>
        </w:rPr>
        <w:t xml:space="preserve">ومصداقاً اضطرارياً ، لا يستلزم البدلية ؛ فإنّها أمر زائد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بالبدلية كونه مصداقاً اضطرارياً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بدل اضطراري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أمر لا معنى للنزاع فيه ، ولا مشاحّة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بها أمراً زائداً على ذلك ، وعنواناً ملازماً للمصداق الاضطراري ، فهو ممنوع ؛ فإنّ المصداق الاضطراري يمكن أن يكون مستقلاًّ في التأثير في ظرفه ، لا نائباً عن غيره وبدلاً عنه ، فلا ملازمة بينهما عقلاً ولا عرفاً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استفادة ذلك من بعض الأخبار ، كصحيحة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لا يجد الماء ، أيتيمّم لكلّ 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هو بمنزلة الماء</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التيمّم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ضرب واحد للوضوء والغسل من الجنابة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عمّار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التيمّم من الوضوء والجنابة ومن الحيض للنساء سواء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مدفوعة ؛ لأنّ كونه بمنزلة الماء في جواز إتيان الصلوات الكثيرة به ، لا يلازم كونه بدلاً منه ؛ فإنّ وحدة منزلة شيئين في حصول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بكونها دليلاً على استقلال كلٍّ في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دليلاً على نيابة أحدهما عن الآخر أو بدليته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إلاّ كون التيمّم مثل الوضوء في الحكم المذكور ، أو</w:t>
      </w:r>
    </w:p>
    <w:p>
      <w:pPr>
        <w:pStyle w:val="BookText"/>
        <w:rPr/>
      </w:pPr>
      <w:r>
        <w:rPr>
          <w:rFonts w:ascii="Amiri" w:hAnsi="Amiri" w:eastAsia="Amiri" w:cs="Amiri"/>
          <w:color w:val="111111"/>
          <w:sz w:val="28"/>
          <w:sz w:val="28"/>
          <w:szCs w:val="28"/>
          <w:rtl w:val="true"/>
          <w:lang w:bidi="ar-SA"/>
        </w:rPr>
        <w:t xml:space="preserve">مطلقاً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فإنّ كون أمير المؤمنين بمنزلة هارون علیهما السلام  لا يستلزم نيابتَه عن هارون ، وأصالةَ هارون في نيابته عن موسى ، وعدمَ أصالة المولى علیه السلام  في نيابته عن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الرواية الثانية فلا إشعار فيها بالمدّعى ؛ فإنّ كون التيمّم للوضوء لا معنى له بحسب ظاهره ، والظاهر أنّ ذكر الوضوء وغسل الجنابة ؛ لمجرّد المعرّفية عن التيمّم الذي هو للحدث الأصغر والأكبر ، فلا يستفاد منه البدلية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تستفاد من الثالثة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تعقّبه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والجنابة ومن الحيض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ظهوره في البدلية ؛ وإن كان وقوعه في لفظ الراوي لا يفيد شيئاً ، وليس قول الإمام تقريراً لذلك ، لكن مع تعقّبه به يدفع ذلك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لا تكون في مقام إفادة بدلية التيمّم وأصالة الوضوء والغسل ، بل هي بصدد مجرّد المعرّفية ، نظير قوله في صحيحة محمّد بن </w:t>
      </w:r>
      <w:bookmarkStart w:id="298" w:name="pg17116_198754"/>
    </w:p>
    <w:p>
      <w:pPr>
        <w:pStyle w:val="BookText"/>
        <w:rPr/>
      </w:pPr>
      <w:bookmarkEnd w:id="298"/>
      <w:r>
        <w:rPr>
          <w:rFonts w:ascii="Amiri" w:hAnsi="Amiri" w:eastAsia="Amiri" w:cs="Amiri"/>
          <w:color w:val="111111"/>
          <w:sz w:val="28"/>
          <w:sz w:val="28"/>
          <w:szCs w:val="28"/>
          <w:rtl w:val="true"/>
          <w:lang w:bidi="ar-SA"/>
        </w:rPr>
        <w:t xml:space="preserve">مسلم بعد بيان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التيمّم على ما كان فيه الغسل </w:t>
      </w:r>
      <w:r>
        <w:rPr>
          <w:rFonts w:eastAsia="Amiri" w:cs="Amiri" w:ascii="Amiri" w:hAnsi="Amiri"/>
          <w:color w:val="111111"/>
          <w:sz w:val="28"/>
          <w:szCs w:val="28"/>
          <w:rtl w:val="true"/>
          <w:lang w:bidi="ar-SA"/>
        </w:rPr>
        <w:t>. . .»</w:t>
      </w:r>
      <w:r>
        <w:rPr>
          <w:rStyle w:val="FootnoteAnchor"/>
          <w:rtl w:val="true"/>
        </w:rPr>
        <w:footnoteReference w:id="61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والصعيد</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عدم البدلية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يبعد أن يكون القائل بكون التيمّم مبيحاً لا رافعاً ، هو القائل ببدليته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الصلاة هو الطهور ، وهو لا يحصل إلاّ بالوضوء والغسل ، وأمّا التيمّم فبدل عن الطهور ، لا موجب له ورافع للحدث ، وإلاّ فلو قيل بحصول الطهور منهما فلا معنى للبدلية ، وسيأتي في المسألة الآتية ما هو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هاهنا من إنكار البدلية بالمعنى المتقدّم ، لا ينافي ما سيأتي منّا مراراً من التمسّك بإطلاق البدلية وعموم المنزلة</w:t>
      </w:r>
      <w:r>
        <w:rPr>
          <w:rStyle w:val="FootnoteAnchor"/>
          <w:rtl w:val="true"/>
        </w:rPr>
        <w:footnoteReference w:id="617"/>
      </w:r>
      <w:r>
        <w:rPr>
          <w:rFonts w:ascii="Amiri" w:hAnsi="Amiri" w:eastAsia="Amiri" w:cs="Amiri"/>
          <w:color w:val="111111"/>
          <w:sz w:val="28"/>
          <w:sz w:val="28"/>
          <w:szCs w:val="28"/>
          <w:rtl w:val="true"/>
          <w:lang w:bidi="ar-SA"/>
        </w:rPr>
        <w:t xml:space="preserve">، كما يظهر بالتأمّل </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8646025_3381743652"/>
      <w:bookmarkStart w:id="300" w:name="_Toc104"/>
      <w:bookmarkEnd w:id="299"/>
      <w:r>
        <w:rPr>
          <w:rtl w:val="true"/>
        </w:rPr>
        <w:t>رافعية التيمّم للحدث</w:t>
      </w:r>
      <w:bookmarkEnd w:id="3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الإجماع جماعة</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التيمّم ليس برافع للحدث ، بل هو مبيح ، فلا يجوز فيه نيّة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وجوه عقلية ، سيأتي الكلام فيها وفي حال الإجماع المدّعى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ريب في أنّ المستفاد من الأخبار استفادة قطعية أنّ التيمّم طهور ، كما أنّ الوضوء والغسل كذلك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أحد الطهورين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الماء هو ربّ الصعيد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والصعيد</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الماء</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وإنّ المتيمّم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أحد الطهورين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بالصعيد لمن لم يجد الماء كمن توضّأ من غدير ماء</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الصعيد طهور المسلم إن لم يجد الماء عشر سنين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التراب طهور المسلم ولو إلى عشر سنين </w:t>
      </w:r>
      <w:r>
        <w:rPr>
          <w:rFonts w:eastAsia="Amiri" w:cs="Amiri" w:ascii="Amiri" w:hAnsi="Amiri"/>
          <w:color w:val="111111"/>
          <w:sz w:val="28"/>
          <w:szCs w:val="28"/>
          <w:rtl w:val="true"/>
          <w:lang w:bidi="ar-SA"/>
        </w:rPr>
        <w:t>. . .»</w:t>
      </w:r>
      <w:r>
        <w:rPr>
          <w:rStyle w:val="FootnoteAnchor"/>
          <w:rtl w:val="true"/>
        </w:rPr>
        <w:footnoteReference w:id="628"/>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ظهور الآية الكريمة</w:t>
      </w:r>
      <w:r>
        <w:rPr>
          <w:rStyle w:val="FootnoteAnchor"/>
          <w:rtl w:val="true"/>
        </w:rPr>
        <w:footnoteReference w:id="629"/>
      </w:r>
      <w:r>
        <w:rPr>
          <w:rFonts w:ascii="Amiri" w:hAnsi="Amiri" w:eastAsia="Amiri" w:cs="Amiri"/>
          <w:color w:val="111111"/>
          <w:sz w:val="28"/>
          <w:sz w:val="28"/>
          <w:szCs w:val="28"/>
          <w:rtl w:val="true"/>
          <w:lang w:bidi="ar-SA"/>
        </w:rPr>
        <w:t>فيه صدراً وذيلاً ؛ فإنّ الظاهر عرفاً من جعل التيمّم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مقام الضرورة شرطاً للصلاة ، أ نّه في حالها يفيد فائدة الوضوء والغسل ولو </w:t>
      </w:r>
    </w:p>
    <w:p>
      <w:pPr>
        <w:pStyle w:val="BookText"/>
        <w:rPr/>
      </w:pPr>
      <w:r>
        <w:rPr>
          <w:rFonts w:ascii="Amiri" w:hAnsi="Amiri" w:eastAsia="Amiri" w:cs="Amiri"/>
          <w:color w:val="111111"/>
          <w:sz w:val="28"/>
          <w:sz w:val="28"/>
          <w:szCs w:val="28"/>
          <w:rtl w:val="true"/>
          <w:lang w:bidi="ar-SA"/>
        </w:rPr>
        <w:t xml:space="preserve">بمرتبة نازلة منها ، لا كونه أجنبيّاً عنهما وعن أثرهما ، كما هو الظاهر في أمثال المقام ، فلو قال الطبيب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الدواء الكذائي ، ولو لم تجده اشرب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 نّه يفيد فائدة الأوّل ولو بمرتبة ناقصة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ولو مع الغضّ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كالنصّ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كونه مربوطاً بالصدر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في مقابل ما عرفت بعض روايات ، ربّما يدّعى دلالتها على عدم طهوريته ، كصحيحة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يجد الرجل طهوراً ، وكان جُنباً ، فليمسح من الأرض وليصلّ ، فإذا وجد ماء فليغتسل ، وقد أجزأته صلاته التي صلّى</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صحيحة ابن سنان</w:t>
      </w:r>
      <w:r>
        <w:rPr>
          <w:rStyle w:val="FootnoteAnchor"/>
          <w:rtl w:val="true"/>
        </w:rPr>
        <w:footnoteReference w:id="631"/>
      </w:r>
      <w:r>
        <w:rPr>
          <w:rFonts w:ascii="Amiri" w:hAnsi="Amiri" w:eastAsia="Amiri" w:cs="Amiri"/>
          <w:color w:val="111111"/>
          <w:sz w:val="28"/>
          <w:sz w:val="28"/>
          <w:szCs w:val="28"/>
          <w:rtl w:val="true"/>
          <w:lang w:bidi="ar-SA"/>
        </w:rPr>
        <w:t xml:space="preserve">؛ فإنّ التيمّم لو كان طهوراً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إشعار الإجزاء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كونه من قبيل مفهوم القيد الذي لا نقول بحجّيته ، ولمّا لم يكن التيمّم طهوراً مطلقاً كالماء ، كان الكلام مصوناً عن لغوية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لا يقاوم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الناصّة على طهوريته ، ودعوى إشعار ذيلها بذلك كما ترى ، بل يمكن دعوى الإشعار أو الدلالة بتحقّق الشرط الذي هو الطهور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الحال في موثّقة يعقوب بن سالم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 وليتطهّر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وكذيل صحيحة زرارة ،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ومتى أصبت الماء فعليك الغسل إن كنت جنباً ، والوضوء إن لم تكن جنباً</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ظهوره في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إنّما هو في حال التيمّم ، فإنّه كان جنباً قبل التيمّم ، فصحّ إطلاقه عليه بلحاظه ، ولا ظهور له في اتّصال زمان وجدان الماء لصفة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ظاهره كونه قبل وجدانه جنباً ، فلا يصحّ الحمل على الجنابة الحاصلة بعد وجدانه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وكموثّقة ابن بكير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أمّ قوماً وهو جنب وقد تيمّم ، وهم على طهور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حتّى مع تيمّمه ، فإنّ الظاهر منها أ نّه أمّهم مع كونه جنباً ، وأيضاً جعله مقابل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على طهور</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جنب وقد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أ نّه جنب حتّى مع التيمّم ، </w:t>
      </w:r>
    </w:p>
    <w:p>
      <w:pPr>
        <w:pStyle w:val="BookText"/>
        <w:rPr/>
      </w:pPr>
      <w:r>
        <w:rPr>
          <w:rFonts w:ascii="Amiri" w:hAnsi="Amiri" w:eastAsia="Amiri" w:cs="Amiri"/>
          <w:color w:val="111111"/>
          <w:sz w:val="28"/>
          <w:sz w:val="28"/>
          <w:szCs w:val="28"/>
          <w:rtl w:val="true"/>
          <w:lang w:bidi="ar-SA"/>
        </w:rPr>
        <w:t xml:space="preserve">بل المراد أ نّه جنب فتيمّم ، فأمّ قوماً مع التيمّم ، فلم يظهر منه أ نّه جنب حتّى حال التيمّم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إنّما هو بصدد الاستفهام عن جواز اقتداء المتوضّي بالمتيمّم ؛ من دون نظر إلى بقاء جنابته حال التيمّم أو لا ، وأجابه عن ذلك من غير نظر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جوابه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مع أنّ إطلاق ابن بكير وجعله مقابلاً لما ذكر ليس بحجّة ، والإمام علیه السلام</w:t>
      </w:r>
    </w:p>
    <w:p>
      <w:pPr>
        <w:pStyle w:val="BookText"/>
        <w:rPr/>
      </w:pPr>
      <w:r>
        <w:rPr>
          <w:rFonts w:ascii="Amiri" w:hAnsi="Amiri" w:eastAsia="Amiri" w:cs="Amiri"/>
          <w:color w:val="111111"/>
          <w:sz w:val="28"/>
          <w:sz w:val="28"/>
          <w:szCs w:val="28"/>
          <w:rtl w:val="true"/>
          <w:lang w:bidi="ar-SA"/>
        </w:rPr>
        <w:t xml:space="preserve">ليس إلاّ بصدد بيان حكم الاقتداء ، فلم يظهر منه تقريره لما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مقاومة أمثال تلك الإشعارات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تصل إلى حدّ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الموضوع حسنة جميل بن درّاج أو صحيحته</w:t>
      </w:r>
      <w:r>
        <w:rPr>
          <w:rStyle w:val="FootnoteAnchor"/>
          <w:rtl w:val="true"/>
        </w:rPr>
        <w:footnoteReference w:id="635"/>
      </w:r>
      <w:r>
        <w:rPr>
          <w:rFonts w:ascii="IRNazanin" w:hAnsi="IRNazanin" w:eastAsia="IRNazanin"/>
          <w:color w:val="111111"/>
          <w:sz w:val="28"/>
          <w:sz w:val="28"/>
          <w:szCs w:val="28"/>
          <w:rtl w:val="true"/>
          <w:lang w:bidi="fa-IR"/>
        </w:rPr>
        <w:t xml:space="preserve">تكشف المراد من مثل موثّقة ابن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قوم أصابته جنابة في السفر ، وليس معه من الماء ما يكفيه للغسل ، أيتوضّأ بعضهم ويصلّي بهم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يتيمّم الجنب ويصلّي بهم ؛ فإنّ اللّه جعل التراب طهوراً ، كما جعل الماء طهوراً</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7116_198759"/>
    </w:p>
    <w:p>
      <w:pPr>
        <w:pStyle w:val="BookText"/>
        <w:rPr/>
      </w:pPr>
      <w:bookmarkEnd w:id="301"/>
      <w:r>
        <w:rPr>
          <w:rFonts w:ascii="Amiri" w:hAnsi="Amiri" w:eastAsia="Amiri" w:cs="Amiri"/>
          <w:color w:val="111111"/>
          <w:sz w:val="28"/>
          <w:sz w:val="28"/>
          <w:szCs w:val="28"/>
          <w:rtl w:val="true"/>
          <w:lang w:bidi="ar-SA"/>
        </w:rPr>
        <w:t xml:space="preserve">فنفي البأس في موثّقة ابن بكير إنّما هو لأجل كون التراب طهوراً كالماء ، فلا إشكال في المسألة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من جهتين اُخريين </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8646027_3381743652"/>
      <w:bookmarkStart w:id="303" w:name="_Toc105"/>
      <w:bookmarkEnd w:id="302"/>
      <w:r>
        <w:rPr>
          <w:rtl w:val="true"/>
        </w:rPr>
        <w:t xml:space="preserve">الجهة الاُولى </w:t>
      </w:r>
      <w:r>
        <w:rPr>
          <w:rtl w:val="true"/>
        </w:rPr>
        <w:t xml:space="preserve">: </w:t>
      </w:r>
      <w:r>
        <w:rPr>
          <w:rtl w:val="true"/>
        </w:rPr>
        <w:t>هي الإشكال العقلي المعروف</w:t>
      </w:r>
      <w:bookmarkEnd w:id="303"/>
    </w:p>
    <w:p>
      <w:pPr>
        <w:pStyle w:val="Heading6"/>
        <w:numPr>
          <w:ilvl w:val="5"/>
          <w:numId w:val="1"/>
        </w:numPr>
        <w:rPr/>
      </w:pPr>
      <w:bookmarkStart w:id="304" w:name="__RefHeading___Toc8646029_3381743652"/>
      <w:bookmarkStart w:id="305" w:name="_Toc10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وهو أنّ التيمّم إذا كان رافعاً ومفيداً للطهارة ، لا يمكن أن ينتقض بوجدان</w:t>
      </w:r>
    </w:p>
    <w:p>
      <w:pPr>
        <w:pStyle w:val="BookText"/>
        <w:rPr/>
      </w:pPr>
      <w:r>
        <w:rPr>
          <w:rFonts w:ascii="Amiri" w:hAnsi="Amiri" w:eastAsia="Amiri" w:cs="Amiri"/>
          <w:color w:val="111111"/>
          <w:sz w:val="28"/>
          <w:sz w:val="28"/>
          <w:szCs w:val="28"/>
          <w:rtl w:val="true"/>
          <w:lang w:bidi="ar-SA"/>
        </w:rPr>
        <w:t xml:space="preserve">الماء الذي ليس بحدث إجماعاً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وجدانه لو كان حدثاً لزم المساواة في الموارد ؛ لأ نّه إمّا حدث أصغر يوجب الوضوء ، أو أكبر يوجب الغسل ، مع أ نّه بانتقاض التيمّم ترجع الحالة الاُولى جنابة أو حيضاً أو حدثاً آخر ، وهو دليل على عدم كونه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الأخبار في الأبواب المتفرّقة ، أنّ الحدث مانع عن الصلاة ؛ سواء في ذلك الحدث الأصغر والأكبر ، وإيجاب الوضوء والغسل لتطهير الحدثين ، ومنزلتهما كمنزلة الماء في تطهير القذارات الصورية وعود المحلّ إلى حالته الأصلية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الحدث الأكبر واضح ؛ ضرورة أنّ المكلّف الذي لم يحصل له أسباب الجنابة وغيرها من سائر الأحداث الكبيرة ، تصحّ صلاته ، فلو كان شرط الصلاة أمراً وجودياً وكمالاً نفسانياً يحصل بالغسل ، لكان اللازم على المكلّف الغسل ولو مع عدم حصول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بكونه واجداً له قبل حصولها ، وهي صارت موجبة لزواله ، والغسل موجب لعوده ،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والمتدبّر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تعرّضت لعلل الغسل والوضوء</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أنّ الجنابة حالة قذارة تحصل بأسبابها ، والغسل تطهير من الجنابة وتلك القذارة ، وكذا الحال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الغسل والوضوء وكذا على الماء ، ليس إلاّ كإطلاقه على الماء بالنسبة إلى رافعيته للقذارات الصورية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التنظيف المساوق لإزالة القذارة ، والأشياء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نظيفة بحسب ذاتها ، وإنّما عرضت لها القذارة بملاقاتها القذارات ، والماء طهور لها ، وموجب لعودها إلى الحالة الأصلية ، وحال الوضوء والغسل الطهورين من الأحداث والقذارات المعنوية ، حال الماء الطهور من القذارات الصورية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بالتأمّل في الآية الكريمة</w:t>
      </w:r>
      <w:r>
        <w:rPr>
          <w:rStyle w:val="FootnoteAnchor"/>
          <w:rtl w:val="true"/>
        </w:rPr>
        <w:footnoteReference w:id="639"/>
      </w:r>
      <w:r>
        <w:rPr>
          <w:rFonts w:ascii="Amiri" w:hAnsi="Amiri" w:eastAsia="Amiri" w:cs="Amiri"/>
          <w:color w:val="111111"/>
          <w:sz w:val="28"/>
          <w:sz w:val="28"/>
          <w:szCs w:val="28"/>
          <w:rtl w:val="true"/>
          <w:lang w:bidi="ar-SA"/>
        </w:rPr>
        <w:t xml:space="preserve">؛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المفسّر بأ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فيظهر منه أنّ الوضوء لرفع حدث النوم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يظهر ذلك من صحيحة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بطهور ، ويجزيك عن الاستنجاء ثلاثة أحجار ؛ بذلك جرت السنّة من </w:t>
      </w:r>
    </w:p>
    <w:p>
      <w:pPr>
        <w:pStyle w:val="BookText"/>
        <w:rPr/>
      </w:pPr>
      <w:r>
        <w:rPr>
          <w:rFonts w:ascii="IRNazanin" w:hAnsi="IRNazanin" w:eastAsia="IRNazanin"/>
          <w:color w:val="111111"/>
          <w:sz w:val="28"/>
          <w:sz w:val="28"/>
          <w:szCs w:val="28"/>
          <w:rtl w:val="true"/>
          <w:lang w:bidi="fa-IR"/>
        </w:rPr>
        <w:t>رسول اللّه‌ صلی الله علیه و آله وسلم  وأمّا البول فإنّه لا بدّ من غسله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إطلاقها يقتضي نفي الصلاة إلاّ بطهور من الأحداث والأخباث ، وذيلها ظاهر في أنّ الاستنجاء بالأحجار وغسل البول لإزالة القذر ، ومقتضى وحدة السياق والحكم أن يكون الطهور من الأحداث كذلك ، فليست الصلاة مشروطة بالطهارة ؛ أي الأمر المعنوي الحاصل بالوضوء والغسل ، نعم الطهارات الثلاث عبادات مقرّبات إلى اللّه تعالى ، وبهذه الحيثية يطلق على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لم يتّضح كونها بتلك الحيثية شرطاً للصلاة ، بل الظاهر أ نّها مع عباديتها رافعة للقذارات المعنوية التي هي مانعة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بالنظر إلى مجموع الأدلّة ، هو مانعية الأحداث والأرجاس عن الصلاة ، والطهور رافع لها ، والمسألة تحتاج إلى زيادة تفصيل وتنقيح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الأحداث الحادثة بأسبابها ، إنّما تعرض على المكلّف ، وتصير كالحالة الأصلية الثانوية له ، والتيمّم إنّما يرفع الحدث ما دام متحقّقاً ، فإذا انتقض بوجدان الماء وغيره ، ترجع الحالة الأصلية الثانوية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بوجه نظير النظافة التي للأشياء ، فإنّها نظيفة لولا عروض القذارة عليها ، ومع رفع القذارة عنها ترجع إلى حالتها الأصلية من غير تأثير سبب ، فيمكن </w:t>
      </w:r>
      <w:bookmarkStart w:id="306" w:name="pg17116_198762"/>
    </w:p>
    <w:p>
      <w:pPr>
        <w:pStyle w:val="BookText"/>
        <w:rPr/>
      </w:pPr>
      <w:bookmarkEnd w:id="306"/>
      <w:r>
        <w:rPr>
          <w:rFonts w:ascii="Amiri" w:hAnsi="Amiri" w:eastAsia="Amiri" w:cs="Amiri"/>
          <w:color w:val="111111"/>
          <w:sz w:val="28"/>
          <w:sz w:val="28"/>
          <w:szCs w:val="28"/>
          <w:rtl w:val="true"/>
          <w:lang w:bidi="ar-SA"/>
        </w:rPr>
        <w:t xml:space="preserve">أن تكون الجنابة العارضة كالحالة الأصلية وإن كانت حالة أصلية إضافية ، والتيمّم رافعاً لها ما دام باقياً ، وبوجدان الماء انتقض التيمّم ، وترجع الحالة الأصلية من غير لزوم تأثير سبب ، فالماء ليس بحدث ، بل ناقض للتيمّم الرافع للحدث ، والمانع عن فعليته حالة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الأحداث توجب مع الأحداث اقتضاءً في الذات لإبقائها ، والوضوء والغسل رافعان لها وللاقتضاء ، والتيمّم رافع لها لا للاقتضاء ،</w:t>
      </w:r>
    </w:p>
    <w:p>
      <w:pPr>
        <w:pStyle w:val="BookText"/>
        <w:rPr/>
      </w:pPr>
      <w:r>
        <w:rPr>
          <w:rFonts w:ascii="Amiri" w:hAnsi="Amiri" w:eastAsia="Amiri" w:cs="Amiri"/>
          <w:color w:val="111111"/>
          <w:sz w:val="28"/>
          <w:sz w:val="28"/>
          <w:szCs w:val="28"/>
          <w:rtl w:val="true"/>
          <w:lang w:bidi="ar-SA"/>
        </w:rPr>
        <w:t xml:space="preserve">ووجدان الماء ناقض للتيمّم ، ورافع لمانع تأثير المقتضي ، فيرجع الحدث بالاقتضاء الحاصل بالأسباب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كلا الإشكالين العقليين ، مع حفظ ظهور الأدلّة في ناقضية الماء التيمّم وكونه طهوراً ، ومن غير مخالفة للإجماع المدّعى على عدم كون الماء حدثاً </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8646031_3381743652"/>
      <w:bookmarkStart w:id="308" w:name="_Toc107"/>
      <w:bookmarkEnd w:id="307"/>
      <w:r>
        <w:rPr>
          <w:rtl w:val="true"/>
        </w:rPr>
        <w:t>جواب بعض المحقّقين عن الإشكالين السابقين وما يرد عليه</w:t>
      </w:r>
      <w:bookmarkEnd w:id="308"/>
    </w:p>
    <w:p>
      <w:pPr>
        <w:pStyle w:val="BookText"/>
        <w:rPr/>
      </w:pPr>
      <w:r>
        <w:rPr>
          <w:rFonts w:ascii="Amiri" w:hAnsi="Amiri" w:eastAsia="Amiri" w:cs="Amiri"/>
          <w:color w:val="111111"/>
          <w:sz w:val="28"/>
          <w:sz w:val="28"/>
          <w:szCs w:val="28"/>
          <w:rtl w:val="true"/>
          <w:lang w:bidi="ar-SA"/>
        </w:rPr>
        <w:t xml:space="preserve">وما ذكرنا في دفعهما أولى وأقرب إلى ظهور الأدلّة ممّا ذكره بعض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الطهارة إن كانت أمراً وجودياً كما هو الأظهر ، نلتزم بحصولها لموضوع</w:t>
      </w:r>
    </w:p>
    <w:p>
      <w:pPr>
        <w:pStyle w:val="BookText"/>
        <w:rPr/>
      </w:pPr>
      <w:r>
        <w:rPr>
          <w:rFonts w:ascii="Amiri" w:hAnsi="Amiri" w:eastAsia="Amiri" w:cs="Amiri"/>
          <w:color w:val="111111"/>
          <w:sz w:val="28"/>
          <w:sz w:val="28"/>
          <w:szCs w:val="28"/>
          <w:rtl w:val="true"/>
          <w:lang w:bidi="ar-SA"/>
        </w:rPr>
        <w:t xml:space="preserve">خاصّ ؛ هو العاجز ، ومع رفع العجز ينتفي الطهور بانتفاء موضوعه ، لا لوجود المزيل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القذارة أمراً وجودياً ، فلا استحالة في أن يكون التيمّم مزيلاً لتلك القذارة على وجه يعدّ نظافة مع الضرورة ، نظير مسح اليد بالحائط لدى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الجائز أن يكون رافعاً لها بالمرّة ، ولكن يكون أسبابها المؤثّرة لحدوثها ، </w:t>
      </w:r>
    </w:p>
    <w:p>
      <w:pPr>
        <w:pStyle w:val="BookText"/>
        <w:rPr/>
      </w:pPr>
      <w:r>
        <w:rPr>
          <w:rFonts w:ascii="Amiri" w:hAnsi="Amiri" w:eastAsia="Amiri" w:cs="Amiri"/>
          <w:color w:val="111111"/>
          <w:sz w:val="28"/>
          <w:sz w:val="28"/>
          <w:szCs w:val="28"/>
          <w:rtl w:val="true"/>
          <w:lang w:bidi="ar-SA"/>
        </w:rPr>
        <w:t>مقتضيات لتجدّدها عند تجدّد القدرة على استعمال الماء</w:t>
      </w:r>
      <w:r>
        <w:rPr>
          <w:rStyle w:val="FootnoteAnchor"/>
          <w:rtl w:val="true"/>
        </w:rPr>
        <w:footnoteReference w:id="643"/>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ما اختاره من كون الطهارة أمراً وجودياً معتبراً في العبادات ، خلاف التحقيق ، كما أشرنا إليه ، وليس المقام جديراً بتحقيقه مستقصى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الطهور ينتفي بانتفاء موضوعه لا بوجود المزيل ، مخالف للنصوص المصرّحة بناقضية الماء له ، كصحيحة زرارة</w:t>
      </w:r>
      <w:r>
        <w:rPr>
          <w:rStyle w:val="FootnoteAnchor"/>
          <w:rtl w:val="true"/>
        </w:rPr>
        <w:footnoteReference w:id="644"/>
      </w:r>
      <w:r>
        <w:rPr>
          <w:rFonts w:ascii="Amiri" w:hAnsi="Amiri" w:eastAsia="Amiri" w:cs="Amiri"/>
          <w:color w:val="111111"/>
          <w:sz w:val="28"/>
          <w:sz w:val="28"/>
          <w:szCs w:val="28"/>
          <w:rtl w:val="true"/>
          <w:lang w:bidi="ar-SA"/>
        </w:rPr>
        <w:t xml:space="preserve">وغيرها </w:t>
      </w:r>
      <w:r>
        <w:rPr>
          <w:rStyle w:val="FootnoteAnchor"/>
          <w:rtl w:val="true"/>
        </w:rPr>
        <w:footnoteReference w:id="645"/>
      </w:r>
      <w:r>
        <w:rPr>
          <w:rFonts w:ascii="Amiri" w:hAnsi="Amiri" w:eastAsia="Amiri" w:cs="Amiri"/>
          <w:color w:val="111111"/>
          <w:sz w:val="28"/>
          <w:sz w:val="28"/>
          <w:szCs w:val="28"/>
          <w:rtl w:val="true"/>
          <w:lang w:bidi="ar-SA"/>
        </w:rPr>
        <w:t xml:space="preserve">ولكلمات الفقهاء ؛ فإنّهم جعلوا التمكّن من استعمال الماء ناقضاً له ، بل عن جمع حكاية إجماع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شاذّ من العامّة</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647"/>
      </w:r>
      <w:r>
        <w:rPr>
          <w:rFonts w:ascii="Amiri" w:hAnsi="Amiri" w:eastAsia="Amiri" w:cs="Amiri"/>
          <w:color w:val="111111"/>
          <w:sz w:val="28"/>
          <w:sz w:val="28"/>
          <w:szCs w:val="28"/>
          <w:rtl w:val="true"/>
          <w:lang w:bidi="ar-SA"/>
        </w:rPr>
        <w:t xml:space="preserve">، ومعلوم أنّ ناقضية الماء غير تبدّل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فرضه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القذارة أمراً وجودياً، والتيمّم يعدّ نظافة لدى الضرورة، وهو عبارة اُخرى عن حصول نظافة ناقصة غير كافية لدى الاختيار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أيضاً مخالف لما تقدّم من الأخبار وكلمات الأصحاب ، فإنّه لو صار عاجزاً فتيمّم ، ووجد الماء مع القدرة على استعماله ، ولم يتطهّر وفقد الماء ، لا يجب على ما ذكره تجديد التيمّم ؛ لحصول النظافة الناقصة وعدم تجدّد رافع لها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أخيراً ، فيمكن إرجاعه إلى ما ذكرناه أخيراً وإن كان خلاف ظاهره ، فإنّ الظاهر منه أنّ تلك الأسباب الموجبة للأحداث ، مقتضية للحدث </w:t>
      </w:r>
      <w:bookmarkStart w:id="309" w:name="pg17116_198764"/>
    </w:p>
    <w:p>
      <w:pPr>
        <w:pStyle w:val="BookText"/>
        <w:rPr/>
      </w:pPr>
      <w:bookmarkEnd w:id="309"/>
      <w:r>
        <w:rPr>
          <w:rFonts w:ascii="Amiri" w:hAnsi="Amiri" w:eastAsia="Amiri" w:cs="Amiri"/>
          <w:color w:val="111111"/>
          <w:sz w:val="28"/>
          <w:sz w:val="28"/>
          <w:szCs w:val="28"/>
          <w:rtl w:val="true"/>
          <w:lang w:bidi="ar-SA"/>
        </w:rPr>
        <w:t xml:space="preserve">عند وجدان الماء ، مع أ نّه مستحيل لو كان الاقتضاء على طبق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التزام بحدوث حدث جديد ولو بالسبب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رفع اليد عن ظاهر الكتاب والسنّة القطعية بتلك الوجوه العقلية القابلة للدفع </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8646033_3381743652"/>
      <w:bookmarkStart w:id="311" w:name="_Toc108"/>
      <w:bookmarkEnd w:id="310"/>
      <w:r>
        <w:rPr>
          <w:rtl w:val="true"/>
        </w:rPr>
        <w:t xml:space="preserve">الجهة الثانية </w:t>
      </w:r>
      <w:r>
        <w:rPr>
          <w:rtl w:val="true"/>
        </w:rPr>
        <w:t xml:space="preserve">: </w:t>
      </w:r>
      <w:r>
        <w:rPr>
          <w:rtl w:val="true"/>
        </w:rPr>
        <w:t>دعوى الإجماع على عدم كون التيمّم رافعاً</w:t>
      </w:r>
      <w:bookmarkEnd w:id="311"/>
    </w:p>
    <w:p>
      <w:pPr>
        <w:pStyle w:val="BookText"/>
        <w:rPr/>
      </w:pPr>
      <w:r>
        <w:rPr>
          <w:rFonts w:ascii="Amiri" w:hAnsi="Amiri" w:eastAsia="Amiri" w:cs="Amiri"/>
          <w:color w:val="111111"/>
          <w:sz w:val="28"/>
          <w:sz w:val="28"/>
          <w:szCs w:val="28"/>
          <w:rtl w:val="true"/>
          <w:lang w:bidi="ar-SA"/>
        </w:rPr>
        <w:t>وقد تكرّرت الدعوى في كتب القوم ، كالشيخ والمحقّق والعلاّمة والشهيد والمحقّق الثاني وغيرهم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معروفية الاستدلال بالدليل العقلي المتقدّم بينهم من لدن عصر الشيخ ، تمنع عن كشف دليل شرعي تعبّدي ؛ لقرب احتمال كون المستند هو الوجه العقلي لا غير ، كما ربّما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الإجماع منّا في هذه المسألة ، فإنّه ادّعى عدم الخلاف في أنّ المتيمّم إذا وجد الماء وجب عليه الغسل ، ومع كون التيمّم رافعاً لم يكن واجباً ، فيظهر منه أنّ مستنده في هذا الحكم ، هو عدم الخلاف في تلك المسألة والوجه العقلي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لا يرفع الحدث ، وإنّما يستباح به الدخول في الصلاة ، وبه قال كافّة</w:t>
      </w:r>
    </w:p>
    <w:p>
      <w:pPr>
        <w:pStyle w:val="BookText"/>
        <w:rPr/>
      </w:pPr>
      <w:r>
        <w:rPr>
          <w:rFonts w:ascii="Amiri" w:hAnsi="Amiri" w:eastAsia="Amiri" w:cs="Amiri"/>
          <w:color w:val="111111"/>
          <w:sz w:val="28"/>
          <w:sz w:val="28"/>
          <w:szCs w:val="28"/>
          <w:rtl w:val="true"/>
          <w:lang w:bidi="ar-SA"/>
        </w:rPr>
        <w:t xml:space="preserve">الفقهاء إلاّ داود وبعض أصحاب مالك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الحدث</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خلاف في أنّ الجنب إذا تيمّم وصلّى ثمّ وجد الماء وجب عليه </w:t>
      </w:r>
    </w:p>
    <w:p>
      <w:pPr>
        <w:pStyle w:val="BookText"/>
        <w:rPr/>
      </w:pPr>
      <w:r>
        <w:rPr>
          <w:rFonts w:ascii="Amiri" w:hAnsi="Amiri" w:eastAsia="Amiri" w:cs="Amiri"/>
          <w:color w:val="111111"/>
          <w:sz w:val="28"/>
          <w:sz w:val="28"/>
          <w:szCs w:val="28"/>
          <w:rtl w:val="true"/>
          <w:lang w:bidi="ar-SA"/>
        </w:rPr>
        <w:t>الغسل ، فلو كان الحدث قد زال بالتيمّم لما وجب عليه الغسل ؛ لأنّ رؤية الماء</w:t>
      </w:r>
    </w:p>
    <w:p>
      <w:pPr>
        <w:pStyle w:val="BookText"/>
        <w:rPr/>
      </w:pPr>
      <w:r>
        <w:rPr>
          <w:rFonts w:ascii="IRNazanin" w:hAnsi="IRNazanin" w:eastAsia="IRNazanin"/>
          <w:color w:val="111111"/>
          <w:sz w:val="28"/>
          <w:sz w:val="28"/>
          <w:szCs w:val="28"/>
          <w:rtl w:val="true"/>
          <w:lang w:bidi="fa-IR"/>
        </w:rPr>
        <w:t xml:space="preserve">لا توجب الغسل </w:t>
      </w:r>
      <w:r>
        <w:rPr>
          <w:rFonts w:eastAsia="IRNazanin" w:cs="IRNazanin"/>
          <w:color w:val="111111"/>
          <w:sz w:val="28"/>
          <w:szCs w:val="28"/>
          <w:rtl w:val="true"/>
          <w:lang w:bidi="fa-IR"/>
        </w:rPr>
        <w:t>. . .»</w:t>
      </w:r>
      <w:r>
        <w:rPr>
          <w:rStyle w:val="FootnoteAnchor"/>
          <w:rtl w:val="true"/>
        </w:rPr>
        <w:footnoteReference w:id="65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فقهاء العامّة ، كما يظهر من تعبيراته عنهم وعنّا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استثنى منهم داود وبعض أصحاب مالك ، ولم يستثن السيّدَ منّا المصرّح بأ نّه رافع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الجنب إذا تيمّم ، ثمّ أحدث أصغر ، ووجد ما يكفيه للوضوء ، توضّأ به ؛ لأنّ حدثه الأوّل قد ارتفع وجاء ما يوجب الصغرى</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ظهوره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Style w:val="FootnoteAnchor"/>
          <w:rtl w:val="true"/>
        </w:rPr>
        <w:footnoteReference w:id="6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لم يدّعِ الإجماع في هذه المسألة ، ولهذا لم يدعه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الدليل عدم الخلاف في مسألة اُخرى جعلها مبنى المسألة وتمسّك بالوجه العقلي المتقدّم</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ظهوره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Style w:val="FootnoteAnchor"/>
          <w:rtl w:val="true"/>
        </w:rPr>
        <w:footnoteReference w:id="65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زائداً على الدليل العقلي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احتمال أن يكون مرادهم أنّ التيمّم لا يرفع الحدث كرفع الماء ؛ بحيث لا يحتاج إلى الغسل عند وجدانه ، وهو مسلّم </w:t>
      </w:r>
      <w:r>
        <w:rPr>
          <w:rFonts w:eastAsia="Amiri" w:cs="Amiri" w:ascii="Amiri" w:hAnsi="Amiri"/>
          <w:color w:val="111111"/>
          <w:sz w:val="28"/>
          <w:szCs w:val="28"/>
          <w:rtl w:val="true"/>
          <w:lang w:bidi="ar-SA"/>
        </w:rPr>
        <w:t xml:space="preserve">. </w:t>
      </w:r>
      <w:bookmarkStart w:id="312" w:name="pg17116_198766"/>
    </w:p>
    <w:p>
      <w:pPr>
        <w:pStyle w:val="Heading5"/>
        <w:numPr>
          <w:ilvl w:val="4"/>
          <w:numId w:val="1"/>
        </w:numPr>
        <w:rPr/>
      </w:pPr>
      <w:bookmarkStart w:id="313" w:name="__RefHeading___Toc8646035_3381743652"/>
      <w:bookmarkStart w:id="314" w:name="_Toc109"/>
      <w:bookmarkEnd w:id="312"/>
      <w:bookmarkEnd w:id="313"/>
      <w:r>
        <w:rPr>
          <w:rtl w:val="true"/>
        </w:rPr>
        <w:t>الأمر الثاني</w:t>
      </w:r>
      <w:r>
        <w:rPr>
          <w:rtl w:val="true"/>
        </w:rPr>
        <w:t xml:space="preserve">: </w:t>
      </w:r>
      <w:r>
        <w:rPr>
          <w:rtl w:val="true"/>
        </w:rPr>
        <w:t>في اعتبار المباشرة</w:t>
      </w:r>
      <w:bookmarkEnd w:id="314"/>
    </w:p>
    <w:p>
      <w:pPr>
        <w:pStyle w:val="Heading6"/>
        <w:numPr>
          <w:ilvl w:val="5"/>
          <w:numId w:val="1"/>
        </w:numPr>
        <w:rPr/>
      </w:pPr>
      <w:bookmarkStart w:id="315" w:name="__RefHeading___Toc8646037_3381743652"/>
      <w:bookmarkStart w:id="316" w:name="_Toc110"/>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تعتبر في التيمّم المباشرة حال الاختيار ، فلو يمّمه غيره مع قدرته لم يصحّ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عندنا في أ نّه لا بدّ من المباشرة بنفسه</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الريب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 لظهور الأدلّة فيها ، فإنّ المتبادر من هيئة الأمر هو بعث المأمور لإيجاد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من دلالة اللفظ ، لا حكم العقل كالإلزام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مفاد الهيئة وإن كان صِرف البعث حجّةً عقلائية على لزوم الخروج عن عهدة التكليف ما لم يرد من قِبَل المولى ترخيص في الترك</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المباشرة مفهومة من ظاهر الهيئة ، لكن لا بمعنى دخول مفهوم اسمي في مفاد الهيئة ، بل بمعنى وضعها لنفس الإغراء المتوجّه إلى الغير بوجه يكون المبعوث خارجاً عنه ، كخروج القيد ودخول التقيّد بوجه ، فتدلّ دلالة لفظية على الإغراء المتوجّه إلى الغير ؛ بحيث لا يكون جزءَ مفادِها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الصدور الحقيقي بلا تأوّل هو المباشري ، دون التسبيبي والنيابي المحتاجَين إلى نحو تأوّل وادّعاء </w:t>
      </w:r>
      <w:r>
        <w:rPr>
          <w:rFonts w:eastAsia="Amiri" w:cs="Amiri" w:ascii="Amiri" w:hAnsi="Amiri"/>
          <w:color w:val="111111"/>
          <w:sz w:val="28"/>
          <w:szCs w:val="28"/>
          <w:rtl w:val="true"/>
          <w:lang w:bidi="ar-SA"/>
        </w:rPr>
        <w:t xml:space="preserve">. </w:t>
      </w:r>
      <w:bookmarkStart w:id="317" w:name="pg17116_198767"/>
    </w:p>
    <w:p>
      <w:pPr>
        <w:pStyle w:val="Heading6"/>
        <w:numPr>
          <w:ilvl w:val="5"/>
          <w:numId w:val="1"/>
        </w:numPr>
        <w:rPr/>
      </w:pPr>
      <w:bookmarkStart w:id="318" w:name="__RefHeading___Toc8646039_3381743652"/>
      <w:bookmarkStart w:id="319" w:name="_Toc111"/>
      <w:bookmarkEnd w:id="317"/>
      <w:bookmarkEnd w:id="318"/>
      <w:r>
        <w:rPr>
          <w:rtl w:val="true"/>
        </w:rPr>
        <w:t>حكم العاجز عن المباشرة</w:t>
      </w:r>
      <w:bookmarkEnd w:id="319"/>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ظهور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انصرافاً أو عقلاً مع قطع النظر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المباشرة ، ومقتضاه سقوط الأمر عند تعذّره ؛ لعدم دليل على تعدّد المطلوب في نفس الأدلّة الأوّلية ، ولا يستفاد ذلك من الهيئة المتوجّهة إلى المخاطب الباعثة إيّاه نحو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المقام في لزوم إيجاده تسبيباً وجعل غيره آلة لإيجاده بلا خلاف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تجب الاستنابة في الأفعال دون النيّة عند علمائنا</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فيظهر منه تسلّم الحكم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محمّد بن سكين في المجدور الذي غسّلوه فمات ، ففي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 العيّ السؤال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مرسلة ابن أبي عمير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يؤمّم المجدور والكسير إذا أصابتهما جنابة</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xml:space="preserve">فمع كونها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يمكن أن يكون مبنيّاً للفاعل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 فلا تدلّ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ظهور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للمفعول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والكسير يؤمّمان ولا يغسّلان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المظنون فيهما البناء للمفعول ، لكنّه ظنّ خارجي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إشكال في أصل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أنّ المباشر يباشر صورة العمل ؛ مقتصراً على مقدار يعجز عنه المكلّف ، ويباشر النيّة نفس المكلّف ، كما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المعتبر ضرب يدي العاجز مع الإمكان ، فإنّ ضربهما دخيل في ماهية التيمّم جزءاً أو شرطاً ، وليس حاله حال الاغتراف للوضوء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إمكان ضرب يديه ينوب عنه الصحيح ؛ بأن يضرب يديه على الأرض ، فيمسح بهما وجه العليل ويديه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الصحيح بيديه ، ثمّ يضرب بهما يدي العليل</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 فإنّه مع دوران الأمر بين سقوط ما يتيمّم به وسقوط آلية اليد ، لا شبهة في سقوط الثاني ، وضرب اليد على اليد المضروبة على الأرض ليس ضرباً عليها ؛ ألا ترى أ نّه لو دار الأمر بين سقوط آلية اليد والتيمّم بالحديد</w:t>
      </w:r>
    </w:p>
    <w:p>
      <w:pPr>
        <w:pStyle w:val="BookText"/>
        <w:rPr/>
      </w:pPr>
      <w:r>
        <w:rPr>
          <w:rFonts w:ascii="Amiri" w:hAnsi="Amiri" w:eastAsia="Amiri" w:cs="Amiri"/>
          <w:color w:val="111111"/>
          <w:sz w:val="28"/>
          <w:sz w:val="28"/>
          <w:szCs w:val="28"/>
          <w:rtl w:val="true"/>
          <w:lang w:bidi="ar-SA"/>
        </w:rPr>
        <w:t xml:space="preserve">مثلاً اختياراً ، لايحتمل 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اليد على اليد كضربها على الحديد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صحّة قول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نقف على مأخذ قول الكاتب</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والنظر 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ظهور المأخذ</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320" w:name="pg17116_198769"/>
    </w:p>
    <w:p>
      <w:pPr>
        <w:pStyle w:val="Heading5"/>
        <w:numPr>
          <w:ilvl w:val="4"/>
          <w:numId w:val="1"/>
        </w:numPr>
        <w:rPr/>
      </w:pPr>
      <w:bookmarkStart w:id="321" w:name="__RefHeading___Toc8646041_3381743652"/>
      <w:bookmarkStart w:id="322" w:name="_Toc112"/>
      <w:bookmarkEnd w:id="320"/>
      <w:bookmarkEnd w:id="321"/>
      <w:r>
        <w:rPr>
          <w:rtl w:val="true"/>
        </w:rPr>
        <w:t>الأمر الثالث في اعتبار الترتيب</w:t>
      </w:r>
      <w:bookmarkEnd w:id="322"/>
    </w:p>
    <w:p>
      <w:pPr>
        <w:pStyle w:val="Heading6"/>
        <w:numPr>
          <w:ilvl w:val="5"/>
          <w:numId w:val="1"/>
        </w:numPr>
        <w:rPr/>
      </w:pPr>
      <w:bookmarkStart w:id="323" w:name="__RefHeading___Toc8646043_3381743652"/>
      <w:bookmarkStart w:id="324" w:name="_Toc113"/>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يعتبر الترتيب بين أجزاء التيمّم ؛ بتقديم الضرب على الأرض على مسح الجبهة ، وهو على مسح الكفّ اليمنى ، وهو على اليسرى ، فلو نكس استأنف بما حصل معه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إجماعي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أوجب الترتيب في الوضوء أوجبه فيه ، فمن فرّق بينهما خرق الإجماع</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تقديم اليمنى على اليسرى إجماعاً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ترك جمع منهم ذكر الترتيب بين الكفّين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 وعن بعضهم ترك ذكر الترتيب </w:t>
      </w:r>
      <w:bookmarkStart w:id="325" w:name="pg17116_198770"/>
    </w:p>
    <w:p>
      <w:pPr>
        <w:pStyle w:val="BookText"/>
        <w:rPr/>
      </w:pPr>
      <w:bookmarkEnd w:id="325"/>
      <w:r>
        <w:rPr>
          <w:rFonts w:ascii="Amiri" w:hAnsi="Amiri" w:eastAsia="Amiri" w:cs="Amiri"/>
          <w:color w:val="111111"/>
          <w:sz w:val="28"/>
          <w:sz w:val="28"/>
          <w:szCs w:val="28"/>
          <w:rtl w:val="true"/>
          <w:lang w:bidi="ar-SA"/>
        </w:rPr>
        <w:t xml:space="preserve">مطلقاً </w:t>
      </w:r>
      <w:r>
        <w:rPr>
          <w:rStyle w:val="FootnoteAnchor"/>
          <w:rtl w:val="true"/>
        </w:rPr>
        <w:footnoteReference w:id="672"/>
      </w:r>
      <w:r>
        <w:rPr>
          <w:rFonts w:ascii="Amiri" w:hAnsi="Amiri" w:eastAsia="Amiri" w:cs="Amiri"/>
          <w:color w:val="111111"/>
          <w:sz w:val="28"/>
          <w:sz w:val="28"/>
          <w:szCs w:val="28"/>
          <w:rtl w:val="true"/>
          <w:lang w:bidi="ar-SA"/>
        </w:rPr>
        <w:t>، أو ما في بدل الوضوء</w:t>
      </w:r>
      <w:r>
        <w:rPr>
          <w:rStyle w:val="FootnoteAnchor"/>
          <w:rtl w:val="true"/>
        </w:rPr>
        <w:footnoteReference w:id="673"/>
      </w:r>
      <w:r>
        <w:rPr>
          <w:rFonts w:ascii="Amiri" w:hAnsi="Amiri" w:eastAsia="Amiri" w:cs="Amiri"/>
          <w:color w:val="111111"/>
          <w:sz w:val="28"/>
          <w:sz w:val="28"/>
          <w:szCs w:val="28"/>
          <w:rtl w:val="true"/>
          <w:lang w:bidi="ar-SA"/>
        </w:rPr>
        <w:t xml:space="preserve">، فالاستناد إلى الإجماع مع ذلك لا يخلو من 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الاستدلال عليه بالسيرة العملية في مثل تلك المسألة التي تعمّ بها</w:t>
      </w:r>
    </w:p>
    <w:p>
      <w:pPr>
        <w:pStyle w:val="BookText"/>
        <w:rPr/>
      </w:pPr>
      <w:r>
        <w:rPr>
          <w:rFonts w:ascii="IRNazanin" w:hAnsi="IRNazanin" w:eastAsia="IRNazanin"/>
          <w:color w:val="111111"/>
          <w:sz w:val="28"/>
          <w:sz w:val="28"/>
          <w:szCs w:val="28"/>
          <w:rtl w:val="true"/>
          <w:lang w:bidi="fa-IR"/>
        </w:rPr>
        <w:t xml:space="preserve">البلوى ، وتحتاج إليها طائفة من المكلّفين في صلواتهم ، فلا يبعد الجزم بأ نّه كان كذلك من لدن زمن الشارع ، وكان الخلف أخذ من السلف كذلك إلى عصر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يبعد جواز الاتّكال على الشهرة المحقّقة في هذه المسألة التي يقتضي إطلاق الكتاب والسنّة فيها عدم الترتيب بين الكفّين ، كما يأتي الكلام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تقدّم الضرب على الأرض على سائر الأجزاء كتاباً وسنّة ، بل هو كالضروري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دلالة النصوص على تقدّم المسح على الجبين على مسح الكفّين ، كموثّقة زرارة الآتية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وبمثلها يقيّد إطلاق الكتاب والسنّة ، كبعض الروايات الآتية </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8646045_3381743652"/>
      <w:bookmarkStart w:id="327" w:name="_Toc114"/>
      <w:bookmarkEnd w:id="326"/>
      <w:r>
        <w:rPr>
          <w:rtl w:val="true"/>
        </w:rPr>
        <w:t>الإشكال في استفادة الترتيب بين الكفّين من الأدلّة والجواب عنه</w:t>
      </w:r>
      <w:bookmarkEnd w:id="3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استفادة الترتيب بين الكفّين من الأدلّة ، فقد استدلّ</w:t>
      </w:r>
      <w:r>
        <w:rPr>
          <w:rStyle w:val="FootnoteAnchor"/>
          <w:rtl w:val="true"/>
        </w:rPr>
        <w:footnoteReference w:id="674"/>
      </w:r>
      <w:r>
        <w:rPr>
          <w:rFonts w:ascii="IRNazanin" w:hAnsi="IRNazanin" w:eastAsia="IRNazanin"/>
          <w:color w:val="111111"/>
          <w:sz w:val="28"/>
          <w:sz w:val="28"/>
          <w:szCs w:val="28"/>
          <w:rtl w:val="true"/>
          <w:lang w:bidi="fa-IR"/>
        </w:rPr>
        <w:t xml:space="preserve">له بموثّقة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عمّار بن ياسر رسول اللّه‌ صلی الله علیه و آله وسلم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أجنبت الليل ، فلم يكن معي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ثيابي ، وقمت على الصعيد ، فتمعّكت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الحمار ، 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فضرب بيديه على الأرض ، ثمّ ضرب إحداهما على الاُخرى ، ثمّ مسح بجبينيه ، ثمّ مسح كفّيه كلّ واحدة على ظهر الاُخرى ، فمسح اليسرى على اليمنى ، واليمنى على اليسرى</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حكاية أبي جعفر علیه السلام  قضيّة عمّار ، إنّما هو لبيان الحكم الشرعي ، لا لبيان أمر تأريخي ، فلا تكون مثل الفعل في عدم إفادة تقديم بعض الأفعال على بعضٍ وجوبَه بعد عدم إمكان الجمع بين الفعلين ، فلا بدّ من الأخذ بخصوصيات النقل الذي هو لإفادة الحكم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كفّيه كلّ واحدة على ظهر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مقام بيان الحكم لو كان الترتيب بينهما غير مراد ، فيبقى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فمسح اليسرى على اليمنى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بلا نكتة ، وحمله على بيان واقع القضيّة بلا نظر إلى إفادة الحكم بعيد ، ولا نكتة فيه إلاّ بيان تقديم مسح اليمنى على اليسرى ، وهو المطلوب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كان مراده من ذلك بيان لزوم تقديم اليمنى ، لكان عليه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الفاء ، كما ترى عنايته علیه السلام  بتخلّل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السابقة ، فذكرها فيها وترك ما يفيد الترتيب في الجملة الأخيرة ، دليل على اعتبار الترتيب في غير اليسرى ، وعدم اعتباره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يمكن أن يدّعى أنّ دلالة هذه الموثّقة على عدم اعتباره ، أوضح من الإطلاقات ؛ لأنّ عنايته بذكر خصوصيات ما فعل رسول اللّه‌ صلی الله علیه و آله وسلم  لتعليم</w:t>
      </w:r>
    </w:p>
    <w:p>
      <w:pPr>
        <w:pStyle w:val="BookText"/>
        <w:rPr/>
      </w:pPr>
      <w:r>
        <w:rPr>
          <w:rFonts w:ascii="Amiri" w:hAnsi="Amiri" w:eastAsia="Amiri" w:cs="Amiri"/>
          <w:color w:val="111111"/>
          <w:sz w:val="28"/>
          <w:sz w:val="28"/>
          <w:szCs w:val="28"/>
          <w:rtl w:val="true"/>
          <w:lang w:bidi="ar-SA"/>
        </w:rPr>
        <w:t>عمّار ، والعطف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وتركهما في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أن تجعلها صريحة في عدم اعتباره في الكفّين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عن العيّاشي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التيمّم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ساقها باختلاف يسير مع الموثّقة ، وقال في ذيلها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دلك إحدى يديه بالاُخرى على ظهر الكفّ بدءً باليمنى</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ودلالتها واضحة ، خصوصاً مع سؤاله عن كيفيته ، ونقل القضيّة لتعليم الكيفية ، وعنايته بحكاية بدأة رسول اللّه‌ صلی الله علیه و آله وسلم  باليمنى ، فلا إشكال فيها إلاّ من جهة الإرسال وعدم الجبر ؛ فإنّ مجرّد مطابقة الفتاوى لها لا توجبه إلاّ أن يعلم استنادهم إليها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وبهذا يظهر النظر في الاستدلال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تضرب بيديك على الأرض ضربة واحدة ، ثمّ تمسح بهما وجهك من حدّ الحاجبين إلى الذقن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السجود من مقام الشعر إلى طرف الأنف ثمّ تضرب بهما اُخرى فتمسح باليسرى اليمنى إلى حدّ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اُصول الأصابع من 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وباليمنى اليسرى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التيمّم اضرب كفّيك على الأرض ضربة واحدة ، ثمّ تضع إحدى يديك على الاُخرى ، ثمّ تمسح بأطراف أصابعك وجهك من فوق حاجبيك وبقي ما بقي ، ثمّ تضع أصابعك اليسرى على أصابعك اليمنى من أصل الأصابع من فوق الكفّ ، ثمّ تمرّها على مقدّمها على ظهر الكفّ ، ثمّ تضع أصابعك اليمنى على أصابعك اليسرى ، فتصنع بيدك اليمنى ما صنعت بيدك اليسرى على اليمنى مرّة واحدة ، فهذا هو التيمّم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المنسوب للإمام الرضا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 جبره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فتوى جامع الكتاب بما أرسله ، بل ولا غيره من الفقهاء ؛ لأنّ فيه المسح على ظهر الأصابع من اُصولها ، فراجعه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للقائل بالجبر بمجرّد المطابقة ، التمسّك برواية العيّاشي الموافقة لفتاوى الفقهاء ، لا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لها التي هي مرسلة في مرسلة لم يعمل بها مرسلها ، فضلاً عن غيره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بذيل صحيحة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بدعوى أنّ مقتضى إطلاق التشبيه أ نّه مثل الماء حتّى في كيفيته ، إلاّ ما خرج بدليل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وذيل صحيحة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لا يجد الماء ، أيتيمّم لكلّ 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هو بمنزلة الماء</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بدعوى استفادة عموم المنزلة منها حتّى في كيفيته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غير محلّه ؛ ضرورة أ نّهما في مقام بيان حكم آخر ، ولا إطلاق فيهما من الجهة المبحوث عنها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من السيرة العملية وارتكاز المتشرّعة وحجّية الشهرة في مثل المسألة التي دلّت الأدلّة إطلاقاً على خلافها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المستفاد من الآية الكريمة مشفوعاً بالارتكاز العقلائي أنّ فاقد الماء يتيمّم ،</w:t>
      </w:r>
    </w:p>
    <w:p>
      <w:pPr>
        <w:pStyle w:val="BookText"/>
        <w:rPr/>
      </w:pPr>
      <w:r>
        <w:rPr>
          <w:rFonts w:ascii="Amiri" w:hAnsi="Amiri" w:eastAsia="Amiri" w:cs="Amiri"/>
          <w:color w:val="111111"/>
          <w:sz w:val="28"/>
          <w:sz w:val="28"/>
          <w:szCs w:val="28"/>
          <w:rtl w:val="true"/>
          <w:lang w:bidi="ar-SA"/>
        </w:rPr>
        <w:t xml:space="preserve">ويقصد الصعيد لتحصيل الطهور الذي كان يحصل بالماء ، وأ نّه يجب أن يفعل معه ما يفعل مع الماء عند فقده ، فلو لم تتعرّض الآية لكيفيته ، واختتمت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منها العقلاء أ نّه عند عدم وجدان الماء ، يقوم الصعيد مقامه فيما يحتاج المكلّف إليه ، فيفهم منه ما فهمه عمّار من التمعّك على الصعيد للغسل ، ومسح أعضاء الوضوء بالكيفية التي فيه للحدث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منه وضع التراب موضع الماء من غير تغيير وتبديل في الكيفية ، فبقي المتقدّم والمتأخّر في الغسل على حالهما من غير تصرّف وتغيير إلاّ فيما يتطهّر به ، نظير أن يأمر المولى بضيافة العلماء مقدّماً على الأشراف ، وهم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 على التجّار ، وعيّن محلاًّ خاصّاً لها ، وشرائطَ وقيوداً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أضفهم </w:t>
      </w:r>
    </w:p>
    <w:p>
      <w:pPr>
        <w:pStyle w:val="BookText"/>
        <w:rPr/>
      </w:pPr>
      <w:r>
        <w:rPr>
          <w:rFonts w:ascii="Amiri" w:hAnsi="Amiri" w:eastAsia="Amiri" w:cs="Amiri"/>
          <w:color w:val="111111"/>
          <w:sz w:val="28"/>
          <w:sz w:val="28"/>
          <w:szCs w:val="28"/>
          <w:rtl w:val="true"/>
          <w:lang w:bidi="ar-SA"/>
        </w:rPr>
        <w:t>بالغذاء الفلاني ، ومع فقده بالفلاني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أنّ العرف لا يأخذ بإطلاق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فقده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اليد عن الشرائط والقيود ، بل يحكم بأنّ التبديل إنّما وقع في الغذاء ، لا في سائر الكيفيات ، فلا بدّ من 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الارتكاز أنّ كلّ ما يعتبر في الوضوء والغسل ، معتبر في التيمّم الذي هو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بالبدلية إن كان مراده ذلك فلا كلام ، وإن كان مراده عدم حصول الطهور بل يحصل بدله ، فقد مرّ ما فيه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مقتضى ارتكاز العقلاء والرجوع إلى الأشباه والنظائر ، أنّ التبديل إنّما هو فيما يتطهّر به ، لا في كيفية التطهير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 فَامْسَحُوا بِوُجُوهِكُمْ وَأَيْدِيكُمْ مِنْهُ</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يدلّ على سقوط المسح على الرجل والرأس ، وعدم كونه إلى المرفق ، ولا على جميع الوجه ؛ لمكان الباء على ما أفاد أبو جعفر علیه السلام </w:t>
      </w:r>
      <w:r>
        <w:rPr>
          <w:rStyle w:val="FootnoteAnchor"/>
          <w:rtl w:val="true"/>
        </w:rPr>
        <w:footnoteReference w:id="683"/>
      </w:r>
      <w:r>
        <w:rPr>
          <w:rFonts w:ascii="Amiri" w:hAnsi="Amiri" w:eastAsia="Amiri" w:cs="Amiri"/>
          <w:color w:val="111111"/>
          <w:sz w:val="28"/>
          <w:sz w:val="28"/>
          <w:szCs w:val="28"/>
          <w:rtl w:val="true"/>
          <w:lang w:bidi="ar-SA"/>
        </w:rPr>
        <w:t xml:space="preserve">، وأمّا سائر ما يعتبر فيه من الشرائط والموانع ، فبقيت على حالها ، كالبدأة بالوجه وباليمنى المعتبرة في الوضوء ، وطهارة المحالّ وغيرها من الشرائط ، فلا بدّ من مراعاة ما يعتبر فيهما فيه أيضاً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الدليل لقلنا بعدم اعتبار الموالاة في بدل الغسل ، لكن سيأتي</w:t>
      </w:r>
      <w:r>
        <w:rPr>
          <w:rStyle w:val="FootnoteAnchor"/>
          <w:rtl w:val="true"/>
        </w:rPr>
        <w:footnoteReference w:id="684"/>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 xml:space="preserve">استفادته من الأدلّة حتّى من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قوله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 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 عمّن لم يجد الماء أثبت بعض الغسل مسحاً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فإنّه مُشعر أو ظاهر في إثبات المسح ببعض المحالّ ، وإسقاط الغسل فقط ؛ من غير تصرّف في سائر الشرائط والقيود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يشعر به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ونروي أنّ جبرئيل نزل إلى سيّدنا محمّد صلی الله علیه و آله وسلم  في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نزل في التيمّم بإسقاط المسحين ، وجعل مكان موضع الغسل مسحاً</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أصل الحكم ؛ وإن فرض إمكان المناقشة في بعض ما ذكر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من التقريب المتقدّم ، يظهر الدليل على اعتبار كلّ ما يعتبر في الوضوء والغسل جميعاً ، كطهارة المحالّ والمباشرة وغيرهما ممّا يعتبر فيهما </w:t>
      </w:r>
      <w:r>
        <w:rPr>
          <w:rFonts w:eastAsia="Amiri" w:cs="Amiri" w:ascii="Amiri" w:hAnsi="Amiri"/>
          <w:color w:val="111111"/>
          <w:sz w:val="28"/>
          <w:szCs w:val="28"/>
          <w:rtl w:val="true"/>
          <w:lang w:bidi="ar-SA"/>
        </w:rPr>
        <w:t xml:space="preserve">. </w:t>
      </w:r>
      <w:bookmarkStart w:id="328" w:name="pg17116_198777"/>
    </w:p>
    <w:p>
      <w:pPr>
        <w:pStyle w:val="Heading5"/>
        <w:numPr>
          <w:ilvl w:val="4"/>
          <w:numId w:val="1"/>
        </w:numPr>
        <w:rPr/>
      </w:pPr>
      <w:bookmarkStart w:id="329" w:name="__RefHeading___Toc8646047_3381743652"/>
      <w:bookmarkStart w:id="330" w:name="_Toc115"/>
      <w:bookmarkEnd w:id="328"/>
      <w:bookmarkEnd w:id="329"/>
      <w:r>
        <w:rPr>
          <w:rtl w:val="true"/>
        </w:rPr>
        <w:t>الأمر الرابع في اعتبار الموالاة</w:t>
      </w:r>
      <w:bookmarkEnd w:id="330"/>
    </w:p>
    <w:p>
      <w:pPr>
        <w:pStyle w:val="Heading6"/>
        <w:numPr>
          <w:ilvl w:val="5"/>
          <w:numId w:val="1"/>
        </w:numPr>
        <w:rPr/>
      </w:pPr>
      <w:bookmarkStart w:id="331" w:name="__RefHeading___Toc8646049_3381743652"/>
      <w:bookmarkStart w:id="332" w:name="_Toc116"/>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مقتضى التقريب المتقدّم في بيان الترتيب ، التفصيل بين التيمّم الذي للحدث الأصغر وما للأكبر في الموالاة ، كما حكي عن الشهيد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 xml:space="preserve">وكذا التفصيل بين الشرائط التي اعتبرت في أحدهما دون الآخر ، كالمسح من الأعلى ، فيقال باعتباره في بدل الوضوء ، دون بدل 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مقتضى بعض الروايات مساواتهما ، كموثّقة عمّار ، عن أبي عبداللّه‌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من الوضوء والجنابة ومن الحيض للنساء ، سواء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الطهارة ، أبواب التيمّم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تيمّم الحائض والجنب ، سواء إذا لم يجدا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بناءً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الحائض إذا لم تجد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تحتاج إليه من بدل الغسل والوضوء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وحملهما على صِرف الكيفية دون سائر ما يعتبر فيهما ، فاسد بعد اقتضاء الإطلاق سوائيتهما مطلقاً ، فحينئذٍ لا يمكن التمسّك بالآية للتفصيل ، ولا لاعتبار </w:t>
      </w:r>
      <w:bookmarkStart w:id="333" w:name="pg17116_198778"/>
    </w:p>
    <w:p>
      <w:pPr>
        <w:pStyle w:val="BookText"/>
        <w:rPr/>
      </w:pPr>
      <w:bookmarkEnd w:id="333"/>
      <w:r>
        <w:rPr>
          <w:rFonts w:ascii="Amiri" w:hAnsi="Amiri" w:eastAsia="Amiri" w:cs="Amiri"/>
          <w:color w:val="111111"/>
          <w:sz w:val="28"/>
          <w:sz w:val="28"/>
          <w:szCs w:val="28"/>
          <w:rtl w:val="true"/>
          <w:lang w:bidi="ar-SA"/>
        </w:rPr>
        <w:t xml:space="preserve">الموالاة مطلقاً ، ولا لعدمه كذلك ، وكذا في سائر الشرائط التي اعتبرت في أحدهما دون الآخر ، فالقول بالتفصيل غير وجيه </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8646051_3381743652"/>
      <w:bookmarkStart w:id="335" w:name="_Toc117"/>
      <w:bookmarkEnd w:id="334"/>
      <w:r>
        <w:rPr>
          <w:rtl w:val="true"/>
        </w:rPr>
        <w:t>الدليل على اعتبار الموالاة مطلقاً</w:t>
      </w:r>
      <w:bookmarkEnd w:id="335"/>
    </w:p>
    <w:p>
      <w:pPr>
        <w:pStyle w:val="BookText"/>
        <w:rPr/>
      </w:pPr>
      <w:r>
        <w:rPr>
          <w:rFonts w:ascii="Amiri" w:hAnsi="Amiri" w:eastAsia="Amiri" w:cs="Amiri"/>
          <w:color w:val="111111"/>
          <w:sz w:val="28"/>
          <w:sz w:val="28"/>
          <w:szCs w:val="28"/>
          <w:rtl w:val="true"/>
          <w:lang w:bidi="ar-SA"/>
        </w:rPr>
        <w:t xml:space="preserve">والأقوى اعتبارها مطلقاً ،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وإلى ما أشرنا إليه في الترتيب من السيرة المستمرّة الكاشفة عن كونه كذلك من زمن الشارع المقدّس</w:t>
      </w:r>
      <w:r>
        <w:rPr>
          <w:rStyle w:val="FootnoteAnchor"/>
          <w:rtl w:val="true"/>
        </w:rPr>
        <w:footnoteReference w:id="691"/>
      </w:r>
      <w:r>
        <w:rPr>
          <w:rFonts w:ascii="Amiri" w:hAnsi="Amiri" w:eastAsia="Amiri" w:cs="Amiri"/>
          <w:color w:val="111111"/>
          <w:sz w:val="28"/>
          <w:sz w:val="28"/>
          <w:szCs w:val="28"/>
          <w:rtl w:val="true"/>
          <w:lang w:bidi="ar-SA"/>
        </w:rPr>
        <w:t xml:space="preserve">، وإن كان للإشكال في ذلك مجال ؛ لاحتمال كونها لاقتضاء العادة وعدم الداعي إلى التفريق ، لا الاعتبار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ارتكاز المتشرّعة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 فَامْسَحُوا بِوُجُوهِكُمْ وَأَيْدِيكُمْ مِنْه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الفاء للترتيب باتّصال ، كما هو المعروف</w:t>
      </w:r>
      <w:r>
        <w:rPr>
          <w:rStyle w:val="FootnoteAnchor"/>
          <w:rtl w:val="true"/>
        </w:rPr>
        <w:footnoteReference w:id="693"/>
      </w:r>
      <w:r>
        <w:rPr>
          <w:rFonts w:ascii="Amiri" w:hAnsi="Amiri" w:eastAsia="Amiri" w:cs="Amiri"/>
          <w:color w:val="111111"/>
          <w:sz w:val="28"/>
          <w:sz w:val="28"/>
          <w:szCs w:val="28"/>
          <w:rtl w:val="true"/>
          <w:lang w:bidi="ar-SA"/>
        </w:rPr>
        <w:t xml:space="preserve">، فيفيد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باتّصال عرفي بين المسح على الوجه والأيدي ، وبين </w:t>
      </w:r>
    </w:p>
    <w:p>
      <w:pPr>
        <w:pStyle w:val="BookText"/>
        <w:rPr/>
      </w:pPr>
      <w:r>
        <w:rPr>
          <w:rFonts w:ascii="Amiri" w:hAnsi="Amiri" w:eastAsia="Amiri" w:cs="Amiri"/>
          <w:color w:val="111111"/>
          <w:sz w:val="28"/>
          <w:sz w:val="28"/>
          <w:szCs w:val="28"/>
          <w:rtl w:val="true"/>
          <w:lang w:bidi="ar-SA"/>
        </w:rPr>
        <w:t xml:space="preserve">وضع اليدين أو ضربهما على الأرض الذي 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قصد الأرض ليس بنفسه موضوعاً للحكم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أخذ العنوان الطريقي الذي ليس مقصوداً بالذات فيه ، لعلّه دليل على أنّ المراد منه المرئي والمقصود ، خصوصاً مع قيام القرينة عليه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عرفاً في أنّ المراد ، التوصّل إلى الصعيد للتمسّح به على الوجه ، والمقصود هو الوضع أو الضرب على الأرض ولو بدليل خارجي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يديك على الأرض ، فتمسّح بلا فصل بوجهك ويديك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دلّت الفاء على الترتيب باتّصال ، تمّت الدلالة بلا احتياج إلى دعوى عدم</w:t>
      </w:r>
    </w:p>
    <w:p>
      <w:pPr>
        <w:pStyle w:val="BookText"/>
        <w:rPr/>
      </w:pPr>
      <w:r>
        <w:rPr>
          <w:rFonts w:ascii="Amiri" w:hAnsi="Amiri" w:eastAsia="Amiri" w:cs="Amiri"/>
          <w:color w:val="111111"/>
          <w:sz w:val="28"/>
          <w:sz w:val="28"/>
          <w:szCs w:val="28"/>
          <w:rtl w:val="true"/>
          <w:lang w:bidi="ar-SA"/>
        </w:rPr>
        <w:t>القول بالفصل ، كما صنع المحقّق الثاني</w:t>
      </w:r>
      <w:r>
        <w:rPr>
          <w:rStyle w:val="FootnoteAnchor"/>
          <w:rtl w:val="true"/>
        </w:rPr>
        <w:footnoteReference w:id="694"/>
      </w:r>
      <w:r>
        <w:rPr>
          <w:rFonts w:ascii="Amiri" w:hAnsi="Amiri" w:eastAsia="Amiri" w:cs="Amiri"/>
          <w:color w:val="111111"/>
          <w:sz w:val="28"/>
          <w:sz w:val="28"/>
          <w:szCs w:val="28"/>
          <w:rtl w:val="true"/>
          <w:lang w:bidi="ar-SA"/>
        </w:rPr>
        <w:t>على ما حكي عنه</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دلالتها عليه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دلالتها على الترتّب والتعقّب ، وهي غير 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الاستدلال على المطلوب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تبعيضية</w:t>
      </w:r>
      <w:r>
        <w:rPr>
          <w:rStyle w:val="FootnoteAnchor"/>
          <w:rtl w:val="true"/>
        </w:rPr>
        <w:footnoteReference w:id="696"/>
      </w:r>
      <w:r>
        <w:rPr>
          <w:rFonts w:ascii="Amiri" w:hAnsi="Amiri" w:eastAsia="Amiri" w:cs="Amiri"/>
          <w:color w:val="111111"/>
          <w:sz w:val="28"/>
          <w:sz w:val="28"/>
          <w:szCs w:val="28"/>
          <w:rtl w:val="true"/>
          <w:lang w:bidi="ar-SA"/>
        </w:rPr>
        <w:t xml:space="preserve">، فالمعنى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مبتدئاً من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الصعيد ، ومنتهياً إلى الوجوه والأيدي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والتمسّح من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عرفاً إلاّ مع حفظ العلاقة بين الضرب على الأرض والمسح منها على الوجه واليدين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 نّه لو قيل لمريض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من الضرائح المقدّسة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ينقدح في ذهن العقلاء منه إلاّ مع حفظ العلقة بين المسح عليها والمسح على موضع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مسحها بيده ، ثمّ انصرف وذهب إلى حوائجه ، ثمّ مسح يده على الموضع بعد سلب العلاقة العرفية ، لم يعمل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لا يكون إلاّ بعلاقة خاصّة مقطوعة بالفصل المعتدّ به ، كما ربّما تقطع بغيره ، كما لو ضرب يده على الأرض فغسلها ، فإنّ الظاهر سلب العلاقة وعدم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لاعتبار العلوق ، بل لاعتبار العلاقة الخاصّة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ببعضه ، أو أراد به العلوق والأثر من الأرض ، لما تمّ الاستدلال ؛ لصدقه مع بقاء أجزاء الأرض على اليد أو أثرها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التحقيق كما مرّ</w:t>
      </w:r>
      <w:r>
        <w:rPr>
          <w:rStyle w:val="FootnoteAnchor"/>
          <w:rtl w:val="true"/>
        </w:rPr>
        <w:footnoteReference w:id="697"/>
      </w:r>
      <w:r>
        <w:rPr>
          <w:rFonts w:ascii="Amiri" w:hAnsi="Amiri" w:eastAsia="Amiri" w:cs="Amiri"/>
          <w:color w:val="111111"/>
          <w:sz w:val="28"/>
          <w:sz w:val="28"/>
          <w:szCs w:val="28"/>
          <w:rtl w:val="true"/>
          <w:lang w:bidi="ar-SA"/>
        </w:rPr>
        <w:t>، وسيأتي بعض الكلام فيه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ذكرنا يظهر صحّة التمسّك للمطلوب ببعض الأخبار ، كصحيح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يجد الرجل طهوراً وكان جنباً ، فليتمسّح من الأرض</w:t>
      </w:r>
      <w:r>
        <w:rPr>
          <w:rFonts w:eastAsia="IRNazanin" w:cs="IRNazanin"/>
          <w:color w:val="111111"/>
          <w:sz w:val="28"/>
          <w:szCs w:val="28"/>
          <w:rtl w:val="true"/>
          <w:lang w:bidi="fa-IR"/>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صحيح ابن سنان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العلاقة ،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الابتدائية ، كما تقدّم حكايته عن أئمّة الأدب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الابتدائية إلاّ على لزوم كون ضرب اليد مبتدئاً من الأرض ، ومنتهياً إلى الوجه ، وأمّا اعتبار العلقة فلا ، ألا ترى أنّ المسافر إذا سافر من بلده</w:t>
      </w:r>
    </w:p>
    <w:p>
      <w:pPr>
        <w:pStyle w:val="BookText"/>
        <w:rPr/>
      </w:pPr>
      <w:r>
        <w:rPr>
          <w:rFonts w:ascii="Amiri" w:hAnsi="Amiri" w:eastAsia="Amiri" w:cs="Amiri"/>
          <w:color w:val="111111"/>
          <w:sz w:val="28"/>
          <w:sz w:val="28"/>
          <w:szCs w:val="28"/>
          <w:rtl w:val="true"/>
          <w:lang w:bidi="ar-SA"/>
        </w:rPr>
        <w:t xml:space="preserve">إلى مكّة المعظّمة مع اشتغاله بين الطريق باُمور كثيرة ، بل مع تعطّله عن السير في بعض البلاد التي بين الطريق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من بلده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لزوم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القياس لعلّه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التأمّل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من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الضرائح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والأشباه 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النقض حاله حال المقام ؛ لأ نّه لو فرض التعطّل عنه بين الطريق بمقدار انقطعت العلقة بين قطعات سفره عرفاً ، يخرج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في مورد النقض ونظائره ، تعارف لكيفية طيّ الطريق والإقامة في بعض البلاد للزيارة أو لسائر الحوائج ، ما لا يوجب التلبّسُ بها لأجله سلبَ العلقة ، فلو</w:t>
      </w:r>
    </w:p>
    <w:p>
      <w:pPr>
        <w:pStyle w:val="BookText"/>
        <w:rPr/>
      </w:pPr>
      <w:r>
        <w:rPr>
          <w:rFonts w:ascii="Amiri" w:hAnsi="Amiri" w:eastAsia="Amiri" w:cs="Amiri"/>
          <w:color w:val="111111"/>
          <w:sz w:val="28"/>
          <w:sz w:val="28"/>
          <w:szCs w:val="28"/>
          <w:rtl w:val="true"/>
          <w:lang w:bidi="ar-SA"/>
        </w:rPr>
        <w:t xml:space="preserve">فرض خروجه عن التعارف ، كما لو سافر من بلده إلى الحجّ ، فأقام في النجف الأشرف مدّة لتحصيل العلم أو غيره ؛ بحيث سلبت العلاقة بين قطعات أسفاره ، لخرج عن الصدق أيضاً ، فالعلاقة معتبرة ، والمقامات متفاوتة ، وفي المقام تنقطع العلاقة بفصل معتدّ به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الميزان في الموالاة ، فإنّها عبارة عن بقاء تلك العلاقة العرفية ، </w:t>
      </w:r>
    </w:p>
    <w:p>
      <w:pPr>
        <w:pStyle w:val="BookText"/>
        <w:rPr/>
      </w:pPr>
      <w:r>
        <w:rPr>
          <w:rFonts w:ascii="Amiri" w:hAnsi="Amiri" w:eastAsia="Amiri" w:cs="Amiri"/>
          <w:color w:val="111111"/>
          <w:sz w:val="28"/>
          <w:sz w:val="28"/>
          <w:szCs w:val="28"/>
          <w:rtl w:val="true"/>
          <w:lang w:bidi="ar-SA"/>
        </w:rPr>
        <w:t xml:space="preserve">وهي محفوظة مع عدم الفصل المعتدّ به عرفاً بين الضرب وبين المسحات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التقدير بمقدار الجفاف في الوضوء أو بمقدار سلب الاسم ، 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سلب الاسم عرفاً لا تبقى العلاقة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لزوم الموالاة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الضرب على الأرض شرط ، أو جزء ، أو لا ذا ولا ذاك ، بل هو مثل الاغتراف ، فإنّ التمسّح من الأرض معتبر بلا إشكال ، وهو لا يصدق إلاّ مع حفظ العلاقة وعدم الفصل بين الضرب والمسح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الاغتراف من الماء فلا يعتبر فيه شيء ؛ لأنّ الوضوء غسل الوجه بالماء ، وهو يحصل لو بقي الماء في كفّه 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التيمّم المسح ببعض الأرض أو بأثرها ، والضرب مقدّمة لذلك ، لما كان يلزم حفظ العلاقة ، بل المعتبر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صادق ولو بقيا ما بقيا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في أطراف ما ذكرنا والموارد التي نظيره في العرف ، وتدبّر في الارتكازات العرفية حتّى يتّضح لك الحال ، ولا تحتاج إلى التكلّف بما ارتكبه بعض المحقّقين في إقامة الدليل عليه</w:t>
      </w:r>
      <w:r>
        <w:rPr>
          <w:rStyle w:val="FootnoteAnchor"/>
          <w:rtl w:val="true"/>
        </w:rPr>
        <w:footnoteReference w:id="702"/>
      </w:r>
      <w:r>
        <w:rPr>
          <w:rFonts w:ascii="Amiri" w:hAnsi="Amiri" w:eastAsia="Amiri" w:cs="Amiri"/>
          <w:color w:val="111111"/>
          <w:sz w:val="28"/>
          <w:sz w:val="28"/>
          <w:szCs w:val="28"/>
          <w:rtl w:val="true"/>
          <w:lang w:bidi="ar-SA"/>
        </w:rPr>
        <w:t xml:space="preserve">، مع ما ترى من تردّده في صحّة مقالته ، فيقدّم رجلاً ، ويؤخّر اُخرى </w:t>
      </w:r>
      <w:r>
        <w:rPr>
          <w:rFonts w:eastAsia="Amiri" w:cs="Amiri" w:ascii="Amiri" w:hAnsi="Amiri"/>
          <w:color w:val="111111"/>
          <w:sz w:val="28"/>
          <w:szCs w:val="28"/>
          <w:rtl w:val="true"/>
          <w:lang w:bidi="ar-SA"/>
        </w:rPr>
        <w:t xml:space="preserve">. </w:t>
      </w:r>
      <w:bookmarkStart w:id="336" w:name="pg17116_198783"/>
    </w:p>
    <w:p>
      <w:pPr>
        <w:pStyle w:val="Heading5"/>
        <w:numPr>
          <w:ilvl w:val="4"/>
          <w:numId w:val="1"/>
        </w:numPr>
        <w:rPr/>
      </w:pPr>
      <w:bookmarkStart w:id="337" w:name="__RefHeading___Toc8646053_3381743652"/>
      <w:bookmarkStart w:id="338" w:name="_Toc118"/>
      <w:bookmarkEnd w:id="336"/>
      <w:bookmarkEnd w:id="337"/>
      <w:r>
        <w:rPr>
          <w:rtl w:val="true"/>
        </w:rPr>
        <w:t>الأمر الخامس في اعتبار ضرب اليدين على الأرض</w:t>
      </w:r>
      <w:bookmarkEnd w:id="338"/>
    </w:p>
    <w:p>
      <w:pPr>
        <w:pStyle w:val="Heading6"/>
        <w:numPr>
          <w:ilvl w:val="5"/>
          <w:numId w:val="1"/>
        </w:numPr>
        <w:rPr/>
      </w:pPr>
      <w:bookmarkStart w:id="339" w:name="__RefHeading___Toc8646055_3381743652"/>
      <w:bookmarkStart w:id="340" w:name="_Toc119"/>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هل يعتبر في التيمّم ضرب اليدين على الأرض ؟ أو يعتبر وضعهما ؛ بناءً على مباينته للضرب ؟ أو يكفي مطلق التمسّح عليها وضعاً أو ضرباً ؟</w:t>
      </w:r>
    </w:p>
    <w:p>
      <w:pPr>
        <w:pStyle w:val="BookText"/>
        <w:rPr/>
      </w:pPr>
      <w:r>
        <w:rPr>
          <w:rFonts w:ascii="Amiri" w:hAnsi="Amiri" w:eastAsia="Amiri" w:cs="Amiri"/>
          <w:color w:val="111111"/>
          <w:sz w:val="28"/>
          <w:sz w:val="28"/>
          <w:szCs w:val="28"/>
          <w:rtl w:val="true"/>
          <w:lang w:bidi="ar-SA"/>
        </w:rPr>
        <w:t>أو لا يعتبر شيء من ذلك ، بل المعتبر وصول أثر الصعيد إلى الوجه والكفّين ، فيكفي تعريضهما للهواء المغبّر ليصل إليهما ؟</w:t>
      </w:r>
    </w:p>
    <w:p>
      <w:pPr>
        <w:pStyle w:val="BookText"/>
        <w:rPr/>
      </w:pPr>
      <w:r>
        <w:rPr>
          <w:rFonts w:ascii="Amiri" w:hAnsi="Amiri" w:eastAsia="Amiri" w:cs="Amiri"/>
          <w:color w:val="111111"/>
          <w:sz w:val="28"/>
          <w:sz w:val="28"/>
          <w:szCs w:val="28"/>
          <w:rtl w:val="true"/>
          <w:lang w:bidi="ar-SA"/>
        </w:rPr>
        <w:t>أو يعتبر المسح باليدين ، لكن لا يعتبر وضعهما أو ضربهما على الأرض ، بل يكفي تأثّرهما منها ولو بوضعها عليهما ، أو استقبالهما للعواصف حتّى تتأثّرا ، كما حُكي</w:t>
      </w:r>
      <w:r>
        <w:rPr>
          <w:rStyle w:val="FootnoteAnchor"/>
          <w:rtl w:val="true"/>
        </w:rPr>
        <w:footnoteReference w:id="703"/>
      </w:r>
      <w:r>
        <w:rPr>
          <w:rFonts w:ascii="Amiri" w:hAnsi="Amiri" w:eastAsia="Amiri" w:cs="Amiri"/>
          <w:color w:val="111111"/>
          <w:sz w:val="28"/>
          <w:sz w:val="28"/>
          <w:szCs w:val="28"/>
          <w:rtl w:val="true"/>
          <w:lang w:bidi="ar-SA"/>
        </w:rPr>
        <w:t>عن العلاّمة</w:t>
      </w:r>
      <w:r>
        <w:rPr>
          <w:rStyle w:val="FootnoteAnchor"/>
          <w:rtl w:val="true"/>
        </w:rPr>
        <w:footnoteReference w:id="704"/>
      </w:r>
      <w:r>
        <w:rPr>
          <w:rFonts w:ascii="Amiri" w:hAnsi="Amiri" w:eastAsia="Amiri" w:cs="Amiri"/>
          <w:color w:val="111111"/>
          <w:sz w:val="28"/>
          <w:sz w:val="28"/>
          <w:szCs w:val="28"/>
          <w:rtl w:val="true"/>
          <w:lang w:bidi="ar-SA"/>
        </w:rPr>
        <w:t>؟ لكن عن بعض تكذيبه ، ونسبة الحكاية إلى الغفلة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يعتبر الضرب أو الوضع على الأرض ، لكن لا يعتبر ماسح خاصّ ، بل يجزي بكلّ آلة ؛ يداً كانت أو غيرها ؟</w:t>
      </w:r>
    </w:p>
    <w:p>
      <w:pPr>
        <w:pStyle w:val="BookText"/>
        <w:rPr/>
      </w:pPr>
      <w:r>
        <w:rPr>
          <w:rFonts w:ascii="Amiri" w:hAnsi="Amiri" w:eastAsia="Amiri" w:cs="Amiri"/>
          <w:color w:val="111111"/>
          <w:sz w:val="28"/>
          <w:sz w:val="28"/>
          <w:szCs w:val="28"/>
          <w:rtl w:val="true"/>
          <w:lang w:bidi="ar-SA"/>
        </w:rPr>
        <w:t>ولولا مخالفة الأصحاب والسيرة المستمرّة المتقدّمة</w:t>
      </w:r>
      <w:r>
        <w:rPr>
          <w:rStyle w:val="FootnoteAnchor"/>
          <w:rtl w:val="true"/>
        </w:rPr>
        <w:footnoteReference w:id="706"/>
      </w:r>
      <w:r>
        <w:rPr>
          <w:rFonts w:ascii="Amiri" w:hAnsi="Amiri" w:eastAsia="Amiri" w:cs="Amiri"/>
          <w:color w:val="111111"/>
          <w:sz w:val="28"/>
          <w:sz w:val="28"/>
          <w:szCs w:val="28"/>
          <w:rtl w:val="true"/>
          <w:lang w:bidi="ar-SA"/>
        </w:rPr>
        <w:t xml:space="preserve">، لكان للاحتمال الأخير وجه معتدّ به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الآية الكريمة ، أ نّه مع عدم وجدان الماء يقوم التراب مقامه ، لكن مع تبديل الغسل ببعض المسح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اقصدوا وانحوا نحوه لتمسّح الوجوه والأيدي منه ، فلا ينقدح في ذهن العرف منه</w:t>
      </w:r>
    </w:p>
    <w:p>
      <w:pPr>
        <w:pStyle w:val="BookText"/>
        <w:rPr/>
      </w:pPr>
      <w:r>
        <w:rPr>
          <w:rFonts w:ascii="Amiri" w:hAnsi="Amiri" w:eastAsia="Amiri" w:cs="Amiri"/>
          <w:color w:val="111111"/>
          <w:sz w:val="28"/>
          <w:sz w:val="28"/>
          <w:szCs w:val="28"/>
          <w:rtl w:val="true"/>
          <w:lang w:bidi="ar-SA"/>
        </w:rPr>
        <w:t xml:space="preserve">إلاّ أنّ التمسّح من الصعيد على الوجه والأيدي ، تمام الموضوع وتمام حقيقة التيمّم ، وأنّ قصد الصعيد والذهاب إليه ، إنّما هو لأجل التوصّل إلى هذا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 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الماء ، وخذ غُرفة منه ، فاغسل وجهك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ينقدح في الذهن دخالة الذهاب والاغتراف فيه ، ويرى العرف والعقلاء أنّ ذكر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لمحض التوصّل إلى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أولى به منه ؛ لأنّ الأمر بالتيمّم من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الأمر بغسل الوجه</w:t>
      </w:r>
    </w:p>
    <w:p>
      <w:pPr>
        <w:pStyle w:val="BookText"/>
        <w:rPr/>
      </w:pPr>
      <w:r>
        <w:rPr>
          <w:rFonts w:ascii="Amiri" w:hAnsi="Amiri" w:eastAsia="Amiri" w:cs="Amiri"/>
          <w:color w:val="111111"/>
          <w:sz w:val="28"/>
          <w:sz w:val="28"/>
          <w:szCs w:val="28"/>
          <w:rtl w:val="true"/>
          <w:lang w:bidi="ar-SA"/>
        </w:rPr>
        <w:t xml:space="preserve">والأيدي في الوضوء الذي يطلب فيه صِرف غسلهما من غير دخالة للآلة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الذيل ظاهراً بل كالنصّ في أنّ منزلة التراب منزلة الماء ، وأنّ المقصود حصول المسح من الصعيد محلّ الغسل بأيّة آلة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ذكر الآلة مع كونها في مقام البيان ، يؤكّد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به صحيحة زرارة المفسّرة لها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وضع الوضوء عمّن لم يجد الماء ، أثبت بعض الغسل مسحاً ؛ لأ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ظاهرة في أنّ التصرّف إنّما هو في إثبات المسح موضع الغسل ، فكما أنّ الغسل لا يعتبر فيه آلة خاصّة ، كذلك ما اُثبت محلّه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الآية أنّ اللازم فيه هو التمسّح من الصعيد على الوجه والأيدي ، وهو لا يحصل إلاّ مع التوصّل إلى التمسّح على الصعيد ، </w:t>
      </w:r>
    </w:p>
    <w:p>
      <w:pPr>
        <w:pStyle w:val="BookText"/>
        <w:rPr/>
      </w:pPr>
      <w:r>
        <w:rPr>
          <w:rFonts w:ascii="Amiri" w:hAnsi="Amiri" w:eastAsia="Amiri" w:cs="Amiri"/>
          <w:color w:val="111111"/>
          <w:sz w:val="28"/>
          <w:sz w:val="28"/>
          <w:szCs w:val="28"/>
          <w:rtl w:val="true"/>
          <w:lang w:bidi="ar-SA"/>
        </w:rPr>
        <w:t xml:space="preserve">ومنه إليهما ، وهو صادق بأيّة آلة ، كالغسل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ذلك فلا بدّ في رفع اليد عنه من دليل صالح ، والأدلّة الواردة في التيمّمات البيانية</w:t>
      </w:r>
      <w:r>
        <w:rPr>
          <w:rStyle w:val="FootnoteAnchor"/>
          <w:rtl w:val="true"/>
        </w:rPr>
        <w:footnoteReference w:id="708"/>
      </w:r>
      <w:r>
        <w:rPr>
          <w:rFonts w:ascii="Amiri" w:hAnsi="Amiri" w:eastAsia="Amiri" w:cs="Amiri"/>
          <w:color w:val="111111"/>
          <w:sz w:val="28"/>
          <w:sz w:val="28"/>
          <w:szCs w:val="28"/>
          <w:rtl w:val="true"/>
          <w:lang w:bidi="ar-SA"/>
        </w:rPr>
        <w:t>وغيرها تشكل صلاحيتها لذلك ؛ فإنّ وِزانها وِزان ما وردت في الوضوءات البيانية</w:t>
      </w:r>
      <w:r>
        <w:rPr>
          <w:rStyle w:val="FootnoteAnchor"/>
          <w:rtl w:val="true"/>
        </w:rPr>
        <w:footnoteReference w:id="709"/>
      </w:r>
      <w:r>
        <w:rPr>
          <w:rFonts w:ascii="Amiri" w:hAnsi="Amiri" w:eastAsia="Amiri" w:cs="Amiri"/>
          <w:color w:val="111111"/>
          <w:sz w:val="28"/>
          <w:sz w:val="28"/>
          <w:szCs w:val="28"/>
          <w:rtl w:val="true"/>
          <w:lang w:bidi="ar-SA"/>
        </w:rPr>
        <w:t>ممّا اشتملت على الأخذ بالغُرفة وباليمين ؛ حيث</w:t>
      </w:r>
    </w:p>
    <w:p>
      <w:pPr>
        <w:pStyle w:val="BookText"/>
        <w:rPr/>
      </w:pPr>
      <w:r>
        <w:rPr>
          <w:rFonts w:ascii="Amiri" w:hAnsi="Amiri" w:eastAsia="Amiri" w:cs="Amiri"/>
          <w:color w:val="111111"/>
          <w:sz w:val="28"/>
          <w:sz w:val="28"/>
          <w:szCs w:val="28"/>
          <w:rtl w:val="true"/>
          <w:lang w:bidi="ar-SA"/>
        </w:rPr>
        <w:t xml:space="preserve">لا يفهم منها إلاّ صِرف الآلية من غير دخالة في تحصيل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الخدشة في دلالة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فإنّه مع كون اليد آلة للمسح ، لا يفهم العرف منها الخصوصية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 واثنتان للذراعين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فكما لا يفهم منه اعتبار الاغتراف ، ولا ينقدح في الذهن إلاّ صرف آليتها ، ولا يصلح لتقييد إطلاق الآية ، كذلك حال الضرب بالكفّين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المدّعى إلغاء الخصوصية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للعرف إليه في مثل هذا الحكم التعبّدي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المدّعى عدم إمكان رفع اليد عن ظهور الآية بمثله مع عدم الانقداح في الذهن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اليد 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الآلية ، فلا يحرز من مثله القيدية حتّى يقيّد به الإطلاق ، كما لا تحرز من الوضوءات البيانية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 إنّ هذا الوجه وجيه لولا الجهات الخارجية ؛ من مفروغية الحكم </w:t>
      </w:r>
      <w:bookmarkStart w:id="341" w:name="pg17116_198786"/>
    </w:p>
    <w:p>
      <w:pPr>
        <w:pStyle w:val="BookText"/>
        <w:rPr/>
      </w:pPr>
      <w:bookmarkEnd w:id="341"/>
      <w:r>
        <w:rPr>
          <w:rFonts w:ascii="Amiri" w:hAnsi="Amiri" w:eastAsia="Amiri" w:cs="Amiri"/>
          <w:color w:val="111111"/>
          <w:sz w:val="28"/>
          <w:sz w:val="28"/>
          <w:szCs w:val="28"/>
          <w:rtl w:val="true"/>
          <w:lang w:bidi="ar-SA"/>
        </w:rPr>
        <w:t>لدى الأصحاب ومعهودية التيمّم بين المتشرّعة ؛ بحيث ما ذكرناه يعدّ كالشبهة في مقابل البديهة ، ولهذا ترى أ نّه مع كمال المناسبة بين البابين ، لم يتفوّه أحد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الاحتمالات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كالمنسوب إلى العلاّمة وما قبله</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لظاهر الآية وجميع الأدلّة ، فلا داعي للتعرّض له </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8646057_3381743652"/>
      <w:bookmarkStart w:id="343" w:name="_Toc120"/>
      <w:bookmarkEnd w:id="342"/>
      <w:r>
        <w:rPr>
          <w:rtl w:val="true"/>
        </w:rPr>
        <w:t>وجه اعتبار الضرب أو الوضع</w:t>
      </w:r>
      <w:bookmarkEnd w:id="343"/>
    </w:p>
    <w:p>
      <w:pPr>
        <w:pStyle w:val="BookText"/>
        <w:rPr/>
      </w:pPr>
      <w:r>
        <w:rPr>
          <w:rFonts w:ascii="Amiri" w:hAnsi="Amiri" w:eastAsia="Amiri" w:cs="Amiri"/>
          <w:color w:val="111111"/>
          <w:sz w:val="28"/>
          <w:sz w:val="28"/>
          <w:szCs w:val="28"/>
          <w:rtl w:val="true"/>
          <w:lang w:bidi="ar-SA"/>
        </w:rPr>
        <w:t xml:space="preserve">بقي الكلام في أنّ المعتبر هو ضرب اليدين أو وضعهما ؛ بناءً على مباينتهما ، أو لا يعتبر شيء منهما ، بل المعتبر هو شيء أعمّ ؛ أي مطلق المماسّة ولو مسحاً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الآية عدم اعتبار شيء إلاّ كون المسح من الأرض ؛ أي مبتدئاً</w:t>
      </w:r>
    </w:p>
    <w:p>
      <w:pPr>
        <w:pStyle w:val="BookText"/>
        <w:rPr/>
      </w:pPr>
      <w:r>
        <w:rPr>
          <w:rFonts w:ascii="Amiri" w:hAnsi="Amiri" w:eastAsia="Amiri" w:cs="Amiri"/>
          <w:color w:val="111111"/>
          <w:sz w:val="28"/>
          <w:sz w:val="28"/>
          <w:szCs w:val="28"/>
          <w:rtl w:val="true"/>
          <w:lang w:bidi="ar-SA"/>
        </w:rPr>
        <w:t xml:space="preserve">منها ، وقد قيّدت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كون الآلةِ اليدَ ، وبقي إطلاقها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الوضع والضرب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بمناسبة كون الصعيد قائماً مقام الماء عند فقده والارتكاز المتقدّم ذكره</w:t>
      </w:r>
      <w:r>
        <w:rPr>
          <w:rStyle w:val="FootnoteAnchor"/>
          <w:rtl w:val="true"/>
        </w:rPr>
        <w:footnoteReference w:id="713"/>
      </w:r>
      <w:r>
        <w:rPr>
          <w:rFonts w:ascii="Amiri" w:hAnsi="Amiri" w:eastAsia="Amiri" w:cs="Amiri"/>
          <w:color w:val="111111"/>
          <w:sz w:val="28"/>
          <w:sz w:val="28"/>
          <w:szCs w:val="28"/>
          <w:rtl w:val="true"/>
          <w:lang w:bidi="ar-SA"/>
        </w:rPr>
        <w:t xml:space="preserve">، يتقوّى إطلاقها ، ويشكل رفع اليد عنه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كيفية التيمّم ولو مع الغضّ عن الروايات المشتملة على الوضع ؛ لعدم فهم القيدية منه ، بل لا ينقدح في ذهن العرف إلاّ أنّ الضرب للتوصّل إلى التمسّح من الأرض ، خصوصاً من مثل قوله في صحيحة الكندي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 وضربة للكفّين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الظاهر في أنّ </w:t>
      </w:r>
    </w:p>
    <w:p>
      <w:pPr>
        <w:pStyle w:val="BookText"/>
        <w:rPr/>
      </w:pPr>
      <w:r>
        <w:rPr>
          <w:rFonts w:ascii="Amiri" w:hAnsi="Amiri" w:eastAsia="Amiri" w:cs="Amiri"/>
          <w:color w:val="111111"/>
          <w:sz w:val="28"/>
          <w:sz w:val="28"/>
          <w:szCs w:val="28"/>
          <w:rtl w:val="true"/>
          <w:lang w:bidi="ar-SA"/>
        </w:rPr>
        <w:t xml:space="preserve">الضرب لصرف التمسّح للوجه ، ولا موضوعية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يحرز من مثله القيدية ولو مع قطع النظر عن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التي في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مشتملة على حكاية عمّار بن ياسر ، كصحيحة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ذات يوم لعمّار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يتمرّغ الحمار ؛ أفلا صنعت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أهوى بيديه إلى الأرض ، فوضعهما على الصعيد </w:t>
      </w:r>
      <w:r>
        <w:rPr>
          <w:rFonts w:eastAsia="IRNazanin" w:cs="IRNazanin"/>
          <w:color w:val="111111"/>
          <w:sz w:val="28"/>
          <w:szCs w:val="28"/>
          <w:rtl w:val="true"/>
          <w:lang w:bidi="fa-IR"/>
        </w:rPr>
        <w:t>. . .»</w:t>
      </w:r>
      <w:r>
        <w:rPr>
          <w:rStyle w:val="FootnoteAnchor"/>
          <w:rtl w:val="true"/>
        </w:rPr>
        <w:footnoteReference w:id="71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منها ظهوراً كاد أن يكون كالنصّ ،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كلام أبي جعفر علیه السلام  أي أهوى النبي صلی الله علیه و آله وسلم  والحاكي له أبو جعفر علیه السلام  فلا يأتي فيه احتمال الاشتباه إلاّ من الرواة في نقل القول ، وهو مدفوع بالأصل ، وظاهرها كفاية الوضع ولو لم يشتمل على خصوصية زائدة ؛ وهي الدفع واللطم ، إذ لو كانت دخيلة في ذلك لما أهملها أبو جعفر علیه السلام  في مقام بيان الحكاية لتعليم الحكم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موثّقة زرارة عنه بعد حكاية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الحمار ، وإنّما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بيديه على الأرض </w:t>
      </w:r>
      <w:r>
        <w:rPr>
          <w:rFonts w:eastAsia="Amiri" w:cs="Amiri" w:ascii="Amiri" w:hAnsi="Amiri"/>
          <w:color w:val="111111"/>
          <w:sz w:val="28"/>
          <w:szCs w:val="28"/>
          <w:rtl w:val="true"/>
          <w:lang w:bidi="ar-SA"/>
        </w:rPr>
        <w:t>. . .»</w:t>
      </w:r>
      <w:r>
        <w:rPr>
          <w:rStyle w:val="FootnoteAnchor"/>
          <w:rtl w:val="true"/>
        </w:rPr>
        <w:footnoteReference w:id="716"/>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وظاهرها أيضاً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أبي جعفر علیه السلام  حكاية عن فعل النبي صلی الله علیه و آله وسلم  واحتمال أن كان العمل من أبي جعفر علیه السلام  فيها ، غير بعيد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يبعد أن يكون وجه اختلاف الحكاية على فرض كونها منه علیه السلام  أو العمل</w:t>
      </w:r>
    </w:p>
    <w:p>
      <w:pPr>
        <w:pStyle w:val="BookText"/>
        <w:rPr/>
      </w:pPr>
      <w:r>
        <w:rPr>
          <w:rFonts w:ascii="IRNazanin" w:hAnsi="IRNazanin" w:eastAsia="IRNazanin"/>
          <w:color w:val="111111"/>
          <w:sz w:val="28"/>
          <w:sz w:val="28"/>
          <w:szCs w:val="28"/>
          <w:rtl w:val="true"/>
          <w:lang w:bidi="fa-IR"/>
        </w:rPr>
        <w:t xml:space="preserve">والحكاية على فرض آخر ، أنّ واقع فعل النبي صلی الله علیه و آله وسلم  هو الضرب ، لكن لمّا كان العنوان المفيد للأمر الزائد عن حقيقة الوضع ، غيرَ دخيل في صحّة التيمّم ، وكان متقوّماً بمطلق الوضع كيف كان ، ذكره أبو جعفر علیه السلام  لإفادة عدم دخالة شيء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الضرب وضعاً أيضاً مع قيد ، لا يكون النقل خلاف الواقع ، كما لو كان مجيء إنسان موضوعاً لحكم ، فجاء زيد مثلاً ، فيصحّ 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إنسان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أبو جعفر علیه السلام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القضيّة مع بعض الخصوصيات غير الدخيلة في صحّة التيمّم وكيفيته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بيديه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دخيل في الحكم ،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لعدم دخالة الخصوصية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من قبيل المطلق والمقيّد ، بل هو حكاية قضيّة شخصية لا بدّ في ترك القيد الزائد الذي اشتملت عليه من نكتة ، والمحتمل أن تكون ما ذكرناها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على بيان كيفية التيمّم عملاً ، كرواية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على الأصحّ</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التيمّم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عمّاراً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 فوضع يده على المِسْح </w:t>
      </w:r>
      <w:r>
        <w:rPr>
          <w:rFonts w:eastAsia="Amiri" w:cs="Amiri" w:ascii="Amiri" w:hAnsi="Amiri"/>
          <w:color w:val="111111"/>
          <w:sz w:val="28"/>
          <w:szCs w:val="28"/>
          <w:rtl w:val="true"/>
          <w:lang w:bidi="ar-SA"/>
        </w:rPr>
        <w:t>. . .</w:t>
      </w:r>
      <w:r>
        <w:rPr>
          <w:rStyle w:val="FootnoteAnchor"/>
          <w:rtl w:val="true"/>
        </w:rPr>
        <w:footnoteReference w:id="71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التيمّم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التيمّم ؟ فوضع يده على الأرض </w:t>
      </w:r>
      <w:r>
        <w:rPr>
          <w:rFonts w:eastAsia="IRNazanin" w:cs="IRNazanin"/>
          <w:color w:val="111111"/>
          <w:sz w:val="28"/>
          <w:szCs w:val="28"/>
          <w:rtl w:val="true"/>
          <w:lang w:bidi="fa-IR"/>
        </w:rPr>
        <w:t>. . .</w:t>
      </w:r>
      <w:r>
        <w:rPr>
          <w:rStyle w:val="FootnoteAnchor"/>
          <w:rtl w:val="true"/>
        </w:rPr>
        <w:footnoteReference w:id="71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 وذكر التيمّم وما صنع عمّار ، فوضع أبو جعفر علیه السلام  كفّيه على الأرض </w:t>
      </w:r>
      <w:r>
        <w:rPr>
          <w:rFonts w:eastAsia="IRNazanin" w:cs="IRNazanin"/>
          <w:color w:val="111111"/>
          <w:sz w:val="28"/>
          <w:szCs w:val="28"/>
          <w:rtl w:val="true"/>
          <w:lang w:bidi="fa-IR"/>
        </w:rPr>
        <w:t>. . .</w:t>
      </w:r>
      <w:r>
        <w:rPr>
          <w:rStyle w:val="FootnoteAnchor"/>
          <w:rtl w:val="true"/>
        </w:rPr>
        <w:footnoteReference w:id="72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أو صحيحته</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 فوضع يده على الأرض </w:t>
      </w:r>
      <w:r>
        <w:rPr>
          <w:rFonts w:eastAsia="Amiri" w:cs="Amiri" w:ascii="Amiri" w:hAnsi="Amiri"/>
          <w:color w:val="111111"/>
          <w:sz w:val="28"/>
          <w:szCs w:val="28"/>
          <w:rtl w:val="true"/>
          <w:lang w:bidi="ar-SA"/>
        </w:rPr>
        <w:t>. . .</w:t>
      </w:r>
      <w:r>
        <w:rPr>
          <w:rStyle w:val="FootnoteAnchor"/>
          <w:rtl w:val="true"/>
        </w:rPr>
        <w:footnoteReference w:id="722"/>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 الاشتباه من الرواة في حكاية الفعل</w:t>
      </w:r>
      <w:r>
        <w:rPr>
          <w:rStyle w:val="FootnoteAnchor"/>
          <w:rtl w:val="true"/>
        </w:rPr>
        <w:footnoteReference w:id="723"/>
      </w:r>
      <w:r>
        <w:rPr>
          <w:rFonts w:ascii="Amiri" w:hAnsi="Amiri" w:eastAsia="Amiri" w:cs="Amiri"/>
          <w:color w:val="111111"/>
          <w:sz w:val="28"/>
          <w:sz w:val="28"/>
          <w:szCs w:val="28"/>
          <w:rtl w:val="true"/>
          <w:lang w:bidi="ar-SA"/>
        </w:rPr>
        <w:t xml:space="preserve">، لا يُعتنى به ، سيّما مع تعدّدهم وتكرّر الرواية ، وكونهم من قبيل زرارة والخزّاز وسماعة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 الأمر بين تقييد الإطلاقات كتاباً وأخباراً ، ورفع اليد عن صحيحة زرارة المتقدّمة</w:t>
      </w:r>
      <w:r>
        <w:rPr>
          <w:rStyle w:val="FootnoteAnchor"/>
          <w:rtl w:val="true"/>
        </w:rPr>
        <w:footnoteReference w:id="724"/>
      </w:r>
      <w:r>
        <w:rPr>
          <w:rFonts w:ascii="IRNazanin" w:hAnsi="IRNazanin" w:eastAsia="IRNazanin"/>
          <w:color w:val="111111"/>
          <w:sz w:val="28"/>
          <w:sz w:val="28"/>
          <w:szCs w:val="28"/>
          <w:rtl w:val="true"/>
          <w:lang w:bidi="fa-IR"/>
        </w:rPr>
        <w:t xml:space="preserve">الحاكية لفعل النبي صلی الله علیه و آله وسلم  بلفظ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إعمال الإطلاق والتقييد غير وجيه بعد الحكاية عن الفعل الشخصي تاركاً لما هو دخيل في الحكم فرضاً ؛ وإن فهم من حكايته حكم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رفع اليد عن قيدية الضرب الوارد في الأخبار الكثيرة ، والأهون في المقام مع الخصوصيات المتقدّمة هو الثاني ، سيّما مع كون المطلق والمقيّد مثبتين ، والحمل في مثله متوقّف على إحراز وحدة المطلوب ، وهو مع ما تقدّم مشكل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المقام ليس من قبيل المطلق والمقيّد ؛ فإنّ المتفاهم العرفي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تعليم التيمّم وبيان كيفيته ، أ نّه كان وضعها بلا دفع واعتماد ، وإلاّ كان على الرواة عدم إهماله ، والحمل على الغفلة قد مرّ ما فيه</w:t>
      </w:r>
      <w:r>
        <w:rPr>
          <w:rStyle w:val="FootnoteAnchor"/>
          <w:rtl w:val="true"/>
        </w:rPr>
        <w:footnoteReference w:id="725"/>
      </w:r>
      <w:r>
        <w:rPr>
          <w:rFonts w:ascii="Amiri" w:hAnsi="Amiri" w:eastAsia="Amiri" w:cs="Amiri"/>
          <w:color w:val="111111"/>
          <w:sz w:val="28"/>
          <w:sz w:val="28"/>
          <w:szCs w:val="28"/>
          <w:rtl w:val="true"/>
          <w:lang w:bidi="ar-SA"/>
        </w:rPr>
        <w:t>، فيظهر أنّ مقتضى هذه الروايات أنّ عمل المعصوم في مقام التعليم ، كان وضعاً لا ضرباً ، ومعه كيف يمكن إعمال المطلق والمقيّد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محيص عن الالتزام إمّا برفع اليد عن الروايات الصحيحة التي هي في مقام البيان ، وهو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البناء على أنّ للتيمّم كيفيتين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البناء على أنّ المعتبر فيه ليس إلاّ لمس الأرض وضعاً أو ضرباً ، بل أو مسحاً ؛ أخذاً بإطلاق الآية ، وجمعاً بين الروايات ، وهو أهون ؛ لكونه جمعاً عقلائياً بين جميع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الالتزام برجحان الضرب ؛ أخذاً بظواهر ما دلّت على الضرب واشتملت على الأمر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قلنا بعدم مباينة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لو قلنا بمباينتهما ، فيقع التعارض بين صحيحة زرارة وموثّقته الحاكيتين عن أبي جعفر علیه السلام  نقلَ فعل رسول اللّه‌ صلی الله علیه و آله وسلم  حيث عبّر في الاُولى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يوجب رفع اليد عن سائر الروايات الحاكية لفعل أبي عبداللّه وأبي جعفر علیهما السلام  في مقام تعليم التيمّم بعد السؤال عن كيفيته ،</w:t>
      </w:r>
    </w:p>
    <w:p>
      <w:pPr>
        <w:pStyle w:val="BookText"/>
        <w:rPr/>
      </w:pPr>
      <w:r>
        <w:rPr>
          <w:rFonts w:ascii="Amiri" w:hAnsi="Amiri" w:eastAsia="Amiri" w:cs="Amiri"/>
          <w:color w:val="111111"/>
          <w:sz w:val="28"/>
          <w:sz w:val="28"/>
          <w:szCs w:val="28"/>
          <w:rtl w:val="true"/>
          <w:lang w:bidi="ar-SA"/>
        </w:rPr>
        <w:t xml:space="preserve">فالأخذ بجميع الروايات ، والالتزام بأنّ للتيمّم كيفيتين ، وحمل ما اشتملت على الأمر بالضرب على الرجحان ، أولى وأهون من طرح الطائفة المقابلة مع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قبيل حمل الظاهر على النصّ ؛ لأنّ أخبار الضرب ظاهرة في تعيّنه ، وأخبار الوضع نصّ في الاجتزاء به ، مع موافقتها لإطلاق الكتاب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الشهرة المنقولة في المقام</w:t>
      </w:r>
      <w:r>
        <w:rPr>
          <w:rStyle w:val="FootnoteAnchor"/>
          <w:rtl w:val="true"/>
        </w:rPr>
        <w:footnoteReference w:id="726"/>
      </w:r>
      <w:r>
        <w:rPr>
          <w:rFonts w:ascii="Amiri" w:hAnsi="Amiri" w:eastAsia="Amiri" w:cs="Amiri"/>
          <w:color w:val="111111"/>
          <w:sz w:val="28"/>
          <w:sz w:val="28"/>
          <w:szCs w:val="28"/>
          <w:rtl w:val="true"/>
          <w:lang w:bidi="ar-SA"/>
        </w:rPr>
        <w:t xml:space="preserve">فليست من الشهرات المعتدّ بها ؛ لأنّ المسألة اجتهادية تراكمت فيها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ذهاب جملة من الأساطين </w:t>
      </w:r>
      <w:bookmarkStart w:id="344" w:name="pg17116_198792"/>
    </w:p>
    <w:p>
      <w:pPr>
        <w:pStyle w:val="BookText"/>
        <w:rPr/>
      </w:pPr>
      <w:bookmarkEnd w:id="344"/>
      <w:r>
        <w:rPr>
          <w:rFonts w:ascii="Amiri" w:hAnsi="Amiri" w:eastAsia="Amiri" w:cs="Amiri"/>
          <w:color w:val="111111"/>
          <w:sz w:val="28"/>
          <w:sz w:val="28"/>
          <w:szCs w:val="28"/>
          <w:rtl w:val="true"/>
          <w:lang w:bidi="ar-SA"/>
        </w:rPr>
        <w:t xml:space="preserve">إلى الاجتزاء بالوضع صريحاً أو ظاهراً ، كالشيخ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ينبغي ترك الاحتياط بعد اشتمالِ أكثر الروايات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ونقلِ الشهرة ، واحتمالِ كون مراد بعض من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منه ، وتعارفِ الضرب بين المتشرّعة ، واللّه العالم </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8646059_3381743652"/>
      <w:bookmarkStart w:id="346" w:name="_Toc121"/>
      <w:bookmarkEnd w:id="345"/>
      <w:r>
        <w:rPr>
          <w:rtl w:val="true"/>
        </w:rPr>
        <w:t xml:space="preserve">تنبيه </w:t>
      </w:r>
      <w:r>
        <w:rPr>
          <w:rtl w:val="true"/>
        </w:rPr>
        <w:t xml:space="preserve">: </w:t>
      </w:r>
      <w:r>
        <w:rPr>
          <w:rtl w:val="true"/>
        </w:rPr>
        <w:t>هل الضرب أو الوضع شرط لحصول المسح أو جزءٌ ؟</w:t>
      </w:r>
      <w:bookmarkEnd w:id="3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الكتاب والسنّة أنّ الضرب أو الوضع شرط لحصول المسح من الأرض ، لا جزء للتيمّم ؛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متفرّعاً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 قصد الصعيد ضرباً أو وضعاً ؛ لأجل المسح والتوصّل إليه ، ولولا الإجماع والتسلّم بينهم</w:t>
      </w:r>
      <w:r>
        <w:rPr>
          <w:rStyle w:val="FootnoteAnchor"/>
          <w:rtl w:val="true"/>
        </w:rPr>
        <w:footnoteReference w:id="729"/>
      </w:r>
      <w:r>
        <w:rPr>
          <w:rFonts w:ascii="Amiri" w:hAnsi="Amiri" w:eastAsia="Amiri" w:cs="Amiri"/>
          <w:color w:val="111111"/>
          <w:sz w:val="28"/>
          <w:sz w:val="28"/>
          <w:szCs w:val="28"/>
          <w:rtl w:val="true"/>
          <w:lang w:bidi="ar-SA"/>
        </w:rPr>
        <w:t xml:space="preserve">لقلنا بعدم مدخلية الآلة الخاصّة أيضاً ، لكن بعد القول باعتبارها لا ريب أنّ الظاهر منها أنّ الضرب لأجل المسح بالوجوه والأيدي ، كما هو الظاهر أيضاً من مثل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 وضربة للكفّين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 مرّتين للوجه واليدين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وهذا يُنافي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اعتبار الجزئية زائداً على اعتبار الشرطية ؛ بأن يكون جزءاً بالنسبة إلى المجموع ، وشرطاً لسائر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 ، ثمّ تنفضهما وتمسح بهما وجهك ويديك</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لا يدلّ على الجزئية لو لم نقل بدلالتها على الشرطية ، خصوصاً مع كون جميع الروايات كالتفسير للآية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w:t>
      </w:r>
      <w:r>
        <w:rPr>
          <w:rStyle w:val="FootnoteAnchor"/>
          <w:rtl w:val="true"/>
        </w:rPr>
        <w:footnoteReference w:id="733"/>
      </w:r>
      <w:r>
        <w:rPr>
          <w:rFonts w:ascii="Amiri" w:hAnsi="Amiri" w:eastAsia="Amiri" w:cs="Amiri"/>
          <w:color w:val="111111"/>
          <w:sz w:val="28"/>
          <w:sz w:val="28"/>
          <w:szCs w:val="28"/>
          <w:rtl w:val="true"/>
          <w:lang w:bidi="ar-SA"/>
        </w:rPr>
        <w:t>كون التيمّمات البيانية</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أشباه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ماهية التيمّم والأجزاء المقوّمة لها ، غير وجيه جدّاً ؛ لأنّ الظاهر أ نّهم  علیهم السلام بصدد بيان كيفية التيمّم الصحيح ؛ من غير نظر إلى ما يعتبر فيه شرطاً أو جزءاً ، لو لم نقل بظهور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الشرطية ، فالأظهر هو الشرطية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الثمرة بين القولين فغير ظاهرة ، 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اعتبار الموالاة فيه هو ظهور الأوامر المتعلّقة بالمركّبات في إتيان أجزائها متوالية ومرتبطة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استدلّوا به له</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اعتبار الموالاة بين الضرب والمسح على </w:t>
      </w:r>
    </w:p>
    <w:p>
      <w:pPr>
        <w:pStyle w:val="BookText"/>
        <w:rPr/>
      </w:pPr>
      <w:r>
        <w:rPr>
          <w:rFonts w:ascii="Amiri" w:hAnsi="Amiri" w:eastAsia="Amiri" w:cs="Amiri"/>
          <w:color w:val="111111"/>
          <w:sz w:val="28"/>
          <w:sz w:val="28"/>
          <w:szCs w:val="28"/>
          <w:rtl w:val="true"/>
          <w:lang w:bidi="ar-SA"/>
        </w:rPr>
        <w:t>الجزئية ، وعدم اعتباره على الشرطية ، ثمرةً بينهما ؛ لأنّ غاية ما يمكن دعواه</w:t>
      </w:r>
    </w:p>
    <w:p>
      <w:pPr>
        <w:pStyle w:val="BookText"/>
        <w:rPr/>
      </w:pPr>
      <w:r>
        <w:rPr>
          <w:rFonts w:ascii="Amiri" w:hAnsi="Amiri" w:eastAsia="Amiri" w:cs="Amiri"/>
          <w:color w:val="111111"/>
          <w:sz w:val="28"/>
          <w:sz w:val="28"/>
          <w:szCs w:val="28"/>
          <w:rtl w:val="true"/>
          <w:lang w:bidi="ar-SA"/>
        </w:rPr>
        <w:t xml:space="preserve">هو ظهورها في الموالاة بين الأجزاء ، لا بين الشرائط والأجزاء أيضاً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وجه اعتباره غير ذلك</w:t>
      </w:r>
      <w:r>
        <w:rPr>
          <w:rStyle w:val="FootnoteAnchor"/>
          <w:rtl w:val="true"/>
        </w:rPr>
        <w:footnoteReference w:id="736"/>
      </w:r>
      <w:r>
        <w:rPr>
          <w:rFonts w:ascii="Amiri" w:hAnsi="Amiri" w:eastAsia="Amiri" w:cs="Amiri"/>
          <w:color w:val="111111"/>
          <w:sz w:val="28"/>
          <w:sz w:val="28"/>
          <w:szCs w:val="28"/>
          <w:rtl w:val="true"/>
          <w:lang w:bidi="ar-SA"/>
        </w:rPr>
        <w:t xml:space="preserve">، ومع ما ذكرناه لا تكون هذه ثمرة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الشرطية لا دليل على لزوم قصد التقرّب والتعبّد</w:t>
      </w:r>
    </w:p>
    <w:p>
      <w:pPr>
        <w:pStyle w:val="BookText"/>
        <w:rPr/>
      </w:pPr>
      <w:r>
        <w:rPr>
          <w:rFonts w:ascii="Amiri" w:hAnsi="Amiri" w:eastAsia="Amiri" w:cs="Amiri"/>
          <w:color w:val="111111"/>
          <w:sz w:val="28"/>
          <w:sz w:val="28"/>
          <w:szCs w:val="28"/>
          <w:rtl w:val="true"/>
          <w:lang w:bidi="ar-SA"/>
        </w:rPr>
        <w:t xml:space="preserve">به ، بخلافه على الجزئية ؛ لأنّ المتيقّن من الإجماع على عبادية التيمّم عبادية ماهيته ، لا الأعمّ منها ومن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ارتكاز المتشرّعة عبادية الضرب أيضاً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بيان الثمرة أمران آخران</w:t>
      </w:r>
      <w:r>
        <w:rPr>
          <w:rStyle w:val="FootnoteAnchor"/>
          <w:rtl w:val="true"/>
        </w:rPr>
        <w:footnoteReference w:id="737"/>
      </w:r>
      <w:r>
        <w:rPr>
          <w:rFonts w:ascii="Amiri" w:hAnsi="Amiri" w:eastAsia="Amiri" w:cs="Amiri"/>
          <w:color w:val="111111"/>
          <w:sz w:val="28"/>
          <w:sz w:val="28"/>
          <w:szCs w:val="28"/>
          <w:rtl w:val="true"/>
          <w:lang w:bidi="ar-SA"/>
        </w:rPr>
        <w:t xml:space="preserve">، وهو غير سديد </w:t>
      </w:r>
      <w:r>
        <w:rPr>
          <w:rFonts w:eastAsia="Amiri" w:cs="Amiri" w:ascii="Amiri" w:hAnsi="Amiri"/>
          <w:color w:val="111111"/>
          <w:sz w:val="28"/>
          <w:szCs w:val="28"/>
          <w:rtl w:val="true"/>
          <w:lang w:bidi="ar-SA"/>
        </w:rPr>
        <w:t xml:space="preserve">. </w:t>
      </w:r>
      <w:bookmarkStart w:id="347" w:name="pg17116_198795"/>
    </w:p>
    <w:p>
      <w:pPr>
        <w:pStyle w:val="Heading5"/>
        <w:numPr>
          <w:ilvl w:val="4"/>
          <w:numId w:val="1"/>
        </w:numPr>
        <w:rPr/>
      </w:pPr>
      <w:bookmarkStart w:id="348" w:name="__RefHeading___Toc8646061_3381743652"/>
      <w:bookmarkStart w:id="349" w:name="_Toc122"/>
      <w:bookmarkEnd w:id="347"/>
      <w:bookmarkEnd w:id="348"/>
      <w:r>
        <w:rPr>
          <w:rtl w:val="true"/>
        </w:rPr>
        <w:t>الأمر السادس فيما هو المعتبر في الضرب</w:t>
      </w:r>
      <w:bookmarkEnd w:id="349"/>
    </w:p>
    <w:p>
      <w:pPr>
        <w:pStyle w:val="Heading6"/>
        <w:numPr>
          <w:ilvl w:val="5"/>
          <w:numId w:val="1"/>
        </w:numPr>
        <w:rPr/>
      </w:pPr>
      <w:bookmarkStart w:id="350" w:name="__RefHeading___Toc8646063_3381743652"/>
      <w:bookmarkStart w:id="351" w:name="_Toc12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اعتبار كون الضرب بكلتا اليدين</w:t>
      </w:r>
    </w:p>
    <w:p>
      <w:pPr>
        <w:pStyle w:val="BookText"/>
        <w:rPr/>
      </w:pPr>
      <w:r>
        <w:rPr>
          <w:rFonts w:ascii="Amiri" w:hAnsi="Amiri" w:eastAsia="Amiri" w:cs="Amiri"/>
          <w:color w:val="111111"/>
          <w:sz w:val="28"/>
          <w:sz w:val="28"/>
          <w:szCs w:val="28"/>
          <w:rtl w:val="true"/>
          <w:lang w:bidi="ar-SA"/>
        </w:rPr>
        <w:t xml:space="preserve">لا إشكال نصّاً </w:t>
      </w:r>
      <w:r>
        <w:rPr>
          <w:rStyle w:val="FootnoteAnchor"/>
          <w:rtl w:val="true"/>
        </w:rPr>
        <w:footnoteReference w:id="738"/>
      </w:r>
      <w:r>
        <w:rPr>
          <w:rFonts w:ascii="IRNazanin" w:hAnsi="IRNazanin" w:eastAsia="IRNazanin"/>
          <w:color w:val="111111"/>
          <w:sz w:val="28"/>
          <w:sz w:val="28"/>
          <w:szCs w:val="28"/>
          <w:rtl w:val="true"/>
          <w:lang w:bidi="fa-IR"/>
        </w:rPr>
        <w:t>وفتوى</w:t>
      </w:r>
      <w:r>
        <w:rPr>
          <w:rStyle w:val="FootnoteAnchor"/>
          <w:rtl w:val="true"/>
        </w:rPr>
        <w:footnoteReference w:id="739"/>
      </w:r>
      <w:r>
        <w:rPr>
          <w:rFonts w:ascii="Amiri" w:hAnsi="Amiri" w:eastAsia="Amiri" w:cs="Amiri"/>
          <w:color w:val="111111"/>
          <w:sz w:val="28"/>
          <w:sz w:val="28"/>
          <w:szCs w:val="28"/>
          <w:rtl w:val="true"/>
          <w:lang w:bidi="ar-SA"/>
        </w:rPr>
        <w:t xml:space="preserve">في اعتبار كون الضرب بكلتا يديه ، فلو ضرب بإحداهما بطل ، بل يمكن استفادته من الكتاب العزيز ، فضلاً عن الأخبار الناصّة عليه </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8646065_3381743652"/>
      <w:bookmarkStart w:id="353" w:name="_Toc124"/>
      <w:bookmarkEnd w:id="352"/>
      <w:r>
        <w:rPr>
          <w:rtl w:val="true"/>
        </w:rPr>
        <w:t>عدم اعتبار الدفعة في الضرب</w:t>
      </w:r>
      <w:bookmarkEnd w:id="353"/>
    </w:p>
    <w:p>
      <w:pPr>
        <w:pStyle w:val="BookText"/>
        <w:rPr/>
      </w:pPr>
      <w:r>
        <w:rPr>
          <w:rFonts w:ascii="Amiri" w:hAnsi="Amiri" w:eastAsia="Amiri" w:cs="Amiri"/>
          <w:color w:val="111111"/>
          <w:sz w:val="28"/>
          <w:sz w:val="28"/>
          <w:szCs w:val="28"/>
          <w:rtl w:val="true"/>
          <w:lang w:bidi="ar-SA"/>
        </w:rPr>
        <w:t>وأمّا اعتبار الدفعة فغير ظاهر ، بل مقتضى إطلاق الأدلّة عدم اعتبارها ؛ أمّا</w:t>
      </w:r>
    </w:p>
    <w:p>
      <w:pPr>
        <w:pStyle w:val="BookText"/>
        <w:rPr/>
      </w:pPr>
      <w:r>
        <w:rPr>
          <w:rFonts w:ascii="Amiri" w:hAnsi="Amiri" w:eastAsia="Amiri" w:cs="Amiri"/>
          <w:color w:val="111111"/>
          <w:sz w:val="28"/>
          <w:sz w:val="28"/>
          <w:szCs w:val="28"/>
          <w:rtl w:val="true"/>
          <w:lang w:bidi="ar-SA"/>
        </w:rPr>
        <w:t xml:space="preserve">إطلاق الكتاب فظاهر ، وأمّا الأخبار فلأنّ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ليس إلاّ اعتبار الضرب بهما ؛ وأ نّه تمام الموضوع للحكم ، وأمّا الدفعة فأمر آخر غير ضربهما لا بدّ في اعتباره من بيان وتقييد مفقود في المقام ، فمقتضى إطلاق مثله هو عدم الاعتبار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741"/>
      </w:r>
      <w:r>
        <w:rPr>
          <w:rFonts w:ascii="Amiri" w:hAnsi="Amiri" w:eastAsia="Amiri" w:cs="Amiri"/>
          <w:color w:val="111111"/>
          <w:sz w:val="28"/>
          <w:sz w:val="28"/>
          <w:szCs w:val="28"/>
          <w:rtl w:val="true"/>
          <w:lang w:bidi="ar-SA"/>
        </w:rPr>
        <w:t xml:space="preserve">دلالة الأدلّة عليه انصرافاً أو إشعار كلّ واحد من الأخبار ، وبعد ضمّ </w:t>
      </w:r>
      <w:bookmarkStart w:id="354" w:name="pg17116_198796"/>
    </w:p>
    <w:p>
      <w:pPr>
        <w:pStyle w:val="BookText"/>
        <w:rPr/>
      </w:pPr>
      <w:bookmarkEnd w:id="354"/>
      <w:r>
        <w:rPr>
          <w:rFonts w:ascii="Amiri" w:hAnsi="Amiri" w:eastAsia="Amiri" w:cs="Amiri"/>
          <w:color w:val="111111"/>
          <w:sz w:val="28"/>
          <w:sz w:val="28"/>
          <w:szCs w:val="28"/>
          <w:rtl w:val="true"/>
          <w:lang w:bidi="ar-SA"/>
        </w:rPr>
        <w:t xml:space="preserve">بعضها إلى بعض يستفاد الحكم ، غير 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يكون العمل الخارجي المتعارف بين الناس ، موجباً لتوهّم الانصراف ، لكنّه غير الانصراف في نفس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ظاهر الأدلّة ومقتضى إطلاقها مشكل ؛ وإن كان ترك الاحتياط والبناء على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 آخر </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8646067_3381743652"/>
      <w:bookmarkStart w:id="356" w:name="_Toc125"/>
      <w:bookmarkEnd w:id="355"/>
      <w:r>
        <w:rPr>
          <w:rtl w:val="true"/>
        </w:rPr>
        <w:t>اعتبار الضرب بباطن الكفّين</w:t>
      </w:r>
      <w:bookmarkEnd w:id="356"/>
    </w:p>
    <w:p>
      <w:pPr>
        <w:pStyle w:val="BookText"/>
        <w:rPr/>
      </w:pPr>
      <w:r>
        <w:rPr>
          <w:rFonts w:ascii="Amiri" w:hAnsi="Amiri" w:eastAsia="Amiri" w:cs="Amiri"/>
          <w:color w:val="111111"/>
          <w:sz w:val="28"/>
          <w:sz w:val="28"/>
          <w:szCs w:val="28"/>
          <w:rtl w:val="true"/>
          <w:lang w:bidi="ar-SA"/>
        </w:rPr>
        <w:t xml:space="preserve">ثمّ إنّه لا ريب في أنّ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ضرب</w:t>
      </w:r>
    </w:p>
    <w:p>
      <w:pPr>
        <w:pStyle w:val="BookText"/>
        <w:rPr/>
      </w:pPr>
      <w:r>
        <w:rPr>
          <w:rFonts w:ascii="Amiri" w:hAnsi="Amiri" w:eastAsia="Amiri" w:cs="Amiri"/>
          <w:color w:val="111111"/>
          <w:sz w:val="28"/>
          <w:sz w:val="28"/>
          <w:szCs w:val="28"/>
          <w:rtl w:val="true"/>
          <w:lang w:bidi="ar-SA"/>
        </w:rPr>
        <w:t xml:space="preserve">باطن الكفّين ، خصوصاً بعد ارتكازية مخالفة الماسح والممسوح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يستدلّ عليه بعدها بمثل موثّقة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كفّيه كلّ واحدة على ظهر الاُخرى</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يديه على الأرض ، ثمّ رفعهما ، فمسح وجهه ويديه فوق الكفّ</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بعد كونه في مقام بيان كيفية التيمّم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إلغاء الخصوصية بعد ما عرفت من اعتبار الأدلّة الخاصّة فيه ، بل اللازم مراعاة جميع ما يتفاهم من التيمّمات البيانية وغيرها المحتملة دخالتها ، بعد كونها في مقام بيان كيفية التيمّم وما يعتبر فيه </w:t>
      </w:r>
      <w:r>
        <w:rPr>
          <w:rFonts w:eastAsia="Amiri" w:cs="Amiri" w:ascii="Amiri" w:hAnsi="Amiri"/>
          <w:color w:val="111111"/>
          <w:sz w:val="28"/>
          <w:szCs w:val="28"/>
          <w:rtl w:val="true"/>
          <w:lang w:bidi="ar-SA"/>
        </w:rPr>
        <w:t xml:space="preserve">. </w:t>
      </w:r>
      <w:bookmarkStart w:id="357" w:name="pg17116_198797"/>
    </w:p>
    <w:p>
      <w:pPr>
        <w:pStyle w:val="Heading6"/>
        <w:numPr>
          <w:ilvl w:val="5"/>
          <w:numId w:val="1"/>
        </w:numPr>
        <w:rPr/>
      </w:pPr>
      <w:bookmarkStart w:id="358" w:name="__RefHeading___Toc8646069_3381743652"/>
      <w:bookmarkStart w:id="359" w:name="_Toc126"/>
      <w:bookmarkEnd w:id="357"/>
      <w:bookmarkEnd w:id="358"/>
      <w:r>
        <w:rPr>
          <w:rtl w:val="true"/>
        </w:rPr>
        <w:t>عدم اعتبار اتّصال المتيمّم به بالأرض</w:t>
      </w:r>
      <w:bookmarkEnd w:id="359"/>
    </w:p>
    <w:p>
      <w:pPr>
        <w:pStyle w:val="BookText"/>
        <w:rPr/>
      </w:pPr>
      <w:r>
        <w:rPr>
          <w:rFonts w:ascii="Amiri" w:hAnsi="Amiri" w:eastAsia="Amiri" w:cs="Amiri"/>
          <w:color w:val="111111"/>
          <w:sz w:val="28"/>
          <w:sz w:val="28"/>
          <w:szCs w:val="28"/>
          <w:rtl w:val="true"/>
          <w:lang w:bidi="ar-SA"/>
        </w:rPr>
        <w:t xml:space="preserve">كما لا ريب في جواز التيمّم بالتراب ونحوه وإن لم يكن متّصلاً بالأرض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القطعية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وما دلّ على جواز التيمّم بالجصّ والنورة الصادق كلّ منهما على المنفصل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عرفاً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هو دخيل فيه هو محلّ الضرب ووقوع اليد ، وأمّا سائر أجزاء الأرض التي لا تقع اليد عليها ، فلا دخالة لها في المسح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فيه ، فلا إشكال في أصل الحكم ، بعد كون التراب أحد الطهورين ، وقطعية عدم الفصل بينه وبين الحجر وغيره </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8646071_3381743652"/>
      <w:bookmarkStart w:id="361" w:name="_Toc127"/>
      <w:bookmarkEnd w:id="360"/>
      <w:r>
        <w:rPr>
          <w:rtl w:val="true"/>
        </w:rPr>
        <w:t>اعتبار كون الضرب بجميع الباطن وكفاية الضرب بالكفّ الناقصة</w:t>
      </w:r>
      <w:bookmarkEnd w:id="361"/>
    </w:p>
    <w:p>
      <w:pPr>
        <w:pStyle w:val="BookText"/>
        <w:rPr/>
      </w:pPr>
      <w:r>
        <w:rPr>
          <w:rFonts w:ascii="Amiri" w:hAnsi="Amiri" w:eastAsia="Amiri" w:cs="Amiri"/>
          <w:color w:val="111111"/>
          <w:sz w:val="28"/>
          <w:sz w:val="28"/>
          <w:szCs w:val="28"/>
          <w:rtl w:val="true"/>
          <w:lang w:bidi="ar-SA"/>
        </w:rPr>
        <w:t xml:space="preserve">ثمّ إنّ المعتبر فيه ضرب مجموع باطن الكفّين ؛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 ظاهراً ، وبعضه جزء له ، لا كفّ على الإطلاق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ناقصة يكفي الضرب بها ، ولا يسقط التيمّم بلا إشكال ؛ لقاعدة الميسور ، وضرورية عدم سقوط الصلاة ، بل لا يبعد فهمه من نفس الخطابات المتوجّهة إلى المكلّفين ، كما ذكرناه في الوضوء</w:t>
      </w:r>
      <w:r>
        <w:rPr>
          <w:rStyle w:val="FootnoteAnchor"/>
          <w:rtl w:val="true"/>
        </w:rPr>
        <w:footnoteReference w:id="745"/>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مخصوصاً بمن كان وجهه </w:t>
      </w:r>
      <w:bookmarkStart w:id="362" w:name="pg17116_198798"/>
    </w:p>
    <w:p>
      <w:pPr>
        <w:pStyle w:val="BookText"/>
        <w:rPr/>
      </w:pPr>
      <w:bookmarkEnd w:id="362"/>
      <w:r>
        <w:rPr>
          <w:rFonts w:ascii="Amiri" w:hAnsi="Amiri" w:eastAsia="Amiri" w:cs="Amiri"/>
          <w:color w:val="111111"/>
          <w:sz w:val="28"/>
          <w:sz w:val="28"/>
          <w:szCs w:val="28"/>
          <w:rtl w:val="true"/>
          <w:lang w:bidi="ar-SA"/>
        </w:rPr>
        <w:t xml:space="preserve">ويده سليمين ، فمن قطعت يده من الأصابع ، وسمع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p>
    <w:p>
      <w:pPr>
        <w:pStyle w:val="BookText"/>
        <w:rPr/>
      </w:pPr>
      <w:r>
        <w:rPr>
          <w:rFonts w:ascii="Amiri" w:hAnsi="Amiri" w:eastAsia="Amiri" w:cs="Amiri"/>
          <w:color w:val="111111"/>
          <w:sz w:val="28"/>
          <w:sz w:val="28"/>
          <w:szCs w:val="28"/>
          <w:rtl w:val="true"/>
          <w:lang w:bidi="ar-SA"/>
        </w:rPr>
        <w:t>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لزوم غسل يده الناقصة إلى المرفق ، ولا ينقدح في ذهنه توجّه الخطاب إلى السالمين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القطع من المرفق يكون خارجاً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أيضاً يرى العرف دخول مقطوع الإصبع تحت الخطاب ولو قلنا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للمجموع ؛ وذلك لمناسبات مغروسة في الأذهان ، كما هو كذلك في الخطابات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صادقة على الكلّ</w:t>
      </w:r>
    </w:p>
    <w:p>
      <w:pPr>
        <w:pStyle w:val="BookText"/>
        <w:rPr/>
      </w:pPr>
      <w:r>
        <w:rPr>
          <w:rFonts w:ascii="Amiri" w:hAnsi="Amiri" w:eastAsia="Amiri" w:cs="Amiri"/>
          <w:color w:val="111111"/>
          <w:sz w:val="28"/>
          <w:sz w:val="28"/>
          <w:szCs w:val="28"/>
          <w:rtl w:val="true"/>
          <w:lang w:bidi="ar-SA"/>
        </w:rPr>
        <w:t xml:space="preserve">والبعض ، لكن ينصرف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ضرب جميعهما ، وهو يتمّ مع سلامة الكفّ ، ومع نقصها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ضرب كفّيه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فلا إشكال في عدم سقوط التيمّم والصلاة مع نقصان الكفّ </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8646073_3381743652"/>
      <w:bookmarkStart w:id="364" w:name="_Toc128"/>
      <w:bookmarkEnd w:id="363"/>
      <w:r>
        <w:rPr>
          <w:rtl w:val="true"/>
        </w:rPr>
        <w:t>حكم من قطعت كفّاه من الزند</w:t>
      </w:r>
      <w:bookmarkEnd w:id="364"/>
    </w:p>
    <w:p>
      <w:pPr>
        <w:pStyle w:val="BookText"/>
        <w:rPr/>
      </w:pPr>
      <w:r>
        <w:rPr>
          <w:rFonts w:ascii="Amiri" w:hAnsi="Amiri" w:eastAsia="Amiri" w:cs="Amiri"/>
          <w:color w:val="111111"/>
          <w:sz w:val="28"/>
          <w:sz w:val="28"/>
          <w:szCs w:val="28"/>
          <w:rtl w:val="true"/>
          <w:lang w:bidi="ar-SA"/>
        </w:rPr>
        <w:t xml:space="preserve">وأمّا لو قطعت كفّاه من الزَنْد ، فقد يقال بلزوم مسح الوجه بالذراعين ، ومسح ظاهر كلٍّ بباطن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بالنسبة إلى مسح الوجه غير بعيد وإن لا يخلو من شبهة ، لكن بالنسبة إلى ظاهر كلٍّ بباطن الاُخرى وقيامِهما مقامَ الكفّ ، بعيد لعدم شمول الخطابات له ، وهو واضح ، وعدم كون مسح الذراعين ميسورَ مسحِ الكفّين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حاول أحد تعميم قاعدة الميسور لمثل ذلك ، لصحّ له أن يلتزم بلزوم مسح الرجل أو سائر الجسد بدل اليد إذا قطعت يداه من الأصل ؛ لأنّ المسح </w:t>
      </w:r>
      <w:bookmarkStart w:id="365" w:name="pg17116_198799"/>
    </w:p>
    <w:p>
      <w:pPr>
        <w:pStyle w:val="BookText"/>
        <w:rPr/>
      </w:pPr>
      <w:bookmarkEnd w:id="365"/>
      <w:r>
        <w:rPr>
          <w:rFonts w:ascii="Amiri" w:hAnsi="Amiri" w:eastAsia="Amiri" w:cs="Amiri"/>
          <w:color w:val="111111"/>
          <w:sz w:val="28"/>
          <w:sz w:val="28"/>
          <w:szCs w:val="28"/>
          <w:rtl w:val="true"/>
          <w:lang w:bidi="ar-SA"/>
        </w:rPr>
        <w:t xml:space="preserve">بظاهر الكفّ ينحلّ إلى المسح ، وكونه بظاهر الكفّ ، وكونه بالكفّ ، وكونه بالجسد ، فمع تعسّر كلّ مرتبة يجب قيام الاُخرى مقامها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الذراعان مع الكفّ إلاّ كأجنبيّ في باب التيمّم ، وليس المسح عليهما ميسورَ مسحِ الكفّين ، والانحلال العقلي غير معوّل عليه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لزوم مسح الجبهة فقط ممّن لم يكن 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ميسورَ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لازم على أيّ 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بُعد عدم تكليف مثله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المدّعي للقطع بعدم ترك مثله سُدى بمجازف </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8646075_3381743652"/>
      <w:bookmarkStart w:id="367" w:name="_Toc129"/>
      <w:bookmarkEnd w:id="366"/>
      <w:r>
        <w:rPr>
          <w:rtl w:val="true"/>
        </w:rPr>
        <w:t>حكم تعذّر الضرب بباطن الكفّين</w:t>
      </w:r>
      <w:bookmarkEnd w:id="367"/>
    </w:p>
    <w:p>
      <w:pPr>
        <w:pStyle w:val="BookText"/>
        <w:rPr/>
      </w:pPr>
      <w:r>
        <w:rPr>
          <w:rFonts w:ascii="Amiri" w:hAnsi="Amiri" w:eastAsia="Amiri" w:cs="Amiri"/>
          <w:color w:val="111111"/>
          <w:sz w:val="28"/>
          <w:sz w:val="28"/>
          <w:szCs w:val="28"/>
          <w:rtl w:val="true"/>
          <w:lang w:bidi="ar-SA"/>
        </w:rPr>
        <w:t xml:space="preserve">ثمّ لو تعذّر الضرب بباطن الكفّين ، هل يقوم ظاهرهما مقامه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ميسوره وأقرب من غيره ، أو يقوم باطن الذراعين مقامه ، فيضرب بباطنهما ، ويمسح بهما الوجه وظاهر الكفّين ، أو يتخيّر بينهما ، أو يجب الجمع ؛ للعلم الإجمالي بحصول التيمّم الواجب بإحدى الكيفيتين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 لا يبعد ترجيح الثاني ؛ لأنّ أصل اعتبار كون الماسح هو اليد والكفّين ، غير مستفاد من الأدلّة اللفظية كما مرّ ، وإنّما قلنا باعتباره للسيرة والإجماع</w:t>
      </w:r>
      <w:r>
        <w:rPr>
          <w:rStyle w:val="FootnoteAnchor"/>
          <w:rtl w:val="true"/>
        </w:rPr>
        <w:footnoteReference w:id="746"/>
      </w:r>
      <w:r>
        <w:rPr>
          <w:rFonts w:ascii="Amiri" w:hAnsi="Amiri" w:eastAsia="Amiri" w:cs="Amiri"/>
          <w:color w:val="111111"/>
          <w:sz w:val="28"/>
          <w:sz w:val="28"/>
          <w:szCs w:val="28"/>
          <w:rtl w:val="true"/>
          <w:lang w:bidi="ar-SA"/>
        </w:rPr>
        <w:t xml:space="preserve">، والمتيقّن منهما اعتباره حال عدم التعذّر وفي صورة الاختيار ، وأمّا مع التعذّر فالأصل وإن اقتضى عدم اعتبار إحدى الخصوصيتين ، لكن المتفاهم من الأدلّة </w:t>
      </w:r>
      <w:bookmarkStart w:id="368" w:name="pg17116_198800"/>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مرّت الإشارة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الماسح للممسوح ؛ وأنّ آلة المسح موصلة لأثر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أثراً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لم يلمس الأرض ، ومع القول بالانتقال إلى الظاهر ، لا بدّ من رفع اليد عن هذا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التيمّم حال الاختيار ، كونُ المسح بباطن الكفّ ، ومغايرةُ الآلة للممسوح ، وفي حال التعذّر يرفع اليد عن الباطن ، وتحفظ المغايرة مع حفظ آلية اليد ، فيرجّح الذراع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ذكرناه لا يساعد عليه كلمات القوم ممّن تعرّض للمسألة</w:t>
      </w:r>
      <w:r>
        <w:rPr>
          <w:rStyle w:val="FootnoteAnchor"/>
          <w:rtl w:val="true"/>
        </w:rPr>
        <w:footnoteReference w:id="747"/>
      </w:r>
      <w:r>
        <w:rPr>
          <w:rFonts w:ascii="Amiri" w:hAnsi="Amiri" w:eastAsia="Amiri" w:cs="Amiri"/>
          <w:color w:val="111111"/>
          <w:sz w:val="28"/>
          <w:sz w:val="28"/>
          <w:szCs w:val="28"/>
          <w:rtl w:val="true"/>
          <w:lang w:bidi="ar-SA"/>
        </w:rPr>
        <w:t xml:space="preserve">، والاحتياط بالجمع لا ينبغي تركه </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8646077_3381743652"/>
      <w:bookmarkStart w:id="370" w:name="_Toc130"/>
      <w:bookmarkEnd w:id="369"/>
      <w:r>
        <w:rPr>
          <w:rtl w:val="true"/>
        </w:rPr>
        <w:t>حكم نجاسة الباطن</w:t>
      </w:r>
      <w:bookmarkEnd w:id="370"/>
    </w:p>
    <w:p>
      <w:pPr>
        <w:pStyle w:val="BookText"/>
        <w:rPr/>
      </w:pPr>
      <w:r>
        <w:rPr>
          <w:rFonts w:ascii="Amiri" w:hAnsi="Amiri" w:eastAsia="Amiri" w:cs="Amiri"/>
          <w:color w:val="111111"/>
          <w:sz w:val="28"/>
          <w:sz w:val="28"/>
          <w:szCs w:val="28"/>
          <w:rtl w:val="true"/>
          <w:lang w:bidi="ar-SA"/>
        </w:rPr>
        <w:t xml:space="preserve">ثمّ إنّه مع نجاسة الباطن ؛ إمّا أن تكون سارية إلى الأرض لو تيمّم ، أو إلى الممسوح دون الأرض ، كما لو جرح العضو بعد الضرب ، أو لم تكن سارية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اعتبار طهارة الصعيد عند ضرب اليد عليه ، فإذا صار قذراً بالضرب لا يضرّ بالتيمّم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صحيحة زرارة</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طهارته </w:t>
      </w:r>
    </w:p>
    <w:p>
      <w:pPr>
        <w:pStyle w:val="BookText"/>
        <w:rPr/>
      </w:pPr>
      <w:r>
        <w:rPr>
          <w:rFonts w:ascii="Amiri" w:hAnsi="Amiri" w:eastAsia="Amiri" w:cs="Amiri"/>
          <w:color w:val="111111"/>
          <w:sz w:val="28"/>
          <w:sz w:val="28"/>
          <w:szCs w:val="28"/>
          <w:rtl w:val="true"/>
          <w:lang w:bidi="ar-SA"/>
        </w:rPr>
        <w:t xml:space="preserve">عند رفع اليد منه أيضاً ؛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هي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مبتدئاً من الصعيد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بناءً على رجوع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صحيحة زرارة المفسّرة</w:t>
      </w:r>
    </w:p>
    <w:p>
      <w:pPr>
        <w:pStyle w:val="BookText"/>
        <w:rPr/>
      </w:pP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استفادة ما ذكر منها ، كما تقدّم بعض الكلام فيها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الضرب الواقع على الصعيد الطيّب ، ومع قذارته بالضرب يخرج عن ذلك العنوان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اعتبار طهارة الأرض التي يمسح منها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اعتبار طهارة المحالّ الممسوحة إذا فرض سراية نجاسة الكفّ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الكريمة وصحيحة زرارة المتقدّمة بالتقريب المتقدّم ؛ مستمدّاً بارتكاز العرف في اعتبار كلّ ما يعتبر في الوضوء والغسل جميعاً في التيمّم ، فراجع</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 عدم سرايتها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المحلّ 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الانتقال إلى الظاهر ، بل ينتقل إلى الذراعين ، كما مرّ الكلام فيه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حفظ الذات أولى من حفظ الوصف ، فمع الانتقال إلى غير باطن الكفّ ، ترك الأصل والذات حفظاً للوصف ، بخلاف المسح بالباطن النجس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الاُمور الاعتبارية والترجيحات الظنّية ، غير معوّل عليها </w:t>
      </w:r>
    </w:p>
    <w:p>
      <w:pPr>
        <w:pStyle w:val="BookText"/>
        <w:rPr/>
      </w:pPr>
      <w:r>
        <w:rPr>
          <w:rFonts w:ascii="Amiri" w:hAnsi="Amiri" w:eastAsia="Amiri" w:cs="Amiri"/>
          <w:color w:val="111111"/>
          <w:sz w:val="28"/>
          <w:sz w:val="28"/>
          <w:szCs w:val="28"/>
          <w:rtl w:val="true"/>
          <w:lang w:bidi="ar-SA"/>
        </w:rPr>
        <w:t xml:space="preserve">في الأحكام التعبّدية البعيدة عن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Style w:val="FootnoteAnchor"/>
          <w:rtl w:val="true"/>
        </w:rPr>
        <w:footnoteReference w:id="754"/>
      </w:r>
      <w:r>
        <w:rPr>
          <w:rFonts w:ascii="Amiri" w:hAnsi="Amiri" w:eastAsia="Amiri" w:cs="Amiri"/>
          <w:color w:val="111111"/>
          <w:sz w:val="28"/>
          <w:sz w:val="28"/>
          <w:szCs w:val="28"/>
          <w:rtl w:val="true"/>
          <w:lang w:bidi="ar-SA"/>
        </w:rPr>
        <w:t xml:space="preserve">من أنّ اعتبار باطن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آلية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مستفاد من الأدلّة لولا الإجماع والسيرة المفقودان في مثل المقام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والاحتياط في جميع صور الدوران لا ينبغي أن يترك ؛ وإن كانت البراءة في كثير من الموارد محكّمة ؛ بناءً على جريانها في الطهارات الثلاث ، كما هو الأقوى </w:t>
      </w:r>
      <w:r>
        <w:rPr>
          <w:rFonts w:eastAsia="Amiri" w:cs="Amiri" w:ascii="Amiri" w:hAnsi="Amiri"/>
          <w:color w:val="111111"/>
          <w:sz w:val="28"/>
          <w:szCs w:val="28"/>
          <w:rtl w:val="true"/>
          <w:lang w:bidi="ar-SA"/>
        </w:rPr>
        <w:t xml:space="preserve">. </w:t>
      </w:r>
      <w:bookmarkStart w:id="371" w:name="pg17116_198803"/>
    </w:p>
    <w:p>
      <w:pPr>
        <w:pStyle w:val="Heading5"/>
        <w:numPr>
          <w:ilvl w:val="4"/>
          <w:numId w:val="1"/>
        </w:numPr>
        <w:rPr/>
      </w:pPr>
      <w:bookmarkStart w:id="372" w:name="__RefHeading___Toc8646079_3381743652"/>
      <w:bookmarkStart w:id="373" w:name="_Toc131"/>
      <w:bookmarkEnd w:id="371"/>
      <w:bookmarkEnd w:id="372"/>
      <w:r>
        <w:rPr>
          <w:rtl w:val="true"/>
        </w:rPr>
        <w:t>الأمر السابع هل يعتبر في التيمّم العلوق ممّا ضرب عليه ؟</w:t>
      </w:r>
      <w:bookmarkEnd w:id="373"/>
    </w:p>
    <w:p>
      <w:pPr>
        <w:pStyle w:val="Heading6"/>
        <w:numPr>
          <w:ilvl w:val="5"/>
          <w:numId w:val="1"/>
        </w:numPr>
        <w:rPr/>
      </w:pPr>
      <w:bookmarkStart w:id="374" w:name="__RefHeading___Toc8646081_3381743652"/>
      <w:bookmarkStart w:id="375" w:name="_Toc132"/>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والكلام فيه يقع في موارد </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8646083_3381743652"/>
      <w:bookmarkStart w:id="377" w:name="_Toc133"/>
      <w:bookmarkEnd w:id="376"/>
      <w:r>
        <w:rPr>
          <w:rtl w:val="true"/>
        </w:rPr>
        <w:t>عدم لزوم مسح المواضع بالتراب ونحوه</w:t>
      </w:r>
      <w:bookmarkEnd w:id="37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العلوق بمعنى لزوم مسح المواضع بالتراب ونحوه ، ولا إشكال ولا كلام عندنا في عدم اعتباره ، وهو الذي ادّعي الإجماع عليه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استعمال التراب عند علمائنا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وحكي الإجماع عن غيره أيضاً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خلاف بعض المتأخّرين</w:t>
      </w:r>
      <w:r>
        <w:rPr>
          <w:rStyle w:val="FootnoteAnchor"/>
          <w:rtl w:val="true"/>
        </w:rPr>
        <w:footnoteReference w:id="757"/>
      </w:r>
      <w:r>
        <w:rPr>
          <w:rFonts w:ascii="Amiri" w:hAnsi="Amiri" w:eastAsia="Amiri" w:cs="Amiri"/>
          <w:color w:val="111111"/>
          <w:sz w:val="28"/>
          <w:sz w:val="28"/>
          <w:szCs w:val="28"/>
          <w:rtl w:val="true"/>
          <w:lang w:bidi="ar-SA"/>
        </w:rPr>
        <w:t xml:space="preserve">ليس في ذلك ، كما يظهر من استدلالاتهم ، خصوصاً جوابهم عن الروايات الدالّة على النفض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المنافاة بينه وبين لزوم العلوق ؛ لبقاء الأجزاء الصغيرة الغبارية بعد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أنّ مرادَهم بلزوم العلوق ، لزومُ بقاء أثر التراب الذي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w:t>
      </w:r>
      <w:bookmarkStart w:id="378" w:name="pg17116_198804"/>
    </w:p>
    <w:p>
      <w:pPr>
        <w:pStyle w:val="BookText"/>
        <w:rPr/>
      </w:pPr>
      <w:bookmarkEnd w:id="378"/>
      <w:r>
        <w:rPr>
          <w:rFonts w:ascii="IRNazanin" w:hAnsi="IRNazanin" w:eastAsia="IRNazanin"/>
          <w:color w:val="111111"/>
          <w:sz w:val="28"/>
          <w:sz w:val="28"/>
          <w:szCs w:val="28"/>
          <w:rtl w:val="true"/>
          <w:lang w:bidi="fa-IR"/>
        </w:rPr>
        <w:t>استحباب النفض أو جوازه</w:t>
      </w:r>
      <w:r>
        <w:rPr>
          <w:rStyle w:val="FootnoteAnchor"/>
          <w:rtl w:val="true"/>
        </w:rPr>
        <w:footnoteReference w:id="758"/>
      </w:r>
      <w:r>
        <w:rPr>
          <w:rFonts w:ascii="Amiri" w:hAnsi="Amiri" w:eastAsia="Amiri" w:cs="Amiri"/>
          <w:color w:val="111111"/>
          <w:sz w:val="28"/>
          <w:sz w:val="28"/>
          <w:szCs w:val="28"/>
          <w:rtl w:val="true"/>
          <w:lang w:bidi="ar-SA"/>
        </w:rPr>
        <w:t xml:space="preserve">؛ ضرورة أ نّه بعده لا يبقى من نفس الصعيد والأرض على اليد شيء ، وما بقي عليها أحياناً هو أثرهما الذي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والآيةُ الكريمة بعد البناء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بشهادة صحيحة زرارة</w:t>
      </w:r>
      <w:r>
        <w:rPr>
          <w:rStyle w:val="FootnoteAnchor"/>
          <w:rtl w:val="true"/>
        </w:rPr>
        <w:footnoteReference w:id="759"/>
      </w:r>
      <w:r>
        <w:rPr>
          <w:rFonts w:ascii="Amiri" w:hAnsi="Amiri" w:eastAsia="Amiri" w:cs="Amiri"/>
          <w:color w:val="111111"/>
          <w:sz w:val="28"/>
          <w:sz w:val="28"/>
          <w:szCs w:val="28"/>
          <w:rtl w:val="true"/>
          <w:lang w:bidi="ar-SA"/>
        </w:rPr>
        <w:t xml:space="preserve">التي دلّت على رجوع الضمير المجرور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الأخبار المتقدّمة</w:t>
      </w:r>
      <w:r>
        <w:rPr>
          <w:rStyle w:val="FootnoteAnchor"/>
          <w:rtl w:val="true"/>
        </w:rPr>
        <w:footnoteReference w:id="760"/>
      </w:r>
      <w:r>
        <w:rPr>
          <w:rFonts w:ascii="Amiri" w:hAnsi="Amiri" w:eastAsia="Amiri" w:cs="Amiri"/>
          <w:color w:val="111111"/>
          <w:sz w:val="28"/>
          <w:sz w:val="28"/>
          <w:szCs w:val="28"/>
          <w:rtl w:val="true"/>
          <w:lang w:bidi="ar-SA"/>
        </w:rPr>
        <w:t xml:space="preserve">؛ ضرورة أ نّه لو كان الجارّ للتبعيض والمجرور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وجوب حمل الصعيد إلى الوجه والكفّين ، مع أ نّه بعد النفض لا يبقى بعض الأرض على اليد للوجه ، فضلاً عن الكفّين ، فإذا لم تكن تبعيضية فلا محالة تكون ابتدائية ؛ لضعف الاحتمالات الاُخر ، فتدلّ على أنّ المعتبر في التيمّم ، أن يكون المسح مبتدئاً من الأرض لا بالأرض ، فتدلّ على عدم اعتبار العلوق بالمعنى المتقدّم ، ولا بغيره كما يأتي ، فلا ينبغي الإشكال في عدم اعتباره بهذا المعنى </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8646085_3381743652"/>
      <w:bookmarkStart w:id="380" w:name="_Toc134"/>
      <w:bookmarkEnd w:id="379"/>
      <w:r>
        <w:rPr>
          <w:rtl w:val="true"/>
        </w:rPr>
        <w:t>عدم لزوم أن يعلق على اليد من أجزاء الأرض</w:t>
      </w:r>
      <w:bookmarkEnd w:id="38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بمعنى لزوم أن يعلق على اليد من أجزاء الأرض ولو سقطت بالنفض ، بل ولو لم يبقَ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الإشكال في عدم اعتباره أيضاً ، بل هو </w:t>
      </w:r>
    </w:p>
    <w:p>
      <w:pPr>
        <w:pStyle w:val="BookText"/>
        <w:rPr/>
      </w:pPr>
      <w:r>
        <w:rPr>
          <w:rFonts w:ascii="Amiri" w:hAnsi="Amiri" w:eastAsia="Amiri" w:cs="Amiri"/>
          <w:color w:val="111111"/>
          <w:sz w:val="28"/>
          <w:sz w:val="28"/>
          <w:szCs w:val="28"/>
          <w:rtl w:val="true"/>
          <w:lang w:bidi="ar-SA"/>
        </w:rPr>
        <w:t xml:space="preserve">أضعف من سابقه ؛ لإمكان التمسّك له بالآية والصحيحة المتقدّمة ؛ بتوهّم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وبارتكازية بدلية التراب للماء ، وإن ظهر ضعفهما ممّا تقدّم حتّى الثاني ، فإنّ الارتكاز لا يقاوم الأدلّة كتاباً 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اعتبار العلوق وكونه واجباً مستقلاًّ ، لا للتمسّح به على الأعضاء ، فهو خلاف الآية والروايات جميعاً ؛ فإنّ الظاهر منها عدم استقلاليته ، بل لو كان معتبراً فلأجل المسح على الأعضاء ، والروايات المشتملة على النفض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النفض لعدم الاحتياج إلى ما يعلق من الصعيد على اليد لمسحها ، ولا إشعار فيها بلزوم العلوق استقلالاً من غير لزوم المسح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ترى أنّ الروايات المشتملة على الوضع خالية عن ذكر النفض</w:t>
      </w:r>
      <w:r>
        <w:rPr>
          <w:rStyle w:val="FootnoteAnchor"/>
          <w:rtl w:val="true"/>
        </w:rPr>
        <w:footnoteReference w:id="761"/>
      </w:r>
      <w:r>
        <w:rPr>
          <w:rFonts w:ascii="Amiri" w:hAnsi="Amiri" w:eastAsia="Amiri" w:cs="Amiri"/>
          <w:color w:val="111111"/>
          <w:sz w:val="28"/>
          <w:sz w:val="28"/>
          <w:szCs w:val="28"/>
          <w:rtl w:val="true"/>
          <w:lang w:bidi="ar-SA"/>
        </w:rPr>
        <w:t>، بخلاف ما تشتمل على الضرب ، فإنّها مشتملة عليه</w:t>
      </w:r>
      <w:r>
        <w:rPr>
          <w:rStyle w:val="FootnoteAnchor"/>
          <w:rtl w:val="true"/>
        </w:rPr>
        <w:footnoteReference w:id="762"/>
      </w:r>
      <w:r>
        <w:rPr>
          <w:rFonts w:ascii="Amiri" w:hAnsi="Amiri" w:eastAsia="Amiri" w:cs="Amiri"/>
          <w:color w:val="111111"/>
          <w:sz w:val="28"/>
          <w:sz w:val="28"/>
          <w:szCs w:val="28"/>
          <w:rtl w:val="true"/>
          <w:lang w:bidi="ar-SA"/>
        </w:rPr>
        <w:t xml:space="preserve">إلاّ نادراً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الوجه فيه هو تحقّق العلوق بالضرب دون الوضع ، خصوصاً في أراضي الحجاز الغالب عليها الرمل والأحجار الصغار التي تلصق باليد مع الضرب ، دون الوضع بلا اعتماد ولا قوّة ولا مكث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العلوق بهذا المعنى أيضاً واضح </w:t>
      </w:r>
      <w:r>
        <w:rPr>
          <w:rFonts w:eastAsia="Amiri" w:cs="Amiri" w:ascii="Amiri" w:hAnsi="Amiri"/>
          <w:color w:val="111111"/>
          <w:sz w:val="28"/>
          <w:szCs w:val="28"/>
          <w:rtl w:val="true"/>
          <w:lang w:bidi="ar-SA"/>
        </w:rPr>
        <w:t xml:space="preserve">. </w:t>
      </w:r>
      <w:bookmarkStart w:id="381" w:name="pg17116_198806"/>
    </w:p>
    <w:p>
      <w:pPr>
        <w:pStyle w:val="Heading6"/>
        <w:numPr>
          <w:ilvl w:val="5"/>
          <w:numId w:val="1"/>
        </w:numPr>
        <w:rPr/>
      </w:pPr>
      <w:bookmarkStart w:id="382" w:name="__RefHeading___Toc8646087_3381743652"/>
      <w:bookmarkStart w:id="383" w:name="_Toc135"/>
      <w:bookmarkEnd w:id="381"/>
      <w:bookmarkEnd w:id="382"/>
      <w:r>
        <w:rPr>
          <w:rtl w:val="true"/>
        </w:rPr>
        <w:t>عدم اعتبار انتقال أثر من الأرض إلى الأعضاء</w:t>
      </w:r>
      <w:bookmarkEnd w:id="383"/>
    </w:p>
    <w:p>
      <w:pPr>
        <w:pStyle w:val="BookText"/>
        <w:rPr/>
      </w:pPr>
      <w:r>
        <w:rPr>
          <w:rFonts w:ascii="Amiri" w:hAnsi="Amiri" w:eastAsia="Amiri" w:cs="Amiri"/>
          <w:color w:val="111111"/>
          <w:sz w:val="28"/>
          <w:sz w:val="28"/>
          <w:szCs w:val="28"/>
          <w:rtl w:val="true"/>
          <w:lang w:bidi="ar-SA"/>
        </w:rPr>
        <w:t>والعمدة البحث عن النحو الثالث من العلوق ؛ وهو أثر التراب والأرض ، ولا يبعد أن يكون ذلك مورداً للكلام ، ومختاراً لبعض المتأخّرين ، كما مرّت الإشارة إليه</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لا يقصر في الضعف عمّا تقدّم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إن كانت تبعيضي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تنطبق على العلوق بالمعنى الأوّل ، وإن كانت ابتدائية لا تنطبق على العلوق بهذا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البناء على الابتدائية ، تدلّ الآية بإطلاقها على عدم اعتبار العلوق ؛ للدلالة على أنّ تمام الموضوع لتحقّق التيمّم ، كون التمسّح مبتدئاً من الصعيد من غير دخالة شيء آخر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منه على الوجه والكفّ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انتقال أثر من الأرض إلى الأعضاء ، مدفوعة بأنّ ما هو المرتكز من قيام الصعيد مقام الماء ، هو قيام نفسه مقامه ، كما فعل عمّار ، لا قيام</w:t>
      </w:r>
    </w:p>
    <w:p>
      <w:pPr>
        <w:pStyle w:val="BookText"/>
        <w:rPr/>
      </w:pPr>
      <w:r>
        <w:rPr>
          <w:rFonts w:ascii="Amiri" w:hAnsi="Amiri" w:eastAsia="Amiri" w:cs="Amiri"/>
          <w:color w:val="111111"/>
          <w:sz w:val="28"/>
          <w:sz w:val="28"/>
          <w:szCs w:val="28"/>
          <w:rtl w:val="true"/>
          <w:lang w:bidi="ar-SA"/>
        </w:rPr>
        <w:t xml:space="preserve">أثره ، وبعد قيام الدليل على عدم لزوم ذلك ، لا مجال لدعوى قيام الأثر ، فلا يجوز رفع اليد عن الإطلاق ، ولا دعوى الانصراف لأجل الارتكاز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دعوى الانصراف أو عدم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غلبة الأراضي في انتقال أثرها إلى اليد وبقائه بعد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بمنع الغلبة الموجبة لعدم الإطلاق ، فضلاً عن الانصراف ، سيّما في أراضي نزول الوحي وصدور الروايات ، وخصوصاً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وجه الأرض ، وبالأخصّ مع قرب أراضي الحرمين الشريفين من البحر الموجب لنزول الأمطار الغزيرة في غالب الفصول </w:t>
      </w:r>
    </w:p>
    <w:p>
      <w:pPr>
        <w:pStyle w:val="BookText"/>
        <w:rPr/>
      </w:pPr>
      <w:r>
        <w:rPr>
          <w:rFonts w:ascii="Amiri" w:hAnsi="Amiri" w:eastAsia="Amiri" w:cs="Amiri"/>
          <w:color w:val="111111"/>
          <w:sz w:val="28"/>
          <w:sz w:val="28"/>
          <w:szCs w:val="28"/>
          <w:rtl w:val="true"/>
          <w:lang w:bidi="ar-SA"/>
        </w:rPr>
        <w:t>فيها ، مع كيفية أرضهما الخالية من التراب الموجب لعدم كونها مغبّرة وعدم بقاء أثرها بعد النفض غالباً ، ومعه كيف تسوغ دعوى الغلبة والانصراف ، وكيف يمكن السكوت عنه مع فرض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 نّه لو فرض بقاء أثر ضعيف بعد النفض ، فلا ريب في أ نّه مع إمرار</w:t>
      </w:r>
    </w:p>
    <w:p>
      <w:pPr>
        <w:pStyle w:val="BookText"/>
        <w:rPr/>
      </w:pPr>
      <w:r>
        <w:rPr>
          <w:rFonts w:ascii="Amiri" w:hAnsi="Amiri" w:eastAsia="Amiri" w:cs="Amiri"/>
          <w:color w:val="111111"/>
          <w:sz w:val="28"/>
          <w:sz w:val="28"/>
          <w:szCs w:val="28"/>
          <w:rtl w:val="true"/>
          <w:lang w:bidi="ar-SA"/>
        </w:rPr>
        <w:t>اليدين على الوجه ، يرتفع وينتقل إليه ، فلا يبقى للكفّين أثر منه ، فلا بدّ للقائل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بلزوم العلوق ؛ إمّا أن يلتزم بلزومه للوجه فقط ، أو لزوم المسح ببعض اليد على الوجه بوجه يبقى الأثر للكفّين ، أو لزوم ضرب آخر بعد مسح الوجه ، ولا أظنّ التزامه بالأوّلين ، ويأتي الكلام في ضعف الثالث</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84" w:name="pg17116_198808"/>
    </w:p>
    <w:p>
      <w:pPr>
        <w:pStyle w:val="Heading5"/>
        <w:numPr>
          <w:ilvl w:val="4"/>
          <w:numId w:val="1"/>
        </w:numPr>
        <w:rPr/>
      </w:pPr>
      <w:bookmarkStart w:id="385" w:name="__RefHeading___Toc8646089_3381743652"/>
      <w:bookmarkStart w:id="386" w:name="_Toc136"/>
      <w:bookmarkEnd w:id="384"/>
      <w:bookmarkEnd w:id="385"/>
      <w:r>
        <w:rPr>
          <w:rtl w:val="true"/>
        </w:rPr>
        <w:t>الأمر الثامن في تحديد الماسح والممسوح وكيفية المسح</w:t>
      </w:r>
      <w:bookmarkEnd w:id="386"/>
    </w:p>
    <w:p>
      <w:pPr>
        <w:pStyle w:val="Heading6"/>
        <w:numPr>
          <w:ilvl w:val="5"/>
          <w:numId w:val="1"/>
        </w:numPr>
        <w:rPr/>
      </w:pPr>
      <w:bookmarkStart w:id="387" w:name="__RefHeading___Toc8646091_3381743652"/>
      <w:bookmarkStart w:id="388" w:name="_Toc137"/>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أمّا الماسح ، فيقع البحث فيه من جهات </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8646093_3381743652"/>
      <w:bookmarkStart w:id="390" w:name="_Toc138"/>
      <w:bookmarkEnd w:id="389"/>
      <w:r>
        <w:rPr>
          <w:rtl w:val="true"/>
        </w:rPr>
        <w:t xml:space="preserve">الجهة الاُولى </w:t>
      </w:r>
      <w:r>
        <w:rPr>
          <w:rtl w:val="true"/>
        </w:rPr>
        <w:t xml:space="preserve">: </w:t>
      </w:r>
      <w:r>
        <w:rPr>
          <w:rtl w:val="true"/>
        </w:rPr>
        <w:t>في كفاية المسح بيد واحدة</w:t>
      </w:r>
      <w:bookmarkEnd w:id="390"/>
    </w:p>
    <w:p>
      <w:pPr>
        <w:pStyle w:val="Heading6"/>
        <w:numPr>
          <w:ilvl w:val="5"/>
          <w:numId w:val="1"/>
        </w:numPr>
        <w:rPr/>
      </w:pPr>
      <w:bookmarkStart w:id="391" w:name="__RefHeading___Toc8646095_3381743652"/>
      <w:bookmarkStart w:id="392" w:name="_Toc13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بعد وضوح لزوم كون المسح بما يضرب على الأرض نصّاً وفتوى ، هل يعتبر أن يقع مسح الجبهة باليدين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الأظهر من عبارات الأصحاب</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أكثر الأصحاب على كون المسح بباطن الكفّين معاً</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يجتزأ بيد واحدة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Style w:val="FootnoteAnchor"/>
          <w:rtl w:val="true"/>
        </w:rPr>
        <w:footnoteReference w:id="769"/>
      </w:r>
      <w:r>
        <w:rPr>
          <w:rFonts w:ascii="Amiri" w:hAnsi="Amiri" w:eastAsia="Amiri" w:cs="Amiri"/>
          <w:color w:val="111111"/>
          <w:sz w:val="28"/>
          <w:sz w:val="28"/>
          <w:szCs w:val="28"/>
          <w:rtl w:val="true"/>
          <w:lang w:bidi="ar-SA"/>
        </w:rPr>
        <w:t>، وعن المولى الأردبيلي والمحقّق الخونساري اختياره</w:t>
      </w:r>
      <w:r>
        <w:rPr>
          <w:rStyle w:val="FootnoteAnchor"/>
          <w:rtl w:val="true"/>
        </w:rPr>
        <w:footnoteReference w:id="770"/>
      </w:r>
      <w:r>
        <w:rPr>
          <w:rFonts w:ascii="IRNazanin" w:hAnsi="IRNazanin" w:eastAsia="IRNazanin"/>
          <w:color w:val="111111"/>
          <w:sz w:val="28"/>
          <w:sz w:val="28"/>
          <w:szCs w:val="28"/>
          <w:rtl w:val="true"/>
          <w:lang w:bidi="fa-IR"/>
        </w:rPr>
        <w:t>؟</w:t>
      </w:r>
    </w:p>
    <w:p>
      <w:pPr>
        <w:pStyle w:val="Heading6"/>
        <w:numPr>
          <w:ilvl w:val="5"/>
          <w:numId w:val="1"/>
        </w:numPr>
        <w:rPr/>
      </w:pPr>
      <w:bookmarkStart w:id="393" w:name="__RefHeading___Toc8646097_3381743652"/>
      <w:bookmarkStart w:id="394" w:name="_Toc140"/>
      <w:bookmarkEnd w:id="393"/>
      <w:r>
        <w:rPr>
          <w:rtl w:val="true"/>
        </w:rPr>
        <w:t>وجه الاجتزاء بيد واحدة</w:t>
      </w:r>
      <w:bookmarkEnd w:id="3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ترجيح ذلك ؛ لإطلاق الآية الكريمة وعدم صلوح الأدلّة لتقييدها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71"/>
      </w:r>
      <w:r>
        <w:rPr>
          <w:rFonts w:ascii="IRNazanin" w:hAnsi="IRNazanin" w:eastAsia="IRNazanin"/>
          <w:color w:val="111111"/>
          <w:sz w:val="28"/>
          <w:sz w:val="28"/>
          <w:szCs w:val="28"/>
          <w:rtl w:val="true"/>
          <w:lang w:bidi="fa-IR"/>
        </w:rPr>
        <w:t xml:space="preserve">كونها من المتشابهات التي يجب الرجوع فيها إلى تفسير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كدعوى عدم إطلاقها ؛ لكونها في مقام أصل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ضعيفة ؛ ضرورة عدم إجمال وتشابه فيها ، فإنّ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 صَعِيداً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 في ذيل بيان الوضوء والغسل وأ نّهما بالماء ، وبقرينة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التلمّس للأرض بالآلة المتداولة التي هي باطن الكفّين ؛ لعدم إمكان المسح على اليدين بكفّ واحدة ، فيستفاد منها لزوم مسح بعض الوجه واليدين من الأرض بالآلة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لولا الجهات الخارجية لقلنا بعدم لزوم كون اليد آلة ، كما تقدّم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فإطلاق الآية محكّم ما لم يرد دليل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والتقييدات الواردة عليها ليست بحدّ الاستهجان حتّى نلتزم بإهمالها ، أو بقيام قرائن حالية لم تصل إلينا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يشهد على عدم إجمال أو إهمال فيها ، إرجاع رسول اللّه‌ صلی الله علیه و آله وسلم  عمّاراً إليها لرفع خطئه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يصنع الحمار ؛ إنّما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تيمّم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وتمسّك أبي جعفر علیه السلام  بها وبخصوصياتها لتعليم زرارة</w:t>
      </w:r>
      <w:r>
        <w:rPr>
          <w:rStyle w:val="FootnoteAnchor"/>
          <w:rtl w:val="true"/>
        </w:rPr>
        <w:footnoteReference w:id="776"/>
      </w:r>
      <w:r>
        <w:rPr>
          <w:rFonts w:ascii="Amiri" w:hAnsi="Amiri" w:eastAsia="Amiri" w:cs="Amiri"/>
          <w:color w:val="111111"/>
          <w:sz w:val="28"/>
          <w:sz w:val="28"/>
          <w:szCs w:val="28"/>
          <w:rtl w:val="true"/>
          <w:lang w:bidi="ar-SA"/>
        </w:rPr>
        <w:t xml:space="preserve">، فلا إشكال في إطلاقها وعدم تشابهها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الروايات الحاكية لفعلهم</w:t>
      </w:r>
      <w:r>
        <w:rPr>
          <w:rStyle w:val="FootnoteAnchor"/>
          <w:rtl w:val="true"/>
        </w:rPr>
        <w:footnoteReference w:id="777"/>
      </w:r>
      <w:r>
        <w:rPr>
          <w:rFonts w:ascii="Amiri" w:hAnsi="Amiri" w:eastAsia="Amiri" w:cs="Amiri"/>
          <w:color w:val="111111"/>
          <w:sz w:val="28"/>
          <w:sz w:val="28"/>
          <w:szCs w:val="28"/>
          <w:rtl w:val="true"/>
          <w:lang w:bidi="ar-SA"/>
        </w:rPr>
        <w:t xml:space="preserve">، لا يكون فيها إطلاق معتدّ به من هذه الجهة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صلوح شيء لتقييدها ؛ فلأنّ أظهر ما في الباب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يمكن الركون إليه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 عن أبي جعفر علیه السلام  في التيمّم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 الأرض ، ثمّ تنفضهما وتمسح بهما وجهك ويديك</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المرادي ، عن أبي عبداللّه‌ علیه السلام  في التيمّم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 على الأرض مرّتين ، ثمّ تنفضهما وتمسح بهما وجهك وذراعيك</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مسح الوجه باليدين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إنكار 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صراحتهما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محتملات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بهما وجهك ويديك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بدواً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بهذه وهذه وجهك ويدك اليمنى واليسرى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علامة التثنية من تكرير مدخولها ، وظاهر الضمير الراجع إلى طبيعة اليدين ؛ من غير اعتبار الاجتماع في المدخول والمرجع ، فإنّه يحتاج إلى </w:t>
      </w:r>
    </w:p>
    <w:p>
      <w:pPr>
        <w:pStyle w:val="BookText"/>
        <w:rPr/>
      </w:pPr>
      <w:r>
        <w:rPr>
          <w:rFonts w:ascii="Amiri" w:hAnsi="Amiri" w:eastAsia="Amiri" w:cs="Amiri"/>
          <w:color w:val="111111"/>
          <w:sz w:val="28"/>
          <w:sz w:val="28"/>
          <w:szCs w:val="28"/>
          <w:rtl w:val="true"/>
          <w:lang w:bidi="ar-SA"/>
        </w:rPr>
        <w:t xml:space="preserve">مؤونة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هذا الاحتمال لزوم مسح كلّ يد جميع الجبهة ، أو هي مع الجبينين ، وكذا مسح كلٍّ من اليدين الماسحتين كلَّ واحدة من الممسوحتين ، وهو غير ممكن في الثاني ، ولم يلتزموا به في الأوّل ، فهذا الاحتمال مدفوع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بمجموعهما وجهك وكلّ واحد من يديك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ولازمه لزوم مسح كلٍّ من اليدين بمجموعهما ، وهو أيضاً مدفوع ؛ لامتناعه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بمجموعهما وجهك ومجموع 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ولازم ذلك ما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بمجموعهما مجموع الوجه 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بمجموع هذين مجموع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جواز مسح الوجه بيد واحدة ، كما اختاره المحقّقان المتقدّمان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ترجيح لأحد الأخيرين لو لم نقل بترجيح ثانيهما ؛ لأجل ارتكاز العرف بأنّ المسح لإيصال أثر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أثرها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الوجه من غير دخالة مجموع اليدين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اليدين إنّما هو لتحصيل المسحات الثلاث ، لا لمسح الوجه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محفوفية الكلام بالقرينة العقلية ، ورفع اليد عن الظاهر الأوّلي ، لا يبقى ظهور في الاحتمال الثالث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هو المسح بهما مطلقاً ، وقيام القرينة العقلية موجب لرفع اليد عنه بالنسبة إلى اليدين دون الوجه ، مدفوعة بأنّ الظاهر منها هو المسح بكلّ واحدة منهما جميع الممسوح ، وهو مخالف لإطلاق الكتاب والفتوى </w:t>
      </w:r>
    </w:p>
    <w:p>
      <w:pPr>
        <w:pStyle w:val="BookText"/>
        <w:rPr/>
      </w:pPr>
      <w:r>
        <w:rPr>
          <w:rFonts w:ascii="Amiri" w:hAnsi="Amiri" w:eastAsia="Amiri" w:cs="Amiri"/>
          <w:color w:val="111111"/>
          <w:sz w:val="28"/>
          <w:sz w:val="28"/>
          <w:szCs w:val="28"/>
          <w:rtl w:val="true"/>
          <w:lang w:bidi="ar-SA"/>
        </w:rPr>
        <w:t xml:space="preserve">والعقل ، ومع رفع اليد عنه ودوران الأمر بين أحد الأخيرين ، فالترجيح مع ثانيهما ، فيوافق إطلاق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تساويهما أو الترجيح الظنّي لأوّلهما ، لا يترك</w:t>
      </w:r>
    </w:p>
    <w:p>
      <w:pPr>
        <w:pStyle w:val="BookText"/>
        <w:rPr/>
      </w:pPr>
      <w:r>
        <w:rPr>
          <w:rFonts w:ascii="Amiri" w:hAnsi="Amiri" w:eastAsia="Amiri" w:cs="Amiri"/>
          <w:color w:val="111111"/>
          <w:sz w:val="28"/>
          <w:sz w:val="28"/>
          <w:szCs w:val="28"/>
          <w:rtl w:val="true"/>
          <w:lang w:bidi="ar-SA"/>
        </w:rPr>
        <w:t xml:space="preserve">الإطلاق حتّى على الثاني ؛ لعدم ظهورٍ معتدٍّ به ، وعدم كون الظنّ مستنداً إلى اللفظ وظهوره حتّى 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 فضرب بيديه على البساط ، فمسح بهما وجهه ، ثمّ مسح كفّيه إحداهما على ظهر الاُخرى</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مسح الوجه باليدين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مع ضعفها سنداً </w:t>
      </w:r>
      <w:r>
        <w:rPr>
          <w:rStyle w:val="FootnoteAnchor"/>
          <w:rtl w:val="true"/>
        </w:rPr>
        <w:footnoteReference w:id="781"/>
      </w:r>
      <w:r>
        <w:rPr>
          <w:rFonts w:ascii="Amiri" w:hAnsi="Amiri" w:eastAsia="Amiri" w:cs="Amiri"/>
          <w:color w:val="111111"/>
          <w:sz w:val="28"/>
          <w:sz w:val="28"/>
          <w:szCs w:val="28"/>
          <w:rtl w:val="true"/>
          <w:lang w:bidi="ar-SA"/>
        </w:rPr>
        <w:t xml:space="preserve">وإضمارها ، لا تصلح لتقييد الكتاب ، ولا يعلم استناد المشهور إليها ، ومجرّد مطابقة فتواهم لرواية لا يجبر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الناقل عنه صفوان بن يحيى وصحّة السند إليه ، غير مفيد ؛ لعدم ثبوت أ نّه لا يروي إلاّ عن ثقة وإن قال به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والإجماع على تصحيح ما يصحّ عنه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إثبات ما راموا منه ، والتفصيل موكول إلى محلّه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التيمّم ، فضرب بكفّيه الأرض ، ثمّ مسح بهما وجهه ، ثمّ ضرب بشماله الأرض ، فمسح بها مرفقه </w:t>
      </w:r>
      <w:bookmarkStart w:id="395" w:name="pg17116_198813"/>
    </w:p>
    <w:p>
      <w:pPr>
        <w:pStyle w:val="BookText"/>
        <w:rPr/>
      </w:pPr>
      <w:bookmarkEnd w:id="395"/>
      <w:r>
        <w:rPr>
          <w:rFonts w:ascii="Amiri" w:hAnsi="Amiri" w:eastAsia="Amiri" w:cs="Amiri"/>
          <w:color w:val="111111"/>
          <w:sz w:val="28"/>
          <w:sz w:val="28"/>
          <w:szCs w:val="28"/>
          <w:rtl w:val="true"/>
          <w:lang w:bidi="ar-SA"/>
        </w:rPr>
        <w:t xml:space="preserve">إلى أطراف الأصابع ؛ واحدة على ظهرها وواحدة على بطنها ، ثمّ ضرب بيمينه الأرض ، ثمّ صنع بشماله كما صنع بيمينه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التيمّم على ما كان فيه الغسل ، وفي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إلى المرفقين </w:t>
      </w:r>
      <w:r>
        <w:rPr>
          <w:rFonts w:eastAsia="Amiri" w:cs="Amiri" w:ascii="Amiri" w:hAnsi="Amiri"/>
          <w:color w:val="111111"/>
          <w:sz w:val="28"/>
          <w:szCs w:val="28"/>
          <w:rtl w:val="true"/>
          <w:lang w:bidi="ar-SA"/>
        </w:rPr>
        <w:t>. . .»</w:t>
      </w:r>
      <w:r>
        <w:rPr>
          <w:rStyle w:val="FootnoteAnchor"/>
          <w:rtl w:val="true"/>
        </w:rPr>
        <w:footnoteReference w:id="78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يتّكل عليها لتقييد الكتاب ؛ بعد اشتمالها على عدّة أحكام مخالفة للمذهب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في الحجّية في مثلها ، غير جائز بعد عدم الدليل على حجّية خبر الثقة إلاّ بناء العقلاء الممضى ، ولا ريب في عدم ثبوت بنائهم على العمل بما اشتملت على عدّة أحكام مخالفة للواقع ، لو لم نقل بثبوت عدمه </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8646099_3381743652"/>
      <w:bookmarkStart w:id="397" w:name="_Toc141"/>
      <w:bookmarkEnd w:id="396"/>
      <w:r>
        <w:rPr>
          <w:rtl w:val="true"/>
        </w:rPr>
        <w:t>وجه عدم الاجتزاء بيد واحدة وترجيحه</w:t>
      </w:r>
      <w:bookmarkEnd w:id="397"/>
    </w:p>
    <w:p>
      <w:pPr>
        <w:pStyle w:val="BookText"/>
        <w:rPr/>
      </w:pPr>
      <w:r>
        <w:rPr>
          <w:rFonts w:ascii="IRNazanin" w:hAnsi="IRNazanin" w:eastAsia="IRNazanin"/>
          <w:color w:val="111111"/>
          <w:sz w:val="28"/>
          <w:sz w:val="28"/>
          <w:szCs w:val="28"/>
          <w:rtl w:val="true"/>
          <w:lang w:bidi="fa-IR"/>
        </w:rPr>
        <w:t xml:space="preserve">نعم ، هنا روايات لا يبعد دعوى ظهورها في المطلوب ، كصحيحة زرارة ، عن أبي جعفر علیه السلام  حكايةً لقضيّة عمّار بن ياسر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أهوى بيديه إلى الأرض ، فوضعهما على الصعيد ، ثمّ مسح جبينيه بأصابعه ، وكفّيه إحداهما بالاُخرى ، ثمّ لم يعد ذلك</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جبينيه 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بجميعها ، سيّما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فوضعهما على الصعيد</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وموثّقته عن أبي جعفر علیه السلام  قال في ذيل حكاية قضيّة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بيديه </w:t>
      </w:r>
    </w:p>
    <w:p>
      <w:pPr>
        <w:pStyle w:val="BookText"/>
        <w:rPr/>
      </w:pPr>
      <w:r>
        <w:rPr>
          <w:rFonts w:ascii="Amiri" w:hAnsi="Amiri" w:eastAsia="Amiri" w:cs="Amiri"/>
          <w:color w:val="111111"/>
          <w:sz w:val="28"/>
          <w:sz w:val="28"/>
          <w:szCs w:val="28"/>
          <w:rtl w:val="true"/>
          <w:lang w:bidi="ar-SA"/>
        </w:rPr>
        <w:t>على الأرض ، ثمّ ضرب إحداهما على الاُخرى ، ثمّ مسح بجبينيه ، ثمّ مسح كفّيه كلّ واحدة على ظهر الاُخرى</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المسح وقع بعين ما ضرب على الأرض للمسح، لا بإحدى يديه ؛ ضرورة أ نّه لو ضرب بيدين ومسح بإحداهما على جبينيه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الحكاية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فمسح بواحدة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الضرب بهما والمسح بإحداهما مخالفاً للمتعارف ، ومعه كان عليه حكايته ، ومع عدم الذكر ينصرف إلى المتعارف ؛ وهو المسح بما ضرب ، ألا ترى عدم احتمال كون المسح بغير اليدين مع عدم حكاية كونه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للانصراف والظهور في كونه بما وقع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الماء بغرفتيه ، فغسل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يكون ظاهراً في صبّ ما في الغرفتين على وجهه وغسله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الاستدلال عليه ببعض روايات اُخر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المناقشة في صلوح مثل تلك الروايات لتقييد الآية الكريمة ؛ فإنّ مجرّد ظهورها في كون المسح باليدين ولو في مقام بيان الحكم والتعليم ، لا يكفي في التقييد إلاّ إذا دلّت على التعيين ، والعملُ الخارجي الذي لا يمكن أن يقع إلاّ على وجه واحد وكيفية واحدة ، لا يكون ظاهراً فيه ، ودالاًّ على أنّ للتيمّم كيفية واحدة ، وأنّ تمام حقيقته كذلك ، ومعه لا يمكن تقييد المطلق الموافق له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والمقيّد المثبتين غير متنافيين ، إلاّ إذا اُحرزت وحدة المطلوب والكيفية ، وهي غير محرزة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إلى ما ذكرنا يرجع ما عن المحقّق الخونساري رحمه الله علیه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يجوز حمل المطلق على المقيّد ، يجوز القول بكفاية المطلق وحمل المقيّد على أ نّه أحد أفراد الواجب</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صحيحة داود بن النعمان</w:t>
      </w:r>
      <w:r>
        <w:rPr>
          <w:rStyle w:val="FootnoteAnchor"/>
          <w:rtl w:val="true"/>
        </w:rPr>
        <w:footnoteReference w:id="790"/>
      </w:r>
      <w:r>
        <w:rPr>
          <w:rFonts w:ascii="IRNazanin" w:hAnsi="IRNazanin" w:eastAsia="IRNazanin"/>
          <w:color w:val="111111"/>
          <w:sz w:val="28"/>
          <w:sz w:val="28"/>
          <w:szCs w:val="28"/>
          <w:rtl w:val="true"/>
          <w:lang w:bidi="fa-IR"/>
        </w:rPr>
        <w:t>هو السؤال عن كيفية التيمّم ، فعملُ أبي عبداللّه‌ علیه السلام  في مقام جواب سؤاله عن الكيفية ، ظاهر في</w:t>
      </w:r>
    </w:p>
    <w:p>
      <w:pPr>
        <w:pStyle w:val="BookText"/>
        <w:rPr/>
      </w:pPr>
      <w:r>
        <w:rPr>
          <w:rFonts w:ascii="Amiri" w:hAnsi="Amiri" w:eastAsia="Amiri" w:cs="Amiri"/>
          <w:color w:val="111111"/>
          <w:sz w:val="28"/>
          <w:sz w:val="28"/>
          <w:szCs w:val="28"/>
          <w:rtl w:val="true"/>
          <w:lang w:bidi="ar-SA"/>
        </w:rPr>
        <w:t xml:space="preserve">أنّ ما فعل هو الكيفية الفريدة وتمام ماهية التيمّم ، فلو كان المسح بيد واحدة مجزياً ، لفعله في مقام بيان نفس الماهية ؛ لعدم دخالة ضمّ الاُخرى في تحقّقها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مسح الوجه باليدين بالتقريب المتقدّم ، بل لا يبعد أظهريتها في ذلك ممّا تقدّم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رفعهما ، فمسح وجهه ويديه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فرق بين هذه الصحيحة التي ندّعي ظهورها في كون المسح بيدين ، وبين صحيحة المرادي ورواية زرارة المتقدّمة حيث منعنا ظهورهما فيه كما مرّ</w:t>
      </w:r>
      <w:r>
        <w:rPr>
          <w:rStyle w:val="FootnoteAnchor"/>
          <w:rtl w:val="true"/>
        </w:rPr>
        <w:footnoteReference w:id="791"/>
      </w:r>
      <w:r>
        <w:rPr>
          <w:rFonts w:ascii="Amiri" w:hAnsi="Amiri" w:eastAsia="Amiri" w:cs="Amiri"/>
          <w:color w:val="111111"/>
          <w:sz w:val="28"/>
          <w:sz w:val="28"/>
          <w:szCs w:val="28"/>
          <w:rtl w:val="true"/>
          <w:lang w:bidi="ar-SA"/>
        </w:rPr>
        <w:t xml:space="preserve">؛ لأنّ الظهور المدّعى في هذه الصحيحة لأجل حكاية الفعل ، كما تقدّم وجهه ، فتدبّر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منها ومن صحيحة الخزّاز</w:t>
      </w:r>
      <w:r>
        <w:rPr>
          <w:rStyle w:val="FootnoteAnchor"/>
          <w:rtl w:val="true"/>
        </w:rPr>
        <w:footnoteReference w:id="792"/>
      </w:r>
      <w:r>
        <w:rPr>
          <w:rFonts w:ascii="IRNazanin" w:hAnsi="IRNazanin" w:eastAsia="IRNazanin"/>
          <w:color w:val="111111"/>
          <w:sz w:val="28"/>
          <w:sz w:val="28"/>
          <w:szCs w:val="28"/>
          <w:rtl w:val="true"/>
          <w:lang w:bidi="fa-IR"/>
        </w:rPr>
        <w:t xml:space="preserve">، أنّ ما صنع أبو عبداللّه‌ علیه السلام  موافق </w:t>
      </w:r>
      <w:bookmarkStart w:id="398" w:name="pg17116_198816"/>
    </w:p>
    <w:p>
      <w:pPr>
        <w:pStyle w:val="BookText"/>
        <w:rPr/>
      </w:pPr>
      <w:bookmarkEnd w:id="398"/>
      <w:r>
        <w:rPr>
          <w:rFonts w:ascii="IRNazanin" w:hAnsi="IRNazanin" w:eastAsia="IRNazanin"/>
          <w:color w:val="111111"/>
          <w:sz w:val="28"/>
          <w:sz w:val="28"/>
          <w:szCs w:val="28"/>
          <w:rtl w:val="true"/>
          <w:lang w:bidi="fa-IR"/>
        </w:rPr>
        <w:t>لفعل رسول اللّه‌ صلی الله علیه و آله وسلم  في مقام تعليم عمّار ، وبعد ضمّ ذلك إلى رواية الكاهلي الذي شهد شيخ الطائفة رحمه الله علیه  بوثاقته ؛ لرواية صفوان عنه ، وقيام الإجماع المنقول</w:t>
      </w:r>
    </w:p>
    <w:p>
      <w:pPr>
        <w:pStyle w:val="BookText"/>
        <w:rPr/>
      </w:pPr>
      <w:r>
        <w:rPr>
          <w:rFonts w:ascii="Amiri" w:hAnsi="Amiri" w:eastAsia="Amiri" w:cs="Amiri"/>
          <w:color w:val="111111"/>
          <w:sz w:val="28"/>
          <w:sz w:val="28"/>
          <w:szCs w:val="28"/>
          <w:rtl w:val="true"/>
          <w:lang w:bidi="ar-SA"/>
        </w:rPr>
        <w:t>على تصحيح ما يصحّ عنه ، وهما وإن كانا موردين للمناقشة كما مرّ</w:t>
      </w:r>
      <w:r>
        <w:rPr>
          <w:rStyle w:val="FootnoteAnchor"/>
          <w:rtl w:val="true"/>
        </w:rPr>
        <w:footnoteReference w:id="793"/>
      </w:r>
      <w:r>
        <w:rPr>
          <w:rFonts w:ascii="IRNazanin" w:hAnsi="IRNazanin" w:eastAsia="IRNazanin"/>
          <w:color w:val="111111"/>
          <w:sz w:val="28"/>
          <w:sz w:val="28"/>
          <w:szCs w:val="28"/>
          <w:rtl w:val="true"/>
          <w:lang w:bidi="fa-IR"/>
        </w:rPr>
        <w:t xml:space="preserve">، لكن يوجبان ظنّاً معتدّاً به ، فإذا ضمّ ذلك إلى مرسلة العيّاشي ، عن زرارة ،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يديه بجبينيه</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 xml:space="preserve">وإلى رواية فقه الرضا </w:t>
      </w:r>
      <w:r>
        <w:rPr>
          <w:rStyle w:val="FootnoteAnchor"/>
          <w:rtl w:val="true"/>
        </w:rPr>
        <w:footnoteReference w:id="795"/>
      </w:r>
      <w:r>
        <w:rPr>
          <w:rFonts w:ascii="Amiri" w:hAnsi="Amiri" w:eastAsia="Amiri" w:cs="Amiri"/>
          <w:color w:val="111111"/>
          <w:sz w:val="28"/>
          <w:sz w:val="28"/>
          <w:szCs w:val="28"/>
          <w:rtl w:val="true"/>
          <w:lang w:bidi="ar-SA"/>
        </w:rPr>
        <w:t>وإلى صحيحة زرارة وموثّقته</w:t>
      </w:r>
      <w:r>
        <w:rPr>
          <w:rStyle w:val="FootnoteAnchor"/>
          <w:rtl w:val="true"/>
        </w:rPr>
        <w:footnoteReference w:id="796"/>
      </w:r>
      <w:r>
        <w:rPr>
          <w:rFonts w:ascii="Amiri" w:hAnsi="Amiri" w:eastAsia="Amiri" w:cs="Amiri"/>
          <w:color w:val="111111"/>
          <w:sz w:val="28"/>
          <w:sz w:val="28"/>
          <w:szCs w:val="28"/>
          <w:rtl w:val="true"/>
          <w:lang w:bidi="ar-SA"/>
        </w:rPr>
        <w:t>الحاكيتين لفعل رسول اللّه الظاهرتين في مسحه</w:t>
      </w:r>
    </w:p>
    <w:p>
      <w:pPr>
        <w:pStyle w:val="BookText"/>
        <w:rPr/>
      </w:pPr>
      <w:r>
        <w:rPr>
          <w:rFonts w:ascii="Amiri" w:hAnsi="Amiri" w:eastAsia="Amiri" w:cs="Amiri"/>
          <w:color w:val="111111"/>
          <w:sz w:val="28"/>
          <w:sz w:val="28"/>
          <w:szCs w:val="28"/>
          <w:rtl w:val="true"/>
          <w:lang w:bidi="ar-SA"/>
        </w:rPr>
        <w:t xml:space="preserve">باليدين ، يتمّ المطلوب ؛ وهو تعيّنه في كيفية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الراجع إلى الروايات يطمئنّ بأنّ له كيفية واحدة ، هي ما قال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قيام السيرة القطعية المتّصلة إلى زمان الأئمّة ، من أقوى الشواهد على كونه بهذه الكيفية المعهودة ، فيتقيّد بها الآية الشريفة ، فلا ينبغي التأمّل فيه </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8646101_3381743652"/>
      <w:bookmarkStart w:id="400" w:name="_Toc142"/>
      <w:bookmarkEnd w:id="399"/>
      <w:r>
        <w:rPr>
          <w:rtl w:val="true"/>
        </w:rPr>
        <w:t xml:space="preserve">الجهة الثانية </w:t>
      </w:r>
      <w:r>
        <w:rPr>
          <w:rtl w:val="true"/>
        </w:rPr>
        <w:t xml:space="preserve">: </w:t>
      </w:r>
      <w:r>
        <w:rPr>
          <w:rtl w:val="true"/>
        </w:rPr>
        <w:t>في عدم اعتبار المسح باليدين دفعة</w:t>
      </w:r>
      <w:bookmarkEnd w:id="40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إطلاق الآية وبعض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المرادي ورواية زرارة المتقدّمتين</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المسح بهما دفعة ، فيجوز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وإشعار الروايات </w:t>
      </w:r>
      <w:bookmarkStart w:id="401" w:name="pg17116_198817"/>
    </w:p>
    <w:p>
      <w:pPr>
        <w:pStyle w:val="BookText"/>
        <w:rPr/>
      </w:pPr>
      <w:bookmarkEnd w:id="401"/>
      <w:r>
        <w:rPr>
          <w:rFonts w:ascii="IRNazanin" w:hAnsi="IRNazanin" w:eastAsia="IRNazanin"/>
          <w:color w:val="111111"/>
          <w:sz w:val="28"/>
          <w:sz w:val="28"/>
          <w:szCs w:val="28"/>
          <w:rtl w:val="true"/>
          <w:lang w:bidi="fa-IR"/>
        </w:rPr>
        <w:t xml:space="preserve">الحاكية لفعل رسول اللّه‌ صلی الله علیه و آله وسلم  وأبي جعفر وأبي عبداللّه‌ علیهما السلام </w:t>
      </w:r>
      <w:r>
        <w:rPr>
          <w:rStyle w:val="FootnoteAnchor"/>
          <w:rtl w:val="true"/>
        </w:rPr>
        <w:footnoteReference w:id="798"/>
      </w:r>
      <w:r>
        <w:rPr>
          <w:rFonts w:ascii="Amiri" w:hAnsi="Amiri" w:eastAsia="Amiri" w:cs="Amiri"/>
          <w:color w:val="111111"/>
          <w:sz w:val="28"/>
          <w:sz w:val="28"/>
          <w:szCs w:val="28"/>
          <w:rtl w:val="true"/>
          <w:lang w:bidi="ar-SA"/>
        </w:rPr>
        <w:t xml:space="preserve">أو دلالتها على أنّ عملهم كان بنحو الدفعة ، لا يظهر منها التعيين ؛ للفرق الظاهر بين الإتيان باليدين الظاهر في الدخالة ، وبين الإتيان دفعة ؛ لأ نّه لو كان مجزياً باليد الواحدة ، لكان ضمّ اليد الاُخرى إليها بلا وجه ؛ لعدم تعارف ضمّ ما ليس بدخيل إلى ما هو الدخيل ، بخلاف الدفعة ، فإنّها متعارفة بعد لزوم كون المسح باليدين ، والتعارف يوجب عدم الظهور في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السيرة على الدفعة لا تكشف إلاّ صحّته كذلك ، وأمّا بطلان غيره فلا ، كما لا يخفى ، وهذا بخلاف السيرة على المسح باليدين ، فإنّها كاشفة عن دخالة اليد ؛ وذلك لما مرّ من عدم تعارف ضمّ ما ليس بدخيل ، فلا 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الاحتياط لا ينبغي تركه </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8646103_3381743652"/>
      <w:bookmarkStart w:id="403" w:name="_Toc143"/>
      <w:bookmarkEnd w:id="402"/>
      <w:r>
        <w:rPr>
          <w:rtl w:val="true"/>
        </w:rPr>
        <w:t xml:space="preserve">الجهة الثالثة </w:t>
      </w:r>
      <w:r>
        <w:rPr>
          <w:rtl w:val="true"/>
        </w:rPr>
        <w:t xml:space="preserve">: </w:t>
      </w:r>
      <w:r>
        <w:rPr>
          <w:rtl w:val="true"/>
        </w:rPr>
        <w:t>في عدم اعتبار كون المسح بجميع الكفّ</w:t>
      </w:r>
      <w:bookmarkEnd w:id="403"/>
    </w:p>
    <w:p>
      <w:pPr>
        <w:pStyle w:val="Heading6"/>
        <w:numPr>
          <w:ilvl w:val="5"/>
          <w:numId w:val="1"/>
        </w:numPr>
        <w:rPr/>
      </w:pPr>
      <w:bookmarkStart w:id="404" w:name="__RefHeading___Toc8646105_3381743652"/>
      <w:bookmarkStart w:id="405" w:name="_Toc144"/>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الظاهر عدم اعتبار كون المسح بجميع الكفّ ؛ لإطلاق الآية</w:t>
      </w:r>
      <w:r>
        <w:rPr>
          <w:rStyle w:val="FootnoteAnchor"/>
          <w:rtl w:val="true"/>
        </w:rPr>
        <w:footnoteReference w:id="799"/>
      </w:r>
      <w:r>
        <w:rPr>
          <w:rFonts w:ascii="Amiri" w:hAnsi="Amiri" w:eastAsia="Amiri" w:cs="Amiri"/>
          <w:color w:val="111111"/>
          <w:sz w:val="28"/>
          <w:sz w:val="28"/>
          <w:szCs w:val="28"/>
          <w:rtl w:val="true"/>
          <w:lang w:bidi="ar-SA"/>
        </w:rPr>
        <w:t>وظهور الأدلّة</w:t>
      </w:r>
      <w:r>
        <w:rPr>
          <w:rStyle w:val="FootnoteAnchor"/>
          <w:rtl w:val="true"/>
        </w:rPr>
        <w:footnoteReference w:id="800"/>
      </w:r>
      <w:r>
        <w:rPr>
          <w:rFonts w:ascii="Amiri" w:hAnsi="Amiri" w:eastAsia="Amiri" w:cs="Amiri"/>
          <w:color w:val="111111"/>
          <w:sz w:val="28"/>
          <w:sz w:val="28"/>
          <w:szCs w:val="28"/>
          <w:rtl w:val="true"/>
          <w:lang w:bidi="ar-SA"/>
        </w:rPr>
        <w:t xml:space="preserve">في أنّ ضرب اليد على الأرض إنّما هو لإيصال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الممسوح ، وليس للكفّين إلاّ سمة الآلية للمسح منها ، فإذا حصل ببعض الكفّ سقط التكليف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منها الذي هو الواجب الأصيل ، يحصل بتحقّق </w:t>
      </w:r>
    </w:p>
    <w:p>
      <w:pPr>
        <w:pStyle w:val="BookText"/>
        <w:rPr/>
      </w:pPr>
      <w:r>
        <w:rPr>
          <w:rFonts w:ascii="Amiri" w:hAnsi="Amiri" w:eastAsia="Amiri" w:cs="Amiri"/>
          <w:color w:val="111111"/>
          <w:sz w:val="28"/>
          <w:sz w:val="28"/>
          <w:szCs w:val="28"/>
          <w:rtl w:val="true"/>
          <w:lang w:bidi="ar-SA"/>
        </w:rPr>
        <w:t xml:space="preserve">صِرف الوجود من المسح ، ويتحقّق ذلك بأوّل مرتبة الإمرار ، والزائد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إلاّ توهّم ظهور الأدلّة في وجوب الضرب بجميع الكفّ ، ولمّا كان ذلك للمسح فلا بدّ من كونه بجميعها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تقليب ذلك الدليل أولى بحسب ارتكاز العرف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لمّا كان للمسح ، وهو يحصل ببعض الكفّ ، فهو دليل على عدم لزوم الضرب 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والأولوية لأجل أنّ المطلوب الأصلي هو المنظور فيه ، والتبعي منظور لأجله ، وبعد اقتضاء الدليل كون الضرب للمسح الحاصل بأوّل وجود الإمرار ، لا ينقدح في ذهن العرف توسعة ذي الآلة ، بل ينقدح فيه تضييق 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ظاهر الأدلّة انصرافاً ، هو المسح بوضع طول الماسح على عرض الممسوح في الكفّ ، وهو أزيد منه بمقدار معتدّ به ؛ بحيث يرى العرف زيادته عليه ، وكذا يزيد عرض اليدين عن الجبهة والجبينين ، ومع لزوم الاستيعاب كان اللازم التنبيه عليه ، وعدمه دليل على عدم لزومه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صحيحة زرارة</w:t>
      </w:r>
      <w:r>
        <w:rPr>
          <w:rStyle w:val="FootnoteAnchor"/>
          <w:rtl w:val="true"/>
        </w:rPr>
        <w:footnoteReference w:id="801"/>
      </w:r>
      <w:r>
        <w:rPr>
          <w:rFonts w:ascii="Amiri" w:hAnsi="Amiri" w:eastAsia="Amiri" w:cs="Amiri"/>
          <w:color w:val="111111"/>
          <w:sz w:val="28"/>
          <w:sz w:val="28"/>
          <w:szCs w:val="28"/>
          <w:rtl w:val="true"/>
          <w:lang w:bidi="ar-SA"/>
        </w:rPr>
        <w:t xml:space="preserve">، وإلاّ فهي صريحة في جوازه ، فالأقوى عدم لزوم الاستيعاب وإن كان الأحوط خلافه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بعض ما ذكرناه يعلم كفاية مسح مجموع الممسوح بمجموع الماسح توزيعاً ، فلا يجب المسح بكلٍّ من اليدين على تمام الممسوح </w:t>
      </w:r>
      <w:r>
        <w:rPr>
          <w:rFonts w:eastAsia="Amiri" w:cs="Amiri" w:ascii="Amiri" w:hAnsi="Amiri"/>
          <w:color w:val="111111"/>
          <w:sz w:val="28"/>
          <w:szCs w:val="28"/>
          <w:rtl w:val="true"/>
          <w:lang w:bidi="ar-SA"/>
        </w:rPr>
        <w:t xml:space="preserve">. </w:t>
      </w:r>
      <w:bookmarkStart w:id="406" w:name="pg17116_198819"/>
    </w:p>
    <w:p>
      <w:pPr>
        <w:pStyle w:val="Heading6"/>
        <w:numPr>
          <w:ilvl w:val="5"/>
          <w:numId w:val="1"/>
        </w:numPr>
        <w:rPr/>
      </w:pPr>
      <w:bookmarkStart w:id="407" w:name="__RefHeading___Toc8646107_3381743652"/>
      <w:bookmarkStart w:id="408" w:name="_Toc145"/>
      <w:bookmarkEnd w:id="406"/>
      <w:bookmarkEnd w:id="407"/>
      <w:r>
        <w:rPr>
          <w:rtl w:val="true"/>
        </w:rPr>
        <w:t>تحديد الممسوح</w:t>
      </w:r>
      <w:bookmarkEnd w:id="408"/>
    </w:p>
    <w:p>
      <w:pPr>
        <w:pStyle w:val="BookText"/>
        <w:rPr/>
      </w:pPr>
      <w:r>
        <w:rPr>
          <w:rFonts w:ascii="Amiri" w:hAnsi="Amiri" w:eastAsia="Amiri" w:cs="Amiri"/>
          <w:color w:val="111111"/>
          <w:sz w:val="28"/>
          <w:sz w:val="28"/>
          <w:szCs w:val="28"/>
          <w:rtl w:val="true"/>
          <w:lang w:bidi="ar-SA"/>
        </w:rPr>
        <w:t xml:space="preserve">وأمّا الممسوح ، فيقع البحث فيه من جهات </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646109_3381743652"/>
      <w:bookmarkStart w:id="410" w:name="_Toc146"/>
      <w:bookmarkEnd w:id="409"/>
      <w:r>
        <w:rPr>
          <w:rtl w:val="true"/>
        </w:rPr>
        <w:t xml:space="preserve">الجهة الاُولى </w:t>
      </w:r>
      <w:r>
        <w:rPr>
          <w:rtl w:val="true"/>
        </w:rPr>
        <w:t xml:space="preserve">: </w:t>
      </w:r>
      <w:r>
        <w:rPr>
          <w:rtl w:val="true"/>
        </w:rPr>
        <w:t>في تحديد الوجه</w:t>
      </w:r>
      <w:bookmarkEnd w:id="410"/>
    </w:p>
    <w:p>
      <w:pPr>
        <w:pStyle w:val="Heading6"/>
        <w:numPr>
          <w:ilvl w:val="5"/>
          <w:numId w:val="1"/>
        </w:numPr>
        <w:rPr/>
      </w:pPr>
      <w:bookmarkStart w:id="411" w:name="__RefHeading___Toc8646111_3381743652"/>
      <w:bookmarkStart w:id="412" w:name="_Toc147"/>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والكلام يقع فيه في مقامين </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8646113_3381743652"/>
      <w:bookmarkStart w:id="414" w:name="_Toc148"/>
      <w:bookmarkEnd w:id="413"/>
      <w:r>
        <w:rPr>
          <w:rtl w:val="true"/>
        </w:rPr>
        <w:t xml:space="preserve">المقام الأوّل </w:t>
      </w:r>
      <w:r>
        <w:rPr>
          <w:rtl w:val="true"/>
        </w:rPr>
        <w:t xml:space="preserve">: </w:t>
      </w:r>
      <w:r>
        <w:rPr>
          <w:rtl w:val="true"/>
        </w:rPr>
        <w:t>في مقتضى الأدلّة مع قطع النظر عن فتوى الأصحاب</w:t>
      </w:r>
      <w:bookmarkEnd w:id="41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الآية</w:t>
      </w:r>
      <w:r>
        <w:rPr>
          <w:rStyle w:val="FootnoteAnchor"/>
          <w:rtl w:val="true"/>
        </w:rPr>
        <w:footnoteReference w:id="802"/>
      </w:r>
      <w:r>
        <w:rPr>
          <w:rFonts w:ascii="Amiri" w:hAnsi="Amiri" w:eastAsia="Amiri" w:cs="Amiri"/>
          <w:color w:val="111111"/>
          <w:sz w:val="28"/>
          <w:sz w:val="28"/>
          <w:szCs w:val="28"/>
          <w:rtl w:val="true"/>
          <w:lang w:bidi="ar-SA"/>
        </w:rPr>
        <w:t xml:space="preserve">جواز مسح بعض الوجه ؛ أيّ بعض كان بعد كون الباء تبعيضية ؛ إمّا لقول السيّد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الباء إذا لم يكن لتعدية الفعل إلى المفعول ، لا بدّ له من فائدة ، وإلاّ كان عبثاً ، ولا فائدة</w:t>
      </w:r>
    </w:p>
    <w:p>
      <w:pPr>
        <w:pStyle w:val="BookText"/>
        <w:rPr/>
      </w:pPr>
      <w:r>
        <w:rPr>
          <w:rFonts w:ascii="Amiri" w:hAnsi="Amiri" w:eastAsia="Amiri" w:cs="Amiri"/>
          <w:color w:val="111111"/>
          <w:sz w:val="28"/>
          <w:sz w:val="28"/>
          <w:szCs w:val="28"/>
          <w:rtl w:val="true"/>
          <w:lang w:bidi="ar-SA"/>
        </w:rPr>
        <w:t>بعد ارتفاع التعدية به إلاّ التبعيض</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وهو من أهل الخبرة في صناعة الأدب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لصحيحة زرارة المفسّرة للآية عن أبي جعفر علیه السلام </w:t>
      </w:r>
      <w:r>
        <w:rPr>
          <w:rStyle w:val="FootnoteAnchor"/>
          <w:rtl w:val="true"/>
        </w:rPr>
        <w:footnoteReference w:id="804"/>
      </w:r>
      <w:r>
        <w:rPr>
          <w:rFonts w:ascii="IRNazanin" w:hAnsi="IRNazanin" w:eastAsia="IRNazanin"/>
          <w:color w:val="111111"/>
          <w:sz w:val="28"/>
          <w:sz w:val="28"/>
          <w:szCs w:val="28"/>
          <w:rtl w:val="true"/>
          <w:lang w:bidi="fa-IR"/>
        </w:rPr>
        <w:t xml:space="preserve">واستدلّ علیه السلام  لتبعيض المسح في الوضوء والتيمّم بالباء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فعلى طوائف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رواية زرارة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عينيه إلى أسفل حاجبيه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السجود من مقام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الوجه من فوق الحاجبين ، وبقي ما بقي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بينها بالأخذ بإطلاق الآية ، وحمل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بين أعضاء الوجه ؛ بدعوى عدم استفادة التعيين منها بعد ذلك الاختلاف ، وحمل أخبار الوجه على الفضل في الاستيعاب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لأنّ الالتزام بجواز مسح العارض أو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مخالفاً لجميع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الإشكال ، بل غير ممكن وإن يظهر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استيعاب الوجه ، ومسح بعضه بشرط عدم الاقتصار على أقلّ من الجبهة</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المسح على العارض مثلاً إذا لم يقتصر على أقلّ منها مساحة ، وهو أسوأ من الجمع المتقدّم ؛ لالتزامه بالتخيير بين الأقلّ والأكثر ،</w:t>
      </w:r>
    </w:p>
    <w:p>
      <w:pPr>
        <w:pStyle w:val="BookText"/>
        <w:rPr/>
      </w:pPr>
      <w:r>
        <w:rPr>
          <w:rFonts w:ascii="Amiri" w:hAnsi="Amiri" w:eastAsia="Amiri" w:cs="Amiri"/>
          <w:color w:val="111111"/>
          <w:sz w:val="28"/>
          <w:sz w:val="28"/>
          <w:szCs w:val="28"/>
          <w:rtl w:val="true"/>
          <w:lang w:bidi="ar-SA"/>
        </w:rPr>
        <w:t xml:space="preserve">وهو لو لم يكن ممتنعاً ، فلا أقلّ من عدم كونه من الجمع المقبول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صالحة لتقييد الآية ، فلا بدّ من التخيير بينهما وبين الوجه ، أو تعيّن المسح بهما ، وإلاّ فلا وجه لعدم</w:t>
      </w:r>
    </w:p>
    <w:p>
      <w:pPr>
        <w:pStyle w:val="BookText"/>
        <w:rPr/>
      </w:pPr>
      <w:r>
        <w:rPr>
          <w:rFonts w:ascii="Amiri" w:hAnsi="Amiri" w:eastAsia="Amiri" w:cs="Amiri"/>
          <w:color w:val="111111"/>
          <w:sz w:val="28"/>
          <w:sz w:val="28"/>
          <w:szCs w:val="28"/>
          <w:rtl w:val="true"/>
          <w:lang w:bidi="ar-SA"/>
        </w:rPr>
        <w:t xml:space="preserve">جواز الاقتصار على أقلّ من الجبهة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812"/>
      </w:r>
      <w:r>
        <w:rPr>
          <w:rFonts w:ascii="Amiri" w:hAnsi="Amiri" w:eastAsia="Amiri" w:cs="Amiri"/>
          <w:color w:val="111111"/>
          <w:sz w:val="28"/>
          <w:sz w:val="28"/>
          <w:szCs w:val="28"/>
          <w:rtl w:val="true"/>
          <w:lang w:bidi="ar-SA"/>
        </w:rPr>
        <w:t xml:space="preserve">بالجمع بين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الاُولى على إرادة المسح في الجملة ؛ حملاً للمطلق على المقيّد ، وهو من أهون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تسليم دلالة روايات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الاستيعاب ، يقع التعارض بينها وبين ما دلّ على المسح على الجبينين بالتباين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 دلالة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المتجاوزة عن العشر ، وفيها الصحاح</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الاستيعاب ، وكونها في مقام بيان كيفية التيمّم ، لا يتأتّى الجمع بينها بما ذكر ، بل يقع التعارض بينها وبين غيرها بعد عدم كونها من قبيل المطلق والمقيّد ؛ لأنّ نسبة الكلّ والجزء ليست من قبيلهما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الشأن في ثبوت دعوى دلالتها عليه ؛ فإنّ الناظر بعين التدبّر ، يرى عدم </w:t>
      </w:r>
    </w:p>
    <w:p>
      <w:pPr>
        <w:pStyle w:val="BookText"/>
        <w:rPr/>
      </w:pPr>
      <w:r>
        <w:rPr>
          <w:rFonts w:ascii="Amiri" w:hAnsi="Amiri" w:eastAsia="Amiri" w:cs="Amiri"/>
          <w:color w:val="111111"/>
          <w:sz w:val="28"/>
          <w:sz w:val="28"/>
          <w:szCs w:val="28"/>
          <w:rtl w:val="true"/>
          <w:lang w:bidi="ar-SA"/>
        </w:rPr>
        <w:t xml:space="preserve">سلامة سوى النادرة منها من المناقشة ؛ إمّا سنداً ، أو دلالة ، أو جهة ، فها هي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دلّت على أنّ التيمّم ضربة للوجه ، وضربة لليدين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إسماعيل الكندي ، عن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ضربة للوجه ، وضربة للكفّين</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وصحيحة محمّد بن مسلم ،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 مرّتين للوجه واليدين</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وصحيحة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التيمّم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ضرب واحد للوضوء والغسل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بيديك مرّتين ، ثمّ تنفضهما نفضة للوجه ، ومرّة لليدين</w:t>
      </w:r>
      <w:r>
        <w:rPr>
          <w:rFonts w:eastAsia="IRNazanin" w:cs="IRNazanin"/>
          <w:color w:val="111111"/>
          <w:sz w:val="28"/>
          <w:szCs w:val="28"/>
          <w:rtl w:val="true"/>
          <w:lang w:bidi="fa-IR"/>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مقام حكم آخر لا يمكن استفادة لزوم الاستيعاب منها ، كما لا يستفاد لزوم مسح تمام اليد منها ، فهي لا تعارض أخبار المسح على الكفّ ، ولا ما دلّت على مسح الجبينين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صحيحة المرادي</w:t>
      </w:r>
      <w:r>
        <w:rPr>
          <w:rStyle w:val="FootnoteAnchor"/>
          <w:rtl w:val="true"/>
        </w:rPr>
        <w:footnoteReference w:id="816"/>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محمّد بن مسلم</w:t>
      </w:r>
      <w:r>
        <w:rPr>
          <w:rStyle w:val="FootnoteAnchor"/>
          <w:rtl w:val="true"/>
        </w:rPr>
        <w:footnoteReference w:id="817"/>
      </w:r>
      <w:r>
        <w:rPr>
          <w:rFonts w:ascii="Amiri" w:hAnsi="Amiri" w:eastAsia="Amiri" w:cs="Amiri"/>
          <w:color w:val="111111"/>
          <w:sz w:val="28"/>
          <w:sz w:val="28"/>
          <w:szCs w:val="28"/>
          <w:rtl w:val="true"/>
          <w:lang w:bidi="ar-SA"/>
        </w:rPr>
        <w:t>وموثّقة سماعة</w:t>
      </w:r>
      <w:r>
        <w:rPr>
          <w:rStyle w:val="FootnoteAnchor"/>
          <w:rtl w:val="true"/>
        </w:rPr>
        <w:footnoteReference w:id="818"/>
      </w:r>
      <w:r>
        <w:rPr>
          <w:rFonts w:ascii="IRNazanin" w:hAnsi="IRNazanin" w:eastAsia="IRNazanin"/>
          <w:color w:val="111111"/>
          <w:sz w:val="28"/>
          <w:sz w:val="28"/>
          <w:szCs w:val="28"/>
          <w:rtl w:val="true"/>
          <w:lang w:bidi="fa-IR"/>
        </w:rPr>
        <w:t xml:space="preserve">المشتملتان على مسح </w:t>
      </w:r>
    </w:p>
    <w:p>
      <w:pPr>
        <w:pStyle w:val="BookText"/>
        <w:rPr/>
      </w:pPr>
      <w:r>
        <w:rPr>
          <w:rFonts w:ascii="Amiri" w:hAnsi="Amiri" w:eastAsia="Amiri" w:cs="Amiri"/>
          <w:color w:val="111111"/>
          <w:sz w:val="28"/>
          <w:sz w:val="28"/>
          <w:szCs w:val="28"/>
          <w:rtl w:val="true"/>
          <w:lang w:bidi="ar-SA"/>
        </w:rPr>
        <w:t>الذراعين إلى المرفق ، فهما محمولتان على التقيّة ، واستقرّ المذهب على عدم</w:t>
      </w:r>
    </w:p>
    <w:p>
      <w:pPr>
        <w:pStyle w:val="BookText"/>
        <w:rPr/>
      </w:pPr>
      <w:r>
        <w:rPr>
          <w:rFonts w:ascii="Amiri" w:hAnsi="Amiri" w:eastAsia="Amiri" w:cs="Amiri"/>
          <w:color w:val="111111"/>
          <w:sz w:val="28"/>
          <w:sz w:val="28"/>
          <w:szCs w:val="28"/>
          <w:rtl w:val="true"/>
          <w:lang w:bidi="ar-SA"/>
        </w:rPr>
        <w:t xml:space="preserve">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صحيحة المرادي أيضاً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موثّقة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 الأرض ، ثمّ تنفضهما وتمسح بهما وجهك ويديك</w:t>
      </w:r>
      <w:r>
        <w:rPr>
          <w:rFonts w:eastAsia="IRNazanin" w:cs="IRNazanin"/>
          <w:color w:val="111111"/>
          <w:sz w:val="28"/>
          <w:szCs w:val="28"/>
          <w:rtl w:val="true"/>
          <w:lang w:bidi="fa-IR"/>
        </w:rPr>
        <w:t>»</w:t>
      </w:r>
      <w:r>
        <w:rPr>
          <w:rStyle w:val="FootnoteAnchor"/>
          <w:rtl w:val="true"/>
        </w:rPr>
        <w:footnoteReference w:id="819"/>
      </w:r>
      <w:r>
        <w:rPr>
          <w:rFonts w:ascii="Amiri" w:hAnsi="Amiri" w:eastAsia="Amiri" w:cs="Amiri"/>
          <w:color w:val="111111"/>
          <w:sz w:val="28"/>
          <w:sz w:val="28"/>
          <w:szCs w:val="28"/>
          <w:rtl w:val="true"/>
          <w:lang w:bidi="ar-SA"/>
        </w:rPr>
        <w:t>فمن القريب أن تكون بصدد بيان عدم لزوم نقل التراب إلى الوجه ؛ حيث قد يدّعى دلالة الآية على لزومه</w:t>
      </w:r>
      <w:r>
        <w:rPr>
          <w:rStyle w:val="FootnoteAnchor"/>
          <w:rtl w:val="true"/>
        </w:rPr>
        <w:footnoteReference w:id="820"/>
      </w:r>
      <w:r>
        <w:rPr>
          <w:rFonts w:ascii="Amiri" w:hAnsi="Amiri" w:eastAsia="Amiri" w:cs="Amiri"/>
          <w:color w:val="111111"/>
          <w:sz w:val="28"/>
          <w:sz w:val="28"/>
          <w:szCs w:val="28"/>
          <w:rtl w:val="true"/>
          <w:lang w:bidi="ar-SA"/>
        </w:rPr>
        <w:t>، ويظهر من فتوى الشافعي أنّ ذلك كان في تلك الأعصار مورد البحث والنظر</w:t>
      </w:r>
      <w:r>
        <w:rPr>
          <w:rStyle w:val="FootnoteAnchor"/>
          <w:rtl w:val="true"/>
        </w:rPr>
        <w:footnoteReference w:id="821"/>
      </w:r>
      <w:r>
        <w:rPr>
          <w:rFonts w:ascii="Amiri" w:hAnsi="Amiri" w:eastAsia="Amiri" w:cs="Amiri"/>
          <w:color w:val="111111"/>
          <w:sz w:val="28"/>
          <w:sz w:val="28"/>
          <w:szCs w:val="28"/>
          <w:rtl w:val="true"/>
          <w:lang w:bidi="ar-SA"/>
        </w:rPr>
        <w:t>، فلا تكون ناظرة إلى مقدار مسح الوجه واليدين ، ولذا ذُكر فيها اليدان لا الكفّان ،</w:t>
      </w:r>
    </w:p>
    <w:p>
      <w:pPr>
        <w:pStyle w:val="BookText"/>
        <w:rPr/>
      </w:pPr>
      <w:r>
        <w:rPr>
          <w:rFonts w:ascii="Amiri" w:hAnsi="Amiri" w:eastAsia="Amiri" w:cs="Amiri"/>
          <w:color w:val="111111"/>
          <w:sz w:val="28"/>
          <w:sz w:val="28"/>
          <w:szCs w:val="28"/>
          <w:rtl w:val="true"/>
          <w:lang w:bidi="ar-SA"/>
        </w:rPr>
        <w:t xml:space="preserve">ولو كانت بصدد بيان كيفية التيمّم لم تهمل وظيفة اليد ، فالأقرب ما ذكرنا من كونها بصدد بيان لزوم كون المسح باليد المضروبة على الأرض ، لا بأجزاء التراب ، ولهذا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تنفضهما وتمسح بهما</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روايتا داود بن النعمان</w:t>
      </w:r>
      <w:r>
        <w:rPr>
          <w:rStyle w:val="FootnoteAnchor"/>
          <w:rtl w:val="true"/>
        </w:rPr>
        <w:footnoteReference w:id="822"/>
      </w:r>
      <w:r>
        <w:rPr>
          <w:rFonts w:ascii="Amiri" w:hAnsi="Amiri" w:eastAsia="Amiri" w:cs="Amiri"/>
          <w:color w:val="111111"/>
          <w:sz w:val="28"/>
          <w:sz w:val="28"/>
          <w:szCs w:val="28"/>
          <w:rtl w:val="true"/>
          <w:lang w:bidi="ar-SA"/>
        </w:rPr>
        <w:t>والخزّاز</w:t>
      </w:r>
      <w:r>
        <w:rPr>
          <w:rStyle w:val="FootnoteAnchor"/>
          <w:rtl w:val="true"/>
        </w:rPr>
        <w:footnoteReference w:id="823"/>
      </w:r>
      <w:r>
        <w:rPr>
          <w:rFonts w:ascii="Amiri" w:hAnsi="Amiri" w:eastAsia="Amiri" w:cs="Amiri"/>
          <w:color w:val="111111"/>
          <w:sz w:val="28"/>
          <w:sz w:val="28"/>
          <w:szCs w:val="28"/>
          <w:rtl w:val="true"/>
          <w:lang w:bidi="ar-SA"/>
        </w:rPr>
        <w:t xml:space="preserve">فيحتمل فيهما 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للوجه أيضاً ، فيكون المراد مسح الوجه قليلاً ، وفوق الكفّ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المنظور ضرب اليد على الأرض في مقابل عمل عمّار ،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اشتمالهما على ما تصلح للقرينية ، لا يمكن إثبات الاستيعاب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الكاهلي</w:t>
      </w:r>
      <w:r>
        <w:rPr>
          <w:rStyle w:val="FootnoteAnchor"/>
          <w:rtl w:val="true"/>
        </w:rPr>
        <w:footnoteReference w:id="824"/>
      </w:r>
      <w:r>
        <w:rPr>
          <w:rFonts w:ascii="Amiri" w:hAnsi="Amiri" w:eastAsia="Amiri" w:cs="Amiri"/>
          <w:color w:val="111111"/>
          <w:sz w:val="28"/>
          <w:sz w:val="28"/>
          <w:szCs w:val="28"/>
          <w:rtl w:val="true"/>
          <w:lang w:bidi="ar-SA"/>
        </w:rPr>
        <w:t xml:space="preserve">فضعيفة ، ولو قيل بحسنها </w:t>
      </w:r>
      <w:r>
        <w:rPr>
          <w:rStyle w:val="FootnoteAnchor"/>
          <w:rtl w:val="true"/>
        </w:rPr>
        <w:footnoteReference w:id="825"/>
      </w:r>
      <w:r>
        <w:rPr>
          <w:rFonts w:ascii="Amiri" w:hAnsi="Amiri" w:eastAsia="Amiri" w:cs="Amiri"/>
          <w:color w:val="111111"/>
          <w:sz w:val="28"/>
          <w:sz w:val="28"/>
          <w:szCs w:val="28"/>
          <w:rtl w:val="true"/>
          <w:lang w:bidi="ar-SA"/>
        </w:rPr>
        <w:t xml:space="preserve">لكن لا تكون صالحة لمعارضة الصحاح ؛ لا سنداً ولا دلالة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فبقيت صحيحة واحدة هي صحيحة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 وذكر التيمّم وما صنع عمّار ، فوضع أبو جعفر كفّيه على الأرض ، ثمّ مسح وجهه وكفّيه ، ولم يمسح الذراعين بشيء</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بيان تفصيل القضيّة فيها حتّى يعلم كون أبي جعفر علیه السلام  في مقام بيان أيّة جهة من جهات التيمّم ، وكون المذكور فيها عمله ، ويصحّ لمن يرى مسح يده على جبهته أو جبينه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يده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تسامح وتجوّز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تقاوم الكتاب ؛ إذ لو كان المراد لزوم مسح جميع الوجه ، فتخالفه بالتباين بعد كون الباء للتبعيض ، ولا تقاوم الروايات الحاكية لفعل رسول اللّه‌ صلی الله علیه و آله وسلم الناصّة على مسحه بجبينيه ، فتكون قرينة على أن ليس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 ، لا لتقييد الإطلاق كما قيل</w:t>
      </w:r>
      <w:r>
        <w:rPr>
          <w:rStyle w:val="FootnoteAnchor"/>
          <w:rtl w:val="true"/>
        </w:rPr>
        <w:footnoteReference w:id="827"/>
      </w:r>
      <w:r>
        <w:rPr>
          <w:rFonts w:ascii="Amiri" w:hAnsi="Amiri" w:eastAsia="Amiri" w:cs="Amiri"/>
          <w:color w:val="111111"/>
          <w:sz w:val="28"/>
          <w:sz w:val="28"/>
          <w:szCs w:val="28"/>
          <w:rtl w:val="true"/>
          <w:lang w:bidi="ar-SA"/>
        </w:rPr>
        <w:t xml:space="preserve">، بل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البعض والتمام بلا مسامحة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دعوى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بيدك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يفهم الاستيعاب من الأوّل دون الثاني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وجوب الاستيعاب في الوجه حتّى مع الغضّ عن فتاوى الأصحاب</w:t>
      </w:r>
      <w:r>
        <w:rPr>
          <w:rStyle w:val="FootnoteAnchor"/>
          <w:rtl w:val="true"/>
        </w:rPr>
        <w:footnoteReference w:id="828"/>
      </w:r>
      <w:r>
        <w:rPr>
          <w:rFonts w:ascii="Amiri" w:hAnsi="Amiri" w:eastAsia="Amiri" w:cs="Amiri"/>
          <w:color w:val="111111"/>
          <w:sz w:val="28"/>
          <w:sz w:val="28"/>
          <w:szCs w:val="28"/>
          <w:rtl w:val="true"/>
          <w:lang w:bidi="ar-SA"/>
        </w:rPr>
        <w:t>ومخالفته للكتاب</w:t>
      </w:r>
      <w:r>
        <w:rPr>
          <w:rStyle w:val="FootnoteAnchor"/>
          <w:rtl w:val="true"/>
        </w:rPr>
        <w:footnoteReference w:id="829"/>
      </w:r>
      <w:r>
        <w:rPr>
          <w:rFonts w:ascii="Amiri" w:hAnsi="Amiri" w:eastAsia="Amiri" w:cs="Amiri"/>
          <w:color w:val="111111"/>
          <w:sz w:val="28"/>
          <w:sz w:val="28"/>
          <w:szCs w:val="28"/>
          <w:rtl w:val="true"/>
          <w:lang w:bidi="ar-SA"/>
        </w:rPr>
        <w:t>وموافقته للعامّة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الأخبار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سائر الأخبار ؛ فالمعتمد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زرارة</w:t>
      </w:r>
      <w:r>
        <w:rPr>
          <w:rStyle w:val="FootnoteAnchor"/>
          <w:rtl w:val="true"/>
        </w:rPr>
        <w:footnoteReference w:id="831"/>
      </w:r>
      <w:r>
        <w:rPr>
          <w:rFonts w:ascii="Amiri" w:hAnsi="Amiri" w:eastAsia="Amiri" w:cs="Amiri"/>
          <w:color w:val="111111"/>
          <w:sz w:val="28"/>
          <w:sz w:val="28"/>
          <w:szCs w:val="28"/>
          <w:rtl w:val="true"/>
          <w:lang w:bidi="ar-SA"/>
        </w:rPr>
        <w:t>وموثّقته</w:t>
      </w:r>
      <w:r>
        <w:rPr>
          <w:rStyle w:val="FootnoteAnchor"/>
          <w:rtl w:val="true"/>
        </w:rPr>
        <w:footnoteReference w:id="832"/>
      </w:r>
      <w:r>
        <w:rPr>
          <w:rFonts w:ascii="IRNazanin" w:hAnsi="IRNazanin" w:eastAsia="IRNazanin"/>
          <w:color w:val="111111"/>
          <w:sz w:val="28"/>
          <w:sz w:val="28"/>
          <w:szCs w:val="28"/>
          <w:rtl w:val="true"/>
          <w:lang w:bidi="fa-IR"/>
        </w:rPr>
        <w:t xml:space="preserve">الحاكيتان لفعل رسول اللّه‌ صلی الله علیه و آله وسلم  تعليماً لعمّار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كالصريح في كفاية مسح الجبينين من دون لزوم مسح الجبهة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جبينيه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بجبينيه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مقام بيان الحكم وماهية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 كنصّ في أنّ تمام الدخيل فيه مسحهما فقط ، وليس مسح غيرهما كالجبهة وغيرها دخيلاً في ماهيته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كنقل أحد من الرواة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ترك ذكر الجبهة بتوهّم ملازمة مسحها لمسحهما مع عدم الملازمة واقعاً ، أو احتمل فيه الخطأ في فهم كيفية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اللازم مسح الجبهة ، لمسحها رسول اللّه‌ صلی الله علیه و آله وسلم  ، ونقل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وتدلّ عليه أيضاً رواية ابن أبي المقدام أو 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صفوان عنه</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وصف التيمّم ، فضرب بيديه على الأرض ، ثمّ رفعهما فنفضهما ،ثمّ مسح على جبينيه</w:t>
      </w:r>
      <w:r>
        <w:rPr>
          <w:rStyle w:val="FootnoteAnchor"/>
          <w:rtl w:val="true"/>
        </w:rPr>
        <w:footnoteReference w:id="834"/>
      </w:r>
      <w:r>
        <w:rPr>
          <w:rFonts w:ascii="Amiri" w:hAnsi="Amiri" w:eastAsia="Amiri" w:cs="Amiri"/>
          <w:color w:val="111111"/>
          <w:sz w:val="28"/>
          <w:sz w:val="28"/>
          <w:szCs w:val="28"/>
          <w:rtl w:val="true"/>
          <w:lang w:bidi="ar-SA"/>
        </w:rPr>
        <w:t>وكفّيه مرّة واحدة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مثنّاة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مسحه جبهته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موثّقة زرارة</w:t>
      </w:r>
      <w:r>
        <w:rPr>
          <w:rStyle w:val="FootnoteAnchor"/>
          <w:rtl w:val="true"/>
        </w:rPr>
        <w:footnoteReference w:id="836"/>
      </w:r>
      <w:r>
        <w:rPr>
          <w:rFonts w:ascii="Amiri" w:hAnsi="Amiri" w:eastAsia="Amiri" w:cs="Amiri"/>
          <w:color w:val="111111"/>
          <w:sz w:val="28"/>
          <w:sz w:val="28"/>
          <w:szCs w:val="28"/>
          <w:rtl w:val="true"/>
          <w:lang w:bidi="ar-SA"/>
        </w:rPr>
        <w:t xml:space="preserve">، المختلفة في النقل ، المردّدة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واشتبهت في النسخ لغاية تشابههما في الخطّ العربي ، سيّما في الخطوط القديمة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رجّحنا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سائر الروايات المتّفقة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بل المظنون وقوع تصحيف في عبارة الحسن بن علي العُماني ؛ </w:t>
      </w:r>
    </w:p>
    <w:p>
      <w:pPr>
        <w:pStyle w:val="BookText"/>
        <w:rPr/>
      </w:pPr>
      <w:r>
        <w:rPr>
          <w:rFonts w:ascii="Amiri" w:hAnsi="Amiri" w:eastAsia="Amiri" w:cs="Amiri"/>
          <w:color w:val="111111"/>
          <w:sz w:val="28"/>
          <w:sz w:val="28"/>
          <w:szCs w:val="28"/>
          <w:rtl w:val="true"/>
          <w:lang w:bidi="ar-SA"/>
        </w:rPr>
        <w:t>حيث ادّعى تواتر الأخبار بأ نّه حين علّم عمّاراً مسح بهما جبهته وكفّيه</w:t>
      </w:r>
      <w:r>
        <w:rPr>
          <w:rStyle w:val="FootnoteAnchor"/>
          <w:rtl w:val="true"/>
        </w:rPr>
        <w:footnoteReference w:id="838"/>
      </w:r>
      <w:r>
        <w:rPr>
          <w:rFonts w:ascii="Amiri" w:hAnsi="Amiri" w:eastAsia="Amiri" w:cs="Amiri"/>
          <w:color w:val="111111"/>
          <w:sz w:val="28"/>
          <w:sz w:val="28"/>
          <w:szCs w:val="28"/>
          <w:rtl w:val="true"/>
          <w:lang w:bidi="ar-SA"/>
        </w:rPr>
        <w:t xml:space="preserve">،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فاشتبهت وصُحّفت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المشابهة في الخطّ ، وإلاّ فكيف يدّعي تواتر ما ليس بموجود إلاّ نادراً ، وترك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روايات كثيرة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 يجب استيعاب الوجه والذراعين بالمسح ؟ فيه روايتان أشهرهما اختصاص المسح بالجبهة</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فليس المراد منه أكثرية الرواية كما توهّم</w:t>
      </w:r>
      <w:r>
        <w:rPr>
          <w:rStyle w:val="FootnoteAnchor"/>
          <w:rtl w:val="true"/>
        </w:rPr>
        <w:footnoteReference w:id="840"/>
      </w:r>
      <w:r>
        <w:rPr>
          <w:rFonts w:ascii="Amiri" w:hAnsi="Amiri" w:eastAsia="Amiri" w:cs="Amiri"/>
          <w:color w:val="111111"/>
          <w:sz w:val="28"/>
          <w:sz w:val="28"/>
          <w:szCs w:val="28"/>
          <w:rtl w:val="true"/>
          <w:lang w:bidi="ar-SA"/>
        </w:rPr>
        <w:t>، بل أشهريتها بحسب الفتوى ، وهو مبنيّ على حمل</w:t>
      </w:r>
    </w:p>
    <w:p>
      <w:pPr>
        <w:pStyle w:val="BookText"/>
        <w:rPr/>
      </w:pPr>
      <w:r>
        <w:rPr>
          <w:rFonts w:ascii="Amiri" w:hAnsi="Amiri" w:eastAsia="Amiri" w:cs="Amiri"/>
          <w:color w:val="111111"/>
          <w:sz w:val="28"/>
          <w:sz w:val="28"/>
          <w:szCs w:val="28"/>
          <w:rtl w:val="true"/>
          <w:lang w:bidi="ar-SA"/>
        </w:rPr>
        <w:t xml:space="preserve">عبارات من تقدّم عليه على اختصاص المسح بالجبهة ، وسيأتي الكلام فيها </w:t>
      </w:r>
      <w:r>
        <w:rPr>
          <w:rStyle w:val="FootnoteAnchor"/>
          <w:rtl w:val="true"/>
        </w:rPr>
        <w:footnoteReference w:id="841"/>
      </w:r>
      <w:r>
        <w:rPr>
          <w:rFonts w:ascii="Amiri" w:hAnsi="Amiri" w:eastAsia="Amiri" w:cs="Amiri"/>
          <w:color w:val="111111"/>
          <w:sz w:val="28"/>
          <w:sz w:val="28"/>
          <w:szCs w:val="28"/>
          <w:rtl w:val="true"/>
          <w:lang w:bidi="ar-SA"/>
        </w:rPr>
        <w:t xml:space="preserve">، وإلاّ فروايات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بلا إشكال ، ولم تصل إلى المحقّق روايات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أشهرية الفتوى ، والشهرة الفتوائية هي الميزان في قبول رواية أو ردّها لا الأكثرية ، كما هو المقرّر في محلّه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 بعض روايات ضعاف تدلّ على وجوب مسح الجبهة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يثبت كونه رواية ، بل الظاهر من عباراته أ نّه مصنَّف فقيهٍ أفتى بمضمون الأخبار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تمسح بهما وجهك موضع السجود من مقام الشعر </w:t>
      </w:r>
      <w:bookmarkStart w:id="415" w:name="pg17116_198828"/>
    </w:p>
    <w:p>
      <w:pPr>
        <w:pStyle w:val="BookText"/>
        <w:rPr/>
      </w:pPr>
      <w:bookmarkEnd w:id="415"/>
      <w:r>
        <w:rPr>
          <w:rFonts w:ascii="Amiri" w:hAnsi="Amiri" w:eastAsia="Amiri" w:cs="Amiri"/>
          <w:color w:val="111111"/>
          <w:sz w:val="28"/>
          <w:sz w:val="28"/>
          <w:szCs w:val="28"/>
          <w:rtl w:val="true"/>
          <w:lang w:bidi="ar-SA"/>
        </w:rPr>
        <w:t>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تمسح بأطراف أصابعك وجهك من فوق حاجبيك ، وبقي ما بقي</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من هذه الرواية الأخيرة مسح جميع ما فوق الحاجبين ، وإبقاء بقيّة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رجوع مرسلة العيّاشي إلى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قضيّة عمّار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وضع يديه جميعاً على الصعيد ، ثمّ مسح من بين عينيه إلى أسفل حاجبيه</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وهي موافقة لفتوى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مع احتمال كون المراد مسح الجبهة إلى طرف الأنف المحاذي لأسفل الحاجبين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الجمود على الروايات الصالحة للاعتماد ، كفاية مسح الجبينين وعدم الاجتزاء بمسح الجبهة خاصّة ؛ لأنّ ما دلّت على الاجتزاء بها غير صالحة للحجّية ، إلاّ أن يثبت استناد المشهور إليها ، وهو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p>
    <w:p>
      <w:pPr>
        <w:pStyle w:val="BookText"/>
        <w:rPr/>
      </w:pPr>
      <w:r>
        <w:rPr>
          <w:rFonts w:ascii="Amiri" w:hAnsi="Amiri" w:eastAsia="Amiri" w:cs="Amiri"/>
          <w:color w:val="111111"/>
          <w:sz w:val="28"/>
          <w:sz w:val="28"/>
          <w:szCs w:val="28"/>
          <w:rtl w:val="true"/>
          <w:lang w:bidi="ar-SA"/>
        </w:rPr>
        <w:t xml:space="preserve">حال الروايات </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8646115_3381743652"/>
      <w:bookmarkStart w:id="417" w:name="_Toc149"/>
      <w:bookmarkEnd w:id="416"/>
      <w:r>
        <w:rPr>
          <w:rtl w:val="true"/>
        </w:rPr>
        <w:t xml:space="preserve">وأمّا المقام الثاني </w:t>
      </w:r>
      <w:r>
        <w:rPr>
          <w:rtl w:val="true"/>
        </w:rPr>
        <w:t xml:space="preserve">: </w:t>
      </w:r>
      <w:r>
        <w:rPr>
          <w:rtl w:val="true"/>
        </w:rPr>
        <w:t>وهو حال فتاوى الأصحاب</w:t>
      </w:r>
      <w:bookmarkEnd w:id="417"/>
    </w:p>
    <w:p>
      <w:pPr>
        <w:pStyle w:val="Heading6"/>
        <w:numPr>
          <w:ilvl w:val="5"/>
          <w:numId w:val="1"/>
        </w:numPr>
        <w:rPr/>
      </w:pPr>
      <w:bookmarkStart w:id="418" w:name="__RefHeading___Toc8646117_3381743652"/>
      <w:bookmarkStart w:id="419" w:name="_Toc150"/>
      <w:bookmarkEnd w:id="418"/>
      <w:r>
        <w:rPr>
          <w:rtl w:val="true"/>
        </w:rPr>
        <w:t>اشارة</w:t>
      </w:r>
      <w:bookmarkEnd w:id="41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فتاوى قدمائهم إلى زمان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التحديد بمسح الجبينين والجبهة عرضاً ، ومن قصاص الشعر إلى طرف الأنف </w:t>
      </w:r>
    </w:p>
    <w:p>
      <w:pPr>
        <w:pStyle w:val="BookText"/>
        <w:rPr/>
      </w:pPr>
      <w:r>
        <w:rPr>
          <w:rFonts w:ascii="Amiri" w:hAnsi="Amiri" w:eastAsia="Amiri" w:cs="Amiri"/>
          <w:color w:val="111111"/>
          <w:sz w:val="28"/>
          <w:sz w:val="28"/>
          <w:szCs w:val="28"/>
          <w:rtl w:val="true"/>
          <w:lang w:bidi="ar-SA"/>
        </w:rPr>
        <w:t>طولاً ؛ لأنّ الغالب فيها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الوجه باليدين من قصاص شعر رأسه إلى</w:t>
      </w:r>
    </w:p>
    <w:p>
      <w:pPr>
        <w:pStyle w:val="BookText"/>
        <w:rPr/>
      </w:pPr>
      <w:r>
        <w:rPr>
          <w:rFonts w:ascii="Amiri" w:hAnsi="Amiri" w:eastAsia="Amiri" w:cs="Amiri"/>
          <w:color w:val="111111"/>
          <w:sz w:val="28"/>
          <w:sz w:val="28"/>
          <w:szCs w:val="28"/>
          <w:rtl w:val="true"/>
          <w:lang w:bidi="ar-SA"/>
        </w:rPr>
        <w:t>طرف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عباراتهم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الوجه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باليدين مضمومتين ، كما هو المتبادر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العرض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الطول ، في مقابل العامّة القائلين بالاستيعاب ، أو مسح أكثر الوجه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 يرجع قول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به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مسح الوجه بالتراب في التيمّم ، إنّما هو إلى طرف الأنف من غير استيعاب له ، فإنّ باقي الفقهاء يوجبون الاستيعاب</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الثاني بعد قول الناصر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وتعميم الوجه واليدين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غير صحيح ، وقد بيّنّاه في المسألة التي قبل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أصحابنا على أنّ التيمّم في الوجه ، إنّما هو من قصاص الشعر إلى طرف الأنف</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الوجه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مسح جميع القطعة التي وقعت من الوجه فوق طرف الأنف ، لا ما هو بحذاء طرفه ، فإنّه أقلّ من عرض إصبع واحد ، ولا ينطبق إلاّ على أقلّ من الجبهة ، فاحتماله في عبارته وسائر عبارات القوم مقطوع الفساد ، بل الإجماع والضرورة على خلافه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وإليها من هذه الجهة ترجع ظاهراً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فامسح بهما بين عينيك </w:t>
      </w:r>
    </w:p>
    <w:p>
      <w:pPr>
        <w:pStyle w:val="BookText"/>
        <w:rPr/>
      </w:pPr>
      <w:r>
        <w:rPr>
          <w:rFonts w:ascii="Amiri" w:hAnsi="Amiri" w:eastAsia="Amiri" w:cs="Amiri"/>
          <w:color w:val="111111"/>
          <w:sz w:val="28"/>
          <w:sz w:val="28"/>
          <w:szCs w:val="28"/>
          <w:rtl w:val="true"/>
          <w:lang w:bidi="ar-SA"/>
        </w:rPr>
        <w:t>إلى أسفل الحاجبين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لاحتمال كون المراد التحديد عرضاً باليدين ، وطولاً إلى أسفل الحاجبين ، سيّما مع ذكر الحاجبين ، لا طرف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رجوع قول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قال فيما وصف دين الإمامية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أراد الرجل أن يتيمّم ضرب بيديه على الأرض مرّة واحدة ، ثمّ ينفضهما فيمسح بهما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الرجل جبينه وحاجبيه ، ويمسح على ظهر كفّيه ، وعليه مضى مشايخنا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ومسح بهما جبينيه وحاجبيه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بقرينة إفراد الجبين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مسح</w:t>
      </w:r>
    </w:p>
    <w:p>
      <w:pPr>
        <w:pStyle w:val="BookText"/>
        <w:rPr/>
      </w:pPr>
      <w:r>
        <w:rPr>
          <w:rFonts w:ascii="Amiri" w:hAnsi="Amiri" w:eastAsia="Amiri" w:cs="Amiri"/>
          <w:color w:val="111111"/>
          <w:sz w:val="28"/>
          <w:sz w:val="28"/>
          <w:szCs w:val="28"/>
          <w:rtl w:val="true"/>
          <w:lang w:bidi="ar-SA"/>
        </w:rPr>
        <w:t xml:space="preserve">تمامهما الملازم لمسح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مسح الجبهة والجبين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أنّ مسح الجبين فقط مخالف لكلمات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كلمات أصحابنا من زمن الصدوق إلى عصر المحقّق ممّا عثرت عليه من كتبهم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الصلاح وابن إدريس كذلك</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من عصر المحقّق فقد تغيّرت العبارات ،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 يجب استيعاب الوجه والذراعين بالمسح ؟ فيه روايتان أشهرهما اختصاص المسح بالجبهة وظاهر الكفّين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أشهرهما فتوى ، كما تقدّم</w:t>
      </w:r>
      <w:r>
        <w:rPr>
          <w:rStyle w:val="FootnoteAnchor"/>
          <w:rtl w:val="true"/>
        </w:rPr>
        <w:footnoteReference w:id="854"/>
      </w:r>
      <w:r>
        <w:rPr>
          <w:rFonts w:ascii="Amiri" w:hAnsi="Amiri" w:eastAsia="Amiri" w:cs="Amiri"/>
          <w:color w:val="111111"/>
          <w:sz w:val="28"/>
          <w:sz w:val="28"/>
          <w:szCs w:val="28"/>
          <w:rtl w:val="true"/>
          <w:lang w:bidi="ar-SA"/>
        </w:rPr>
        <w:t xml:space="preserve">، وهو مبنيّ على أنّ مراد قدماء أصحابنا من العبارات المتقدّمة هو مسح الجبهة ؛ بقرينة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 ذلك لتحديد الطول</w:t>
      </w:r>
      <w:r>
        <w:rPr>
          <w:rStyle w:val="FootnoteAnchor"/>
          <w:rtl w:val="true"/>
        </w:rPr>
        <w:footnoteReference w:id="855"/>
      </w:r>
      <w:r>
        <w:rPr>
          <w:rFonts w:ascii="Amiri" w:hAnsi="Amiri" w:eastAsia="Amiri" w:cs="Amiri"/>
          <w:color w:val="111111"/>
          <w:sz w:val="28"/>
          <w:sz w:val="28"/>
          <w:szCs w:val="28"/>
          <w:rtl w:val="true"/>
          <w:lang w:bidi="ar-SA"/>
        </w:rPr>
        <w:t xml:space="preserve">، فكما حدّدوا الوجه في الوضوء من قصاص الشعر إلى محادر شعر الذقن طولاً ، وبما اشتمل عليه الإبهام والوسطى عرضاً ، حدّدوه في المقام عرضاً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تمام باطنهما متّصلين ، وطولاً بما ذكر في مقابل الاستيعاب</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مسح الجبهة إلى مذهب الثلاثة</w:t>
      </w:r>
      <w:r>
        <w:rPr>
          <w:rStyle w:val="FootnoteAnchor"/>
          <w:rtl w:val="true"/>
        </w:rPr>
        <w:footnoteReference w:id="858"/>
      </w:r>
      <w:r>
        <w:rPr>
          <w:rFonts w:ascii="IRNazanin" w:hAnsi="IRNazanin" w:eastAsia="IRNazanin"/>
          <w:color w:val="111111"/>
          <w:sz w:val="28"/>
          <w:sz w:val="28"/>
          <w:szCs w:val="28"/>
          <w:rtl w:val="true"/>
          <w:lang w:bidi="fa-IR"/>
        </w:rPr>
        <w:t>وأتباعهم</w:t>
      </w:r>
      <w:r>
        <w:rPr>
          <w:rStyle w:val="FootnoteAnchor"/>
          <w:rtl w:val="true"/>
        </w:rPr>
        <w:footnoteReference w:id="859"/>
      </w:r>
      <w:r>
        <w:rPr>
          <w:rFonts w:ascii="Amiri" w:hAnsi="Amiri" w:eastAsia="Amiri" w:cs="Amiri"/>
          <w:color w:val="111111"/>
          <w:sz w:val="28"/>
          <w:sz w:val="28"/>
          <w:szCs w:val="28"/>
          <w:rtl w:val="true"/>
          <w:lang w:bidi="ar-SA"/>
        </w:rPr>
        <w:t xml:space="preserve">فإن كان مراده اختصاصه بالجبهة 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ففيه ما مرّ</w:t>
      </w:r>
      <w:r>
        <w:rPr>
          <w:rStyle w:val="FootnoteAnchor"/>
          <w:rtl w:val="true"/>
        </w:rPr>
        <w:footnoteReference w:id="861"/>
      </w:r>
      <w:r>
        <w:rPr>
          <w:rFonts w:ascii="Amiri" w:hAnsi="Amiri" w:eastAsia="Amiri" w:cs="Amiri"/>
          <w:color w:val="111111"/>
          <w:sz w:val="28"/>
          <w:sz w:val="28"/>
          <w:szCs w:val="28"/>
          <w:rtl w:val="true"/>
          <w:lang w:bidi="ar-SA"/>
        </w:rPr>
        <w:t xml:space="preserve">، وإن كان مراده لزوم مسحها أيضاً مضافاً إلى الجبينين ، فهو حقّ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بها </w:t>
      </w:r>
      <w:r>
        <w:rPr>
          <w:rStyle w:val="FootnoteAnchor"/>
          <w:rtl w:val="true"/>
        </w:rPr>
        <w:footnoteReference w:id="862"/>
      </w:r>
      <w:r>
        <w:rPr>
          <w:rFonts w:ascii="Amiri" w:hAnsi="Amiri" w:eastAsia="Amiri" w:cs="Amiri"/>
          <w:color w:val="111111"/>
          <w:sz w:val="28"/>
          <w:sz w:val="28"/>
          <w:szCs w:val="28"/>
          <w:rtl w:val="true"/>
          <w:lang w:bidi="ar-SA"/>
        </w:rPr>
        <w:t xml:space="preserve">، كظاهر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64"/>
      </w:r>
      <w:r>
        <w:rPr>
          <w:rFonts w:ascii="IRNazanin" w:hAnsi="IRNazanin" w:eastAsia="IRNazanin"/>
          <w:color w:val="111111"/>
          <w:sz w:val="28"/>
          <w:sz w:val="28"/>
          <w:szCs w:val="28"/>
          <w:rtl w:val="true"/>
          <w:lang w:bidi="fa-IR"/>
        </w:rPr>
        <w:t>وإن عبّر فيها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لتمسّكه بقول الصادق علیه السلام  في رواية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زرارة سأل الصادق علیه السلام  عن التيمّم ، فضرب بيديه الأرض ، ثمّ رفعهما فنفضهما ومسح بهما جبهته وكفّيه مرّة واحدة</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وهي بعينها موثّقة زرارة ، عن أبي جعفر علیه السلام </w:t>
      </w:r>
      <w:r>
        <w:rPr>
          <w:rStyle w:val="FootnoteAnchor"/>
          <w:rtl w:val="true"/>
        </w:rPr>
        <w:footnoteReference w:id="866"/>
      </w:r>
      <w:r>
        <w:rPr>
          <w:rFonts w:ascii="IRNazanin" w:hAnsi="IRNazanin" w:eastAsia="IRNazanin"/>
          <w:color w:val="111111"/>
          <w:sz w:val="28"/>
          <w:sz w:val="28"/>
          <w:szCs w:val="28"/>
          <w:rtl w:val="true"/>
          <w:lang w:bidi="fa-IR"/>
        </w:rPr>
        <w:t xml:space="preserve">لكنّه نسبها إلى الصادق علیه السلام  ، ولعلّها رواية اُخرى عثر عليها وإن كان بعيداً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أكثر علمائنا على أنّ حدّ الوجه هنا من قصاص الشعر إلى طرف الأنف ، اختاره الشيخ في كتبه</w:t>
      </w:r>
      <w:r>
        <w:rPr>
          <w:rStyle w:val="FootnoteAnchor"/>
          <w:rtl w:val="true"/>
        </w:rPr>
        <w:footnoteReference w:id="867"/>
      </w:r>
      <w:r>
        <w:rPr>
          <w:rFonts w:ascii="Amiri" w:hAnsi="Amiri" w:eastAsia="Amiri" w:cs="Amiri"/>
          <w:color w:val="111111"/>
          <w:sz w:val="28"/>
          <w:sz w:val="28"/>
          <w:szCs w:val="28"/>
          <w:rtl w:val="true"/>
          <w:lang w:bidi="ar-SA"/>
        </w:rPr>
        <w:t>، والمفيد</w:t>
      </w:r>
      <w:r>
        <w:rPr>
          <w:rStyle w:val="FootnoteAnchor"/>
          <w:rtl w:val="true"/>
        </w:rPr>
        <w:footnoteReference w:id="868"/>
      </w:r>
      <w:r>
        <w:rPr>
          <w:rFonts w:ascii="Amiri" w:hAnsi="Amiri" w:eastAsia="Amiri" w:cs="Amiri"/>
          <w:color w:val="111111"/>
          <w:sz w:val="28"/>
          <w:sz w:val="28"/>
          <w:szCs w:val="28"/>
          <w:rtl w:val="true"/>
          <w:lang w:bidi="ar-SA"/>
        </w:rPr>
        <w:t xml:space="preserve">والمرتضى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انتصاره</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وابن إدريس</w:t>
      </w:r>
      <w:r>
        <w:rPr>
          <w:rStyle w:val="FootnoteAnchor"/>
          <w:rtl w:val="true"/>
        </w:rPr>
        <w:footnoteReference w:id="870"/>
      </w:r>
      <w:r>
        <w:rPr>
          <w:rFonts w:ascii="IRNazanin" w:hAnsi="IRNazanin" w:eastAsia="IRNazanin"/>
          <w:color w:val="111111"/>
          <w:sz w:val="28"/>
          <w:sz w:val="28"/>
          <w:szCs w:val="28"/>
          <w:rtl w:val="true"/>
          <w:lang w:bidi="fa-IR"/>
        </w:rPr>
        <w:t>وأبو الصلاح</w:t>
      </w:r>
      <w:r>
        <w:rPr>
          <w:rStyle w:val="FootnoteAnchor"/>
          <w:rtl w:val="true"/>
        </w:rPr>
        <w:footnoteReference w:id="8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قول علي بن بابويه </w:t>
      </w:r>
    </w:p>
    <w:p>
      <w:pPr>
        <w:pStyle w:val="BookText"/>
        <w:rPr/>
      </w:pPr>
      <w:r>
        <w:rPr>
          <w:rFonts w:ascii="Amiri" w:hAnsi="Amiri" w:eastAsia="Amiri" w:cs="Amiri"/>
          <w:color w:val="111111"/>
          <w:sz w:val="28"/>
          <w:sz w:val="28"/>
          <w:szCs w:val="28"/>
          <w:rtl w:val="true"/>
          <w:lang w:bidi="ar-SA"/>
        </w:rPr>
        <w:t xml:space="preserve">وغيره وتمسّك لمختاره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القائل بالاستيعاب</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إرجاع كلامه فيهما إلى ما ذكرناه واستظهرناه من كلام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مسح الجبهة من القصاص إلى طرف الأنف متّفق عليه بين الأصحاب</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 xml:space="preserve">ولعلّ مراده وجوب مسحها ، لا الاختصاص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القدر متّفق عليه بين الأصحاب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 بعضهم مسح الجبينين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المحيطان بالجبهة ، يتّصلان بالصُدْغين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في بعض الأخبار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مقابله الأردبيلي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المشهور أنّ مسح الجبينين واجب وكافٍ</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مصيب في وجوبه ، لا في كفايته ، كما أنّ الشهيد مصيب في أنّ وجوب مسح الجبهة متّفق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 لما نقل عن المحقّق من التخيير بين الوجه وبعضه بمقدار مساحة الجبهة</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مصيب في انتساب الجبينين إلى بعضهم </w:t>
      </w:r>
      <w:r>
        <w:rPr>
          <w:rFonts w:eastAsia="Amiri" w:cs="Amiri" w:ascii="Amiri" w:hAnsi="Amiri"/>
          <w:color w:val="111111"/>
          <w:sz w:val="28"/>
          <w:szCs w:val="28"/>
          <w:rtl w:val="true"/>
          <w:lang w:bidi="ar-SA"/>
        </w:rPr>
        <w:t xml:space="preserve">. </w:t>
      </w:r>
      <w:bookmarkStart w:id="420" w:name="pg17116_198834"/>
    </w:p>
    <w:p>
      <w:pPr>
        <w:pStyle w:val="BookText"/>
        <w:rPr/>
      </w:pPr>
      <w:bookmarkEnd w:id="420"/>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مسح الجبينين والجبهة وفاقاً للمشهور بين المتقدّمين ، كما عرفت ، بل والمتأخّرين ؛ فإنّه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صاحب المعالم</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نّه المشهور</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لعلّه لا نزاع فيه بين الفقهاء</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كونه من دين الإمامية ، ومضى عليه مشايخنا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فالظاهر أنّ ما نَسب إلى دين الإمامية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ومضى عليه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ما ذكر كما مرّ</w:t>
      </w:r>
      <w:r>
        <w:rPr>
          <w:rStyle w:val="FootnoteAnchor"/>
          <w:rtl w:val="true"/>
        </w:rPr>
        <w:footnoteReference w:id="881"/>
      </w:r>
      <w:r>
        <w:rPr>
          <w:rFonts w:ascii="Amiri" w:hAnsi="Amiri" w:eastAsia="Amiri" w:cs="Amiri"/>
          <w:color w:val="111111"/>
          <w:sz w:val="28"/>
          <w:sz w:val="28"/>
          <w:szCs w:val="28"/>
          <w:rtl w:val="true"/>
          <w:lang w:bidi="ar-SA"/>
        </w:rPr>
        <w:t xml:space="preserve">، فراجع عبارته ، فإنّ النسخة التي عندي مغلوطة ظاهراً </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8646119_3381743652"/>
      <w:bookmarkStart w:id="422" w:name="_Toc151"/>
      <w:bookmarkEnd w:id="421"/>
      <w:r>
        <w:rPr>
          <w:rtl w:val="true"/>
        </w:rPr>
        <w:t>تأويل الروايات على ما تنطبق على القول المشهور</w:t>
      </w:r>
      <w:bookmarkEnd w:id="42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من الشهرة المحقّقة والسيرة القطعية ، لا بدّ من تأويل الروايات على ما تنطبق على القول المشهور ، أو ردّ علمها إلى أهله ، وانطباقها عليه ليس </w:t>
      </w:r>
    </w:p>
    <w:p>
      <w:pPr>
        <w:pStyle w:val="BookText"/>
        <w:rPr/>
      </w:pPr>
      <w:r>
        <w:rPr>
          <w:rFonts w:ascii="Amiri" w:hAnsi="Amiri" w:eastAsia="Amiri" w:cs="Amiri"/>
          <w:color w:val="111111"/>
          <w:sz w:val="28"/>
          <w:sz w:val="28"/>
          <w:szCs w:val="28"/>
          <w:rtl w:val="true"/>
          <w:lang w:bidi="ar-SA"/>
        </w:rPr>
        <w:t>ببعيد ؛ بدعوى أنّ مسح جبينيه بتمام أصابعه يلازم عادة مسح الجبهة ، وكذا المسح باليدين عليهما ، كما هو ظاهر موثّقة زرارة</w:t>
      </w:r>
      <w:r>
        <w:rPr>
          <w:rStyle w:val="FootnoteAnchor"/>
          <w:rtl w:val="true"/>
        </w:rPr>
        <w:footnoteReference w:id="882"/>
      </w:r>
      <w:r>
        <w:rPr>
          <w:rFonts w:ascii="Amiri" w:hAnsi="Amiri" w:eastAsia="Amiri" w:cs="Amiri"/>
          <w:color w:val="111111"/>
          <w:sz w:val="28"/>
          <w:sz w:val="28"/>
          <w:szCs w:val="28"/>
          <w:rtl w:val="true"/>
          <w:lang w:bidi="ar-SA"/>
        </w:rPr>
        <w:t>ورواية ابن أبي المقدام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وأولى منهما موثّقة زرارة الاُخرى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w:t>
      </w:r>
    </w:p>
    <w:p>
      <w:pPr>
        <w:pStyle w:val="BookText"/>
        <w:rPr/>
      </w:pPr>
      <w:r>
        <w:rPr>
          <w:rFonts w:ascii="Amiri" w:hAnsi="Amiri" w:eastAsia="Amiri" w:cs="Amiri"/>
          <w:color w:val="111111"/>
          <w:sz w:val="28"/>
          <w:sz w:val="28"/>
          <w:szCs w:val="28"/>
          <w:rtl w:val="true"/>
          <w:lang w:bidi="ar-SA"/>
        </w:rPr>
        <w:t>بها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Style w:val="FootnoteAnchor"/>
          <w:rtl w:val="true"/>
        </w:rPr>
        <w:footnoteReference w:id="884"/>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القطعة التي فوق الحاجبين غير بعيد ، بل شائع في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بكدّ اليمين ، وعرق الجبين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يظهر من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بلفظ التثنية لا المفرد</w:t>
      </w:r>
      <w:r>
        <w:rPr>
          <w:rStyle w:val="FootnoteAnchor"/>
          <w:rtl w:val="true"/>
        </w:rPr>
        <w:footnoteReference w:id="8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فيظهر من ذلك أنّ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مختلفة ، ومعه لا يبعد ترجيح النسخة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يجمع</w:t>
      </w:r>
      <w:r>
        <w:rPr>
          <w:rStyle w:val="FootnoteAnchor"/>
          <w:rtl w:val="true"/>
        </w:rPr>
        <w:footnoteReference w:id="887"/>
      </w:r>
      <w:r>
        <w:rPr>
          <w:rFonts w:ascii="IRNazanin" w:hAnsi="IRNazanin" w:eastAsia="IRNazanin"/>
          <w:color w:val="111111"/>
          <w:sz w:val="28"/>
          <w:sz w:val="28"/>
          <w:szCs w:val="28"/>
          <w:rtl w:val="true"/>
          <w:lang w:bidi="fa-IR"/>
        </w:rPr>
        <w:t xml:space="preserve">بين الروايات الحاكية لفعل رسول اللّه‌ صلی الله علیه و آله وسلم </w:t>
      </w:r>
      <w:r>
        <w:rPr>
          <w:rStyle w:val="FootnoteAnchor"/>
          <w:rtl w:val="true"/>
        </w:rPr>
        <w:footnoteReference w:id="888"/>
      </w:r>
      <w:r>
        <w:rPr>
          <w:rFonts w:ascii="Amiri" w:hAnsi="Amiri" w:eastAsia="Amiri" w:cs="Amiri"/>
          <w:color w:val="111111"/>
          <w:sz w:val="28"/>
          <w:sz w:val="28"/>
          <w:szCs w:val="28"/>
          <w:rtl w:val="true"/>
          <w:lang w:bidi="ar-SA"/>
        </w:rPr>
        <w:t xml:space="preserve">وبين الروايات الظاهرة في مسح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كالموثّقة على إحدى النسختين</w:t>
      </w:r>
      <w:r>
        <w:rPr>
          <w:rStyle w:val="FootnoteAnchor"/>
          <w:rtl w:val="true"/>
        </w:rPr>
        <w:footnoteReference w:id="889"/>
      </w:r>
      <w:r>
        <w:rPr>
          <w:rFonts w:ascii="Amiri" w:hAnsi="Amiri" w:eastAsia="Amiri" w:cs="Amiri"/>
          <w:color w:val="111111"/>
          <w:sz w:val="28"/>
          <w:sz w:val="28"/>
          <w:szCs w:val="28"/>
          <w:rtl w:val="true"/>
          <w:lang w:bidi="ar-SA"/>
        </w:rPr>
        <w:t xml:space="preserve">، والرضوي حيث </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تمسح بهما وجهك موضع السجود من مقام الشعر إلى طرف الأنف</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xml:space="preserve">ومرسلة العيّاشي ، عن زرارة ، عن أبي جعفر علیه السلام  قال بعد حكاية قضيّة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يديه جميعاً على الصعيد ، ثمّ مسح من بين عينيه إلى أسفل حاجبيه</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 xml:space="preserve">بناءً على ظهوره في الجبهة ،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اليد عن ظاهر كلٍّ من الطائفتين بصريح الاُخرى ؛ فإنّ الطائفة الثانية نصّ في اعتبار الجبهة ، وظاهرة في عدم اعتبار غيرها من باب السكوت في معرض البيان ، والطائفة الاُولى عكسها ، فيأوّل الظاهر بالنصّ ، فيحكم باعتبارهما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ضرورة أنّ واحدة من الطائفتين ليست نصّاً في الاعتبار معيّناً ، بل ظاهرة في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الاجتزاء بكلٍّ من الجبهة والجبينين ، فيرفع اليد عن ظهورهما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لولا مخالفة الأصحاب ، لقلنا بعدم كون ذلك الجمع مخالفاً للظاهر المعتدّ به ؛ لأنّ العمل ليس له ظهور في التعيين ، والروايات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 الأعمال في الاجتزاء ، قويّ يعارض ما لو دلّ دليل على اعتبار شيء آخر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مناص من رفع اليد عن هذا الظهور بعد الإجماع على لزوم مسح الجبهة ، وظهور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الجبهة والجبينين </w:t>
      </w:r>
      <w:r>
        <w:rPr>
          <w:rFonts w:eastAsia="Amiri" w:cs="Amiri" w:ascii="Amiri" w:hAnsi="Amiri"/>
          <w:color w:val="111111"/>
          <w:sz w:val="28"/>
          <w:szCs w:val="28"/>
          <w:rtl w:val="true"/>
          <w:lang w:bidi="ar-SA"/>
        </w:rPr>
        <w:t xml:space="preserve">. </w:t>
      </w:r>
      <w:bookmarkStart w:id="423" w:name="pg17116_198837"/>
    </w:p>
    <w:p>
      <w:pPr>
        <w:pStyle w:val="Heading6"/>
        <w:numPr>
          <w:ilvl w:val="5"/>
          <w:numId w:val="1"/>
        </w:numPr>
        <w:rPr/>
      </w:pPr>
      <w:bookmarkStart w:id="424" w:name="__RefHeading___Toc8646121_3381743652"/>
      <w:bookmarkStart w:id="425" w:name="_Toc152"/>
      <w:bookmarkEnd w:id="423"/>
      <w:bookmarkEnd w:id="424"/>
      <w:r>
        <w:rPr>
          <w:rtl w:val="true"/>
        </w:rPr>
        <w:t xml:space="preserve">الجهة الثانية </w:t>
      </w:r>
      <w:r>
        <w:rPr>
          <w:rtl w:val="true"/>
        </w:rPr>
        <w:t xml:space="preserve">: </w:t>
      </w:r>
      <w:r>
        <w:rPr>
          <w:rtl w:val="true"/>
        </w:rPr>
        <w:t>كفاية المسح إلى طرف الأنف الأعلى</w:t>
      </w:r>
      <w:bookmarkEnd w:id="425"/>
    </w:p>
    <w:p>
      <w:pPr>
        <w:pStyle w:val="Heading6"/>
        <w:numPr>
          <w:ilvl w:val="5"/>
          <w:numId w:val="1"/>
        </w:numPr>
        <w:rPr/>
      </w:pPr>
      <w:bookmarkStart w:id="426" w:name="__RefHeading___Toc8646123_3381743652"/>
      <w:bookmarkStart w:id="427" w:name="_Toc153"/>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إنّ ظاهر تحديد الأصحاب إلى طرف الأنف ، هو الطرف الأعلى منه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المراد في عبارات المفيد والشيخ والسيّد وابن حمزة وأبي الصلاح</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وهو ظاهر من قال بمسح الجبينين والحاجبين ، كالصدوق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الرجل جبينه وحاجبيه ، وعليه مضى مشايخنا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صرّح به بنو حمزة وإدريس وسعيد</w:t>
      </w:r>
      <w:r>
        <w:rPr>
          <w:rStyle w:val="FootnoteAnchor"/>
          <w:rtl w:val="true"/>
        </w:rPr>
        <w:footnoteReference w:id="896"/>
      </w:r>
      <w:r>
        <w:rPr>
          <w:rFonts w:ascii="Amiri" w:hAnsi="Amiri" w:eastAsia="Amiri" w:cs="Amiri"/>
          <w:color w:val="111111"/>
          <w:sz w:val="28"/>
          <w:sz w:val="28"/>
          <w:szCs w:val="28"/>
          <w:rtl w:val="true"/>
          <w:lang w:bidi="ar-SA"/>
        </w:rPr>
        <w:t>والعلاّمة</w:t>
      </w:r>
      <w:r>
        <w:rPr>
          <w:rStyle w:val="FootnoteAnchor"/>
          <w:rtl w:val="true"/>
        </w:rPr>
        <w:footnoteReference w:id="897"/>
      </w:r>
      <w:r>
        <w:rPr>
          <w:rFonts w:ascii="Amiri" w:hAnsi="Amiri" w:eastAsia="Amiri" w:cs="Amiri"/>
          <w:color w:val="111111"/>
          <w:sz w:val="28"/>
          <w:sz w:val="28"/>
          <w:szCs w:val="28"/>
          <w:rtl w:val="true"/>
          <w:lang w:bidi="ar-SA"/>
        </w:rPr>
        <w:t>والشهيدان</w:t>
      </w:r>
      <w:r>
        <w:rPr>
          <w:rStyle w:val="FootnoteAnchor"/>
          <w:rtl w:val="true"/>
        </w:rPr>
        <w:footnoteReference w:id="898"/>
      </w:r>
      <w:r>
        <w:rPr>
          <w:rFonts w:ascii="Amiri" w:hAnsi="Amiri" w:eastAsia="Amiri" w:cs="Amiri"/>
          <w:color w:val="111111"/>
          <w:sz w:val="28"/>
          <w:sz w:val="28"/>
          <w:szCs w:val="28"/>
          <w:rtl w:val="true"/>
          <w:lang w:bidi="ar-SA"/>
        </w:rPr>
        <w:t>وغيرهم</w:t>
      </w:r>
      <w:r>
        <w:rPr>
          <w:rStyle w:val="FootnoteAnchor"/>
          <w:rtl w:val="true"/>
        </w:rPr>
        <w:footnoteReference w:id="899"/>
      </w:r>
      <w:r>
        <w:rPr>
          <w:rFonts w:ascii="Amiri" w:hAnsi="Amiri" w:eastAsia="Amiri" w:cs="Amiri"/>
          <w:color w:val="111111"/>
          <w:sz w:val="28"/>
          <w:sz w:val="28"/>
          <w:szCs w:val="28"/>
          <w:rtl w:val="true"/>
          <w:lang w:bidi="ar-SA"/>
        </w:rPr>
        <w:t xml:space="preserve">لا الأسفل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900"/>
      </w:r>
      <w:r>
        <w:rPr>
          <w:rFonts w:ascii="Amiri" w:hAnsi="Amiri" w:eastAsia="Amiri" w:cs="Amiri"/>
          <w:color w:val="111111"/>
          <w:sz w:val="28"/>
          <w:sz w:val="28"/>
          <w:szCs w:val="28"/>
          <w:rtl w:val="true"/>
          <w:lang w:bidi="ar-SA"/>
        </w:rPr>
        <w:t>الإزراء على من ظنّ ذلك من المتفقّهة</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يصرّح ابن حمزة به ، ولعلّه رأى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نقل عن </w:t>
      </w:r>
      <w:bookmarkStart w:id="428" w:name="pg17116_198838"/>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المسح إلى طرف الأنف الأعلى ، وإلى الأسفل أولى</w:t>
      </w:r>
      <w:r>
        <w:rPr>
          <w:rStyle w:val="FootnoteAnchor"/>
          <w:rtl w:val="true"/>
        </w:rPr>
        <w:footnoteReference w:id="902"/>
      </w:r>
      <w:r>
        <w:rPr>
          <w:rFonts w:ascii="Amiri" w:hAnsi="Amiri" w:eastAsia="Amiri" w:cs="Amiri"/>
          <w:color w:val="111111"/>
          <w:sz w:val="28"/>
          <w:sz w:val="28"/>
          <w:szCs w:val="28"/>
          <w:rtl w:val="true"/>
          <w:lang w:bidi="ar-SA"/>
        </w:rPr>
        <w:t xml:space="preserve">، وكذا 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من القصاص إلى طرف الأنف الأسفل</w:t>
      </w:r>
      <w:r>
        <w:rPr>
          <w:rStyle w:val="FootnoteAnchor"/>
          <w:rtl w:val="true"/>
        </w:rPr>
        <w:footnoteReference w:id="903"/>
      </w:r>
      <w:r>
        <w:rPr>
          <w:rFonts w:ascii="Amiri" w:hAnsi="Amiri" w:eastAsia="Amiri" w:cs="Amiri"/>
          <w:color w:val="111111"/>
          <w:sz w:val="28"/>
          <w:sz w:val="28"/>
          <w:szCs w:val="28"/>
          <w:rtl w:val="true"/>
          <w:lang w:bidi="ar-SA"/>
        </w:rPr>
        <w:t xml:space="preserve">، ليس شيء منهما موجوداً في النسخة الموجودة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وكلمات الأصحاب عدم لزومه إلى الأسفل </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8646125_3381743652"/>
      <w:bookmarkStart w:id="430" w:name="_Toc154"/>
      <w:bookmarkEnd w:id="429"/>
      <w:r>
        <w:rPr>
          <w:rtl w:val="true"/>
        </w:rPr>
        <w:t>لزوم مسح الحاجبين</w:t>
      </w:r>
      <w:bookmarkEnd w:id="430"/>
    </w:p>
    <w:p>
      <w:pPr>
        <w:pStyle w:val="BookText"/>
        <w:rPr/>
      </w:pPr>
      <w:r>
        <w:rPr>
          <w:rFonts w:ascii="Amiri" w:hAnsi="Amiri" w:eastAsia="Amiri" w:cs="Amiri"/>
          <w:color w:val="111111"/>
          <w:sz w:val="28"/>
          <w:sz w:val="28"/>
          <w:szCs w:val="28"/>
          <w:rtl w:val="true"/>
          <w:lang w:bidi="ar-SA"/>
        </w:rPr>
        <w:t>وأمّا مسح الحاجبين ، فمقتضى تحديدهم إلى طرفٍ دخولُهما في المحدود بعد الاستظهار المتقدّم</w:t>
      </w:r>
      <w:r>
        <w:rPr>
          <w:rStyle w:val="FootnoteAnchor"/>
          <w:rtl w:val="true"/>
        </w:rPr>
        <w:footnoteReference w:id="904"/>
      </w:r>
      <w:r>
        <w:rPr>
          <w:rFonts w:ascii="Amiri" w:hAnsi="Amiri" w:eastAsia="Amiri" w:cs="Amiri"/>
          <w:color w:val="111111"/>
          <w:sz w:val="28"/>
          <w:sz w:val="28"/>
          <w:szCs w:val="28"/>
          <w:rtl w:val="true"/>
          <w:lang w:bidi="ar-SA"/>
        </w:rPr>
        <w:t xml:space="preserve">من كون المراد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بهما من قصاص الشعر إلى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الطول والعرض ؛ ضرورة أنّ طرف الأنف الأعلى أسفل من الحاجبين ، فيكون الحاجبان فوق الحدود داخلين في المحدود الممسوح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قول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رواية مسح الجبين والحاجبين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وعليه مضى مشايخنا</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وقد أفتى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أيضاً إرساله العلاّمة إرسال المسلّمات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مسح ما تحت شعر الحاجبين ، بل ظاهره كالماء</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فيظهر النظر في </w:t>
      </w:r>
      <w:bookmarkStart w:id="431" w:name="pg17116_198839"/>
    </w:p>
    <w:p>
      <w:pPr>
        <w:pStyle w:val="BookText"/>
        <w:rPr/>
      </w:pPr>
      <w:bookmarkEnd w:id="431"/>
      <w:r>
        <w:rPr>
          <w:rFonts w:ascii="Amiri" w:hAnsi="Amiri" w:eastAsia="Amiri" w:cs="Amiri"/>
          <w:color w:val="111111"/>
          <w:sz w:val="28"/>
          <w:sz w:val="28"/>
          <w:szCs w:val="28"/>
          <w:rtl w:val="true"/>
          <w:lang w:bidi="ar-SA"/>
        </w:rPr>
        <w:t xml:space="preserve">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الشهرة على عدم وجوب مسح الحاجبين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ظاهر الأدلّة الحاكية لتيمّم رسول اللّه‌ صلی الله علیه و آله وسلم  وأبيجعفر وأبي عبداللّه‌ علیهما السلام  عدم وجوب مسحهما </w:t>
      </w:r>
      <w:r>
        <w:rPr>
          <w:rStyle w:val="FootnoteAnchor"/>
          <w:rtl w:val="true"/>
        </w:rPr>
        <w:footnoteReference w:id="909"/>
      </w:r>
      <w:r>
        <w:rPr>
          <w:rFonts w:ascii="Amiri" w:hAnsi="Amiri" w:eastAsia="Amiri" w:cs="Amiri"/>
          <w:color w:val="111111"/>
          <w:sz w:val="28"/>
          <w:sz w:val="28"/>
          <w:szCs w:val="28"/>
          <w:rtl w:val="true"/>
          <w:lang w:bidi="ar-SA"/>
        </w:rPr>
        <w:t>، وفي بعض روايات ضعيفة وجوبه ، كمرسلة العيّاشي</w:t>
      </w:r>
      <w:r>
        <w:rPr>
          <w:rStyle w:val="FootnoteAnchor"/>
          <w:rtl w:val="true"/>
        </w:rPr>
        <w:footnoteReference w:id="910"/>
      </w:r>
      <w:r>
        <w:rPr>
          <w:rFonts w:ascii="Amiri" w:hAnsi="Amiri" w:eastAsia="Amiri" w:cs="Amiri"/>
          <w:color w:val="111111"/>
          <w:sz w:val="28"/>
          <w:sz w:val="28"/>
          <w:szCs w:val="28"/>
          <w:rtl w:val="true"/>
          <w:lang w:bidi="ar-SA"/>
        </w:rPr>
        <w:t xml:space="preserve">على احتمال ، ومرسلة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فيكون حال الحاجبين حال الجبهة في كون لزوم مسحهما مشهوراً ، وظاهر الأدلّة المعتبرة على خلافه ، مع فرق بينهما ؛ وهو أنّ لزوم مسح الجبهة صريحهم ، ومسح الحاجبين ظاهرهم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ترجيح وجوبه ، كما نفى عنه البأس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xml:space="preserve">واختاره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مسح الجبينين والجبهة ملازم لمسحهما ، خصوصاً إذا كانت الجبهة محدودةً بطرف الأنف الأعلى ، والجبينان طرفيها ، كما يظهر من اللغة ، فتنطبق الأخبار على القول المشهور </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8646127_3381743652"/>
      <w:bookmarkStart w:id="433" w:name="_Toc155"/>
      <w:bookmarkEnd w:id="432"/>
      <w:r>
        <w:rPr>
          <w:rtl w:val="true"/>
        </w:rPr>
        <w:t xml:space="preserve">الجهة الثالثة </w:t>
      </w:r>
      <w:r>
        <w:rPr>
          <w:rtl w:val="true"/>
        </w:rPr>
        <w:t xml:space="preserve">: </w:t>
      </w:r>
      <w:r>
        <w:rPr>
          <w:rtl w:val="true"/>
        </w:rPr>
        <w:t>في لزوم مسح الكفّين من الزنْد إلى أطراف الأصابع</w:t>
      </w:r>
      <w:bookmarkEnd w:id="433"/>
    </w:p>
    <w:p>
      <w:pPr>
        <w:pStyle w:val="Heading6"/>
        <w:numPr>
          <w:ilvl w:val="5"/>
          <w:numId w:val="1"/>
        </w:numPr>
        <w:rPr/>
      </w:pPr>
      <w:bookmarkStart w:id="434" w:name="__RefHeading___Toc8646129_3381743652"/>
      <w:bookmarkStart w:id="435" w:name="_Toc156"/>
      <w:bookmarkEnd w:id="434"/>
      <w:r>
        <w:rPr>
          <w:rtl w:val="true"/>
        </w:rPr>
        <w:t>اشارة</w:t>
      </w:r>
      <w:bookmarkEnd w:id="43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وجوب مسح الكفّين من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المفصل بين </w:t>
      </w:r>
    </w:p>
    <w:p>
      <w:pPr>
        <w:pStyle w:val="BookText"/>
        <w:rPr/>
      </w:pPr>
      <w:r>
        <w:rPr>
          <w:rFonts w:ascii="Amiri" w:hAnsi="Amiri" w:eastAsia="Amiri" w:cs="Amiri"/>
          <w:color w:val="111111"/>
          <w:sz w:val="28"/>
          <w:sz w:val="28"/>
          <w:szCs w:val="28"/>
          <w:rtl w:val="true"/>
          <w:lang w:bidi="ar-SA"/>
        </w:rPr>
        <w:t xml:space="preserve">الساعد والكفّ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 الأصابع</w:t>
      </w:r>
      <w:r>
        <w:rPr>
          <w:rStyle w:val="FootnoteAnchor"/>
          <w:rtl w:val="true"/>
        </w:rPr>
        <w:footnoteReference w:id="914"/>
      </w:r>
      <w:r>
        <w:rPr>
          <w:rFonts w:ascii="Amiri" w:hAnsi="Amiri" w:eastAsia="Amiri" w:cs="Amiri"/>
          <w:color w:val="111111"/>
          <w:sz w:val="28"/>
          <w:sz w:val="28"/>
          <w:szCs w:val="28"/>
          <w:rtl w:val="true"/>
          <w:lang w:bidi="ar-SA"/>
        </w:rPr>
        <w:t>بل عليه نقل الإجماع</w:t>
      </w:r>
      <w:r>
        <w:rPr>
          <w:rStyle w:val="FootnoteAnchor"/>
          <w:rtl w:val="true"/>
        </w:rPr>
        <w:footnoteReference w:id="915"/>
      </w:r>
      <w:r>
        <w:rPr>
          <w:rFonts w:ascii="Amiri" w:hAnsi="Amiri" w:eastAsia="Amiri" w:cs="Amiri"/>
          <w:color w:val="111111"/>
          <w:sz w:val="28"/>
          <w:sz w:val="28"/>
          <w:szCs w:val="28"/>
          <w:rtl w:val="true"/>
          <w:lang w:bidi="ar-SA"/>
        </w:rPr>
        <w:t>والشهرة</w:t>
      </w:r>
      <w:r>
        <w:rPr>
          <w:rStyle w:val="FootnoteAnchor"/>
          <w:rtl w:val="true"/>
        </w:rPr>
        <w:footnoteReference w:id="916"/>
      </w:r>
      <w:r>
        <w:rPr>
          <w:rFonts w:ascii="Amiri" w:hAnsi="Amiri" w:eastAsia="Amiri" w:cs="Amiri"/>
          <w:color w:val="111111"/>
          <w:sz w:val="28"/>
          <w:sz w:val="28"/>
          <w:szCs w:val="28"/>
          <w:rtl w:val="true"/>
          <w:lang w:bidi="ar-SA"/>
        </w:rPr>
        <w:t>والمعروفية بين الأصحاب</w:t>
      </w:r>
      <w:r>
        <w:rPr>
          <w:rStyle w:val="FootnoteAnchor"/>
          <w:rtl w:val="true"/>
        </w:rPr>
        <w:footnoteReference w:id="917"/>
      </w:r>
      <w:r>
        <w:rPr>
          <w:rFonts w:ascii="Amiri" w:hAnsi="Amiri" w:eastAsia="Amiri" w:cs="Amiri"/>
          <w:color w:val="111111"/>
          <w:sz w:val="28"/>
          <w:sz w:val="28"/>
          <w:szCs w:val="28"/>
          <w:rtl w:val="true"/>
          <w:lang w:bidi="ar-SA"/>
        </w:rPr>
        <w:t>متكرّر ، وعليه جملة من العامّة ، كمالك وأحمد والشافعي قديماً على ما نقل</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شرح الزرقاني على موطأ الإمام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بابويه وجوب استيعاب المسح إلى المرفقين</w:t>
      </w:r>
      <w:r>
        <w:rPr>
          <w:rStyle w:val="FootnoteAnchor"/>
          <w:rtl w:val="true"/>
        </w:rPr>
        <w:footnoteReference w:id="919"/>
      </w:r>
      <w:r>
        <w:rPr>
          <w:rFonts w:ascii="Amiri" w:hAnsi="Amiri" w:eastAsia="Amiri" w:cs="Amiri"/>
          <w:color w:val="111111"/>
          <w:sz w:val="28"/>
          <w:sz w:val="28"/>
          <w:szCs w:val="28"/>
          <w:rtl w:val="true"/>
          <w:lang w:bidi="ar-SA"/>
        </w:rPr>
        <w:t xml:space="preserve">، وهو المحكيّ عن أبي حنيفة والشافعي ثانياً </w:t>
      </w:r>
      <w:r>
        <w:rPr>
          <w:rStyle w:val="FootnoteAnchor"/>
          <w:rtl w:val="true"/>
        </w:rPr>
        <w:footnoteReference w:id="9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إدريس عن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المسح من اُصول الأصابع إلى رؤوسها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على الكفّ ونصف الذراع</w:t>
      </w:r>
      <w:r>
        <w:rPr>
          <w:rStyle w:val="FootnoteAnchor"/>
          <w:rtl w:val="true"/>
        </w:rPr>
        <w:footnoteReference w:id="922"/>
      </w:r>
      <w:r>
        <w:rPr>
          <w:rFonts w:ascii="Amiri" w:hAnsi="Amiri" w:eastAsia="Amiri" w:cs="Amiri"/>
          <w:color w:val="111111"/>
          <w:sz w:val="28"/>
          <w:sz w:val="28"/>
          <w:szCs w:val="28"/>
          <w:rtl w:val="true"/>
          <w:lang w:bidi="ar-SA"/>
        </w:rPr>
        <w:t>، واحتجاجه عليه</w:t>
      </w:r>
      <w:r>
        <w:rPr>
          <w:rStyle w:val="FootnoteAnchor"/>
          <w:rtl w:val="true"/>
        </w:rPr>
        <w:footnoteReference w:id="923"/>
      </w:r>
      <w:r>
        <w:rPr>
          <w:rFonts w:ascii="Amiri" w:hAnsi="Amiri" w:eastAsia="Amiri" w:cs="Amiri"/>
          <w:color w:val="111111"/>
          <w:sz w:val="28"/>
          <w:sz w:val="28"/>
          <w:szCs w:val="28"/>
          <w:rtl w:val="true"/>
          <w:lang w:bidi="ar-SA"/>
        </w:rPr>
        <w:t xml:space="preserve">من المضحكات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يديه إلى المنكب</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المشهور صحيحة زرارة وموثّقته الحاكيتان لفعل رسول اللّه‌</w:t>
      </w:r>
      <w:r>
        <w:rPr>
          <w:rStyle w:val="FootnoteAnchor"/>
          <w:rtl w:val="true"/>
        </w:rPr>
        <w:footnoteReference w:id="925"/>
      </w:r>
      <w:r>
        <w:rPr>
          <w:rFonts w:ascii="IRNazanin" w:hAnsi="IRNazanin" w:eastAsia="IRNazanin"/>
          <w:color w:val="111111"/>
          <w:sz w:val="28"/>
          <w:sz w:val="28"/>
          <w:szCs w:val="28"/>
          <w:rtl w:val="true"/>
          <w:lang w:bidi="fa-IR"/>
        </w:rPr>
        <w:t xml:space="preserve">، وصريح صحيحة زرارة الحاكية عن فعل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أبو جعفر علیه السلام كفّيه على الأرض ، ثمّ مسح وجهه وكفّيه ، ولم يمسح الذراعين بشيء</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 xml:space="preserve">وظاهر غيرها ممّا اشتملت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صحيحتي داود بن النعمان</w:t>
      </w:r>
      <w:r>
        <w:rPr>
          <w:rStyle w:val="FootnoteAnchor"/>
          <w:rtl w:val="true"/>
        </w:rPr>
        <w:footnoteReference w:id="928"/>
      </w:r>
      <w:r>
        <w:rPr>
          <w:rFonts w:ascii="Amiri" w:hAnsi="Amiri" w:eastAsia="Amiri" w:cs="Amiri"/>
          <w:color w:val="111111"/>
          <w:sz w:val="28"/>
          <w:sz w:val="28"/>
          <w:szCs w:val="28"/>
          <w:rtl w:val="true"/>
          <w:lang w:bidi="ar-SA"/>
        </w:rPr>
        <w:t>والخزّاز</w:t>
      </w:r>
      <w:r>
        <w:rPr>
          <w:rStyle w:val="FootnoteAnchor"/>
          <w:rtl w:val="true"/>
        </w:rPr>
        <w:footnoteReference w:id="929"/>
      </w:r>
      <w:r>
        <w:rPr>
          <w:rFonts w:ascii="Amiri" w:hAnsi="Amiri" w:eastAsia="Amiri" w:cs="Amiri"/>
          <w:color w:val="111111"/>
          <w:sz w:val="28"/>
          <w:sz w:val="28"/>
          <w:szCs w:val="28"/>
          <w:rtl w:val="true"/>
          <w:lang w:bidi="ar-SA"/>
        </w:rPr>
        <w:t xml:space="preserve">حيث قال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وجهه ويديه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الثانية ؛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الكفّ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بجهات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 المفصل أو فوقه قليلاً الذي يتعارف المسح له لتحصيل مسح ظهر الكفّ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المراد منه ظهر الكفّ لإفادة عدم لزوم مسح تمام الظهر</w:t>
      </w:r>
      <w:r>
        <w:rPr>
          <w:rStyle w:val="FootnoteAnchor"/>
          <w:rtl w:val="true"/>
        </w:rPr>
        <w:footnoteReference w:id="930"/>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احتمال كون المسح </w:t>
      </w:r>
    </w:p>
    <w:p>
      <w:pPr>
        <w:pStyle w:val="BookText"/>
        <w:rPr/>
      </w:pPr>
      <w:r>
        <w:rPr>
          <w:rFonts w:ascii="Amiri" w:hAnsi="Amiri" w:eastAsia="Amiri" w:cs="Amiri"/>
          <w:color w:val="111111"/>
          <w:sz w:val="28"/>
          <w:sz w:val="28"/>
          <w:szCs w:val="28"/>
          <w:rtl w:val="true"/>
          <w:lang w:bidi="ar-SA"/>
        </w:rPr>
        <w:t xml:space="preserve">فوق الكفّ قليلاً ؛ لأجل الاحتياط واليقين بحصول مسح الكفّ ؛ لا يمكن الاستدلال بها للزوم مسح الفوق تعبّداً لدخالته في ماهية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ليث المرادي ومحمّد بن مسلم وسَماعة</w:t>
      </w:r>
      <w:r>
        <w:rPr>
          <w:rStyle w:val="FootnoteAnchor"/>
          <w:rtl w:val="true"/>
        </w:rPr>
        <w:footnoteReference w:id="931"/>
      </w:r>
      <w:r>
        <w:rPr>
          <w:rFonts w:ascii="Amiri" w:hAnsi="Amiri" w:eastAsia="Amiri" w:cs="Amiri"/>
          <w:color w:val="111111"/>
          <w:sz w:val="28"/>
          <w:sz w:val="28"/>
          <w:szCs w:val="28"/>
          <w:rtl w:val="true"/>
          <w:lang w:bidi="ar-SA"/>
        </w:rPr>
        <w:t xml:space="preserve">المشتملات على مسح الذراعين ، أو هما مع المرفق ، فمحمولة على التقيّة ، كما تظهر آثارها من 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قوّة احتمالها لكان الحمل على الاستحباب غير بعيد ، بل متعيّناً ؛ حملاً للظاهر على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ومرسلة حمّاد بن عيسى</w:t>
      </w:r>
      <w:r>
        <w:rPr>
          <w:rStyle w:val="FootnoteAnchor"/>
          <w:rtl w:val="true"/>
        </w:rPr>
        <w:footnoteReference w:id="933"/>
      </w:r>
      <w:r>
        <w:rPr>
          <w:rFonts w:ascii="IRNazanin" w:hAnsi="IRNazanin" w:eastAsia="IRNazanin"/>
          <w:color w:val="111111"/>
          <w:sz w:val="28"/>
          <w:sz w:val="28"/>
          <w:szCs w:val="28"/>
          <w:rtl w:val="true"/>
          <w:lang w:bidi="fa-IR"/>
        </w:rPr>
        <w:t xml:space="preserve">الظاهرتين في الاجتزاء بالمسح على الأصابع ، غير صالحتين للاحتجاج ، فضلاً عن المقاومة ؛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عند العامّة ، فأراد أبو عبداللّه‌ علیه السلام  تعليم السائل طريق الاحتجاج معهم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المراد ، ولا داعي لبيان محتملاتها بعد عدم حجّيتها </w:t>
      </w:r>
      <w:r>
        <w:rPr>
          <w:rFonts w:eastAsia="Amiri" w:cs="Amiri" w:ascii="Amiri" w:hAnsi="Amiri"/>
          <w:color w:val="111111"/>
          <w:sz w:val="28"/>
          <w:szCs w:val="28"/>
          <w:rtl w:val="true"/>
          <w:lang w:bidi="ar-SA"/>
        </w:rPr>
        <w:t xml:space="preserve">. </w:t>
      </w:r>
      <w:bookmarkStart w:id="436" w:name="pg17116_198843"/>
    </w:p>
    <w:p>
      <w:pPr>
        <w:pStyle w:val="Heading6"/>
        <w:numPr>
          <w:ilvl w:val="5"/>
          <w:numId w:val="1"/>
        </w:numPr>
        <w:rPr/>
      </w:pPr>
      <w:bookmarkStart w:id="437" w:name="__RefHeading___Toc8646131_3381743652"/>
      <w:bookmarkStart w:id="438" w:name="_Toc157"/>
      <w:bookmarkEnd w:id="436"/>
      <w:bookmarkEnd w:id="437"/>
      <w:r>
        <w:rPr>
          <w:rtl w:val="true"/>
        </w:rPr>
        <w:t>بيان كيفية المسح</w:t>
      </w:r>
      <w:bookmarkEnd w:id="438"/>
    </w:p>
    <w:p>
      <w:pPr>
        <w:pStyle w:val="BookText"/>
        <w:rPr/>
      </w:pPr>
      <w:r>
        <w:rPr>
          <w:rFonts w:ascii="IRNazanin" w:hAnsi="IRNazanin" w:eastAsia="IRNazanin"/>
          <w:color w:val="111111"/>
          <w:sz w:val="28"/>
          <w:sz w:val="28"/>
          <w:szCs w:val="28"/>
          <w:rtl w:val="true"/>
          <w:lang w:bidi="fa-IR"/>
        </w:rPr>
        <w:t xml:space="preserve">وأمّا كيفية المسح ، فمقتضى إطلاق الآية وبعض الروايات ومقتضى سكوت أبي جعفر علیه السلام  عن الخصوصية الواقعية التي وقع بها تيمّم رسول اللّه‌ صلی الله علیه و آله وسلم  في مقام تعليم عمّار ، هو عدم دخالة كيفية خاصّة في المسح ، بل التيمّم متقوّم بمسح الوجه والكفّين باليدين بأيّة كيفية ؛ وقع من الأعلى أو إليه ، وقع طول الباطن على عرض الظاهر ، أو طوله على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ولو وضع جميع الباطن على جميع الظاهر ، فجرّ الماسح في الجملة حتّى وقع مسح جميع الظاهر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مسح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إطلاق الآية ، فلما مرّ مراراً </w:t>
      </w:r>
      <w:r>
        <w:rPr>
          <w:rStyle w:val="FootnoteAnchor"/>
          <w:rtl w:val="true"/>
        </w:rPr>
        <w:footnoteReference w:id="935"/>
      </w:r>
      <w:r>
        <w:rPr>
          <w:rFonts w:ascii="IRNazanin" w:hAnsi="IRNazanin" w:eastAsia="IRNazanin"/>
          <w:color w:val="111111"/>
          <w:sz w:val="28"/>
          <w:sz w:val="28"/>
          <w:szCs w:val="28"/>
          <w:rtl w:val="true"/>
          <w:lang w:bidi="fa-IR"/>
        </w:rPr>
        <w:t>من أ نّها في مقام البيان ، ولا إجمال فيها ، ولذا تمسّك النبي صلی الله علیه و آله وسلم  والإمام بها وبخصوصياتها المأخوذة فيها لإثبات</w:t>
      </w:r>
    </w:p>
    <w:p>
      <w:pPr>
        <w:pStyle w:val="BookText"/>
        <w:rPr/>
      </w:pPr>
      <w:r>
        <w:rPr>
          <w:rFonts w:ascii="Amiri" w:hAnsi="Amiri" w:eastAsia="Amiri" w:cs="Amiri"/>
          <w:color w:val="111111"/>
          <w:sz w:val="28"/>
          <w:sz w:val="28"/>
          <w:szCs w:val="28"/>
          <w:rtl w:val="true"/>
          <w:lang w:bidi="ar-SA"/>
        </w:rPr>
        <w:t>الحكم ، فالقول بكونها مجملة</w:t>
      </w:r>
      <w:r>
        <w:rPr>
          <w:rStyle w:val="FootnoteAnchor"/>
          <w:rtl w:val="true"/>
        </w:rPr>
        <w:footnoteReference w:id="936"/>
      </w:r>
      <w:r>
        <w:rPr>
          <w:rFonts w:ascii="Amiri" w:hAnsi="Amiri" w:eastAsia="Amiri" w:cs="Amiri"/>
          <w:color w:val="111111"/>
          <w:sz w:val="28"/>
          <w:sz w:val="28"/>
          <w:szCs w:val="28"/>
          <w:rtl w:val="true"/>
          <w:lang w:bidi="ar-SA"/>
        </w:rPr>
        <w:t xml:space="preserve">نشأ من قلّة التأمّل فيها ، وإلاّ فغالب أحكام التيمّم مستفاد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زرارة ورواية المرادي</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يخلو من المناقشة كما مرّ ، لكن لا يبعد إطلاقهما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سكوت أبي جعفر علیه السلام  فهو أقوى دليل على عدم الاعتبار ؛ فإنّ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قد كان في مقام بيان ماهية التيمّم لعمّار بلا ارتياب ولا إشكال ، وكان أبو جعفر علیه السلام  في مقام نقل القضيّة لإفادة الحكم بلا إشكال ؛ وإن كان في تكرار القضيّة منه ومن أبي عبداللّه‌ علیه السلام  فائدة اُخرى أو فوائد اُخر ، كإفحام المخالفين ، والتنبيه على جهل الثاني بالأحكام وبالقرآن الذي بين أيديهم ، أو تجاهله ومخالفته للّه ورسوله ، وقد 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لجهله وجهل الاُمّة ، أ نّه كتب إلى جميع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إذا لم يجد الماء فليس له أن يصلّي ، وليس له أن يتيمّم بالصعيد حتّى يجد الماء وإن لم يجده حتّى يلقى اللّه ، ثمّ قبل الناس ذلك منه ، ورضوا به ، وقد علم وعلم الناس أنّ رسول اللّه قد أمر عمّاراً وأمر أباذرّ أن يتيمّما من الجنابة ويصلّيا ،</w:t>
      </w:r>
    </w:p>
    <w:p>
      <w:pPr>
        <w:pStyle w:val="BookText"/>
        <w:rPr/>
      </w:pPr>
      <w:r>
        <w:rPr>
          <w:rFonts w:ascii="Amiri" w:hAnsi="Amiri" w:eastAsia="Amiri" w:cs="Amiri"/>
          <w:color w:val="111111"/>
          <w:sz w:val="28"/>
          <w:sz w:val="28"/>
          <w:szCs w:val="28"/>
          <w:rtl w:val="true"/>
          <w:lang w:bidi="ar-SA"/>
        </w:rPr>
        <w:t>وشهدا به عنده وغيرهما فلم يقبل ذلك ، ولم يرفع به رأساً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للمسح 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كونه من الأعلى ، أو وقوع طول باطن الكفّ على عرض الظاهر ، أو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أهملها أبو جعفر علیه السلام في</w:t>
      </w:r>
    </w:p>
    <w:p>
      <w:pPr>
        <w:pStyle w:val="BookText"/>
        <w:rPr/>
      </w:pPr>
      <w:r>
        <w:rPr>
          <w:rFonts w:ascii="Amiri" w:hAnsi="Amiri" w:eastAsia="Amiri" w:cs="Amiri"/>
          <w:color w:val="111111"/>
          <w:sz w:val="28"/>
          <w:sz w:val="28"/>
          <w:szCs w:val="28"/>
          <w:rtl w:val="true"/>
          <w:lang w:bidi="ar-SA"/>
        </w:rPr>
        <w:t xml:space="preserve">مقام نقل القضيّة لإفادة ماهية التيمّم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التشبّث بدليل التنزيل لإثبات كونه من الأعلى كما في الوضوء</w:t>
      </w:r>
      <w:r>
        <w:rPr>
          <w:rStyle w:val="FootnoteAnchor"/>
          <w:rtl w:val="true"/>
        </w:rPr>
        <w:footnoteReference w:id="939"/>
      </w:r>
      <w:r>
        <w:rPr>
          <w:rFonts w:ascii="Amiri" w:hAnsi="Amiri" w:eastAsia="Amiri" w:cs="Amiri"/>
          <w:color w:val="111111"/>
          <w:sz w:val="28"/>
          <w:sz w:val="28"/>
          <w:szCs w:val="28"/>
          <w:rtl w:val="true"/>
          <w:lang w:bidi="ar-SA"/>
        </w:rPr>
        <w:t>، فقد مرّ</w:t>
      </w:r>
      <w:r>
        <w:rPr>
          <w:rStyle w:val="FootnoteAnchor"/>
          <w:rtl w:val="true"/>
        </w:rPr>
        <w:footnoteReference w:id="940"/>
      </w:r>
      <w:r>
        <w:rPr>
          <w:rFonts w:ascii="Amiri" w:hAnsi="Amiri" w:eastAsia="Amiri" w:cs="Amiri"/>
          <w:color w:val="111111"/>
          <w:sz w:val="28"/>
          <w:sz w:val="28"/>
          <w:szCs w:val="28"/>
          <w:rtl w:val="true"/>
          <w:lang w:bidi="ar-SA"/>
        </w:rPr>
        <w:t xml:space="preserve">ما فيه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مع الارتكاز العرفي وإن يظهر منها اعتبار ما </w:t>
      </w:r>
    </w:p>
    <w:p>
      <w:pPr>
        <w:pStyle w:val="BookText"/>
        <w:rPr/>
      </w:pPr>
      <w:r>
        <w:rPr>
          <w:rFonts w:ascii="Amiri" w:hAnsi="Amiri" w:eastAsia="Amiri" w:cs="Amiri"/>
          <w:color w:val="111111"/>
          <w:sz w:val="28"/>
          <w:sz w:val="28"/>
          <w:szCs w:val="28"/>
          <w:rtl w:val="true"/>
          <w:lang w:bidi="ar-SA"/>
        </w:rPr>
        <w:t xml:space="preserve">يعتبر في الغسل والوضوء معاً في التيمّم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كالترتيب وطهارة البدن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الأحكام المشتركة ، لكن لا يمكن إثبات الشرائط المختصّة بكلّ واحد منهما للتيمّم ؛ بعد كونه بدلاً منهما في الآية الشريفة بنحو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التشبّث بالشهرة</w:t>
      </w:r>
      <w:r>
        <w:rPr>
          <w:rStyle w:val="FootnoteAnchor"/>
          <w:rtl w:val="true"/>
        </w:rPr>
        <w:footnoteReference w:id="941"/>
      </w:r>
      <w:r>
        <w:rPr>
          <w:rFonts w:ascii="Amiri" w:hAnsi="Amiri" w:eastAsia="Amiri" w:cs="Amiri"/>
          <w:color w:val="111111"/>
          <w:sz w:val="28"/>
          <w:sz w:val="28"/>
          <w:szCs w:val="28"/>
          <w:rtl w:val="true"/>
          <w:lang w:bidi="ar-SA"/>
        </w:rPr>
        <w:t xml:space="preserve">، فهو ناشئ من توهّم ظهور كلمات الأصحاب في وجوب المسح من الأعلى ؛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من قصاص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الناظر في كلماتهم أنّ ذلك لتحديد الممسوح ، لا لبيان كيفية المسح ، ولذا لم يتعرّضوا بالنسبة إلى الكفّ</w:t>
      </w:r>
      <w:r>
        <w:rPr>
          <w:rStyle w:val="FootnoteAnchor"/>
          <w:rtl w:val="true"/>
        </w:rPr>
        <w:footnoteReference w:id="942"/>
      </w:r>
      <w:r>
        <w:rPr>
          <w:rFonts w:ascii="Amiri" w:hAnsi="Amiri" w:eastAsia="Amiri" w:cs="Amiri"/>
          <w:color w:val="111111"/>
          <w:sz w:val="28"/>
          <w:sz w:val="28"/>
          <w:szCs w:val="28"/>
          <w:rtl w:val="true"/>
          <w:lang w:bidi="ar-SA"/>
        </w:rPr>
        <w:t xml:space="preserve">،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كلماتهم عن الكيفية دليل على عدم اعتبار كيفية خاصّة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السيرة القطعية على هذه الكيفية المعهودة ، ربّما توجب الوثوق بدخالتها لو لم نقل بأ نّها إنّما دلّت على صحّته بهذه الكيفية ، لا انحصاره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عدم التعدّي عن الكيفية المعهودة ؛ لما ذُكر ، ولدلالةِ ما رُوي 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 عليه بالنسبة إلى الكفّين</w:t>
      </w:r>
      <w:r>
        <w:rPr>
          <w:rStyle w:val="FootnoteAnchor"/>
          <w:rtl w:val="true"/>
        </w:rPr>
        <w:footnoteReference w:id="943"/>
      </w:r>
      <w:r>
        <w:rPr>
          <w:rFonts w:ascii="Amiri" w:hAnsi="Amiri" w:eastAsia="Amiri" w:cs="Amiri"/>
          <w:color w:val="111111"/>
          <w:sz w:val="28"/>
          <w:sz w:val="28"/>
          <w:szCs w:val="28"/>
          <w:rtl w:val="true"/>
          <w:lang w:bidi="ar-SA"/>
        </w:rPr>
        <w:t xml:space="preserve">، مع دعوى عدم الفصل بينهما </w:t>
      </w:r>
      <w:r>
        <w:rPr>
          <w:rStyle w:val="FootnoteAnchor"/>
          <w:rtl w:val="true"/>
        </w:rPr>
        <w:footnoteReference w:id="944"/>
      </w:r>
      <w:r>
        <w:rPr>
          <w:rFonts w:ascii="IRNazanin" w:hAnsi="IRNazanin" w:eastAsia="IRNazanin"/>
          <w:color w:val="111111"/>
          <w:sz w:val="28"/>
          <w:sz w:val="28"/>
          <w:szCs w:val="28"/>
          <w:rtl w:val="true"/>
          <w:lang w:bidi="fa-IR"/>
        </w:rPr>
        <w:t xml:space="preserve">، وإشعارِ مرسلة العيّاشي عن أبي جعفر علیه السلام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من بين عينيه إلى أسفل حاجبيه</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واحتمالِ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المسح من الأعلى </w:t>
      </w:r>
      <w:r>
        <w:rPr>
          <w:rFonts w:eastAsia="IRNazanin" w:cs="IRNazanin"/>
          <w:color w:val="111111"/>
          <w:sz w:val="28"/>
          <w:szCs w:val="28"/>
          <w:rtl w:val="true"/>
          <w:lang w:bidi="fa-IR"/>
        </w:rPr>
        <w:t xml:space="preserve">. </w:t>
      </w:r>
      <w:bookmarkStart w:id="439" w:name="pg17116_198846"/>
    </w:p>
    <w:p>
      <w:pPr>
        <w:pStyle w:val="Heading5"/>
        <w:numPr>
          <w:ilvl w:val="4"/>
          <w:numId w:val="1"/>
        </w:numPr>
        <w:rPr/>
      </w:pPr>
      <w:bookmarkStart w:id="440" w:name="__RefHeading___Toc8646133_3381743652"/>
      <w:bookmarkStart w:id="441" w:name="_Toc158"/>
      <w:bookmarkEnd w:id="439"/>
      <w:bookmarkEnd w:id="440"/>
      <w:r>
        <w:rPr>
          <w:rtl w:val="true"/>
        </w:rPr>
        <w:t>الأمر التاسع في تحديد عدد ضربات التيمّم</w:t>
      </w:r>
      <w:bookmarkEnd w:id="441"/>
    </w:p>
    <w:p>
      <w:pPr>
        <w:pStyle w:val="Heading6"/>
        <w:numPr>
          <w:ilvl w:val="5"/>
          <w:numId w:val="1"/>
        </w:numPr>
        <w:rPr/>
      </w:pPr>
      <w:bookmarkStart w:id="442" w:name="__RefHeading___Toc8646135_3381743652"/>
      <w:bookmarkStart w:id="443" w:name="_Toc159"/>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اختلفوا في عدد الضربات في التيمّم ، فعن المشهور التفصيل بين ما للوضوء وبين ما للغسل ؛ بضربة واحدة في الأوّل ، وضربتين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من المتقدّمين والمتأخّرين الضربة الواحدة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آخر منهما الضربتان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عن بعض بل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ضربات</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أوّلاً بيان مقتضى الأدلّة والجمع بينها ، ثمّ النظر في كلمات القوم </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8646137_3381743652"/>
      <w:bookmarkStart w:id="445" w:name="_Toc160"/>
      <w:bookmarkEnd w:id="444"/>
      <w:r>
        <w:rPr>
          <w:rtl w:val="true"/>
        </w:rPr>
        <w:t>بيان مقتضى الأدلّة والجمع بينها</w:t>
      </w:r>
      <w:bookmarkEnd w:id="44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الكريمة</w:t>
      </w:r>
      <w:r>
        <w:rPr>
          <w:rStyle w:val="FootnoteAnchor"/>
          <w:rtl w:val="true"/>
        </w:rPr>
        <w:footnoteReference w:id="947"/>
      </w:r>
      <w:r>
        <w:rPr>
          <w:rFonts w:ascii="Amiri" w:hAnsi="Amiri" w:eastAsia="Amiri" w:cs="Amiri"/>
          <w:color w:val="111111"/>
          <w:sz w:val="28"/>
          <w:sz w:val="28"/>
          <w:szCs w:val="28"/>
          <w:rtl w:val="true"/>
          <w:lang w:bidi="ar-SA"/>
        </w:rPr>
        <w:t xml:space="preserve">الاجتزاء بالضربة الواحدة فيهما ، سيّما بعد ذكر التيمّم عقيب الحدثين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فهي على طوائف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عمدتها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ظاهرة في الاجتزاء بواحدة ، وفيها الروايات الحاكية لفعل رسول اللّه‌ صلی الله علیه و آله وسلم  تعليماً لعمّار ، حكاه أبو جعفر علیه السلام  ، ولا ريب في أنّ رسول اللّه‌ صلی الله علیه و آله وسلم  كان في مقام تعليمه وبيان ماهية التيمّم ، كما يظهر من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 فوضعهما على الصعيد ، ثمّ مسح </w:t>
      </w:r>
      <w:r>
        <w:rPr>
          <w:rFonts w:eastAsia="Amiri" w:cs="Amiri" w:ascii="Amiri" w:hAnsi="Amiri"/>
          <w:color w:val="111111"/>
          <w:sz w:val="28"/>
          <w:szCs w:val="28"/>
          <w:rtl w:val="true"/>
          <w:lang w:bidi="ar-SA"/>
        </w:rPr>
        <w:t>. . .»</w:t>
      </w:r>
      <w:r>
        <w:rPr>
          <w:rStyle w:val="FootnoteAnchor"/>
          <w:rtl w:val="true"/>
        </w:rPr>
        <w:footnoteReference w:id="94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صنعت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وإتيانه بالتيمّم الذي هو بدل الغسل الذي ابتلي به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في مقام البيان والتعليم ما كان معتبراً في ماهية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أهمل ما فعله رسول اللّه‌ صلی الله علیه و آله وسلم وكان دخيلاً في ماهيته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زرارة أو الرواة بعده أهملوا ما وصل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فتح على الروايات باب هذه الاحتمالات لاختلّ الفقه ، وانسدّ باب الاحتجاج على العقلاء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وأضعف شيء في المقام احتمال كونه في مقام بيان كيفية قسم من التيمّم ؛ وهو الذي بدل الوضوء ، وهل هذا إلاّ الإغراء بالجهل والإيقاع في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قوله في موثّقة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يصنع الحمار ؛ 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بيديه الأرض </w:t>
      </w:r>
      <w:r>
        <w:rPr>
          <w:rFonts w:eastAsia="Amiri" w:cs="Amiri" w:ascii="Amiri" w:hAnsi="Amiri"/>
          <w:color w:val="111111"/>
          <w:sz w:val="28"/>
          <w:szCs w:val="28"/>
          <w:rtl w:val="true"/>
          <w:lang w:bidi="ar-SA"/>
        </w:rPr>
        <w:t>. . .»</w:t>
      </w:r>
      <w:r>
        <w:rPr>
          <w:rStyle w:val="FootnoteAnchor"/>
          <w:rtl w:val="true"/>
        </w:rPr>
        <w:footnoteReference w:id="94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تمسّكه بالآية الكريمة وإتيانه بالتيمّم بضربة واحدة ، ممّا جعل الكلام كالنصّ في عدم الاحتياج إلى الضربتين في بدل الغسل ، الذي هو مورد الكلام والمتيقّن في مقام التعليم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ومثلهما صحيحتا الخزّاز وداود بن النعمان</w:t>
      </w:r>
      <w:r>
        <w:rPr>
          <w:rStyle w:val="FootnoteAnchor"/>
          <w:rtl w:val="true"/>
        </w:rPr>
        <w:footnoteReference w:id="950"/>
      </w:r>
      <w:r>
        <w:rPr>
          <w:rFonts w:ascii="IRNazanin" w:hAnsi="IRNazanin" w:eastAsia="IRNazanin"/>
          <w:color w:val="111111"/>
          <w:sz w:val="28"/>
          <w:sz w:val="28"/>
          <w:szCs w:val="28"/>
          <w:rtl w:val="true"/>
          <w:lang w:bidi="fa-IR"/>
        </w:rPr>
        <w:t xml:space="preserve">حيث سألا أبا عبداللّه‌ علیه السلام  عن التيمّم ، فذكر قضيّة عمّار ، فقالا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التيمّم ؟ فوضع يديه على الأرض ، ثمّ</w:t>
      </w:r>
    </w:p>
    <w:p>
      <w:pPr>
        <w:pStyle w:val="BookText"/>
        <w:rPr/>
      </w:pPr>
      <w:r>
        <w:rPr>
          <w:rFonts w:ascii="Amiri" w:hAnsi="Amiri" w:eastAsia="Amiri" w:cs="Amiri"/>
          <w:color w:val="111111"/>
          <w:sz w:val="28"/>
          <w:sz w:val="28"/>
          <w:szCs w:val="28"/>
          <w:rtl w:val="true"/>
          <w:lang w:bidi="ar-SA"/>
        </w:rPr>
        <w:t>رفعهما فمسح وجهه ويديه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الاكتفاء بالمرّة بعد حكاية قصّة عمّار وسؤالهما عن الكيفية ، كالنصّ في كفايتها عن بدل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موثّقة زرارة وابن أبي المقدام</w:t>
      </w:r>
      <w:r>
        <w:rPr>
          <w:rStyle w:val="FootnoteAnchor"/>
          <w:rtl w:val="true"/>
        </w:rPr>
        <w:footnoteReference w:id="951"/>
      </w:r>
      <w:r>
        <w:rPr>
          <w:rFonts w:ascii="Amiri" w:hAnsi="Amiri" w:eastAsia="Amiri" w:cs="Amiri"/>
          <w:color w:val="111111"/>
          <w:sz w:val="28"/>
          <w:sz w:val="28"/>
          <w:szCs w:val="28"/>
          <w:rtl w:val="true"/>
          <w:lang w:bidi="ar-SA"/>
        </w:rPr>
        <w:t xml:space="preserve">وغيرهما من غير احتياج إلى دعوى 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ذيلهما قيداً للضرب لا للمسح ، أو قيداً لهما ؛ بدعوى أنّ الضرب كان مورد البحث والخلاف عند العامّة والخاصّة ، لا المسح ، فكون القيد للثاني كاللغو</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قوّة ظهور تلك الروايات في الاجتزاء بالمرّة مطلقاً ، وفي بدل غسل الجنابة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اُخرى 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بن مسلم ، عن 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 مرّتين للوجه واليدين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ومحتملاتها كثيرة ، ككون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للقول ، أو لأمر مقدّر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قيداً للقول والآخر للأمر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كونهما من متعلّقات الضرب ، يمكن أن يكون الثاني تأكيداً </w:t>
      </w:r>
    </w:p>
    <w:p>
      <w:pPr>
        <w:pStyle w:val="BookText"/>
        <w:rPr/>
      </w:pPr>
      <w:r>
        <w:rPr>
          <w:rFonts w:ascii="Amiri" w:hAnsi="Amiri" w:eastAsia="Amiri" w:cs="Amiri"/>
          <w:color w:val="111111"/>
          <w:sz w:val="28"/>
          <w:sz w:val="28"/>
          <w:szCs w:val="28"/>
          <w:rtl w:val="true"/>
          <w:lang w:bidi="ar-SA"/>
        </w:rPr>
        <w:t xml:space="preserve">للأوّل ، ويمكن أن يكون تأسيساً لبيان أنّ اللازم في التيمّم أربع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ضربتان للوجه ، وضربتان لليدين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الاحتمال الأخير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ضربتان للوجه ، وضربتان لليدين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كون هذا الاحتمال في عَرض احتمال التأكيد ، مع أ نّه ليس المورد من موارد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الصحيحة بما لها من الظهور خلاف فتوى الكلّ ، أو هي مجملة في نفسها لا بدّ من رفع إجمالها بسائر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ليث المرادي ، عن أبي عبداللّه‌ علیه السلام  في التيمّم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بكفّيك الأرض مرّتين ، ثمّ تنفضهما وتمسح بهما وجهك وذراعيك</w:t>
      </w:r>
      <w:r>
        <w:rPr>
          <w:rFonts w:eastAsia="IRNazanin" w:cs="IRNazanin"/>
          <w:color w:val="111111"/>
          <w:sz w:val="28"/>
          <w:szCs w:val="28"/>
          <w:rtl w:val="true"/>
          <w:lang w:bidi="fa-IR"/>
        </w:rPr>
        <w:t>»</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منها أنّ ضرب المرّتين قبل المسح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يرفع الإجمال من هذه الحيثية عن الصحيحة المتقدّمة ؛ إذ لا يتّضح منها أنّ المرّتين قبل المسح ، أو مرّة قبل مسح الوجه ، ومرّة قبل مسح الكفّين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يرفع الإجمال بها عن صحيحة الكندي ، عن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ضربة للوجه ، وضربة للكفّين</w:t>
      </w:r>
      <w:r>
        <w:rPr>
          <w:rFonts w:eastAsia="IRNazanin" w:cs="IRNazanin"/>
          <w:color w:val="111111"/>
          <w:sz w:val="28"/>
          <w:szCs w:val="28"/>
          <w:rtl w:val="true"/>
          <w:lang w:bidi="fa-IR"/>
        </w:rPr>
        <w:t>»</w:t>
      </w:r>
      <w:r>
        <w:rPr>
          <w:rStyle w:val="FootnoteAnchor"/>
          <w:rtl w:val="true"/>
        </w:rPr>
        <w:footnoteReference w:id="955"/>
      </w:r>
      <w:r>
        <w:rPr>
          <w:rFonts w:ascii="Amiri" w:hAnsi="Amiri" w:eastAsia="Amiri" w:cs="Amiri"/>
          <w:color w:val="111111"/>
          <w:sz w:val="28"/>
          <w:sz w:val="28"/>
          <w:szCs w:val="28"/>
          <w:rtl w:val="true"/>
          <w:lang w:bidi="ar-SA"/>
        </w:rPr>
        <w:t xml:space="preserve">لعدم ظهورها في الافتراق وإن كانت مشعرة به ، لكن ظهور رواية المرادي محكّم ومقدّم عليه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الثلاث كما رأيت لا تدلّ على ما نسب إلى المشهور ؛ فإنّ </w:t>
      </w:r>
    </w:p>
    <w:p>
      <w:pPr>
        <w:pStyle w:val="BookText"/>
        <w:rPr/>
      </w:pPr>
      <w:r>
        <w:rPr>
          <w:rFonts w:ascii="Amiri" w:hAnsi="Amiri" w:eastAsia="Amiri" w:cs="Amiri"/>
          <w:color w:val="111111"/>
          <w:sz w:val="28"/>
          <w:sz w:val="28"/>
          <w:szCs w:val="28"/>
          <w:rtl w:val="true"/>
          <w:lang w:bidi="ar-SA"/>
        </w:rPr>
        <w:t xml:space="preserve">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اليدين مرّتين قبلاً ، ثمّ مسح الأعضاء</w:t>
      </w:r>
    </w:p>
    <w:p>
      <w:pPr>
        <w:pStyle w:val="BookText"/>
        <w:rPr/>
      </w:pPr>
      <w:r>
        <w:rPr>
          <w:rFonts w:ascii="Amiri" w:hAnsi="Amiri" w:eastAsia="Amiri" w:cs="Amiri"/>
          <w:color w:val="111111"/>
          <w:sz w:val="28"/>
          <w:sz w:val="28"/>
          <w:szCs w:val="28"/>
          <w:rtl w:val="true"/>
          <w:lang w:bidi="ar-SA"/>
        </w:rPr>
        <w:t>بهما ، وفتوى القوم خلاف ذلك ؛ ظاهراً في بعض عباراتهم</w:t>
      </w:r>
      <w:r>
        <w:rPr>
          <w:rStyle w:val="FootnoteAnchor"/>
          <w:rtl w:val="true"/>
        </w:rPr>
        <w:footnoteReference w:id="956"/>
      </w:r>
      <w:r>
        <w:rPr>
          <w:rFonts w:ascii="Amiri" w:hAnsi="Amiri" w:eastAsia="Amiri" w:cs="Amiri"/>
          <w:color w:val="111111"/>
          <w:sz w:val="28"/>
          <w:sz w:val="28"/>
          <w:szCs w:val="28"/>
          <w:rtl w:val="true"/>
          <w:lang w:bidi="ar-SA"/>
        </w:rPr>
        <w:t>ونصّاً في الآخر</w:t>
      </w:r>
      <w:r>
        <w:rPr>
          <w:rStyle w:val="FootnoteAnchor"/>
          <w:rtl w:val="true"/>
        </w:rPr>
        <w:footnoteReference w:id="957"/>
      </w:r>
      <w:r>
        <w:rPr>
          <w:rFonts w:ascii="Amiri" w:hAnsi="Amiri" w:eastAsia="Amiri" w:cs="Amiri"/>
          <w:color w:val="111111"/>
          <w:sz w:val="28"/>
          <w:sz w:val="28"/>
          <w:szCs w:val="28"/>
          <w:rtl w:val="true"/>
          <w:lang w:bidi="ar-SA"/>
        </w:rPr>
        <w:t xml:space="preserve">فأوجبوا التفريق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صحيحة زرارة ، عن أبي جعفر علیه السلام  التي هي العمدة في مستند القول بالتفصيل ، وجعلت شاهدة للجمع بين الطائفتين</w:t>
      </w:r>
      <w:r>
        <w:rPr>
          <w:rStyle w:val="FootnoteAnchor"/>
          <w:rtl w:val="true"/>
        </w:rPr>
        <w:footnoteReference w:id="958"/>
      </w:r>
      <w:r>
        <w:rPr>
          <w:rFonts w:ascii="Amiri" w:hAnsi="Amiri" w:eastAsia="Amiri" w:cs="Amiri"/>
          <w:color w:val="111111"/>
          <w:sz w:val="28"/>
          <w:sz w:val="28"/>
          <w:szCs w:val="28"/>
          <w:rtl w:val="true"/>
          <w:lang w:bidi="ar-SA"/>
        </w:rPr>
        <w:t xml:space="preserve">، فليست شاهدة له حتّى بعد تسليم دلالة هذه الروايات على ما راموا من الضربتين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ضرب واحد للوضوء والغسل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بيديك مرّتين ، ثمّ تنفضهما نفضةً للوجه ، ومرّة لليدين ، ومتى أصبت الماء فعليك الغسل إن كنت جنباً ، والوضوء إن لم تكن جنباً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الظاهر منها أنّ لتيمّم الوضوء والغسل كيفية واحدة ؛ وهي الضرب باليدين مرّتين أوّلاً ، ثمّ نفضهما نفضة ، والمرّتان تكونان للوجه ، ثمّ يجب مرّة اُخرى لليدين ، فتكون الضربات ثلاثة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أغمضنا عن هذا الظاهر المتفاهم عرفاً ، وقلنا بأنّ 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للاستئناف ، وهو مبتدأ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فلا يمكن الإغماض عن ظهورها في أنّ الضربات ثلاث كما مرّ ، وهو ممّا لم يقل به أحد منهم ، فلا يمكن </w:t>
      </w:r>
    </w:p>
    <w:p>
      <w:pPr>
        <w:pStyle w:val="BookText"/>
        <w:rPr/>
      </w:pPr>
      <w:r>
        <w:rPr>
          <w:rFonts w:ascii="Amiri" w:hAnsi="Amiri" w:eastAsia="Amiri" w:cs="Amiri"/>
          <w:color w:val="111111"/>
          <w:sz w:val="28"/>
          <w:sz w:val="28"/>
          <w:szCs w:val="28"/>
          <w:rtl w:val="true"/>
          <w:lang w:bidi="ar-SA"/>
        </w:rPr>
        <w:t xml:space="preserve">الاستشهاد بها للجمع بين الروايات بجميع النسخ المختلفة الحاكية لها ؛ لأنّ كلّها مشتركة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بيديك مرّتين ، ثمّ تنفضهما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كونهما قبل مسح الوجه ؛ وإن كانت مختلفة من جهات اُخر في كتب الاستدلال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لكن لا اعتماد في نقل الروايات على الكتب الاستدلالية غير المعدّة لنقلها بألفاظها ، كما يظهر بالمراجعة إليها ، خصوصاً بعض كتب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الجمع بين الطائفتين المتقدّمتين بحمل الاُولى على تيمّم بدل الوضوء ، مع كونها غالباً في مورد الجنابة ، والثانية على بدل الغسل ، مع كونها في مقام بيان أصل الماهية ، ليس جمعاً مقبولاً عقلائياً ، كما لا يخفى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سلّمت دلالة الرواية المتقدّمة ، ودلالة صحيحة محمّد بن مسلم</w:t>
      </w:r>
      <w:r>
        <w:rPr>
          <w:rStyle w:val="FootnoteAnchor"/>
          <w:rtl w:val="true"/>
        </w:rPr>
        <w:footnoteReference w:id="961"/>
      </w:r>
      <w:r>
        <w:rPr>
          <w:rFonts w:ascii="Amiri" w:hAnsi="Amiri" w:eastAsia="Amiri" w:cs="Amiri"/>
          <w:color w:val="111111"/>
          <w:sz w:val="28"/>
          <w:sz w:val="28"/>
          <w:szCs w:val="28"/>
          <w:rtl w:val="true"/>
          <w:lang w:bidi="ar-SA"/>
        </w:rPr>
        <w:t xml:space="preserve">الظاهر منها آثار التقيّة ، مع وضوح عدم دلالتها على التفصيل بما قالوا ، بل ظاهرها المرّتان مطلقاً ، والتفصيل في المسح من المرفقين وإليهما ، وسلّم ورود مرسلات اُخر من جملة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بعض الأخبار التفصيل ، من ذلك رواية حريز ، عن زرارة</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روى أصحابنا أنّ الجنب يضرب ضربتين</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 xml:space="preserve">: </w:t>
      </w:r>
      <w:bookmarkStart w:id="446" w:name="pg17116_198852"/>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أنّ تيمّمه إن كان من جنابة وما أشبهها ، ثنّى ما ذكرناه من</w:t>
      </w:r>
    </w:p>
    <w:p>
      <w:pPr>
        <w:pStyle w:val="BookText"/>
        <w:rPr/>
      </w:pPr>
      <w:r>
        <w:rPr>
          <w:rFonts w:ascii="Amiri" w:hAnsi="Amiri" w:eastAsia="Amiri" w:cs="Amiri"/>
          <w:color w:val="111111"/>
          <w:sz w:val="28"/>
          <w:sz w:val="28"/>
          <w:szCs w:val="28"/>
          <w:rtl w:val="true"/>
          <w:lang w:bidi="ar-SA"/>
        </w:rPr>
        <w:t>الضربة</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وعن الصيمري نسبة التفصيل إلى الروايات</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الجمع بينها بما ذكر ، بل لا بدّ من حملها على الاستحباب أو التقيّة ، مع عدم ثبوت كون تلك المرسلات غير الروايات التي في الباب ؛ وإن يُستشعر من عبارة السيّد كون مرسلته غيرها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وانجبارُها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أصلها ، فضلاً عن ثبوت الاتّكال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المقام إلاّ روايات المرّة ورواية الساباطي الدالّة على التسوية بين التيمّم من الوضوء والجنابة ومن الحيض</w:t>
      </w:r>
      <w:r>
        <w:rPr>
          <w:rStyle w:val="FootnoteAnchor"/>
          <w:rtl w:val="true"/>
        </w:rPr>
        <w:footnoteReference w:id="966"/>
      </w:r>
      <w:r>
        <w:rPr>
          <w:rFonts w:ascii="Amiri" w:hAnsi="Amiri" w:eastAsia="Amiri" w:cs="Amiri"/>
          <w:color w:val="111111"/>
          <w:sz w:val="28"/>
          <w:sz w:val="28"/>
          <w:szCs w:val="28"/>
          <w:rtl w:val="true"/>
          <w:lang w:bidi="ar-SA"/>
        </w:rPr>
        <w:t xml:space="preserve">، وليس في مقابلها ما دلّ على القول المنسوب إلى المشهور ، وقد أوّل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التسوية بما لا يخلو من الغرابة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8646139_3381743652"/>
      <w:bookmarkStart w:id="448" w:name="_Toc161"/>
      <w:bookmarkEnd w:id="447"/>
      <w:r>
        <w:rPr>
          <w:rtl w:val="true"/>
        </w:rPr>
        <w:t>حول كلمات القوم في المقام</w:t>
      </w:r>
      <w:bookmarkEnd w:id="4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في المسألة ، فليست بتلك المثابة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ولأجلها فتح باب المناقشات على الروايات وكلمات الأصحاب ، فأوّلها بما لا أظنّ ارتضاء نفسه الشريفة به لولا اتّكاله على الشهرة ، حتّى نَسَب الخلاف إلى </w:t>
      </w:r>
    </w:p>
    <w:p>
      <w:pPr>
        <w:pStyle w:val="BookText"/>
        <w:rPr/>
      </w:pPr>
      <w:r>
        <w:rPr>
          <w:rFonts w:ascii="Amiri" w:hAnsi="Amiri" w:eastAsia="Amiri" w:cs="Amiri"/>
          <w:color w:val="111111"/>
          <w:sz w:val="28"/>
          <w:sz w:val="28"/>
          <w:szCs w:val="28"/>
          <w:rtl w:val="true"/>
          <w:lang w:bidi="ar-SA"/>
        </w:rPr>
        <w:t xml:space="preserve">الأردبيلي والكاشاني مع أنّ ظاهر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والمحكيّ عن ابن الجنيد وابن أبي عقيل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العزّية</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وغيرهم</w:t>
      </w:r>
      <w:r>
        <w:rPr>
          <w:rStyle w:val="FootnoteAnchor"/>
          <w:rtl w:val="true"/>
        </w:rPr>
        <w:footnoteReference w:id="974"/>
      </w:r>
      <w:r>
        <w:rPr>
          <w:rFonts w:ascii="IRNazanin" w:hAnsi="IRNazanin" w:eastAsia="IRNazanin"/>
          <w:color w:val="111111"/>
          <w:sz w:val="28"/>
          <w:sz w:val="28"/>
          <w:szCs w:val="28"/>
          <w:rtl w:val="true"/>
          <w:lang w:bidi="fa-IR"/>
        </w:rPr>
        <w:t xml:space="preserve">، اختيار الضربة 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حكي اشتهاره بين العامّة عن علي علیه السلام</w:t>
      </w:r>
    </w:p>
    <w:p>
      <w:pPr>
        <w:pStyle w:val="BookText"/>
        <w:rPr/>
      </w:pPr>
      <w:r>
        <w:rPr>
          <w:rFonts w:ascii="Amiri" w:hAnsi="Amiri" w:eastAsia="Amiri" w:cs="Amiri"/>
          <w:color w:val="111111"/>
          <w:sz w:val="28"/>
          <w:sz w:val="28"/>
          <w:szCs w:val="28"/>
          <w:rtl w:val="true"/>
          <w:lang w:bidi="ar-SA"/>
        </w:rPr>
        <w:t>وابن عبّاس وعمّار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أصحابنا اختيار ثلاث ضربات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وعن التقيّ</w:t>
      </w:r>
      <w:r>
        <w:rPr>
          <w:rStyle w:val="FootnoteAnchor"/>
          <w:rtl w:val="true"/>
        </w:rPr>
        <w:footnoteReference w:id="978"/>
      </w:r>
      <w:r>
        <w:rPr>
          <w:rFonts w:ascii="Amiri" w:hAnsi="Amiri" w:eastAsia="Amiri" w:cs="Amiri"/>
          <w:color w:val="111111"/>
          <w:sz w:val="28"/>
          <w:sz w:val="28"/>
          <w:szCs w:val="28"/>
          <w:rtl w:val="true"/>
          <w:lang w:bidi="ar-SA"/>
        </w:rPr>
        <w:t>عن جماعة من القدماء في الكلّ ضربتان</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الصدوق أيضاً </w:t>
      </w:r>
      <w:r>
        <w:rPr>
          <w:rStyle w:val="FootnoteAnchor"/>
          <w:rtl w:val="true"/>
        </w:rPr>
        <w:footnoteReference w:id="980"/>
      </w:r>
      <w:r>
        <w:rPr>
          <w:rFonts w:ascii="Amiri" w:hAnsi="Amiri" w:eastAsia="Amiri" w:cs="Amiri"/>
          <w:color w:val="111111"/>
          <w:sz w:val="28"/>
          <w:sz w:val="28"/>
          <w:szCs w:val="28"/>
          <w:rtl w:val="true"/>
          <w:lang w:bidi="ar-SA"/>
        </w:rPr>
        <w:t xml:space="preserve">، وهو موافق للنسخة التي </w:t>
      </w:r>
      <w:bookmarkStart w:id="449" w:name="pg17116_198854"/>
    </w:p>
    <w:p>
      <w:pPr>
        <w:pStyle w:val="BookText"/>
        <w:rPr/>
      </w:pPr>
      <w:bookmarkEnd w:id="449"/>
      <w:r>
        <w:rPr>
          <w:rFonts w:ascii="Amiri" w:hAnsi="Amiri" w:eastAsia="Amiri" w:cs="Amiri"/>
          <w:color w:val="111111"/>
          <w:sz w:val="28"/>
          <w:sz w:val="28"/>
          <w:szCs w:val="28"/>
          <w:rtl w:val="true"/>
          <w:lang w:bidi="ar-SA"/>
        </w:rPr>
        <w:t xml:space="preserve">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الرجل أن يتيمّم ، ضرب بيديه على الأرض</w:t>
      </w:r>
    </w:p>
    <w:p>
      <w:pPr>
        <w:pStyle w:val="BookText"/>
        <w:rPr/>
      </w:pPr>
      <w:r>
        <w:rPr>
          <w:rFonts w:ascii="Amiri" w:hAnsi="Amiri" w:eastAsia="Amiri" w:cs="Amiri"/>
          <w:color w:val="111111"/>
          <w:sz w:val="28"/>
          <w:sz w:val="28"/>
          <w:szCs w:val="28"/>
          <w:rtl w:val="true"/>
          <w:lang w:bidi="ar-SA"/>
        </w:rPr>
        <w:t xml:space="preserve">مرّة واحدة ، ثمّ ينفضهما فيمسح بهما وجهه ، ثمّ يضرب بيساره الأرض ، فيمسح بها يده اليمنى من الزند إلى أطراف الأصابع ، ثمّ يضرب بيمينه الأرض فيمسح بها يده اليمنى من الزند إلى أطراف الأصابع ،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الرجل جبينيه وحاجبيه ، ويمسح على ظهر كفّيه ، وعليه مضى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وإن كانت مغلوطة ، لكن لم يفصّل فيها بين التيمّم بدل الوضوء والغسل ، فهي شاهدة على أنّ التفصيل لم يكن مشهوراً في تلك الأعصار ، بل مضى المشايخ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أنّ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يتمسّك لمذهبه بالإجماع</w:t>
      </w:r>
      <w:r>
        <w:rPr>
          <w:rStyle w:val="FootnoteAnchor"/>
          <w:rtl w:val="true"/>
        </w:rPr>
        <w:footnoteReference w:id="981"/>
      </w:r>
      <w:r>
        <w:rPr>
          <w:rFonts w:ascii="Amiri" w:hAnsi="Amiri" w:eastAsia="Amiri" w:cs="Amiri"/>
          <w:color w:val="111111"/>
          <w:sz w:val="28"/>
          <w:sz w:val="28"/>
          <w:szCs w:val="28"/>
          <w:rtl w:val="true"/>
          <w:lang w:bidi="ar-SA"/>
        </w:rPr>
        <w:t>مع أنّ دأبه فيه ذلك ، وإنّما تمسّك بصحيحة زرارة المتقدّمة</w:t>
      </w:r>
      <w:r>
        <w:rPr>
          <w:rStyle w:val="FootnoteAnchor"/>
          <w:rtl w:val="true"/>
        </w:rPr>
        <w:footnoteReference w:id="982"/>
      </w:r>
      <w:r>
        <w:rPr>
          <w:rFonts w:ascii="Amiri" w:hAnsi="Amiri" w:eastAsia="Amiri" w:cs="Amiri"/>
          <w:color w:val="111111"/>
          <w:sz w:val="28"/>
          <w:sz w:val="28"/>
          <w:szCs w:val="28"/>
          <w:rtl w:val="true"/>
          <w:lang w:bidi="ar-SA"/>
        </w:rPr>
        <w:t xml:space="preserve">، فيعلم من ذلك أنّ اختياره له كان بتخلّل اجتهاد ، لا لأمر آخر نحن بعيدون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الاتّكال على الشهرة في مثل هذه المسألة التي تراكمت فيها الأدلّة وأقوال أساطين الفقه ، ورفعَ اليد لأجلها عن الأدلّة كتاباً وسنّة ، ممّا لا مجال له </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8646141_3381743652"/>
      <w:bookmarkStart w:id="451" w:name="_Toc162"/>
      <w:bookmarkEnd w:id="450"/>
      <w:r>
        <w:rPr>
          <w:rtl w:val="true"/>
        </w:rPr>
        <w:t>اتّحاد كيفية التيمّم بدل جميع الأغسال</w:t>
      </w:r>
      <w:bookmarkEnd w:id="45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اتّحاد كيفية التيمّم بدل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ويدلّ عليه كثير من الروايات ؛ </w:t>
      </w:r>
      <w:bookmarkStart w:id="452" w:name="pg17116_198855"/>
    </w:p>
    <w:p>
      <w:pPr>
        <w:pStyle w:val="BookText"/>
        <w:rPr/>
      </w:pPr>
      <w:bookmarkEnd w:id="452"/>
      <w:r>
        <w:rPr>
          <w:rFonts w:ascii="Amiri" w:hAnsi="Amiri" w:eastAsia="Amiri" w:cs="Amiri"/>
          <w:color w:val="111111"/>
          <w:sz w:val="28"/>
          <w:sz w:val="28"/>
          <w:szCs w:val="28"/>
          <w:rtl w:val="true"/>
          <w:lang w:bidi="ar-SA"/>
        </w:rPr>
        <w:t>حيث يظهر منها السؤال عن كيفية ماهية التيمّم ، كرواية الكاهلي وموثّقة زرارة</w:t>
      </w:r>
    </w:p>
    <w:p>
      <w:pPr>
        <w:pStyle w:val="BookText"/>
        <w:rPr/>
      </w:pPr>
      <w:r>
        <w:rPr>
          <w:rFonts w:ascii="Amiri" w:hAnsi="Amiri" w:eastAsia="Amiri" w:cs="Amiri"/>
          <w:color w:val="111111"/>
          <w:sz w:val="28"/>
          <w:sz w:val="28"/>
          <w:szCs w:val="28"/>
          <w:rtl w:val="true"/>
          <w:lang w:bidi="ar-SA"/>
        </w:rPr>
        <w:t>بل وصحيحتي الخزّاز وابن النعمان</w:t>
      </w:r>
      <w:r>
        <w:rPr>
          <w:rStyle w:val="FootnoteAnchor"/>
          <w:rtl w:val="true"/>
        </w:rPr>
        <w:footnoteReference w:id="984"/>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موثّقة عمّار الساباطي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التيمّم من الوضوء والجنابة ومن الحيض للنساء ، سواء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في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تيمّم الحائض والجنب ، سواء إذا لم يجدا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ومعلومية عدم الفصل ، بل يمكن الاستئناس له بالتساوي في المبدل منه ، فلا إشكال فيه </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8646143_3381743652"/>
      <w:bookmarkStart w:id="454" w:name="_Toc163"/>
      <w:bookmarkEnd w:id="453"/>
      <w:r>
        <w:rPr>
          <w:rtl w:val="true"/>
        </w:rPr>
        <w:t xml:space="preserve">تتميم </w:t>
      </w:r>
      <w:r>
        <w:rPr>
          <w:rtl w:val="true"/>
        </w:rPr>
        <w:t xml:space="preserve">: </w:t>
      </w:r>
      <w:r>
        <w:rPr>
          <w:rtl w:val="true"/>
        </w:rPr>
        <w:t>في أنّ التيمّم بمنزلة المبدل منه في جميع الآثار</w:t>
      </w:r>
      <w:bookmarkEnd w:id="454"/>
    </w:p>
    <w:p>
      <w:pPr>
        <w:pStyle w:val="BookText"/>
        <w:rPr/>
      </w:pPr>
      <w:r>
        <w:rPr>
          <w:rFonts w:ascii="Amiri" w:hAnsi="Amiri" w:eastAsia="Amiri" w:cs="Amiri"/>
          <w:color w:val="111111"/>
          <w:sz w:val="28"/>
          <w:sz w:val="28"/>
          <w:szCs w:val="28"/>
          <w:rtl w:val="true"/>
          <w:lang w:bidi="ar-SA"/>
        </w:rPr>
        <w:t xml:space="preserve">هل يكون التيمّم كالغسل في الاجتزاء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بدلاً من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 والاجتزاء بتيمّم واحد عن الأغسال الكثيرة إذا كان فيها غسل جنابة ونوى الجميع ، أو مطلقاً ؛ كان فيها جنابة أو لا ، نوى الجميع أو بعضها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يقوم التيمّم مقام الغسل في جميع ما للغسل ، أو لا مطلقاً ، أو يفصّل بين ما هو بدل غسل الجنابة ، فيقوم مقامه في الاجتزاء عن الوضوء </w:t>
      </w:r>
    </w:p>
    <w:p>
      <w:pPr>
        <w:pStyle w:val="BookText"/>
        <w:rPr/>
      </w:pPr>
      <w:r>
        <w:rPr>
          <w:rFonts w:ascii="Amiri" w:hAnsi="Amiri" w:eastAsia="Amiri" w:cs="Amiri"/>
          <w:color w:val="111111"/>
          <w:sz w:val="28"/>
          <w:sz w:val="28"/>
          <w:szCs w:val="28"/>
          <w:rtl w:val="true"/>
          <w:lang w:bidi="ar-SA"/>
        </w:rPr>
        <w:t>أو التيمّم له ، دون غيره ، فلا يكتفى بتيمّم واحد عن الأغسال المتعدّدة ؟</w:t>
      </w:r>
    </w:p>
    <w:p>
      <w:pPr>
        <w:pStyle w:val="BookText"/>
        <w:rPr/>
      </w:pPr>
      <w:r>
        <w:rPr>
          <w:rFonts w:ascii="Amiri" w:hAnsi="Amiri" w:eastAsia="Amiri" w:cs="Amiri"/>
          <w:color w:val="111111"/>
          <w:sz w:val="28"/>
          <w:sz w:val="28"/>
          <w:szCs w:val="28"/>
          <w:rtl w:val="true"/>
          <w:lang w:bidi="ar-SA"/>
        </w:rPr>
        <w:t>أو يجتزأ به حتّى فيما لا يجتزأ بالغسل الواحد ، كما لو كان على المرأة غسل الحيض ، وقلنا بوجوب الوضوء عليها مع الغسل ، فيجزي تيمّم واحد عن غسلها ووضوئها ؟</w:t>
      </w:r>
    </w:p>
    <w:p>
      <w:pPr>
        <w:pStyle w:val="BookText"/>
        <w:rPr/>
      </w:pPr>
      <w:r>
        <w:rPr>
          <w:rFonts w:ascii="Amiri" w:hAnsi="Amiri" w:eastAsia="Amiri" w:cs="Amiri"/>
          <w:color w:val="111111"/>
          <w:sz w:val="28"/>
          <w:sz w:val="28"/>
          <w:szCs w:val="28"/>
          <w:rtl w:val="true"/>
          <w:lang w:bidi="ar-SA"/>
        </w:rPr>
        <w:t xml:space="preserve">وجوه ، أقواها كونه بمنزلة المبدل منه في جميع ما له ، فيكتفى بتيمّم واحد بدل غسل الجنابة عن الوضوء ، ويتداخل كما تتداخل الأغسال ، ولا يتداخل فيما لا تتداخل ، ولا يجتزأ به فيما لا يجتزأ بالغسل ، فيجب تيمّمان على الحائض بدل الغسل والوضوء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الاجتزاء عن الوضوء في بدل غسل الجنابة ، فممّا لا ينبغي الإشكال فيه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وجدان الخلاف فيه</w:t>
      </w:r>
      <w:r>
        <w:rPr>
          <w:rStyle w:val="FootnoteAnchor"/>
          <w:rtl w:val="true"/>
        </w:rPr>
        <w:footnoteReference w:id="987"/>
      </w:r>
      <w:r>
        <w:rPr>
          <w:rFonts w:ascii="Amiri" w:hAnsi="Amiri" w:eastAsia="Amiri" w:cs="Amiri"/>
          <w:color w:val="111111"/>
          <w:sz w:val="28"/>
          <w:sz w:val="28"/>
          <w:szCs w:val="28"/>
          <w:rtl w:val="true"/>
          <w:lang w:bidi="ar-SA"/>
        </w:rPr>
        <w:t>، لكن لا للآية الكريمة</w:t>
      </w:r>
      <w:r>
        <w:rPr>
          <w:rStyle w:val="FootnoteAnchor"/>
          <w:rtl w:val="true"/>
        </w:rPr>
        <w:footnoteReference w:id="988"/>
      </w:r>
      <w:r>
        <w:rPr>
          <w:rFonts w:ascii="Amiri" w:hAnsi="Amiri" w:eastAsia="Amiri" w:cs="Amiri"/>
          <w:color w:val="111111"/>
          <w:sz w:val="28"/>
          <w:sz w:val="28"/>
          <w:szCs w:val="28"/>
          <w:rtl w:val="true"/>
          <w:lang w:bidi="ar-SA"/>
        </w:rPr>
        <w:t xml:space="preserve">بنفسها ، فإنّها مع قطع النظر عن الروايات لا تدلّ على الاجتزاء ؛ فإنّ الظاهر من صدرها لزوم الوضوء للصلاة شرطاً ، ولزوم الغسل من الجنابة كذلك ، فلا يستفاد منها غير ذلك ، فلا تدلّ على إجزاء أحدهما عن الآخر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لزومهما عند تحقّق سببهما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ذيلها فيتفرّع على الصدر ، فلا يستفاد منه زائداً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الحدث الأصغر والأكبر سبب للتيمّم ، وإطلاق السببية يقتضي تكرّر المسبّب ، ويكون مقدّماً على إطلاق </w:t>
      </w:r>
    </w:p>
    <w:p>
      <w:pPr>
        <w:pStyle w:val="BookText"/>
        <w:rPr/>
      </w:pPr>
      <w:r>
        <w:rPr>
          <w:rFonts w:ascii="Amiri" w:hAnsi="Amiri" w:eastAsia="Amiri" w:cs="Amiri"/>
          <w:color w:val="111111"/>
          <w:sz w:val="28"/>
          <w:sz w:val="28"/>
          <w:szCs w:val="28"/>
          <w:rtl w:val="true"/>
          <w:lang w:bidi="ar-SA"/>
        </w:rPr>
        <w:t>المسبّب ، كما حرّرناه في محلّه</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استفادة الاجتزاء منها بنفسها ، بل يستفاد بضمّ ما دلّ على إجزاء غسل الجنابة عن الوضوء</w:t>
      </w:r>
      <w:r>
        <w:rPr>
          <w:rStyle w:val="FootnoteAnchor"/>
          <w:rtl w:val="true"/>
        </w:rPr>
        <w:footnoteReference w:id="990"/>
      </w:r>
      <w:r>
        <w:rPr>
          <w:rFonts w:ascii="Amiri" w:hAnsi="Amiri" w:eastAsia="Amiri" w:cs="Amiri"/>
          <w:color w:val="111111"/>
          <w:sz w:val="28"/>
          <w:sz w:val="28"/>
          <w:szCs w:val="28"/>
          <w:rtl w:val="true"/>
          <w:lang w:bidi="ar-SA"/>
        </w:rPr>
        <w:t xml:space="preserve">؛ لأنّ الظاهر منها أنّ التيمّم عند فقدان الماء بمنزلة الوضوء ، وللمجنب بمنزلة الغسل ، فإذا علم أنّ الغسل كافٍ عن الوضوء ، قام التيمّم مقامه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دعوى استفادة عموم التنزيل بالنسبة إلى سائر الأغسال أيضاً ؛ إمّا بدعوى 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مطلق الحدث الأكبر ،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مطلق الأصغر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مطلق المعذور ، مع المناسبات المغروسة في ذهن العرف ، ومعلومية عدم ترك الصلاة بحال ، وعدم سقوط شرطية الطهارة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بدعوى استفادة ذلك من قوله تعالى في ذيل بيان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الظاهر منه أنّ التيمّم طهور لدى فقدان الماء أو العذر في استعماله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فيستفاد منه ومن قبله مع الارتكازات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للوضوء والغسل عند الاحتياج إليهما ، للتيمّم مع تعذّرهما ، فإذا اجتزئ بغسل واحد عن الأغسال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أحدها للجنابة اجتزئ عن الوضوء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يجتزأ بالتيمّم الذي هو بمنزلته ، وهو الطهور في هذه الحالة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البدل حال المبدل منه مطلقاً وفي جميع ما له من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استفادته من الأخبار أيضاً ، كصحيحة ابن حُمران وجميل بن درّاج بطريق جميل</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نّهما سألا أبا عبداللّه‌ علیه السلام  عن إمام قومٍ أصابته جنابة في السفر ، وليس معه من الماء ما يكفيه للغسل ، أيتوضّأ بعضهم ويصلّي بهم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يتيمّم الجنب ويصلّي بهم ؛ فإنّ اللّه عزّ وجلّ جعل التراب طهوراً ، كما جعل الماء طهوراً</w:t>
      </w:r>
      <w:r>
        <w:rPr>
          <w:rFonts w:eastAsia="IRNazanin" w:cs="IRNazanin"/>
          <w:color w:val="111111"/>
          <w:sz w:val="28"/>
          <w:szCs w:val="28"/>
          <w:rtl w:val="true"/>
          <w:lang w:bidi="fa-IR"/>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منها الاكتفاء بالتيمّم للصلاة مع فرض وجدان الماء بقدر الوضوء ، ومقتضى تعليله عموم الحكم والمنزلة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Style w:val="FootnoteAnchor"/>
          <w:rtl w:val="true"/>
        </w:rPr>
        <w:footnoteReference w:id="994"/>
      </w:r>
      <w:r>
        <w:rPr>
          <w:rFonts w:ascii="Amiri" w:hAnsi="Amiri" w:eastAsia="Amiri" w:cs="Amiri"/>
          <w:color w:val="111111"/>
          <w:sz w:val="28"/>
          <w:sz w:val="28"/>
          <w:szCs w:val="28"/>
          <w:rtl w:val="true"/>
          <w:lang w:bidi="ar-SA"/>
        </w:rPr>
        <w:t>بالاجتزاء بتيمّم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عن غسل الحيض والوضوء وإن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نقل في المبدل منه ، فمبنيّ على كون التيمّم للوضوء والغسل بكيفية واحدة ، وعدم قيد يوجب تباينهما ، وعدم إمكان اجتماعهما في المصداق الواحد ، واستفادة جميع التيمّمات من الآية الكريمة بالتقريب المتقدّم ، وتقديم إطلاق الجزاء على إطلاق الشرط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جميع المقدّمات مسلّمة إلاّ الأخيرة ؛ لما تقرّر من تقديم إطلاق الشرط على الجزاء</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زيادة البدل عن المبدل منه ، ولأجله لا يستفاد ذلك في المقام ولو سلّم في سائر المقامات ، فالأقوى هو تساويهما في الآثار مطلقاً </w:t>
      </w:r>
      <w:r>
        <w:rPr>
          <w:rFonts w:eastAsia="Amiri" w:cs="Amiri" w:ascii="Amiri" w:hAnsi="Amiri"/>
          <w:color w:val="111111"/>
          <w:sz w:val="28"/>
          <w:szCs w:val="28"/>
          <w:rtl w:val="true"/>
          <w:lang w:bidi="ar-SA"/>
        </w:rPr>
        <w:t xml:space="preserve">. </w:t>
      </w:r>
      <w:bookmarkStart w:id="455" w:name="pg17116_198859"/>
    </w:p>
    <w:p>
      <w:pPr>
        <w:pStyle w:val="Heading4"/>
        <w:numPr>
          <w:ilvl w:val="3"/>
          <w:numId w:val="1"/>
        </w:numPr>
        <w:rPr/>
      </w:pPr>
      <w:bookmarkStart w:id="456" w:name="__RefHeading___Toc8646145_3381743652"/>
      <w:bookmarkStart w:id="457" w:name="_Toc164"/>
      <w:bookmarkEnd w:id="455"/>
      <w:bookmarkEnd w:id="456"/>
      <w:r>
        <w:rPr>
          <w:rtl w:val="true"/>
        </w:rPr>
        <w:t>المبحث الرابع</w:t>
      </w:r>
      <w:r>
        <w:rPr>
          <w:rtl w:val="true"/>
        </w:rPr>
        <w:t xml:space="preserve">: </w:t>
      </w:r>
      <w:r>
        <w:rPr>
          <w:rtl w:val="true"/>
        </w:rPr>
        <w:t>في أحكام التيمّم</w:t>
      </w:r>
      <w:bookmarkEnd w:id="457"/>
    </w:p>
    <w:p>
      <w:pPr>
        <w:pStyle w:val="Heading5"/>
        <w:numPr>
          <w:ilvl w:val="4"/>
          <w:numId w:val="1"/>
        </w:numPr>
        <w:rPr/>
      </w:pPr>
      <w:bookmarkStart w:id="458" w:name="__RefHeading___Toc8646147_3381743652"/>
      <w:bookmarkStart w:id="459" w:name="_Toc165"/>
      <w:bookmarkEnd w:id="458"/>
      <w:r>
        <w:rPr>
          <w:rtl w:val="true"/>
        </w:rPr>
        <w:t>اشارة</w:t>
      </w:r>
      <w:bookmarkEnd w:id="45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7116_198861"/>
      <w:bookmarkStart w:id="461" w:name="pg17116_198861"/>
      <w:bookmarkEnd w:id="461"/>
    </w:p>
    <w:p>
      <w:pPr>
        <w:pStyle w:val="Heading5"/>
        <w:numPr>
          <w:ilvl w:val="4"/>
          <w:numId w:val="1"/>
        </w:numPr>
        <w:rPr/>
      </w:pPr>
      <w:bookmarkStart w:id="462" w:name="pg17116_198861"/>
      <w:bookmarkStart w:id="463" w:name="__RefHeading___Toc8646149_3381743652"/>
      <w:bookmarkStart w:id="464" w:name="_Toc166"/>
      <w:bookmarkEnd w:id="462"/>
      <w:bookmarkEnd w:id="463"/>
      <w:r>
        <w:rPr>
          <w:rtl w:val="true"/>
        </w:rPr>
        <w:t>الأمر الأوّل</w:t>
      </w:r>
      <w:r>
        <w:rPr>
          <w:rtl w:val="true"/>
        </w:rPr>
        <w:t xml:space="preserve">: </w:t>
      </w:r>
      <w:r>
        <w:rPr>
          <w:rtl w:val="true"/>
        </w:rPr>
        <w:t>في عدم صحّة التيمّم قبل الوقت لصاحبته</w:t>
      </w:r>
      <w:bookmarkEnd w:id="464"/>
    </w:p>
    <w:p>
      <w:pPr>
        <w:pStyle w:val="Heading6"/>
        <w:numPr>
          <w:ilvl w:val="5"/>
          <w:numId w:val="1"/>
        </w:numPr>
        <w:rPr/>
      </w:pPr>
      <w:bookmarkStart w:id="465" w:name="__RefHeading___Toc8646151_3381743652"/>
      <w:bookmarkStart w:id="466" w:name="_Toc167"/>
      <w:bookmarkEnd w:id="465"/>
      <w:r>
        <w:rPr>
          <w:rtl w:val="true"/>
        </w:rPr>
        <w:t>التمسّك بالإجماع في المقام</w:t>
      </w:r>
      <w:bookmarkEnd w:id="466"/>
    </w:p>
    <w:p>
      <w:pPr>
        <w:pStyle w:val="BookText"/>
        <w:rPr/>
      </w:pPr>
      <w:r>
        <w:rPr>
          <w:rFonts w:ascii="Amiri" w:hAnsi="Amiri" w:eastAsia="Amiri" w:cs="Amiri"/>
          <w:color w:val="111111"/>
          <w:sz w:val="28"/>
          <w:sz w:val="28"/>
          <w:szCs w:val="28"/>
          <w:rtl w:val="true"/>
          <w:lang w:bidi="ar-SA"/>
        </w:rPr>
        <w:t>لا خلاف ظاهراً بينهم في عدم صحّة التيمّم قبل الوقت لصاحبته ، وعليه نقل الإجماع مستفيضاً ؛ لأ نّه منقول عن ثلاثة عشر موضعاً أو أكثر من زمن المحقّق ومن بعده</w:t>
      </w:r>
      <w:r>
        <w:rPr>
          <w:rStyle w:val="FootnoteAnchor"/>
          <w:rtl w:val="true"/>
        </w:rPr>
        <w:footnoteReference w:id="996"/>
      </w:r>
      <w:r>
        <w:rPr>
          <w:rFonts w:ascii="Amiri" w:hAnsi="Amiri" w:eastAsia="Amiri" w:cs="Amiri"/>
          <w:color w:val="111111"/>
          <w:sz w:val="28"/>
          <w:sz w:val="28"/>
          <w:szCs w:val="28"/>
          <w:rtl w:val="true"/>
          <w:lang w:bidi="ar-SA"/>
        </w:rPr>
        <w:t>، ولو اُضيف إليه فحوى الإجماعات المنقولة على عدم صحّته في سعة الوقت</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يكاد يتجاوز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الحجّة ؛ لعدم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لأمر عقلي ، سيّما إذا ثبت أنّ الوضوء التأهّبي المفتى به</w:t>
      </w:r>
      <w:r>
        <w:rPr>
          <w:rStyle w:val="FootnoteAnchor"/>
          <w:rtl w:val="true"/>
        </w:rPr>
        <w:footnoteReference w:id="998"/>
      </w:r>
      <w:r>
        <w:rPr>
          <w:rFonts w:ascii="Amiri" w:hAnsi="Amiri" w:eastAsia="Amiri" w:cs="Amiri"/>
          <w:color w:val="111111"/>
          <w:sz w:val="28"/>
          <w:sz w:val="28"/>
          <w:szCs w:val="28"/>
          <w:rtl w:val="true"/>
          <w:lang w:bidi="ar-SA"/>
        </w:rPr>
        <w:t xml:space="preserve">، من قبيل التخصيص عندهم من عدم جواز الوضوء قبل الوقت ؛ لأنّ التأهّب للفرض والتهيُّؤ له عبارة اُخرى عن كونه له ، ومعه لا يكون منعهم لعدم المعقولية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الخروج التخصيصي مشكل ، بل غير ممكن ؛ لاحتمال أن يكون تخصّصاً ؛ لأجل الاتّكال على الروايات الدالّة على أفضلية إيقاع الصلوات في أوّل أوقاتها </w:t>
      </w:r>
      <w:r>
        <w:rPr>
          <w:rStyle w:val="FootnoteAnchor"/>
          <w:rtl w:val="true"/>
        </w:rPr>
        <w:footnoteReference w:id="999"/>
      </w:r>
      <w:r>
        <w:rPr>
          <w:rFonts w:ascii="Amiri" w:hAnsi="Amiri" w:eastAsia="Amiri" w:cs="Amiri"/>
          <w:color w:val="111111"/>
          <w:sz w:val="28"/>
          <w:sz w:val="28"/>
          <w:szCs w:val="28"/>
          <w:rtl w:val="true"/>
          <w:lang w:bidi="ar-SA"/>
        </w:rPr>
        <w:t xml:space="preserve">، فاستكشف منها محبوبية تحصيل الطهور قبل الأوقات ؛ ولو لأجل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التهيّؤ للصلاة غاية اُخرى غير الغيرية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الإجماعات كفاية ، بعد فساد توهّم كون الاتّكال على الأمر العقلي غير التامّ ، وتخطئةُ الكلّ في مثل هذا الأمر العقلي الذي ربّما يطابق الوجدان ، خطأٌ فاحش ، سيّما مع ورود نظيره في الشرع ، كمقدّمات الحجّ ، وظهور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الصلاة بالنسبة إلى الأوقات من قبيل الواجب المعلّق لا المشروط ، كما سيأتي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اتّكال كثير من قدماء أصحابنا على مثل تلك العقليات التي كثرت وشاعت لدى متأخّري المتأخّرين ، كما لا يخفى ، ومن هنا يمكن كشف كون الحكم معهوداً من الصدر الأوّل </w:t>
      </w:r>
      <w:r>
        <w:rPr>
          <w:rFonts w:eastAsia="Amiri" w:cs="Amiri" w:ascii="Amiri" w:hAnsi="Amiri"/>
          <w:color w:val="111111"/>
          <w:sz w:val="28"/>
          <w:szCs w:val="28"/>
          <w:rtl w:val="true"/>
          <w:lang w:bidi="ar-SA"/>
        </w:rPr>
        <w:t xml:space="preserve">. </w:t>
      </w:r>
      <w:bookmarkStart w:id="467" w:name="pg17116_198863"/>
    </w:p>
    <w:p>
      <w:pPr>
        <w:pStyle w:val="Heading6"/>
        <w:numPr>
          <w:ilvl w:val="5"/>
          <w:numId w:val="1"/>
        </w:numPr>
        <w:rPr/>
      </w:pPr>
      <w:bookmarkStart w:id="468" w:name="__RefHeading___Toc8646153_3381743652"/>
      <w:bookmarkStart w:id="469" w:name="_Toc168"/>
      <w:bookmarkEnd w:id="467"/>
      <w:bookmarkEnd w:id="468"/>
      <w:r>
        <w:rPr>
          <w:rtl w:val="true"/>
        </w:rPr>
        <w:t>التمسّك بالدليل العقلي على عدم صحّة التيمّم قبل الوقت</w:t>
      </w:r>
      <w:bookmarkEnd w:id="469"/>
    </w:p>
    <w:p>
      <w:pPr>
        <w:pStyle w:val="BookText"/>
        <w:rPr/>
      </w:pPr>
      <w:r>
        <w:rPr>
          <w:rFonts w:ascii="Amiri" w:hAnsi="Amiri" w:eastAsia="Amiri" w:cs="Amiri"/>
          <w:color w:val="111111"/>
          <w:sz w:val="28"/>
          <w:sz w:val="28"/>
          <w:szCs w:val="28"/>
          <w:rtl w:val="true"/>
          <w:lang w:bidi="ar-SA"/>
        </w:rPr>
        <w:t xml:space="preserve">وأمّا لو أغمضنا عن ذلك ، فالاتّكال على الدليل العقلي المتوهّم في المقام غير ممكن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من قبيل الواجب المشروط بالأوقات ، فقبل مجيء أوقاتها لا يكون التكليف بها فعلياً ، ومع عدم وجوب ذي المقدّمة لا يمكن وجوب مقدّمته ؛ لعدم إمكان تحقّق المعلول قبل علّته ، ومعه لا يمكن صحّته لأجل الإتيان به بداعي الأمر المقدّمي 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كون الصلاة من الواجب المشروط ، وتسليم وجوب المقدّمة شرعاً ، وتسليم صلوح الأمر الغيري للعبادية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إمكان وجوب المقدّمة قبل وجوب ذيها ؛ لما حقّقناه في محلّه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بين وجوب المقدّمة ووجوب ذيها ، ولا بين إرادتها وإرادته ؛ بمعنى نشوء وجوب عن وجوب ، أو إرادة عن إرادة ؛ لأنّ البعث إلى ذي المقدّمة لو كان علّة تامّة لبعث آخر متعلّق بمقدّمته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البعث إليها لازم البعث إليه ومعلوله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مقهورية الآمِر الباعث لذي المقدّمة للبعث إلى مقدّمته بلا حصول مقدّماته وما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 والتصديق بالفائدة ، وغيرهما ، وهو ضروري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معلولية إرادة المقدّمة لإرادة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البطلان ؛ ضرورة أنّ كلّ إرادة تحتاج في تحقّقها إلى مبادئ تصوّرية وتصديقية لا يعقل تحقّقها بدونها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ما يمكن أن يقال في باب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إرادتها تحصل من مبادئ خاصّة بها ، هي تصوّرها ، وتصوّر توقّف ذي المقدّمة عليها ، والتصديق به ، وإدراك لزوم حصولها بيد العبد ، ومعها تتحقّق إرادتها والبعث إليها ، وهذه المقدّمات كما هي حاصلة في مقدّمات الواجب المطلق والمشروط بعد تحقّق شرطه ، حاصلة للمشروط قبل تحقّق شرطه ، فإنّ المولى الآمر بشيء مشروطاً بوقت مثلاً ، إذا تصوّر مقدّمته الوجودية قبل مجيء شرطه ، وتصوّر توقّفه عليها ، وصدّق بذلك ، ورأى أنّ مطلوبه في موطنه متوقّف عليه ؛ وإن لم يكن بالفعل مطلوباً له ، ولا يمكن التوصّل إليه إلاّ بإيجادها ، فمع انحصارها تتعلّق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بإيجادها ؛ للتوصّل بها إلى ما يصير واجباً ومطلوباً مطلقاً في</w:t>
      </w:r>
    </w:p>
    <w:p>
      <w:pPr>
        <w:pStyle w:val="BookText"/>
        <w:rPr/>
      </w:pPr>
      <w:r>
        <w:rPr>
          <w:rFonts w:ascii="Amiri" w:hAnsi="Amiri" w:eastAsia="Amiri" w:cs="Amiri"/>
          <w:color w:val="111111"/>
          <w:sz w:val="28"/>
          <w:sz w:val="28"/>
          <w:szCs w:val="28"/>
          <w:rtl w:val="true"/>
          <w:lang w:bidi="ar-SA"/>
        </w:rPr>
        <w:t xml:space="preserve">موطنه ؛ لحصول مبادئ الإرادة وعدمِ إمكان تفكيك مبادئها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وتبعية وجوب المقدّمة لوجوب ذي المقدّمة ، ليست إلاّ بهذا المعنى المحقّق في الواجبات المشروطة قبل مجيء شرطها أيضاً ، ومع عدم الانحصار يحكم العقل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الملازمة بين الإرادة الفعلية أو الوجوب الفعلي المتعلّق بذي</w:t>
      </w:r>
    </w:p>
    <w:p>
      <w:pPr>
        <w:pStyle w:val="BookText"/>
        <w:rPr/>
      </w:pPr>
      <w:r>
        <w:rPr>
          <w:rFonts w:ascii="Amiri" w:hAnsi="Amiri" w:eastAsia="Amiri" w:cs="Amiri"/>
          <w:color w:val="111111"/>
          <w:sz w:val="28"/>
          <w:sz w:val="28"/>
          <w:szCs w:val="28"/>
          <w:rtl w:val="true"/>
          <w:lang w:bidi="ar-SA"/>
        </w:rPr>
        <w:t xml:space="preserve">المقدّمة مع وجوب مقدّمته ، لكان وجوبها قبل وجوبه ممتنعاً ، لكن المبنى فاسد ، بل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لوجوب ذيها بالوجه الذي عرفت ، وقد عرفت عدم الفرق بين فعلية وجوب ذي المقدّمة أو ما سيصير فعلياً ؛ من غير لزوم الالتزام بالوجوب التعليقي ، أو التفصيل بين المقدّمات المفوّتة وغيرها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الطهارات الثلاث قبل حضور أوقات الصلاة واجبة ؛ بناءً على القول بوجوب المقدّمة ولو قلنا بأنّ الوقت شرط الوجوب ، وأنّ </w:t>
      </w:r>
    </w:p>
    <w:p>
      <w:pPr>
        <w:pStyle w:val="BookText"/>
        <w:rPr/>
      </w:pPr>
      <w:r>
        <w:rPr>
          <w:rFonts w:ascii="Amiri" w:hAnsi="Amiri" w:eastAsia="Amiri" w:cs="Amiri"/>
          <w:color w:val="111111"/>
          <w:sz w:val="28"/>
          <w:sz w:val="28"/>
          <w:szCs w:val="28"/>
          <w:rtl w:val="true"/>
          <w:lang w:bidi="ar-SA"/>
        </w:rPr>
        <w:t xml:space="preserve">عباديتها تتوقّف على الأمر الغيري المقدّمي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الصلاة من قبيل الواجب المشروط بحضور أوقاتها ، محلّ منع ؛ لظهور الكتاب الكريم وأكثر الأخبار في الوجوب التعليقي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المفسّر بكونها موجوباً وثابتاً ومفروضاً في الروايات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طَرَفَىِ الْنَّهارِ وَزُلَفَاً مِنَ اللَّيْلِ</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المفسّر بصلاة الغداة والمغرب والعشاء</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 أبي جعفر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عزّ وجلّ على الناس من الجمعة إلى الجمعة خمساً وثلاثين صلاة</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أبواب صلاة الجمعة وآدابها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الوجوب فعلياً ، والواجب استقبالياً ، وقد ذكرنا في محلّه إمكان المشروط بما ذكره المشهور</w:t>
      </w:r>
      <w:r>
        <w:rPr>
          <w:rStyle w:val="FootnoteAnchor"/>
          <w:rtl w:val="true"/>
        </w:rPr>
        <w:footnoteReference w:id="1007"/>
      </w:r>
      <w:r>
        <w:rPr>
          <w:rFonts w:ascii="Amiri" w:hAnsi="Amiri" w:eastAsia="Amiri" w:cs="Amiri"/>
          <w:color w:val="111111"/>
          <w:sz w:val="28"/>
          <w:sz w:val="28"/>
          <w:szCs w:val="28"/>
          <w:rtl w:val="true"/>
          <w:lang w:bidi="ar-SA"/>
        </w:rPr>
        <w:t>، وكذا المعلّق</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تعلّق الخطابات قبل حضور زمان الفعل ؛ لعدم تعقّل الأمر بإيجاد شيء في زمان صدور الطلب ، وبذلك دفع الإشكال عن وجوب المقدّمة قبل حضور وقت الواجب ، وصحّح حرمة إراقة الماء قبل الوقت إذا علم بعدم إمكان تحصيله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المرادُ بعدم تعقّل وحدة زمان الخطاب وإيجاد الفعل ، لزومَ تقدّم إنشاء الخطاب على زمان العمل ، كما هو ظاهره ، فهو غير ملازم للوجوب المعلّق ، فيمكن أن يصدر الخطاب المشروط بزمان العمل قبل مجيء الوقت ، ولا يكون الوجوب فعلياً إلاّ عند مجيء وقته ، ومعه لا يدفع الإشكال في المقام ، ولا في سائر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أنّ اتّحاد زمان فعلية التكليف والعمل محال ، فلا يمكن أن يكون الزوال شرطاً للوجوب وظرفاً لأوّل جزء من الصلاة ، فهو ممنوع ؛ لأنّ ما هو المسلّم لزوم تقدّم باعثية الأمر على انبعاث المكلّف ، لكن لا يلزم منه أن يكون بينهما تقدّم وتأخّر وجودي ؛ ضرورة أنّ المكلّف إذا علم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ينبعث منه في أوّل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التقدّم رتبي لا خارجي ، فلا يلزم أن يكون الخطاب فعلياً قبل مجيء وقت العمل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منه أ نّه في ذيل كلامه اعترف بأنّ الوقت من الشرائط الوجوبية للواجبات الموقّتة</w:t>
      </w:r>
      <w:r>
        <w:rPr>
          <w:rStyle w:val="FootnoteAnchor"/>
          <w:rtl w:val="true"/>
        </w:rPr>
        <w:footnoteReference w:id="1010"/>
      </w:r>
      <w:r>
        <w:rPr>
          <w:rFonts w:ascii="Amiri" w:hAnsi="Amiri" w:eastAsia="Amiri" w:cs="Amiri"/>
          <w:color w:val="111111"/>
          <w:sz w:val="28"/>
          <w:sz w:val="28"/>
          <w:szCs w:val="28"/>
          <w:rtl w:val="true"/>
          <w:lang w:bidi="ar-SA"/>
        </w:rPr>
        <w:t xml:space="preserve">، ومع ذلك التزم بالوجوب التعليقي ، فكأ نّه التزم بالوجوب </w:t>
      </w:r>
    </w:p>
    <w:p>
      <w:pPr>
        <w:pStyle w:val="BookText"/>
        <w:rPr/>
      </w:pPr>
      <w:r>
        <w:rPr>
          <w:rFonts w:ascii="Amiri" w:hAnsi="Amiri" w:eastAsia="Amiri" w:cs="Amiri"/>
          <w:color w:val="111111"/>
          <w:sz w:val="28"/>
          <w:sz w:val="28"/>
          <w:szCs w:val="28"/>
          <w:rtl w:val="true"/>
          <w:lang w:bidi="ar-SA"/>
        </w:rPr>
        <w:t>المعلّق والمشروط معاً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أصلِ وجوب المقدّمة ، وصلاحيةِ الأمر المقدّمي للمقرّبية ، وكونِ عبادية الطهارات الثلاث من قِبَل الأمر المقدّمي ولو فرض صلوحه للتقرّب ، إشكالاً ومنعاً ينافي التفصيل فيها وضع هذا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عدم الفرق بين ما قبل الوقت وما بعده على فرض وجوب المقدّمة ، وبما حقّقناه في محلّه من عدم تعقّل وجوب المقدّمة رأساً </w:t>
      </w:r>
      <w:r>
        <w:rPr>
          <w:rStyle w:val="FootnoteAnchor"/>
          <w:rtl w:val="true"/>
        </w:rPr>
        <w:footnoteReference w:id="1011"/>
      </w:r>
      <w:r>
        <w:rPr>
          <w:rFonts w:ascii="IRNazanin" w:hAnsi="IRNazanin" w:eastAsia="IRNazanin"/>
          <w:color w:val="111111"/>
          <w:sz w:val="28"/>
          <w:sz w:val="28"/>
          <w:szCs w:val="28"/>
          <w:rtl w:val="true"/>
          <w:lang w:bidi="fa-IR"/>
        </w:rPr>
        <w:t xml:space="preserve">، يجب التصرّف بوجهٍ في مثل صحيحة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 ، ولا صلاة إلاّ بطهور</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الطهارة ، أبواب الوضوء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وجوب الطهور عند دخول الوقت ، ومفهومها عدمه بعدمه ؛ فإنّ وجوب الطهور إنّما هو بملاك المقدّمية لا غير ، وقد حقّق عدم تعقّله ، وعلى فرض تعقّله لا يُتعقّل الفرق بين الوقت وقبله ، ولذلك لا بدّ من رفع اليد عن مفهومها والتصرّف في منطوقها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مخالفتها لظاهر الكتاب وصحيحة زرارة المتقدّمة الدالّين على كون الصلاة واجباً معلّقاً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مرّ من الكلام إنّما هو مع المماشاة للقوم ، وإلاّ فالتحقيق أنّ الطهارات الثلاث بما هي عبادات ، جعلت مقدّمةً وشرطاً للصلاة ، أو مقدّمةً لمقدّمتها </w:t>
      </w:r>
      <w:r>
        <w:rPr>
          <w:rStyle w:val="FootnoteAnchor"/>
          <w:rtl w:val="true"/>
        </w:rPr>
        <w:footnoteReference w:id="1013"/>
      </w:r>
      <w:r>
        <w:rPr>
          <w:rFonts w:ascii="Amiri" w:hAnsi="Amiri" w:eastAsia="Amiri" w:cs="Amiri"/>
          <w:color w:val="111111"/>
          <w:sz w:val="28"/>
          <w:sz w:val="28"/>
          <w:szCs w:val="28"/>
          <w:rtl w:val="true"/>
          <w:lang w:bidi="ar-SA"/>
        </w:rPr>
        <w:t xml:space="preserve">إن قلنا بأنّ الطهور شرط ، وهو محصَّل منها ، فالإرادة المتعلّقة بالصلاة على فرض </w:t>
      </w:r>
    </w:p>
    <w:p>
      <w:pPr>
        <w:pStyle w:val="BookText"/>
        <w:rPr/>
      </w:pPr>
      <w:r>
        <w:rPr>
          <w:rFonts w:ascii="Amiri" w:hAnsi="Amiri" w:eastAsia="Amiri" w:cs="Amiri"/>
          <w:color w:val="111111"/>
          <w:sz w:val="28"/>
          <w:sz w:val="28"/>
          <w:szCs w:val="28"/>
          <w:rtl w:val="true"/>
          <w:lang w:bidi="ar-SA"/>
        </w:rPr>
        <w:t xml:space="preserve">وجوب المقدّمة ،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مرّ</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متعلّقة بتلك العبادات بما هي عبادات وصالحات للتقرّب قبل تعلّق الإرادة بها من قِبل ذي المقدّمة ، وإلاّ يلزم أن يكون سبيلها سبيل الطهارة الخبثية التي هي واجبة توصّلاً ، مع أ نّه خلاف الضرورة ، فالأمر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ملاك عباديتها بعد كونها مقدّمة على 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سقوط أوامرها النفسية الاستحبابية عند تعلّق الأمر الوجوبي المقدّمي ، قد فرغنا عن تضعيفه في محلّه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يدعو إلى الغسل وأخويه ؛ لأجل ترتّب الطهارة عليها ، أو كونها طهارات كما يظهر من الكتاب والسنّة ؛ وإن كان للتأمّل في كون الطهارة بنفسها شرطاً ، أو لأجل رفع القذارة الحاصلة بالأحداث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الأمر المقدّمي إلاّ إليها لأجل ترتّب الطهارة عليها ، فتكون الصلاة غاية ثانوية للطهارات ، والغاية الاُولى حصول الطهور ، لا بمعنى أنّ حصول الطهور يتوقّف على قصده ، فإنّه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إن رجع إلى تقييد في العمل ، بل المراد أنّ الطهور لمّا كان شرط الصلاة مثلاً ، وهو يحصل بتلك الأعمال إذا وجدت للّه تعالى ، فلا محالة يتعلّق الأمر المقدّمي بتحصيله وإتيان الأفعال للّه تعالى لتحصيله ، فتقع دائماً تلك الأعمال لأجل غاية هي الطهور ، ويدعو الأمر المقدّمي إليه </w:t>
      </w:r>
      <w:r>
        <w:rPr>
          <w:rFonts w:eastAsia="Amiri" w:cs="Amiri" w:ascii="Amiri" w:hAnsi="Amiri"/>
          <w:color w:val="111111"/>
          <w:sz w:val="28"/>
          <w:szCs w:val="28"/>
          <w:rtl w:val="true"/>
          <w:lang w:bidi="ar-SA"/>
        </w:rPr>
        <w:t xml:space="preserve">. </w:t>
      </w:r>
      <w:bookmarkStart w:id="470" w:name="pg17116_198869"/>
    </w:p>
    <w:p>
      <w:pPr>
        <w:pStyle w:val="Heading6"/>
        <w:numPr>
          <w:ilvl w:val="5"/>
          <w:numId w:val="1"/>
        </w:numPr>
        <w:rPr/>
      </w:pPr>
      <w:bookmarkStart w:id="471" w:name="__RefHeading___Toc8646155_3381743652"/>
      <w:bookmarkStart w:id="472" w:name="_Toc169"/>
      <w:bookmarkEnd w:id="470"/>
      <w:bookmarkEnd w:id="471"/>
      <w:r>
        <w:rPr>
          <w:rtl w:val="true"/>
        </w:rPr>
        <w:t>الإشكال في الإجماع المدّعى على عدم صحّة التيمّم قبل الوقت</w:t>
      </w:r>
      <w:bookmarkEnd w:id="472"/>
    </w:p>
    <w:p>
      <w:pPr>
        <w:pStyle w:val="BookText"/>
        <w:rPr/>
      </w:pPr>
      <w:r>
        <w:rPr>
          <w:rFonts w:ascii="Amiri" w:hAnsi="Amiri" w:eastAsia="Amiri" w:cs="Amiri"/>
          <w:color w:val="111111"/>
          <w:sz w:val="28"/>
          <w:sz w:val="28"/>
          <w:szCs w:val="28"/>
          <w:rtl w:val="true"/>
          <w:lang w:bidi="ar-SA"/>
        </w:rPr>
        <w:t>فحينئذٍ يقع الإشكال في الإجماع المدّعى على عدم صحّة التيمّم قبل الوقت</w:t>
      </w:r>
      <w:r>
        <w:rPr>
          <w:rStyle w:val="FootnoteAnchor"/>
          <w:rtl w:val="true"/>
        </w:rPr>
        <w:footnoteReference w:id="1016"/>
      </w:r>
      <w:r>
        <w:rPr>
          <w:rFonts w:ascii="Amiri" w:hAnsi="Amiri" w:eastAsia="Amiri" w:cs="Amiri"/>
          <w:color w:val="111111"/>
          <w:sz w:val="28"/>
          <w:sz w:val="28"/>
          <w:szCs w:val="28"/>
          <w:rtl w:val="true"/>
          <w:lang w:bidi="ar-SA"/>
        </w:rPr>
        <w:t xml:space="preserve">، مع دعوى إرسال الأصحاب صحّةَ التيمّم قبل الوقت لغاية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w:t>
      </w:r>
      <w:r>
        <w:rPr>
          <w:rStyle w:val="FootnoteAnchor"/>
          <w:rtl w:val="true"/>
        </w:rPr>
        <w:footnoteReference w:id="1017"/>
      </w:r>
      <w:r>
        <w:rPr>
          <w:rFonts w:ascii="Amiri" w:hAnsi="Amiri" w:eastAsia="Amiri" w:cs="Amiri"/>
          <w:color w:val="111111"/>
          <w:sz w:val="28"/>
          <w:sz w:val="28"/>
          <w:szCs w:val="28"/>
          <w:rtl w:val="true"/>
          <w:lang w:bidi="ar-SA"/>
        </w:rPr>
        <w:t xml:space="preserve">، مع ما عرفت من أنّ الأمر المقدّمي لا يدعو إلاّ إليها لتحصيل الطهور ، فلا تقع تلك الأفعال إلاّ على وجه واحد ؛ هو الإتيان للّه تعالى لما يترتّب عليها من 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لو كان الإجماع قائماً على بطلان التيمّم إذا اُتي به لمحض الأمر الغيري وللصلاة ، مع تجريده عن كافّة الغايات حتّى الكون على الطهارة ، فهو صحيح لو رجع إلى عدم قصد العبادية ، لكن لازمه بطلانه ولو وقع في الوقت أو في ضيقه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لو قلنا بصحّته وطهوريته إذا وقع بقصد التقرّب ؛ ولو جرّد عن قصد</w:t>
      </w:r>
    </w:p>
    <w:p>
      <w:pPr>
        <w:pStyle w:val="BookText"/>
        <w:rPr/>
      </w:pPr>
      <w:r>
        <w:rPr>
          <w:rFonts w:ascii="Amiri" w:hAnsi="Amiri" w:eastAsia="Amiri" w:cs="Amiri"/>
          <w:color w:val="111111"/>
          <w:sz w:val="28"/>
          <w:sz w:val="28"/>
          <w:szCs w:val="28"/>
          <w:rtl w:val="true"/>
          <w:lang w:bidi="ar-SA"/>
        </w:rPr>
        <w:t xml:space="preserve">كونه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لغفلة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صحيحاً ولو قبل الوقت ؛ لأنّ ترتّب أثر الشيء عليه لا يتوقّف على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بقيام الإجماع على بطلانه للصلاة ولو كانت غاية الغاية ، وتكون الغاية الاُولى الطهور ، فهو منافٍ لما ادّعي من تسالمهم على صحّته إذا قصد غاية اُخرى ، إلاّ أن يرجع مرادهم إلى البطلان إذا كانت الصلاة غاية الغاية ، وهو بعيد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مشكلة ، والاحتياط سبيل النجاة </w:t>
      </w:r>
      <w:r>
        <w:rPr>
          <w:rFonts w:eastAsia="Amiri" w:cs="Amiri" w:ascii="Amiri" w:hAnsi="Amiri"/>
          <w:color w:val="111111"/>
          <w:sz w:val="28"/>
          <w:szCs w:val="28"/>
          <w:rtl w:val="true"/>
          <w:lang w:bidi="ar-SA"/>
        </w:rPr>
        <w:t xml:space="preserve">. </w:t>
      </w:r>
      <w:bookmarkStart w:id="473" w:name="pg17116_198870"/>
    </w:p>
    <w:p>
      <w:pPr>
        <w:pStyle w:val="Heading5"/>
        <w:numPr>
          <w:ilvl w:val="4"/>
          <w:numId w:val="1"/>
        </w:numPr>
        <w:rPr/>
      </w:pPr>
      <w:bookmarkStart w:id="474" w:name="__RefHeading___Toc8646157_3381743652"/>
      <w:bookmarkStart w:id="475" w:name="_Toc170"/>
      <w:bookmarkEnd w:id="473"/>
      <w:bookmarkEnd w:id="474"/>
      <w:r>
        <w:rPr>
          <w:rtl w:val="true"/>
        </w:rPr>
        <w:t>الأمر الثاني</w:t>
      </w:r>
      <w:r>
        <w:rPr>
          <w:rtl w:val="true"/>
        </w:rPr>
        <w:t xml:space="preserve">: </w:t>
      </w:r>
      <w:r>
        <w:rPr>
          <w:rtl w:val="true"/>
        </w:rPr>
        <w:t>في جواز البدار إلى التيمّم مع سعة الوقت</w:t>
      </w:r>
      <w:bookmarkEnd w:id="475"/>
    </w:p>
    <w:p>
      <w:pPr>
        <w:pStyle w:val="Heading6"/>
        <w:numPr>
          <w:ilvl w:val="5"/>
          <w:numId w:val="1"/>
        </w:numPr>
        <w:rPr/>
      </w:pPr>
      <w:bookmarkStart w:id="476" w:name="__RefHeading___Toc8646159_3381743652"/>
      <w:bookmarkStart w:id="477" w:name="_Toc171"/>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لا إشكال ولا كلام في صحّة التيمّم في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سعته فعن المشهور عدم الجواز مطلقاً ، ولازم مقابلته للتفصيل الآتي ، هو عدم الجواز حتّى مع العلم باستمرار العجز ؛ وإن كان شمول إطلاق معاقد الإجماعات والشهرات المحكيّة لذلك ، محلّ تأمّل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هذا القول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الأشهر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وجملة اُخرى من الكتب</w:t>
      </w:r>
      <w:r>
        <w:rPr>
          <w:rStyle w:val="FootnoteAnchor"/>
          <w:rtl w:val="true"/>
        </w:rPr>
        <w:footnoteReference w:id="1021"/>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الإجماع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الراوندي</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الجواز مطلقاً ،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والأردبيلي والخراساني والكاشاني</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الصدوق وظاهر الجعفي والبَزنطي</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عن الصدوق جماعة من الأصحاب ، منهم العلاّمة في جملة من كتبه</w:t>
      </w:r>
      <w:r>
        <w:rPr>
          <w:rStyle w:val="FootnoteAnchor"/>
          <w:rtl w:val="true"/>
        </w:rPr>
        <w:footnoteReference w:id="1026"/>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قويّ متين</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مشهور كالقول الأوّل</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إطباق جمهور العامّة عليه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الجواز مع العلم باستمرار العجز ، وعدمه مع عدمه ،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اُخرى</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عليه أكثر المتأخّرين</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الأشهر بين المتأخّرين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يفصّل بين العلم بارتفاع العجز وعدمه ، كما اختاره جماعة من متأخّري المتأخّرين</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قول من قال بالجواز مطلقاً ؛ بدعوى انصرافه عن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الأدلّة اللفظية ؛ إذ تحصيل الإجماع أو الشهرة المعتبرة في مثل تلك المسألة التي تراكمت فيها الآراء والأدلّة ، مشكل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ما ذكرناه في الأمر الأوّل ، هو جواز التيمّم في سعة الوقت وصحّته ، لكن لمّا وردت أدلّة كثيرة في هذه المسألة ، فلا بدّ من استئناف الكلام فيها والنظر في الأدلّة ومقتضاها </w:t>
      </w:r>
      <w:r>
        <w:rPr>
          <w:rFonts w:eastAsia="Amiri" w:cs="Amiri" w:ascii="Amiri" w:hAnsi="Amiri"/>
          <w:color w:val="111111"/>
          <w:sz w:val="28"/>
          <w:szCs w:val="28"/>
          <w:rtl w:val="true"/>
          <w:lang w:bidi="ar-SA"/>
        </w:rPr>
        <w:t xml:space="preserve">: </w:t>
      </w:r>
      <w:bookmarkStart w:id="478" w:name="pg17116_198873"/>
    </w:p>
    <w:p>
      <w:pPr>
        <w:pStyle w:val="Heading6"/>
        <w:numPr>
          <w:ilvl w:val="5"/>
          <w:numId w:val="1"/>
        </w:numPr>
        <w:rPr/>
      </w:pPr>
      <w:bookmarkStart w:id="479" w:name="__RefHeading___Toc8646161_3381743652"/>
      <w:bookmarkStart w:id="480" w:name="_Toc172"/>
      <w:bookmarkEnd w:id="478"/>
      <w:bookmarkEnd w:id="479"/>
      <w:r>
        <w:rPr>
          <w:rtl w:val="true"/>
        </w:rPr>
        <w:t>التمسّك بالآية لجواز البدار مطلقاً</w:t>
      </w:r>
      <w:bookmarkEnd w:id="48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للجواز مطلقاً بإطلاق الآية الكريمة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على الاستدلال بها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القيام ، بلا خلاف ، ثمّ أتبع ذلك بحكم العادم للماء ، فمن تعلّق بالآية لجواز التيمّم في أوّل الوقت ، لا بدّ أن يدلّ على جواز إرادته القيام للصلاة ، فإنّا نخالف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عدم الماء أن يريدها أوّل الوقت ، وإرادة الصلاة شرط في الجملتين ، وإلاّ لزم وجوب التيمّم على المريض والمسافر إذا أحدثا وإن لم يريدا الصلاة ، وهذا لا يقول به أحد</w:t>
      </w:r>
      <w:r>
        <w:rPr>
          <w:rStyle w:val="FootnoteAnchor"/>
          <w:rtl w:val="true"/>
        </w:rPr>
        <w:footnoteReference w:id="103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أنّ إرادة القيام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شرطيتها للوضوء والغسل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واحد ؛ وأنّ في كلّ مورد أراد القيام للصلاة فيجب عليه الطهارة المائية ، ومع فقدان الماء تقوم الترابية مقامها من غير تفكيك بين الموارد ، ولازمه أ نّه إذا أراد القيام للصلاة في أوّل الوقت ، يجب عليه الوضوء</w:t>
      </w:r>
    </w:p>
    <w:p>
      <w:pPr>
        <w:pStyle w:val="BookText"/>
        <w:rPr/>
      </w:pPr>
      <w:r>
        <w:rPr>
          <w:rFonts w:ascii="Amiri" w:hAnsi="Amiri" w:eastAsia="Amiri" w:cs="Amiri"/>
          <w:color w:val="111111"/>
          <w:sz w:val="28"/>
          <w:sz w:val="28"/>
          <w:szCs w:val="28"/>
          <w:rtl w:val="true"/>
          <w:lang w:bidi="ar-SA"/>
        </w:rPr>
        <w:t xml:space="preserve">أو الغسل ، ومع فقدان الماء يجب عليه التيمّم ، والتفكيك بينهما خلاف المتفاهم العرفي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مسوقاً لإفادة شرطية القيام إلى الصلاة للوضوء أو التيمّم ، أو وجوبهما ، بل مسوق لإفادة شرطية الطهور للصلاة ، </w:t>
      </w:r>
      <w:bookmarkStart w:id="481" w:name="pg17116_198874"/>
    </w:p>
    <w:p>
      <w:pPr>
        <w:pStyle w:val="BookText"/>
        <w:rPr/>
      </w:pPr>
      <w:bookmarkEnd w:id="481"/>
      <w:r>
        <w:rPr>
          <w:rFonts w:ascii="Amiri" w:hAnsi="Amiri" w:eastAsia="Amiri" w:cs="Amiri"/>
          <w:color w:val="111111"/>
          <w:sz w:val="28"/>
          <w:sz w:val="28"/>
          <w:szCs w:val="28"/>
          <w:rtl w:val="true"/>
          <w:lang w:bidi="ar-SA"/>
        </w:rPr>
        <w:t>كما هو المتفاهم عرفاً في مثل تلك التراكيب ، سيّما في مثل العناوين الآلية</w:t>
      </w:r>
    </w:p>
    <w:p>
      <w:pPr>
        <w:pStyle w:val="BookText"/>
        <w:rPr/>
      </w:pPr>
      <w:r>
        <w:rPr>
          <w:rFonts w:ascii="Amiri" w:hAnsi="Amiri" w:eastAsia="Amiri" w:cs="Amiri"/>
          <w:color w:val="111111"/>
          <w:sz w:val="28"/>
          <w:sz w:val="28"/>
          <w:szCs w:val="28"/>
          <w:rtl w:val="true"/>
          <w:lang w:bidi="ar-SA"/>
        </w:rPr>
        <w:t xml:space="preserve">والطريقية المأخوذة في تلو الشرط ، فلا يفهم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الصلاة ، أو إذا قمت إلى الصلاة ، استر عورتك ، أو توجّه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نّهما دخيلان في تحقّقها ، لا أنّ القيام والإرادة شرط لوجوبهما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إطلاق الآية الكريمة ؛ وأ نّه مع عدم وجدان الماء مطلقاً يقوم التيمّم مقام الوضوء والغسل ، والتقييد بعدم وجدانه إلى آخر الوقت ، يحتاج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يوجب تحكيم إطلاقها قوله تعالى في ذيل حكم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تشريع التيمّم لدفع الحرج عن المريض وغيره ، ومعه كيف يمكن تحميل لزوم الصبر على المريض والفاقد إلى نصف الليل أو آخره ، وهل هذا إلاّ تحريج وتضييق فوق تحميل الوضوء ، ومعه كيف يمنّ عليه بعدم جعل الحرج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الآية في غاية القوّة ، خصوصاً مع ضمّ ذيلها إليه ، وهو يقتضي عدم الفرق بين العلم بزوال العذر وعدمه ، ودعوى الانصراف عن صورة العلم غير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الآية </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8646163_3381743652"/>
      <w:bookmarkStart w:id="483" w:name="_Toc173"/>
      <w:bookmarkEnd w:id="482"/>
      <w:r>
        <w:rPr>
          <w:rtl w:val="true"/>
        </w:rPr>
        <w:t>التمسّك بالروايات لجواز البدار مطلقاً</w:t>
      </w:r>
      <w:bookmarkEnd w:id="483"/>
    </w:p>
    <w:p>
      <w:pPr>
        <w:pStyle w:val="BookText"/>
        <w:rPr/>
      </w:pPr>
      <w:r>
        <w:rPr>
          <w:rFonts w:ascii="Amiri" w:hAnsi="Amiri" w:eastAsia="Amiri" w:cs="Amiri"/>
          <w:color w:val="111111"/>
          <w:sz w:val="28"/>
          <w:sz w:val="28"/>
          <w:szCs w:val="28"/>
          <w:rtl w:val="true"/>
          <w:lang w:bidi="ar-SA"/>
        </w:rPr>
        <w:t xml:space="preserve">وأمّا الروايات ، فما دلّت على صحّته في السعة على طوائف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بإطلاقها عليها ، مع التصريح بعدم لزوم الإعادة ، كصحيحة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الرجل إذا أجنب ولم يجد الماء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بالصعيد ، فإذا وجد الماء فليغتسل ولا يعيد</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وصحيحته الاُخرى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يجد الرجل</w:t>
      </w:r>
    </w:p>
    <w:p>
      <w:pPr>
        <w:pStyle w:val="BookText"/>
        <w:rPr/>
      </w:pPr>
      <w:r>
        <w:rPr>
          <w:rFonts w:ascii="Amiri" w:hAnsi="Amiri" w:eastAsia="Amiri" w:cs="Amiri"/>
          <w:color w:val="111111"/>
          <w:sz w:val="28"/>
          <w:sz w:val="28"/>
          <w:szCs w:val="28"/>
          <w:rtl w:val="true"/>
          <w:lang w:bidi="ar-SA"/>
        </w:rPr>
        <w:t>طهوراً وكان جنباً ، فليتمسّح من الأرض وليصلّ ، فإذا وجد ماءً فليغتسل ، وقد أجزأته صلاته التي صلّى</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ومثلها صحيحة ابن سِنان</w:t>
      </w:r>
      <w:r>
        <w:rPr>
          <w:rStyle w:val="FootnoteAnchor"/>
          <w:rtl w:val="true"/>
        </w:rPr>
        <w:footnoteReference w:id="1040"/>
      </w:r>
      <w:r>
        <w:rPr>
          <w:rFonts w:ascii="Amiri" w:hAnsi="Amiri" w:eastAsia="Amiri" w:cs="Amiri"/>
          <w:color w:val="111111"/>
          <w:sz w:val="28"/>
          <w:sz w:val="28"/>
          <w:szCs w:val="28"/>
          <w:rtl w:val="true"/>
          <w:lang w:bidi="ar-SA"/>
        </w:rPr>
        <w:t xml:space="preserve">وقريب منها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صحّته ، مع التصريح بسعة الوقت وعدم لزوم الإعادة ، كموثّقة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تيمّم وصلّى ، ثمّ بلغ الماء قبل أن يخرج الوقت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إعادة الصلاة</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يعقوب بن سالم أو موثّقته</w:t>
      </w:r>
      <w:r>
        <w:rPr>
          <w:rStyle w:val="FootnoteAnchor"/>
          <w:rtl w:val="true"/>
        </w:rPr>
        <w:footnoteReference w:id="1042"/>
      </w:r>
      <w:r>
        <w:rPr>
          <w:rFonts w:ascii="IRNazanin" w:hAnsi="IRNazanin" w:eastAsia="IRNazanin"/>
          <w:color w:val="111111"/>
          <w:sz w:val="28"/>
          <w:sz w:val="28"/>
          <w:szCs w:val="28"/>
          <w:rtl w:val="true"/>
          <w:lang w:bidi="fa-IR"/>
        </w:rPr>
        <w:t xml:space="preserve">،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w:t>
      </w:r>
    </w:p>
    <w:p>
      <w:pPr>
        <w:pStyle w:val="BookText"/>
        <w:rPr/>
      </w:pPr>
      <w:r>
        <w:rPr>
          <w:rFonts w:ascii="Amiri" w:hAnsi="Amiri" w:eastAsia="Amiri" w:cs="Amiri"/>
          <w:color w:val="111111"/>
          <w:sz w:val="28"/>
          <w:sz w:val="28"/>
          <w:szCs w:val="28"/>
          <w:rtl w:val="true"/>
          <w:lang w:bidi="ar-SA"/>
        </w:rPr>
        <w:t xml:space="preserve">تيمّم وصلّى ، ثمّ أصاب الماء وهو في وقت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 وليتطهّر</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علي بن سالم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أتيمّم واُصلّي ، ثمّ أجد الماء وقد بقي عليّ وقت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الصلاة ؛ فإنّ ربّ الماء هو ربّ الصعيد</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صلّى بتيمّم وهو في وقت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 ولا إعادة عليه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في غاية البعد ، خصوصاً مع تعقّبه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عليه</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كرواية معاوية بن ميسرة</w:t>
      </w:r>
      <w:r>
        <w:rPr>
          <w:rStyle w:val="FootnoteAnchor"/>
          <w:rtl w:val="true"/>
        </w:rPr>
        <w:footnoteReference w:id="1047"/>
      </w:r>
      <w:r>
        <w:rPr>
          <w:rFonts w:ascii="Amiri" w:hAnsi="Amiri" w:eastAsia="Amiri" w:cs="Amiri"/>
          <w:color w:val="111111"/>
          <w:sz w:val="28"/>
          <w:sz w:val="28"/>
          <w:szCs w:val="28"/>
          <w:rtl w:val="true"/>
          <w:lang w:bidi="ar-SA"/>
        </w:rPr>
        <w:t>ومرسلة حسين العامري عمّن سأله</w:t>
      </w:r>
      <w:r>
        <w:rPr>
          <w:rStyle w:val="FootnoteAnchor"/>
          <w:rtl w:val="true"/>
        </w:rPr>
        <w:footnoteReference w:id="10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والعيّاشي عن أبي أيّوب عن أبي عبداللّه‌ علیه السلام </w:t>
      </w:r>
      <w:r>
        <w:rPr>
          <w:rStyle w:val="FootnoteAnchor"/>
          <w:rtl w:val="true"/>
        </w:rPr>
        <w:footnoteReference w:id="1049"/>
      </w:r>
      <w:r>
        <w:rPr>
          <w:rFonts w:ascii="Amiri" w:hAnsi="Amiri" w:eastAsia="Amiri" w:cs="Amiri"/>
          <w:color w:val="111111"/>
          <w:sz w:val="28"/>
          <w:sz w:val="28"/>
          <w:szCs w:val="28"/>
          <w:rtl w:val="true"/>
          <w:lang w:bidi="ar-SA"/>
        </w:rPr>
        <w:t>بل رواية داود الرقّي</w:t>
      </w:r>
      <w:r>
        <w:rPr>
          <w:rStyle w:val="FootnoteAnchor"/>
          <w:rtl w:val="true"/>
        </w:rPr>
        <w:footnoteReference w:id="1050"/>
      </w:r>
      <w:r>
        <w:rPr>
          <w:rFonts w:ascii="Amiri" w:hAnsi="Amiri" w:eastAsia="Amiri" w:cs="Amiri"/>
          <w:color w:val="111111"/>
          <w:sz w:val="28"/>
          <w:sz w:val="28"/>
          <w:szCs w:val="28"/>
          <w:rtl w:val="true"/>
          <w:lang w:bidi="ar-SA"/>
        </w:rPr>
        <w:t>التي لا يبعد أن تكون صحيحة ، بل لا يبعد أن تكون صحيحة ابن مسلم</w:t>
      </w:r>
      <w:r>
        <w:rPr>
          <w:rStyle w:val="FootnoteAnchor"/>
          <w:rtl w:val="true"/>
        </w:rPr>
        <w:footnoteReference w:id="1051"/>
      </w:r>
      <w:r>
        <w:rPr>
          <w:rFonts w:ascii="Amiri" w:hAnsi="Amiri" w:eastAsia="Amiri" w:cs="Amiri"/>
          <w:color w:val="111111"/>
          <w:sz w:val="28"/>
          <w:sz w:val="28"/>
          <w:szCs w:val="28"/>
          <w:rtl w:val="true"/>
          <w:lang w:bidi="ar-SA"/>
        </w:rPr>
        <w:t>والعيص</w:t>
      </w:r>
      <w:r>
        <w:rPr>
          <w:rStyle w:val="FootnoteAnchor"/>
          <w:rtl w:val="true"/>
        </w:rPr>
        <w:footnoteReference w:id="1052"/>
      </w:r>
      <w:r>
        <w:rPr>
          <w:rFonts w:ascii="Amiri" w:hAnsi="Amiri" w:eastAsia="Amiri" w:cs="Amiri"/>
          <w:color w:val="111111"/>
          <w:sz w:val="28"/>
          <w:sz w:val="28"/>
          <w:szCs w:val="28"/>
          <w:rtl w:val="true"/>
          <w:lang w:bidi="ar-SA"/>
        </w:rPr>
        <w:t xml:space="preserve">ظاهرتين في بقاء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صحّته ، مع الأمر بالإعادة مع رفع العذر في الوقت ، كصحيحة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الرجل تصيبه الجنابة في الليلة الباردة ، ويخاف على نفسه التلف إن اغتسل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ويصلّي ، فإذا أمن من البرد اغتسل وأعاد الصلاة</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ونظيرها مرسلة جعفر بن بشير عن أبي عبداللّه‌ علیه السلام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يعقوب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تيمّم فصلّى ، فأصاب بعد صلاته ماءً ، أيتوضّأ ويعيد الصلاة ، أم تجوز صلاته ؟ </w:t>
      </w:r>
      <w:bookmarkStart w:id="484" w:name="pg17116_198878"/>
    </w:p>
    <w:p>
      <w:pPr>
        <w:pStyle w:val="BookText"/>
        <w:rPr/>
      </w:pPr>
      <w:bookmarkEnd w:id="4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الماء قبل أن يمضي الوقت توضّأ وأعاد ، فإن مضى الوقت فلا إعادة عليه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منصور بن حازم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تيمّم فصلّى ، ثمّ أصاب الماء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فكنت فاعلاً ، إنّي كنت أتوضّأ واُعيد</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تعيّن حمل الإعادة في الوقت على الاستحباب ؛ بقرينة نصوصية الطائفة المتقدّمة في عدم وجوب الإعادة ، بل الرواية الأخيرة مشعرة أو ظاهرة في الاستحباب ، فحينئذٍ تكون جميع تلك الطوائف من أدلّة صحّة التيمّم في سعة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أوجه المحامل في الروايات التي استدلّ بها على عدم صحّته في السعة ، الحملُ عليه لو سلّمت دلالتها على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الخدشة فيها </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8646165_3381743652"/>
      <w:bookmarkStart w:id="486" w:name="_Toc174"/>
      <w:bookmarkEnd w:id="485"/>
      <w:r>
        <w:rPr>
          <w:rtl w:val="true"/>
        </w:rPr>
        <w:t>الخدشة في الروايات المستدلّ بها على عدم جواز البدار مطلقاً</w:t>
      </w:r>
      <w:bookmarkEnd w:id="4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صحيحة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تجد ماءً وأردت التيمّم ، فأخّر التيمّم إلى آخر الوقت ، فإن فاتك الماء لم تفتك الأرض</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فلإمكان أن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فاتك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الذي هو بمنزلة العلّة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التيمّم في سعة الوقت مع عدم وجدان الماء ، محصّل للطهور المحتاج إليه ، لكن الأمر بالتأخير لاحتمال وجدان الماء الذي هو المصداق الأرجح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التراب إذا كان في سعة الوقت غير محصّل للطهارة ، ويكون كالخشب في ذلك ، وإنّما تختصّ طهوريته بآخر الوقت ، فلا يناسب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إنّما يقال فيما إذا كان المصداق المرجوح ميسوراً في جميع الوقت المضروب ، والمصداق الراجح محتملَ الوجود ، وأمّا إذا كان المصداق المرجوح غير ميسور وغير صحيح إلاّ آخر الوقت ، فلا يقال بتلك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 نّه إذا قيل لأحد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الغذاء ؛ فإنّه إذا فاتك اللحم لم يفتك</w:t>
      </w:r>
    </w:p>
    <w:p>
      <w:pPr>
        <w:pStyle w:val="BookText"/>
        <w:rPr/>
      </w:pP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ظاهراً في أنّ الخبز مصداق المطلوب مطلقاً ، لكن الأرجح تأخير الأكل لانتظار حصول المطلوب الأرجح ، ولا يقال ذلك فيما إذا لم يكن الخبز صالحاً للطعام إلاّ في آخر الوقت ، والمرجع في مثله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يجاب عن موثّقتي عمّار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وإن ثقل على بعض الأسماع ، لكن بالمراجعة إلى أشباهه في المخاطبات يرفع الاستبعاد ، فتأمّل </w:t>
      </w:r>
      <w:r>
        <w:rPr>
          <w:rFonts w:eastAsia="Amiri" w:cs="Amiri" w:ascii="Amiri" w:hAnsi="Amiri"/>
          <w:color w:val="111111"/>
          <w:sz w:val="28"/>
          <w:szCs w:val="28"/>
          <w:rtl w:val="true"/>
          <w:lang w:bidi="ar-SA"/>
        </w:rPr>
        <w:t xml:space="preserve">. </w:t>
      </w:r>
      <w:bookmarkStart w:id="487" w:name="pg17116_198880"/>
    </w:p>
    <w:p>
      <w:pPr>
        <w:pStyle w:val="BookText"/>
        <w:rPr/>
      </w:pPr>
      <w:bookmarkEnd w:id="487"/>
      <w:r>
        <w:rPr>
          <w:rFonts w:ascii="Amiri" w:hAnsi="Amiri" w:eastAsia="Amiri" w:cs="Amiri"/>
          <w:color w:val="111111"/>
          <w:sz w:val="28"/>
          <w:sz w:val="28"/>
          <w:szCs w:val="28"/>
          <w:rtl w:val="true"/>
          <w:lang w:bidi="ar-SA"/>
        </w:rPr>
        <w:t xml:space="preserve">وأمّا صحيحة زرارة ، عن أحدهما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 فإذا خاف أن يفوته الوقت فليتيمّم وليصلّ في آخر الوقت</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التيمّم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منها وجوب الطلب إلى آخر الوقت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لتحديده بغلوة سهم أو سهمين</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لفتوى الأصحاب</w:t>
      </w:r>
      <w:r>
        <w:rPr>
          <w:rStyle w:val="FootnoteAnchor"/>
          <w:rtl w:val="true"/>
        </w:rPr>
        <w:footnoteReference w:id="1061"/>
      </w:r>
      <w:r>
        <w:rPr>
          <w:rFonts w:ascii="Amiri" w:hAnsi="Amiri" w:eastAsia="Amiri" w:cs="Amiri"/>
          <w:color w:val="111111"/>
          <w:sz w:val="28"/>
          <w:sz w:val="28"/>
          <w:szCs w:val="28"/>
          <w:rtl w:val="true"/>
          <w:lang w:bidi="ar-SA"/>
        </w:rPr>
        <w:t xml:space="preserve">، فلا بدّ من حملها على الاستحباب أو تأويلها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أ نّه يجب الطلب إذا كان في الوقت وكان واسعاً له ؛ من غير تعرّض لمقدار الطلب ، ومع عدم سعته له يتيمّم ، فحينئذٍ تدلّ على جواز التيمّم في سعته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فليطلب إذا كان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 نّه يتيمّم بعد الطلب في سعته ، خصوصاً مع مقابلته لخوف الفوت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خوف الفوت يتيمّم بلا طلب ، ومع سعته بعد الطلب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بناءً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تدلّ على المطلوب في الجملة </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8646167_3381743652"/>
      <w:bookmarkStart w:id="489" w:name="_Toc175"/>
      <w:bookmarkEnd w:id="488"/>
      <w:r>
        <w:rPr>
          <w:rtl w:val="true"/>
        </w:rPr>
        <w:t>حول التفصيل بين رجاء رفع العذر وعدمه</w:t>
      </w:r>
      <w:bookmarkEnd w:id="489"/>
    </w:p>
    <w:p>
      <w:pPr>
        <w:pStyle w:val="BookText"/>
        <w:rPr/>
      </w:pPr>
      <w:r>
        <w:rPr>
          <w:rFonts w:ascii="Amiri" w:hAnsi="Amiri" w:eastAsia="Amiri" w:cs="Amiri"/>
          <w:color w:val="111111"/>
          <w:sz w:val="28"/>
          <w:sz w:val="28"/>
          <w:szCs w:val="28"/>
          <w:rtl w:val="true"/>
          <w:lang w:bidi="ar-SA"/>
        </w:rPr>
        <w:t xml:space="preserve">ثمّ إنّه بناءً على الغضّ عمّا ذكرنا في الروايات المانعة ، فلا شبهة في أنّ محطّها هو فيما إذا احتمل العثور على الماء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علّل بقوله 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زرارة بناءً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العرف لا يفهم من لزوم الإمساك والتأخير إلى آخر الوقت موضوعيته ؛ بعد كون الصلاة مع الوضوء والغسل فرد المطلوب الأعلى ، وبعد العلم بأنّ المنظور الأصلي في تلك الروايات هو الصلاة مع الطهور إمّا بالماء ، أو بالتيمّم ، فمعه لا يشكّ العرف في أنّ</w:t>
      </w:r>
    </w:p>
    <w:p>
      <w:pPr>
        <w:pStyle w:val="BookText"/>
        <w:rPr/>
      </w:pPr>
      <w:r>
        <w:rPr>
          <w:rFonts w:ascii="Amiri" w:hAnsi="Amiri" w:eastAsia="Amiri" w:cs="Amiri"/>
          <w:color w:val="111111"/>
          <w:sz w:val="28"/>
          <w:sz w:val="28"/>
          <w:szCs w:val="28"/>
          <w:rtl w:val="true"/>
          <w:lang w:bidi="ar-SA"/>
        </w:rPr>
        <w:t xml:space="preserve">الأمر بالإمساك إلى آخر الوقت والتيمّم عند خوف فوت الوقت ، ليس إلاّ لاحتمال حصول المطلوب الأعلى ، لا لمطلوبية الإمساك نفساً ، أو اشتراط التيمّم بضيق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المشتملة على التعليل المتقدّم لو لم تكن مذيّلة به ، يفهم منها أنّ الأمر بالتأخير إنّما هو لأجل احتمال الوصول إلى المطلوب الأعلى ؛ وهو الصلاة مع المائية ، وهذا واضح لدى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قد يقال</w:t>
      </w:r>
      <w:r>
        <w:rPr>
          <w:rStyle w:val="FootnoteAnchor"/>
          <w:rtl w:val="true"/>
        </w:rPr>
        <w:footnoteReference w:id="1063"/>
      </w:r>
      <w:r>
        <w:rPr>
          <w:rFonts w:ascii="Amiri" w:hAnsi="Amiri" w:eastAsia="Amiri" w:cs="Amiri"/>
          <w:color w:val="111111"/>
          <w:sz w:val="28"/>
          <w:sz w:val="28"/>
          <w:szCs w:val="28"/>
          <w:rtl w:val="true"/>
          <w:lang w:bidi="ar-SA"/>
        </w:rPr>
        <w:t xml:space="preserve">في مقام الجمع بين هذه الطائفة والروايات المتقدّمة ؛ بتقييدها بهذه الطائفة ، فتحمل تلك الروايات والآية الكريمة على مورد العلم بفقدان الماء ، فيفصّل بين رجاء رفع العذر وعدمه ، كما تقدّم نقل اشتهاره بين المتأخّرين من أصحابنا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الجمع والتقييد في غاية الوهن ؛ لعدم إمكان حمل الآية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ربّما بلغت عشرين كلّها في مقام البيان وتعيين الوظيفة ؛ من غير إشارة إلى هذا القيد النادر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المورد ، سيّما 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على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مسلم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رجل أجنب ، فتيمّم بالصعيد وصلّى ، ثمّ وجد الماء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 إنّ ربّ الماء ربّ الصعيد ، فقد فعل أحد الطهورين</w:t>
      </w:r>
      <w:r>
        <w:rPr>
          <w:rFonts w:eastAsia="IRNazanin" w:cs="IRNazanin"/>
          <w:color w:val="111111"/>
          <w:sz w:val="28"/>
          <w:szCs w:val="28"/>
          <w:rtl w:val="true"/>
          <w:lang w:bidi="fa-IR"/>
        </w:rPr>
        <w:t>»</w:t>
      </w:r>
      <w:r>
        <w:rPr>
          <w:rStyle w:val="FootnoteAnchor"/>
          <w:rtl w:val="true"/>
        </w:rPr>
        <w:footnoteReference w:id="1065"/>
      </w:r>
      <w:r>
        <w:rPr>
          <w:rFonts w:ascii="Amiri" w:hAnsi="Amiri" w:eastAsia="Amiri" w:cs="Amiri"/>
          <w:color w:val="111111"/>
          <w:sz w:val="28"/>
          <w:sz w:val="28"/>
          <w:szCs w:val="28"/>
          <w:rtl w:val="true"/>
          <w:lang w:bidi="ar-SA"/>
        </w:rPr>
        <w:t>وقريب منها رواية معاوية بن ميسرة</w:t>
      </w:r>
      <w:r>
        <w:rPr>
          <w:rStyle w:val="FootnoteAnchor"/>
          <w:rtl w:val="true"/>
        </w:rPr>
        <w:footnoteReference w:id="1066"/>
      </w:r>
      <w:r>
        <w:rPr>
          <w:rFonts w:ascii="Amiri" w:hAnsi="Amiri" w:eastAsia="Amiri" w:cs="Amiri"/>
          <w:color w:val="111111"/>
          <w:sz w:val="28"/>
          <w:sz w:val="28"/>
          <w:szCs w:val="28"/>
          <w:rtl w:val="true"/>
          <w:lang w:bidi="ar-SA"/>
        </w:rPr>
        <w:t>وعلي بن سالم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الآية والروايات المستفيضة بل المتواترة بهذا القيد ، من أبعد المحامل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محيط ورودها لمّا كان قليل الماء ، سيّما في المسافرات البعيدة في البوادي التي قلّت فيها المياه والمعمورة ، فلا مانع من الحمل على صورة العلم بالعدم ؛ لعدم ندرة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بعد كون جزيرة العرب محاطة بالبحار ؛ وفي معرض الأمطار الكثيرة الغزيرة المعهودة فيها في كثير من الأوقات ، فكيف يمكن دعوى شيوع العلم بذلك أو عدم ندرته ؛ بحيث لا يستهجن ورود المطلقات الكثيرة فيه في مقام البيان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السائلين لم يكونوا من أهل الجزيرة غالباً ، كزرارة ومحمّد ابن مسلم وليث المرادي ومنصور بن حازم الكوفيين ، والحلبي ويعقوب بن يقطين البغدادي وغيرهم ، فالحمل المذكور غير وجيه ، بخلاف حمل الأخبار المانعة على الاستحباب ؛ حملاً للظاهر على النصّ ، على فرض تسليم الظهور </w:t>
      </w:r>
      <w:bookmarkStart w:id="490" w:name="pg17116_198883"/>
    </w:p>
    <w:p>
      <w:pPr>
        <w:pStyle w:val="BookText"/>
        <w:rPr/>
      </w:pPr>
      <w:bookmarkEnd w:id="490"/>
      <w:r>
        <w:rPr>
          <w:rFonts w:ascii="Amiri" w:hAnsi="Amiri" w:eastAsia="Amiri" w:cs="Amiri"/>
          <w:color w:val="111111"/>
          <w:sz w:val="28"/>
          <w:sz w:val="28"/>
          <w:szCs w:val="28"/>
          <w:rtl w:val="true"/>
          <w:lang w:bidi="ar-SA"/>
        </w:rPr>
        <w:t>اللغوي في الوجوب ، مع أ نّه محلّ كلام ، كما قُرّر في محلّه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إشكال في هذا الحمل ، سيّما مع وجود شواهد في نفسها عليه ، ففي رواية محمّد بن حُمران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تيمّم ، ثمّ دخل في الصلاة ، وقد كان طلب الماء فلم يقدر عليه ، ثمّ يؤتى بالماء حين يدخل في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 في الصلاة ، واعلم أ نّه ليس ينبغي لأحد أن يتيمّم إلاّ في آخر الوقت</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 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بالمضيّ في الصلاة من غير 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في عدم الإلزام ، فالتفصيل بين العلم باستمرار العذر وعدمه ضعيف </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8646169_3381743652"/>
      <w:bookmarkStart w:id="492" w:name="_Toc176"/>
      <w:bookmarkEnd w:id="491"/>
      <w:r>
        <w:rPr>
          <w:rtl w:val="true"/>
        </w:rPr>
        <w:t>حول التفصيل بين العلم برفع العذر وعدمه</w:t>
      </w:r>
      <w:bookmarkEnd w:id="492"/>
    </w:p>
    <w:p>
      <w:pPr>
        <w:pStyle w:val="BookText"/>
        <w:rPr/>
      </w:pPr>
      <w:r>
        <w:rPr>
          <w:rFonts w:ascii="Amiri" w:hAnsi="Amiri" w:eastAsia="Amiri" w:cs="Amiri"/>
          <w:color w:val="111111"/>
          <w:sz w:val="28"/>
          <w:sz w:val="28"/>
          <w:szCs w:val="28"/>
          <w:rtl w:val="true"/>
          <w:lang w:bidi="ar-SA"/>
        </w:rPr>
        <w:t>كما أنّ الأقرب بحسب إطلاق الأدلّة ، عدم الفرق بين العلم بزوال العذر وعدمه ، ودعوى الانصراف إلى صورة عدم العلم برفعه</w:t>
      </w:r>
      <w:r>
        <w:rPr>
          <w:rStyle w:val="FootnoteAnchor"/>
          <w:rtl w:val="true"/>
        </w:rPr>
        <w:footnoteReference w:id="1070"/>
      </w:r>
      <w:r>
        <w:rPr>
          <w:rFonts w:ascii="Amiri" w:hAnsi="Amiri" w:eastAsia="Amiri" w:cs="Amiri"/>
          <w:color w:val="111111"/>
          <w:sz w:val="28"/>
          <w:sz w:val="28"/>
          <w:szCs w:val="28"/>
          <w:rtl w:val="true"/>
          <w:lang w:bidi="ar-SA"/>
        </w:rPr>
        <w:t xml:space="preserve">،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الإنصاف انصراف الأدلّة عن بعض الموارد بلا إشكال ، كما لو منعه الزِحام عن الوصول إلى الماء إلاّ بعد ساعة ، أو كانت نوبته في الاغتراف من الشريعة بعد اغتراف من سبقه وتقدّم عليه وأمثال ذلك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يبعد أن يكون الأمر بالإعادة في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p>
    <w:p>
      <w:pPr>
        <w:pStyle w:val="BookText"/>
        <w:rPr/>
      </w:pPr>
      <w:r>
        <w:rPr>
          <w:rFonts w:ascii="IRNazanin" w:hAnsi="IRNazanin" w:eastAsia="IRNazanin"/>
          <w:color w:val="111111"/>
          <w:sz w:val="28"/>
          <w:sz w:val="28"/>
          <w:szCs w:val="28"/>
          <w:rtl w:val="true"/>
          <w:lang w:bidi="fa-IR"/>
        </w:rPr>
        <w:t xml:space="preserve">عن أبيه ،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سئل عن الرجل يكون في وسط الزِحام يوم الجمعة أو يوم عرفة ، فأحدث أو ذكر أ نّه على غير وضوء ، ولا يستطيع الخروج من كثرة الزحام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ويصلّي معهم ، ويعيد إذا هو انصرف</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وقريب منها موثّقة السكوني</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العلم برفع العذر بعد انصراف الجماعة ،</w:t>
      </w:r>
    </w:p>
    <w:p>
      <w:pPr>
        <w:pStyle w:val="BookText"/>
        <w:rPr/>
      </w:pPr>
      <w:r>
        <w:rPr>
          <w:rFonts w:ascii="Amiri" w:hAnsi="Amiri" w:eastAsia="Amiri" w:cs="Amiri"/>
          <w:color w:val="111111"/>
          <w:sz w:val="28"/>
          <w:sz w:val="28"/>
          <w:szCs w:val="28"/>
          <w:rtl w:val="true"/>
          <w:lang w:bidi="ar-SA"/>
        </w:rPr>
        <w:t xml:space="preserve">فيجب عليه الإعادة ، وتدلّ على التفصيل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بالصلاة معهم لكون التخلّف عن جماعتهم خلاف التقيّة ، والاعتذار بعدم الوضوء لعلّه كان غير مقبول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بالتيمّم وإن كان ظاهراً في صحّة صلاته في هذا الحال ، ولهذا حملوا الإعادة على الاستحباب</w:t>
      </w:r>
      <w:r>
        <w:rPr>
          <w:rStyle w:val="FootnoteAnchor"/>
          <w:rtl w:val="true"/>
        </w:rPr>
        <w:footnoteReference w:id="1073"/>
      </w:r>
      <w:r>
        <w:rPr>
          <w:rFonts w:ascii="Amiri" w:hAnsi="Amiri" w:eastAsia="Amiri" w:cs="Amiri"/>
          <w:color w:val="111111"/>
          <w:sz w:val="28"/>
          <w:sz w:val="28"/>
          <w:szCs w:val="28"/>
          <w:rtl w:val="true"/>
          <w:lang w:bidi="ar-SA"/>
        </w:rPr>
        <w:t>، لكن حمل الأمر بالتيمّم والصلاة معهم عليه ، أولى</w:t>
      </w:r>
    </w:p>
    <w:p>
      <w:pPr>
        <w:pStyle w:val="BookText"/>
        <w:rPr/>
      </w:pPr>
      <w:r>
        <w:rPr>
          <w:rFonts w:ascii="Amiri" w:hAnsi="Amiri" w:eastAsia="Amiri" w:cs="Amiri"/>
          <w:color w:val="111111"/>
          <w:sz w:val="28"/>
          <w:sz w:val="28"/>
          <w:szCs w:val="28"/>
          <w:rtl w:val="true"/>
          <w:lang w:bidi="ar-SA"/>
        </w:rPr>
        <w:t xml:space="preserve">من حمل الإعادة عليه بعد انصراف الأدلّة عن مثل هذا العذر الذي يرفع بعد ساعة ، ولهذا لو كان الزحام لأمر آخر يمنعه عن الوضوء مقدار ساعة ، لا يمكن الالتزام بصحّة التيمّم والصلاة ، وكذا لو منعه مانع منه مقدار ساعة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بوجوب الجمعة تعييناً ، فالظاهر صحّته وصحّة صلاته ؛ لخروج وقتها ، كما لو منعه زحام أو غيره عند ضيق الوقت صحّ تيمّمه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الروايتين ظاهرتان في جمعة الناس ، ومع إقامتهم لا تجب علينا تعييناً ، بل في </w:t>
      </w:r>
      <w:bookmarkStart w:id="493" w:name="pg17116_198885"/>
    </w:p>
    <w:p>
      <w:pPr>
        <w:pStyle w:val="BookText"/>
        <w:rPr/>
      </w:pPr>
      <w:bookmarkEnd w:id="493"/>
      <w:r>
        <w:rPr>
          <w:rFonts w:ascii="Amiri" w:hAnsi="Amiri" w:eastAsia="Amiri" w:cs="Amiri"/>
          <w:color w:val="111111"/>
          <w:sz w:val="28"/>
          <w:sz w:val="28"/>
          <w:szCs w:val="28"/>
          <w:rtl w:val="true"/>
          <w:lang w:bidi="ar-SA"/>
        </w:rPr>
        <w:t>وجوبها تعييناً حتّى في زمان الحضور وبسط يد الوالي بالحقّ ، أيضاً كلام وإن أرسلوه ظاهراً إرسال المسلّمات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فالأقرب التفصيل بين العلم برفع العذر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في بعض الفروض النادرة موجباً للحرج ، غير مضرّ بعد رفعه بدليله </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8646171_3381743652"/>
      <w:bookmarkStart w:id="495" w:name="_Toc177"/>
      <w:bookmarkEnd w:id="494"/>
      <w:r>
        <w:rPr>
          <w:rtl w:val="true"/>
        </w:rPr>
        <w:t>حول حصر محلّ الخلاف في غير المتيمّم</w:t>
      </w:r>
      <w:bookmarkEnd w:id="495"/>
    </w:p>
    <w:p>
      <w:pPr>
        <w:pStyle w:val="BookText"/>
        <w:rPr/>
      </w:pPr>
      <w:r>
        <w:rPr>
          <w:rFonts w:ascii="Amiri" w:hAnsi="Amiri" w:eastAsia="Amiri" w:cs="Amiri"/>
          <w:color w:val="111111"/>
          <w:sz w:val="28"/>
          <w:sz w:val="28"/>
          <w:szCs w:val="28"/>
          <w:rtl w:val="true"/>
          <w:lang w:bidi="ar-SA"/>
        </w:rPr>
        <w:t>ثمّ إنّه حكي</w:t>
      </w:r>
      <w:r>
        <w:rPr>
          <w:rStyle w:val="FootnoteAnchor"/>
          <w:rtl w:val="true"/>
        </w:rPr>
        <w:footnoteReference w:id="1075"/>
      </w:r>
      <w:r>
        <w:rPr>
          <w:rFonts w:ascii="Amiri" w:hAnsi="Amiri" w:eastAsia="Amiri" w:cs="Amiri"/>
          <w:color w:val="111111"/>
          <w:sz w:val="28"/>
          <w:sz w:val="28"/>
          <w:szCs w:val="28"/>
          <w:rtl w:val="true"/>
          <w:lang w:bidi="ar-SA"/>
        </w:rPr>
        <w:t>عن صريح جماعة</w:t>
      </w:r>
      <w:r>
        <w:rPr>
          <w:rStyle w:val="FootnoteAnchor"/>
          <w:rtl w:val="true"/>
        </w:rPr>
        <w:footnoteReference w:id="1076"/>
      </w:r>
      <w:r>
        <w:rPr>
          <w:rFonts w:ascii="Amiri" w:hAnsi="Amiri" w:eastAsia="Amiri" w:cs="Amiri"/>
          <w:color w:val="111111"/>
          <w:sz w:val="28"/>
          <w:sz w:val="28"/>
          <w:szCs w:val="28"/>
          <w:rtl w:val="true"/>
          <w:lang w:bidi="ar-SA"/>
        </w:rPr>
        <w:t>وظاهر آخرين</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محلّ الخلاف في المسألة في غير المتيمّم ، وأمّا من كان متيمّماً في أوّل الوقت لصلاة ضاق وقتها أو</w:t>
      </w:r>
    </w:p>
    <w:p>
      <w:pPr>
        <w:pStyle w:val="BookText"/>
        <w:rPr/>
      </w:pPr>
      <w:r>
        <w:rPr>
          <w:rFonts w:ascii="Amiri" w:hAnsi="Amiri" w:eastAsia="Amiri" w:cs="Amiri"/>
          <w:color w:val="111111"/>
          <w:sz w:val="28"/>
          <w:sz w:val="28"/>
          <w:szCs w:val="28"/>
          <w:rtl w:val="true"/>
          <w:lang w:bidi="ar-SA"/>
        </w:rPr>
        <w:t>لغاية اُخرى ، صحّت صلاته في أوّل وقتها ؛ لوجود المقتضي ورفع المانع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ممّا ذكر أنّ المانع من تعجيل الصلاة ، هو فقدان الطهور وشرطية ضيق الوقت لصحّة التيمّم ، وأمّا مع حصول الطهور بوجه آخر فلا يبقى مانع ، فحينئذٍ لا ثمرة للنزاع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البحث وإن أمكن احتماله في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في خصوص الفرع بالنظر إلى إطلاق كلماتهم ظاهراً ، بل الظاهر من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الصلاة بالتيمّم إلاّ في آخر الوقت ، كما لا يجوز التيمّم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إلاّ في آخره</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غير ممكن في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روايات المضايقة</w:t>
      </w:r>
      <w:r>
        <w:rPr>
          <w:rStyle w:val="FootnoteAnchor"/>
          <w:rtl w:val="true"/>
        </w:rPr>
        <w:footnoteReference w:id="1079"/>
      </w:r>
      <w:r>
        <w:rPr>
          <w:rFonts w:ascii="Amiri" w:hAnsi="Amiri" w:eastAsia="Amiri" w:cs="Amiri"/>
          <w:color w:val="111111"/>
          <w:sz w:val="28"/>
          <w:sz w:val="28"/>
          <w:szCs w:val="28"/>
          <w:rtl w:val="true"/>
          <w:lang w:bidi="ar-SA"/>
        </w:rPr>
        <w:t xml:space="preserve">هو الأمر بتأخير التيمّم لتحصيل الفرد الأكمل الاختياري من الصلاة ، لا لأجل عدم حصول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اشتراط حصوله بتحقّق الضيق أيضاً ، يكون لأجل الصلاة لا للطهور ، والعرف الملتفت إلى أنّ المنظور الأصلي هو الصلاة ، والطهارات شرائط لها ، لا مطلوبات نفسية إلزامية ، لا يفهم من الأمر بالتأخير إلاّ التحفّظ على الصلاة المطلوبة ذاتاً مع الطهارة المائية ، ولا ينقدح في ذهنه اشتراط الطهور بالوقت بل لو صرّح بالاشتراط لا ينقدح في ذهنه إلاّ مراعاة حال الصلاة مع 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أخذنا بتلك الروايات الواردة في المضايقة ، وأغمضنا عمّا تقدّم ، فلا محيص عن القول بلزوم تأخير الصلاة إلى آخر الوقت ؛ رجاءً لتحصيل الطهارة 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الظاهر من 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فليتيمّم وليصلّ في آخر الوقت</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xml:space="preserve">وقوله في موثّقة ابن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أجنب ، فلم يجد ماءً ، يتيمّم ويصلّي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آخر الوقت</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 xml:space="preserve">أنّ الصلاة يجب أن تكون في آخر الوقت أيضاً ، تأمّل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قوله في تلك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فاته الماء لم تفته الأرض</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ظاهر في </w:t>
      </w:r>
      <w:bookmarkStart w:id="496" w:name="pg17116_198887"/>
    </w:p>
    <w:p>
      <w:pPr>
        <w:pStyle w:val="BookText"/>
        <w:rPr/>
      </w:pPr>
      <w:bookmarkEnd w:id="496"/>
      <w:r>
        <w:rPr>
          <w:rFonts w:ascii="Amiri" w:hAnsi="Amiri" w:eastAsia="Amiri" w:cs="Amiri"/>
          <w:color w:val="111111"/>
          <w:sz w:val="28"/>
          <w:sz w:val="28"/>
          <w:szCs w:val="28"/>
          <w:rtl w:val="true"/>
          <w:lang w:bidi="ar-SA"/>
        </w:rPr>
        <w:t xml:space="preserve">فوت المصلحة الصلاتية ، لا المصلحة النفسية للطهارة ، كما لا يخفى على المتأمّل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لو كان تحصيل الطهور بوجه آخر وغاية اُخرى ، رافعاً للمانع ، ولم يكن للأمر بتأخير الصلاة والتيمّم إلى آخر الوقت ، موجب إلاّ فقد الطهور الممكن الحصول بغاية اُخرى ، لما أمروا بتأخيرها مع الاهتمام العظيم بالتحفّظ على الصلاة في أوائل أوقاتها بما كاد أن يلحقه بالواجبات فكان على الأئمّة  علیهم السلام  التنبيه على ذلك ؛ حفظاً لأهمّية أوّل الوقت ، لا الأمر بالتأخير بقول مطلق ، فيظهر من ذاك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المهمّ في نظر الشارع مراعاة إيجاد الصلاة مع المائية ، وليس الأمر بالتأخير لعدم حصول الطهور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فالأقوى بناءً على القول بوجوب التأخير ، وجوبه مطلقاً ولو كان الطهور محقّقاً في أوّل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شبهة في عدم وجوب تجديد التيمّم في آخر الوقت ، إذا وجد صحيحاً في أوّله أو قبله في ضيق الوقت مثلاً ، كما صرّحت به الروايات</w:t>
      </w:r>
      <w:r>
        <w:rPr>
          <w:rStyle w:val="FootnoteAnchor"/>
          <w:rtl w:val="true"/>
        </w:rPr>
        <w:footnoteReference w:id="1083"/>
      </w:r>
      <w:r>
        <w:rPr>
          <w:rFonts w:ascii="Amiri" w:hAnsi="Amiri" w:eastAsia="Amiri" w:cs="Amiri"/>
          <w:color w:val="111111"/>
          <w:sz w:val="28"/>
          <w:sz w:val="28"/>
          <w:szCs w:val="28"/>
          <w:rtl w:val="true"/>
          <w:lang w:bidi="ar-SA"/>
        </w:rPr>
        <w:t>خلافاً لبعض العامّة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8646173_3381743652"/>
      <w:bookmarkStart w:id="498" w:name="_Toc178"/>
      <w:bookmarkEnd w:id="497"/>
      <w:r>
        <w:rPr>
          <w:rtl w:val="true"/>
        </w:rPr>
        <w:t>المراد ب</w:t>
      </w:r>
      <w:r>
        <w:rPr>
          <w:rtl w:val="true"/>
        </w:rPr>
        <w:t>- «</w:t>
      </w:r>
      <w:r>
        <w:rPr>
          <w:rtl w:val="true"/>
        </w:rPr>
        <w:t>آخر الوقت</w:t>
      </w:r>
      <w:r>
        <w:rPr>
          <w:rtl w:val="true"/>
        </w:rPr>
        <w:t xml:space="preserve">» </w:t>
      </w:r>
      <w:r>
        <w:rPr>
          <w:rtl w:val="true"/>
        </w:rPr>
        <w:t>في المقام</w:t>
      </w:r>
      <w:bookmarkEnd w:id="4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أو ينبغي مراعاته ، هو آخره عرفاً ؛ بحيث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أتى بها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ذلك إذا أتى بها مع </w:t>
      </w:r>
      <w:bookmarkStart w:id="499" w:name="pg17116_198888"/>
    </w:p>
    <w:p>
      <w:pPr>
        <w:pStyle w:val="BookText"/>
        <w:rPr/>
      </w:pPr>
      <w:bookmarkEnd w:id="499"/>
      <w:r>
        <w:rPr>
          <w:rFonts w:ascii="Amiri" w:hAnsi="Amiri" w:eastAsia="Amiri" w:cs="Amiri"/>
          <w:color w:val="111111"/>
          <w:sz w:val="28"/>
          <w:sz w:val="28"/>
          <w:szCs w:val="28"/>
          <w:rtl w:val="true"/>
          <w:lang w:bidi="ar-SA"/>
        </w:rPr>
        <w:t>الآداب المتعارفة، بل واختيار الفرد الطويل مع التخيير بينه وبين القصير، بل</w:t>
      </w:r>
    </w:p>
    <w:p>
      <w:pPr>
        <w:pStyle w:val="BookText"/>
        <w:rPr/>
      </w:pPr>
      <w:r>
        <w:rPr>
          <w:rFonts w:ascii="Amiri" w:hAnsi="Amiri" w:eastAsia="Amiri" w:cs="Amiri"/>
          <w:color w:val="111111"/>
          <w:sz w:val="28"/>
          <w:sz w:val="28"/>
          <w:szCs w:val="28"/>
          <w:rtl w:val="true"/>
          <w:lang w:bidi="ar-SA"/>
        </w:rPr>
        <w:t>وإتيان بعض المقدّمات المتعارفة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ومستندهم فيه هو الأخبار الحاكمة بتأخير التيمّم إلى آخر الوقت المحمولة على الآخر العرفي ، كما هو الشأن في جميع العناوين المأخوذة في موضوعات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في لزوم التأخير فرضاً ، لا يفهم منها إلاّ الإرشاد إلى ما حكم به العقل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بوجوب الصلاة بالفرد الاختياري من دلوك الشمس إلى آخر الوقت ، ومع التعذّر عنه جزماً لا احتمالاً ، يجتزئ بالاضطراري ، فيحكم فيما إذا كان للصلاة فرد طويل وقصير مع الاحتمال المعتدّ به برفع العذر ، بالانتظار ، لا الإتيان بالطويل ، كما أ نّه يحكم بالاكتفاء بالواجبات وترك الآداب ؛ حفظاً للغرض الأعلى والفرد الاختياري ، والظاهر أنّ الأخبار وردت للإرشاد ، لا للتوسعة لما يدركه العقل </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8646175_3381743652"/>
      <w:bookmarkStart w:id="501" w:name="_Toc179"/>
      <w:bookmarkEnd w:id="500"/>
      <w:r>
        <w:rPr>
          <w:rtl w:val="true"/>
        </w:rPr>
        <w:t>لزوم الإعادة مع انكشاف سعة الوقت</w:t>
      </w:r>
      <w:bookmarkEnd w:id="50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الأخبار أنّ اللازم هو التأخير إلى آخر الوقت ، وهو الموضوع للحكم ، والأمر بالتيمّم والصلاة مع خوف الفوت ، إنّما هو لترجيح الوقت على الطهارة المائية عند احتمال فوته ، لا لموضوعية في خوف الفوت ، ومعه لو انكشف سعة الوقت بقدر تحصيل المائية ، تجب عليه الإعادة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يبعد وجوبها لو وسع للترابية أيضاً ؛ لعدم تحقّق الشرط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الضيق لها أو لصحّة الصلاة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يسهّل الخطب أنّ القول بالمضايقة ضعيف ، لكن لا ينبغي ترك الاحتياط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بالمضايقة ، لا يكون عاملاً بالأخبار الدالّة على عدم لزوم الإعادة ولو مع بقاء الوقت</w:t>
      </w:r>
      <w:r>
        <w:rPr>
          <w:rStyle w:val="FootnoteAnchor"/>
          <w:rtl w:val="true"/>
        </w:rPr>
        <w:footnoteReference w:id="1086"/>
      </w:r>
      <w:r>
        <w:rPr>
          <w:rFonts w:ascii="Amiri" w:hAnsi="Amiri" w:eastAsia="Amiri" w:cs="Amiri"/>
          <w:color w:val="111111"/>
          <w:sz w:val="28"/>
          <w:sz w:val="28"/>
          <w:szCs w:val="28"/>
          <w:rtl w:val="true"/>
          <w:lang w:bidi="ar-SA"/>
        </w:rPr>
        <w:t xml:space="preserve">؛ إمّا بحملها على التقيّة ؛ لمطابقتها لجمهور الناس ، أو لغير ذلك ، ومعه لا وجه لردّ قوله في هذه المسألة تشبّثاً بتلك الروايات ، فقولُ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الشيخ القائل بالإعادة</w:t>
      </w:r>
      <w:r>
        <w:rPr>
          <w:rStyle w:val="FootnoteAnchor"/>
          <w:rtl w:val="true"/>
        </w:rPr>
        <w:footnoteReference w:id="10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ضعيف محجوج بالأخبار المصرّحة بعدم الإعادة</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كأ نّه وقع في غير محلّه </w:t>
      </w:r>
      <w:r>
        <w:rPr>
          <w:rFonts w:eastAsia="Amiri" w:cs="Amiri" w:ascii="Amiri" w:hAnsi="Amiri"/>
          <w:color w:val="111111"/>
          <w:sz w:val="28"/>
          <w:szCs w:val="28"/>
          <w:rtl w:val="true"/>
          <w:lang w:bidi="ar-SA"/>
        </w:rPr>
        <w:t xml:space="preserve">. </w:t>
      </w:r>
      <w:bookmarkStart w:id="502" w:name="pg17116_198890"/>
    </w:p>
    <w:p>
      <w:pPr>
        <w:pStyle w:val="Heading5"/>
        <w:numPr>
          <w:ilvl w:val="4"/>
          <w:numId w:val="1"/>
        </w:numPr>
        <w:rPr/>
      </w:pPr>
      <w:bookmarkStart w:id="503" w:name="__RefHeading___Toc8646177_3381743652"/>
      <w:bookmarkStart w:id="504" w:name="_Toc180"/>
      <w:bookmarkEnd w:id="502"/>
      <w:bookmarkEnd w:id="503"/>
      <w:r>
        <w:rPr>
          <w:rtl w:val="true"/>
        </w:rPr>
        <w:t>الأمر الثالث</w:t>
      </w:r>
      <w:r>
        <w:rPr>
          <w:rtl w:val="true"/>
        </w:rPr>
        <w:t xml:space="preserve">: </w:t>
      </w:r>
      <w:r>
        <w:rPr>
          <w:rtl w:val="true"/>
        </w:rPr>
        <w:t>في إجزاء صلاة المتيمّم عن الإعادة والقضاء</w:t>
      </w:r>
      <w:bookmarkEnd w:id="504"/>
    </w:p>
    <w:p>
      <w:pPr>
        <w:pStyle w:val="Heading6"/>
        <w:numPr>
          <w:ilvl w:val="5"/>
          <w:numId w:val="1"/>
        </w:numPr>
        <w:rPr/>
      </w:pPr>
      <w:bookmarkStart w:id="505" w:name="__RefHeading___Toc8646179_3381743652"/>
      <w:bookmarkStart w:id="506" w:name="_Toc181"/>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من صلّى بتيمّم صحيح لا يجب عليه الإعادة ولا القضاء ؛ لاقتضاء الأمر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ما إذا قلنا بصحّة صلاته مع التيمّم ؛ إمّا لأجل القول بالمواسعة ، أو للبناء على صحّة صلاته مع التيمّم لغاية اُخرى ، أو مع بقائه من الوقت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المسألة السابقة ، ففي كلّ مورد صحّحنا تيمّمه وصلاته فصلّى بتيمّم ، لا يجب عليه الإعادة ، فضلاً عن القضاء ؛ سواء قلنا بأنّ الشرط قابل للجعل المستقلّ ؛ ولا يحتاج إلى انتزاعه من الأمر بالمركّب مقيّداً به ، أو لا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فواضح ؛ لأنّ الظاهر من الآية الكريمة</w:t>
      </w:r>
      <w:r>
        <w:rPr>
          <w:rStyle w:val="FootnoteAnchor"/>
          <w:rtl w:val="true"/>
        </w:rPr>
        <w:footnoteReference w:id="1089"/>
      </w:r>
      <w:r>
        <w:rPr>
          <w:rFonts w:ascii="Amiri" w:hAnsi="Amiri" w:eastAsia="Amiri" w:cs="Amiri"/>
          <w:color w:val="111111"/>
          <w:sz w:val="28"/>
          <w:sz w:val="28"/>
          <w:szCs w:val="28"/>
          <w:rtl w:val="true"/>
          <w:lang w:bidi="ar-SA"/>
        </w:rPr>
        <w:t xml:space="preserve">أ نّها بصدد جعل شرطية الطهور للصلاة المأمور بها مع الوضوء والغسل ، ومع فقدان الماء مع التيمّم ، فتكون الصلاة طبيعة واحدة ذات أمر واحد ، ولها مصاديق اختيارية </w:t>
      </w:r>
    </w:p>
    <w:p>
      <w:pPr>
        <w:pStyle w:val="BookText"/>
        <w:rPr/>
      </w:pPr>
      <w:r>
        <w:rPr>
          <w:rFonts w:ascii="Amiri" w:hAnsi="Amiri" w:eastAsia="Amiri" w:cs="Amiri"/>
          <w:color w:val="111111"/>
          <w:sz w:val="28"/>
          <w:sz w:val="28"/>
          <w:szCs w:val="28"/>
          <w:rtl w:val="true"/>
          <w:lang w:bidi="ar-SA"/>
        </w:rPr>
        <w:t xml:space="preserve">واضطرارية ، فمع طروّ الاضطرار يكون المكلّف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 xml:space="preserve">إتيان الصلاة المأمور بها بفردها الاضطراري ، أو الصبر والإتيان بالفرد الاختياري ، وليس المصداق الاختياري والاضطراري مأموراً به بل لا يكون إلاّ أمر واحد متعلّق بنفس الطبيعة ، ولا يعقل بقاؤه مع الإتيان بمتعلّقه ؛ سواء أتى بالفرد الاختياري منها أو الاضطراري ، ومع فرض إمكان تعلّق الجعل المستقلّ بالشرطية والمانعية ، لا يجوز رفع اليد عن ظاهر الآية الدالّة على جعل شرطية الوضوء والغسل ، ولدى العذر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فلا محيص عن أمرين ؛ يتعلّق أحدهما بالواجد ، والآخر بالفاقد ، لكن الضرورة قائمة على أنّ الصلاة مطلوبة واحدة ، وتعدّد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لضيق الخناق وامتناع إفادة الشرطية إلاّ به ، وفي مثله لا يكون</w:t>
      </w:r>
    </w:p>
    <w:p>
      <w:pPr>
        <w:pStyle w:val="BookText"/>
        <w:rPr/>
      </w:pPr>
      <w:r>
        <w:rPr>
          <w:rFonts w:ascii="Amiri" w:hAnsi="Amiri" w:eastAsia="Amiri" w:cs="Amiri"/>
          <w:color w:val="111111"/>
          <w:sz w:val="28"/>
          <w:sz w:val="28"/>
          <w:szCs w:val="28"/>
          <w:rtl w:val="true"/>
          <w:lang w:bidi="ar-SA"/>
        </w:rPr>
        <w:t xml:space="preserve">المتعدّد كاشفاً عن كونها مع المائية مطلوبة ، ومع الترابية مطلوبة اُخرى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إذا قلنا بامتناع أخذ ما يجيء من قِبل الأمر ، كقصده في متعلّقه ، والتزمنا بأمرين ، فإنّ الأمر الثاني لا يكون إلاّ لتحديد المطلوب الأوّل ، ولا استقلال له ، فلا يكون تعدّد الأمر في المقام إلاّ لإفادة الشرطية في الحالين ،</w:t>
      </w:r>
    </w:p>
    <w:p>
      <w:pPr>
        <w:pStyle w:val="BookText"/>
        <w:rPr/>
      </w:pPr>
      <w:r>
        <w:rPr>
          <w:rFonts w:ascii="Amiri" w:hAnsi="Amiri" w:eastAsia="Amiri" w:cs="Amiri"/>
          <w:color w:val="111111"/>
          <w:sz w:val="28"/>
          <w:sz w:val="28"/>
          <w:szCs w:val="28"/>
          <w:rtl w:val="true"/>
          <w:lang w:bidi="ar-SA"/>
        </w:rPr>
        <w:t xml:space="preserve">ولتحديد المطلوب الأوّل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شبهة في استفادة الإجزاء من الآية ؛ لأنّ الظاهر منها أنّ المكلّف إذا قام إلى الصلاة المأمور بها ، يجب عليه أن يأتي بها مع المائية ، ومع العذر مع الترابية ، ومع الإتيان بالاضطراري يكون آتياً بطبيعة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إطلاقها وإلغاء الخصوصية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السفر والحضر ، </w:t>
      </w:r>
    </w:p>
    <w:p>
      <w:pPr>
        <w:pStyle w:val="BookText"/>
        <w:rPr/>
      </w:pPr>
      <w:r>
        <w:rPr>
          <w:rFonts w:ascii="Amiri" w:hAnsi="Amiri" w:eastAsia="Amiri" w:cs="Amiri"/>
          <w:color w:val="111111"/>
          <w:sz w:val="28"/>
          <w:sz w:val="28"/>
          <w:szCs w:val="28"/>
          <w:rtl w:val="true"/>
          <w:lang w:bidi="ar-SA"/>
        </w:rPr>
        <w:t>ولا بين أسباب حصول الجنابة ولا غيرها ، فما عن القديمين من إيجاب الإعادة</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من الفرق بين الحاضر والمسافر ، فأوجبها في الأوّل</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السيّد وجوب القضاء لا الإعادة ؛ لأنّ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التيمّم والصلاة إلاّ في آخر الوقت ، ولهذا أورد على الناصر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الماء بعد ما فرغ من صلاته ، وهو في بقيّة من وقتها ، وجب عليه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الفرع لا يشبه أصل من ذهب إلى أنّ الصلاة بالتيمّم لا تجوز إلاّ في آخر الوقت ، وإنّما يجوز أن يفرِّع هذا الفرع من يجوِّز الصلاة في سعة الوقت ، أو قبل تضييق الوقت ، وقد بيّنّا أنّ ذلك لا يجوز ، فلا معنى لهذا الفرع على مذهبنا ومذهب من وافقنا في أنّ الصلاة لا تجوز إلاّ في آخر الوقت</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 ذهابه إلى التفصيل أ نّه لم يعمل على أخبار المواسعة</w:t>
      </w:r>
      <w:r>
        <w:rPr>
          <w:rStyle w:val="FootnoteAnchor"/>
          <w:rtl w:val="true"/>
        </w:rPr>
        <w:footnoteReference w:id="1095"/>
      </w:r>
      <w:r>
        <w:rPr>
          <w:rFonts w:ascii="Amiri" w:hAnsi="Amiri" w:eastAsia="Amiri" w:cs="Amiri"/>
          <w:color w:val="111111"/>
          <w:sz w:val="28"/>
          <w:sz w:val="28"/>
          <w:szCs w:val="28"/>
          <w:rtl w:val="true"/>
          <w:lang w:bidi="ar-SA"/>
        </w:rPr>
        <w:t>، وظنّ أنّ الآية الشريفة</w:t>
      </w:r>
      <w:r>
        <w:rPr>
          <w:rStyle w:val="FootnoteAnchor"/>
          <w:rtl w:val="true"/>
        </w:rPr>
        <w:footnoteReference w:id="1096"/>
      </w:r>
      <w:r>
        <w:rPr>
          <w:rFonts w:ascii="Amiri" w:hAnsi="Amiri" w:eastAsia="Amiri" w:cs="Amiri"/>
          <w:color w:val="111111"/>
          <w:sz w:val="28"/>
          <w:sz w:val="28"/>
          <w:szCs w:val="28"/>
          <w:rtl w:val="true"/>
          <w:lang w:bidi="ar-SA"/>
        </w:rPr>
        <w:t>تختصّ بالمسافر الفاقد ، وأخبار المضايقة</w:t>
      </w:r>
      <w:r>
        <w:rPr>
          <w:rStyle w:val="FootnoteAnchor"/>
          <w:rtl w:val="true"/>
        </w:rPr>
        <w:footnoteReference w:id="1097"/>
      </w:r>
      <w:r>
        <w:rPr>
          <w:rFonts w:ascii="Amiri" w:hAnsi="Amiri" w:eastAsia="Amiri" w:cs="Amiri"/>
          <w:color w:val="111111"/>
          <w:sz w:val="28"/>
          <w:sz w:val="28"/>
          <w:szCs w:val="28"/>
          <w:rtl w:val="true"/>
          <w:lang w:bidi="ar-SA"/>
        </w:rPr>
        <w:t xml:space="preserve">لم تتعرّض إلاّ </w:t>
      </w:r>
      <w:bookmarkStart w:id="507" w:name="pg17116_198893"/>
    </w:p>
    <w:p>
      <w:pPr>
        <w:pStyle w:val="BookText"/>
        <w:rPr/>
      </w:pPr>
      <w:bookmarkEnd w:id="507"/>
      <w:r>
        <w:rPr>
          <w:rFonts w:ascii="Amiri" w:hAnsi="Amiri" w:eastAsia="Amiri" w:cs="Amiri"/>
          <w:color w:val="111111"/>
          <w:sz w:val="28"/>
          <w:sz w:val="28"/>
          <w:szCs w:val="28"/>
          <w:rtl w:val="true"/>
          <w:lang w:bidi="ar-SA"/>
        </w:rPr>
        <w:t>للزوم التأخير إلى آخر الوقت ، إلاّ صحيحة زرارة المختصّة بالمسافر</w:t>
      </w:r>
      <w:r>
        <w:rPr>
          <w:rStyle w:val="FootnoteAnchor"/>
          <w:rtl w:val="true"/>
        </w:rPr>
        <w:footnoteReference w:id="1098"/>
      </w:r>
      <w:r>
        <w:rPr>
          <w:rFonts w:ascii="Amiri" w:hAnsi="Amiri" w:eastAsia="Amiri" w:cs="Amiri"/>
          <w:color w:val="111111"/>
          <w:sz w:val="28"/>
          <w:sz w:val="28"/>
          <w:szCs w:val="28"/>
          <w:rtl w:val="true"/>
          <w:lang w:bidi="ar-SA"/>
        </w:rPr>
        <w:t xml:space="preserve">، وفيها عدم لزوم القضاء عليه بعد الوجدان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وإن علّقت على المريض والمسافر ، لكن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بالمناسبات المرتكزة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يلغي الخصوصية ، كما مرّ مراراً </w:t>
      </w:r>
      <w:r>
        <w:rPr>
          <w:rStyle w:val="FootnoteAnchor"/>
          <w:rtl w:val="true"/>
        </w:rPr>
        <w:footnoteReference w:id="1099"/>
      </w:r>
      <w:r>
        <w:rPr>
          <w:rFonts w:ascii="Amiri" w:hAnsi="Amiri" w:eastAsia="Amiri" w:cs="Amiri"/>
          <w:color w:val="111111"/>
          <w:sz w:val="28"/>
          <w:sz w:val="28"/>
          <w:szCs w:val="28"/>
          <w:rtl w:val="true"/>
          <w:lang w:bidi="ar-SA"/>
        </w:rPr>
        <w:t xml:space="preserve">، كما يلغيها من الصحيحة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تقدّم من دلالة طوائف من الروايات على المقصود</w:t>
      </w:r>
      <w:r>
        <w:rPr>
          <w:rStyle w:val="FootnoteAnchor"/>
          <w:rtl w:val="true"/>
        </w:rPr>
        <w:footnoteReference w:id="1100"/>
      </w:r>
      <w:r>
        <w:rPr>
          <w:rFonts w:ascii="Amiri" w:hAnsi="Amiri" w:eastAsia="Amiri" w:cs="Amiri"/>
          <w:color w:val="111111"/>
          <w:sz w:val="28"/>
          <w:sz w:val="28"/>
          <w:szCs w:val="28"/>
          <w:rtl w:val="true"/>
          <w:lang w:bidi="ar-SA"/>
        </w:rPr>
        <w:t xml:space="preserve">، ولا وجه لرفع اليد عنها بعد كون المسألة خلافية من لدن زمن قديم ، ولم يثبت إعراض الأصحاب عنها لو لم نقل بثبوت عدمه وتخلّل الاجتهاد في البين </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8646181_3381743652"/>
      <w:bookmarkStart w:id="509" w:name="_Toc182"/>
      <w:bookmarkEnd w:id="508"/>
      <w:r>
        <w:rPr>
          <w:rtl w:val="true"/>
        </w:rPr>
        <w:t>عدم الفرق بين تعمّد الجنابة وغيره في الإجزاء</w:t>
      </w:r>
      <w:bookmarkEnd w:id="509"/>
    </w:p>
    <w:p>
      <w:pPr>
        <w:pStyle w:val="BookText"/>
        <w:rPr/>
      </w:pPr>
      <w:r>
        <w:rPr>
          <w:rFonts w:ascii="Amiri" w:hAnsi="Amiri" w:eastAsia="Amiri" w:cs="Amiri"/>
          <w:color w:val="111111"/>
          <w:sz w:val="28"/>
          <w:sz w:val="28"/>
          <w:szCs w:val="28"/>
          <w:rtl w:val="true"/>
          <w:lang w:bidi="ar-SA"/>
        </w:rPr>
        <w:t xml:space="preserve">ثمّ إنّ مقتضى إطلاق الآية والرواية ، عدم الفرق في الإجزاء بين تعمّد الجنابة والخشية من استعمال الماء وغيره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حكي عن كتب الشيخ</w:t>
      </w:r>
      <w:r>
        <w:rPr>
          <w:rStyle w:val="FootnoteAnchor"/>
          <w:rtl w:val="true"/>
        </w:rPr>
        <w:footnoteReference w:id="1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من لزوم الإعادة على المتعمّد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قوّة ، غيرُ متّضح المدرك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الرجل تصيبه الجنابة في الليلة الباردة ، فيخاف على نفسه التلف إن اغتسل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ويصلّي ، فإذا أمن البرد اغتسل وأعاد</w:t>
      </w:r>
      <w:r>
        <w:rPr>
          <w:rFonts w:eastAsia="IRNazanin" w:cs="IRNazanin"/>
          <w:color w:val="111111"/>
          <w:sz w:val="28"/>
          <w:szCs w:val="28"/>
          <w:rtl w:val="true"/>
          <w:lang w:bidi="fa-IR"/>
        </w:rPr>
        <w:t>»</w:t>
      </w:r>
      <w:r>
        <w:rPr>
          <w:rStyle w:val="FootnoteAnchor"/>
          <w:rtl w:val="true"/>
        </w:rPr>
        <w:footnoteReference w:id="1106"/>
      </w:r>
      <w:r>
        <w:rPr>
          <w:rFonts w:ascii="Amiri" w:hAnsi="Amiri" w:eastAsia="Amiri" w:cs="Amiri"/>
          <w:color w:val="111111"/>
          <w:sz w:val="28"/>
          <w:sz w:val="28"/>
          <w:szCs w:val="28"/>
          <w:rtl w:val="true"/>
          <w:lang w:bidi="ar-SA"/>
        </w:rPr>
        <w:t>، ومثلها مرسلة جعفر بن بشير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ظاهرة في المتعمّد ، لو لم نقل بظهورها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ظاهرها صحّة الصلاة مع التيمّم في هذه الحال ، ومعها يكون مقتضى القاعدة الإجزاء ، فتكون قرينة على حمل الأمر بالإعادة على الاستحباب ؛ لبعد كون الصلاة صحيحة ووجوب الإعادة تعبّداً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يسلّم ذلك فلا بدّ من حملها على الاستحباب ؛ جمعاً بينها وبين ما تقدّم من الأدلّة المتظافرة على عدم وجوب الإعادة</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بين فاقد الماء والمقام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العرف يفهم من تلك الأدلّة أنّ تمام المناط ، هو صحّة صلاته مع التيمّم واقتضاء الأمر الإجزاء </w:t>
      </w:r>
      <w:r>
        <w:rPr>
          <w:rFonts w:eastAsia="Amiri" w:cs="Amiri" w:ascii="Amiri" w:hAnsi="Amiri"/>
          <w:color w:val="111111"/>
          <w:sz w:val="28"/>
          <w:szCs w:val="28"/>
          <w:rtl w:val="true"/>
          <w:lang w:bidi="ar-SA"/>
        </w:rPr>
        <w:t xml:space="preserve">. </w:t>
      </w:r>
      <w:bookmarkStart w:id="510" w:name="pg17116_198895"/>
    </w:p>
    <w:p>
      <w:pPr>
        <w:pStyle w:val="BookText"/>
        <w:rPr/>
      </w:pPr>
      <w:bookmarkEnd w:id="510"/>
      <w:r>
        <w:rPr>
          <w:rFonts w:ascii="IRNazanin" w:hAnsi="IRNazanin" w:eastAsia="IRNazanin"/>
          <w:color w:val="111111"/>
          <w:sz w:val="28"/>
          <w:sz w:val="28"/>
          <w:szCs w:val="28"/>
          <w:rtl w:val="true"/>
          <w:lang w:bidi="fa-IR"/>
        </w:rPr>
        <w:t xml:space="preserve">مضافاً إلى صحيحتي داود بن سرحان عن أبي عبداللّه‌ علیه السلام </w:t>
      </w:r>
      <w:r>
        <w:rPr>
          <w:rStyle w:val="FootnoteAnchor"/>
          <w:rtl w:val="true"/>
        </w:rPr>
        <w:footnoteReference w:id="1109"/>
      </w:r>
      <w:r>
        <w:rPr>
          <w:rFonts w:ascii="IRNazanin" w:hAnsi="IRNazanin" w:eastAsia="IRNazanin"/>
          <w:color w:val="111111"/>
          <w:sz w:val="28"/>
          <w:sz w:val="28"/>
          <w:szCs w:val="28"/>
          <w:rtl w:val="true"/>
          <w:lang w:bidi="fa-IR"/>
        </w:rPr>
        <w:t xml:space="preserve">والبَزَنطي عن الرضا علیه السلام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الجنابة ، وبه جروح أو قروح ، أو يخاف على نفسه من البرد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 ويتيمّم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يفهم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مع التيمّم وعدم لزوم الإعادة ؛ لقاعدة</w:t>
      </w:r>
    </w:p>
    <w:p>
      <w:pPr>
        <w:pStyle w:val="BookText"/>
        <w:rPr/>
      </w:pP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الأمر بالإعادة على الاستحباب أولى من التصرّف فيهما ، خصوصاً مع جعل الخائف قريناً مع المجروح والمقروح ، ممّا لم ينقل عن أحد وجوب الإعادة عليهما بعد الالتئام </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646183_3381743652"/>
      <w:bookmarkStart w:id="512" w:name="_Toc183"/>
      <w:bookmarkEnd w:id="511"/>
      <w:r>
        <w:rPr>
          <w:rtl w:val="true"/>
        </w:rPr>
        <w:t>التفصيل بين التيمّم لأجل الخوف من الاستعمال وفقدان الماء</w:t>
      </w:r>
      <w:bookmarkEnd w:id="512"/>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مجال للتفصيل بين وجود الماء والخوف على النفس</w:t>
      </w:r>
    </w:p>
    <w:p>
      <w:pPr>
        <w:pStyle w:val="BookText"/>
        <w:rPr/>
      </w:pPr>
      <w:r>
        <w:rPr>
          <w:rFonts w:ascii="Amiri" w:hAnsi="Amiri" w:eastAsia="Amiri" w:cs="Amiri"/>
          <w:color w:val="111111"/>
          <w:sz w:val="28"/>
          <w:sz w:val="28"/>
          <w:szCs w:val="28"/>
          <w:rtl w:val="true"/>
          <w:lang w:bidi="ar-SA"/>
        </w:rPr>
        <w:t xml:space="preserve">من استعماله ، وبين فقدان الماء ؛ بلزوم الإعادة بعد الصلاة مع التيمّم في الأوّل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مقتضى الروايات ؛ لاختصاص ما دلّت على عدم الإعادة بفاقد الماء ، وما دلّت على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صحيحة ابن سنان ومرسلة 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بالواجد الخائف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بالتيمّم والصلاة في الروايتين ، دالّ على أنّ ما يأتي به في هذه الحال مع التيمّم ، هي الصلاة التي كانت على المسلمين </w:t>
      </w:r>
    </w:p>
    <w:p>
      <w:pPr>
        <w:pStyle w:val="BookText"/>
        <w:rPr/>
      </w:pPr>
      <w:r>
        <w:rPr>
          <w:rFonts w:ascii="Amiri" w:hAnsi="Amiri" w:eastAsia="Amiri" w:cs="Amiri"/>
          <w:color w:val="111111"/>
          <w:sz w:val="28"/>
          <w:sz w:val="28"/>
          <w:szCs w:val="28"/>
          <w:rtl w:val="true"/>
          <w:lang w:bidi="ar-SA"/>
        </w:rPr>
        <w:t xml:space="preserve">كتاباً موقوتاً ، لا صلاة اُخرى وجبت على خصوص الخائف تعبّداً ، وبقيت الصلاة المكتوبة على عامّة المسلمين بحالها ؛ يجب عليه إتيانها بعد رفع الخوف ، ومعه لا شبهة في سقوط الأمر عقلاً ؛ لحصول المأمور به بمصداقه 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 الخائف مكلّف من بين المسلمين بصلاتين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المائية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الترابية ، والإتيان بالاُولى موجب لسقوط التكليف عن الثانية دون العكس ، وتكون الصلاتان في حقّ خصوص الخائف من الفرائض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يلتزم بكون المكتوبة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 وهي ساقطة</w:t>
      </w:r>
    </w:p>
    <w:p>
      <w:pPr>
        <w:pStyle w:val="BookText"/>
        <w:rPr/>
      </w:pPr>
      <w:r>
        <w:rPr>
          <w:rFonts w:ascii="Amiri" w:hAnsi="Amiri" w:eastAsia="Amiri" w:cs="Amiri"/>
          <w:color w:val="111111"/>
          <w:sz w:val="28"/>
          <w:sz w:val="28"/>
          <w:szCs w:val="28"/>
          <w:rtl w:val="true"/>
          <w:lang w:bidi="ar-SA"/>
        </w:rPr>
        <w:t xml:space="preserve">بإتيان الفرد الاضطراري ، لكن يجب تعبّداً إعادتها ، كاستحباب إعادة الصلاة جماعة بعد الإتيان بها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بمكان من البُعد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بطلان الاحتمالات عقلاً وعرفاً ، لا محيص عن حمل الأمر بالإعادة على الاستحباب ولو لم يكن غير الروايتين شيء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الدالّة على عدم لزوم الإعادة على الفاقد ، تدلّ عرفاً على أنّ عدمها إنّما هو لأجل كون الصلاة مع التيمّم ، مصداقاً للمأمور به من غير دخالة للسبب فيه ، وإنّما السبب دخيل في حصول موضوع التيمّم ، لا في كون الصلاة معه مصداقاً للمأمور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العلّة لعدم</w:t>
      </w:r>
    </w:p>
    <w:p>
      <w:pPr>
        <w:pStyle w:val="BookText"/>
        <w:rPr/>
      </w:pPr>
      <w:r>
        <w:rPr>
          <w:rFonts w:ascii="Amiri" w:hAnsi="Amiri" w:eastAsia="Amiri" w:cs="Amiri"/>
          <w:color w:val="111111"/>
          <w:sz w:val="28"/>
          <w:sz w:val="28"/>
          <w:szCs w:val="28"/>
          <w:rtl w:val="true"/>
          <w:lang w:bidi="ar-SA"/>
        </w:rPr>
        <w:t>لزوم الإعادة ، إنّما هو قيام التيمّم مقام المائية وتحقّق الطبيعة المأمور بها بإتيانها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 من غير دخالة أسباب العذر والانتقال في ذلك </w:t>
      </w:r>
      <w:r>
        <w:rPr>
          <w:rFonts w:eastAsia="Amiri" w:cs="Amiri" w:ascii="Amiri" w:hAnsi="Amiri"/>
          <w:color w:val="111111"/>
          <w:sz w:val="28"/>
          <w:szCs w:val="28"/>
          <w:rtl w:val="true"/>
          <w:lang w:bidi="ar-SA"/>
        </w:rPr>
        <w:t xml:space="preserve">. </w:t>
      </w:r>
      <w:bookmarkStart w:id="513" w:name="pg17116_198897"/>
    </w:p>
    <w:p>
      <w:pPr>
        <w:pStyle w:val="BookText"/>
        <w:rPr/>
      </w:pPr>
      <w:bookmarkEnd w:id="513"/>
      <w:r>
        <w:rPr>
          <w:rFonts w:ascii="Amiri" w:hAnsi="Amiri" w:eastAsia="Amiri" w:cs="Amiri"/>
          <w:color w:val="111111"/>
          <w:sz w:val="28"/>
          <w:sz w:val="28"/>
          <w:szCs w:val="28"/>
          <w:rtl w:val="true"/>
          <w:lang w:bidi="ar-SA"/>
        </w:rPr>
        <w:t xml:space="preserve">هذا مع قطع النظر عن التعليلات الواردة فيها ، وأمّا مع 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صحيحة محمّد بن مسلم بعد الحكم بعدم الإعادة بعد وجدان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 ، فقد فعل أحد الطهورين</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أوضح ؛ لأنّ الظاهر منه أنّ تمام العلّة لعدم الإعادة ، هو فعل أحد الطهورين من غير دخالة شيء آخر فيه ، فحينئذٍ مع الأمر بالإتيان بالصلاة مع التيمّم عند الخوف على النفس ، لا مجال للتشكيك في حصول الطهور به وفعل أحد الطهورين ، فيندرج تحت العلّة المنصوصة ، ولا شبهة في أنّ التصرّف في الأمر بالإعادة بحمله على الاستحباب ، أهون من رفع اليد عن كلّ واحد ممّا تقدّم ، فضلاً عن مجموعه ، فلا إشكال في الحكم بحمد اللّه تعالى </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8646185_3381743652"/>
      <w:bookmarkStart w:id="515" w:name="_Toc184"/>
      <w:bookmarkEnd w:id="514"/>
      <w:r>
        <w:rPr>
          <w:rtl w:val="true"/>
        </w:rPr>
        <w:t>وجوب الإعادة مع العلم بزوال الزحام بعد ساعة مثلاً</w:t>
      </w:r>
      <w:bookmarkEnd w:id="51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ما ذكرناه وإن كان البناء على استحباب الإعادة فيمن منعه الزحام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w:t>
      </w:r>
      <w:r>
        <w:rPr>
          <w:rStyle w:val="FootnoteAnchor"/>
          <w:rtl w:val="true"/>
        </w:rPr>
        <w:footnoteReference w:id="1112"/>
      </w:r>
      <w:r>
        <w:rPr>
          <w:rFonts w:ascii="Amiri" w:hAnsi="Amiri" w:eastAsia="Amiri" w:cs="Amiri"/>
          <w:color w:val="111111"/>
          <w:sz w:val="28"/>
          <w:sz w:val="28"/>
          <w:szCs w:val="28"/>
          <w:rtl w:val="true"/>
          <w:lang w:bidi="ar-SA"/>
        </w:rPr>
        <w:t xml:space="preserve">بل لعلّه المعروف بينهم ،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فأوجبوا الإعادة بعد التيمّم والصلاة معهم ، ومستندهم موثّقة </w:t>
      </w:r>
    </w:p>
    <w:p>
      <w:pPr>
        <w:pStyle w:val="BookText"/>
        <w:rPr/>
      </w:pPr>
      <w:r>
        <w:rPr>
          <w:rFonts w:ascii="IRNazanin" w:hAnsi="IRNazanin" w:eastAsia="IRNazanin"/>
          <w:color w:val="111111"/>
          <w:sz w:val="28"/>
          <w:sz w:val="28"/>
          <w:szCs w:val="28"/>
          <w:rtl w:val="true"/>
          <w:lang w:bidi="fa-IR"/>
        </w:rPr>
        <w:t xml:space="preserve">سماعة ، عن أبي عبداللّه‌ علیه السلام  عن أبيه ،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سئل عن الرجل يكون في وسط الزحام يوم الجمعة أو يوم عرفة ، فأحدث أو ذكر أ نّه على غير وضوء ، ولا يستطيع الخروج من كثرة الزحام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ويصلّي معهم ، ويعيد إذا هو انصرف</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 ونظيرها موثّقة السكوني</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الالتزام بالانتقال إلى التيمّم مع العلم بزوال العذر بعد ساعة مثلاً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بنينا على الأخذ بظاهر الروايتين ، لكان الواجب على من منعه الزحام أو غيره عن الوصول إلى الماء مطلقاً ، الصلاةَ متيمّماً والإعادة ؛ لعدم الخصوصية في زحام عرفة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اختصاص الجواب بزحام الجمعة ، فيكون لها خصوصية ، في غير محلّها ؛ لأنّ الظاهر منها أنّ الزحام في يوم الجمعة منعه عن الوضوء لصلاتها ، ويوم عرفة منعه عن الوضوء لفريضة الظهر أو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منهما أنّ الجمعة للناس ، ومعه لا تجب علينا تعييناً بلا إشكال ، بل المكلّف مخيّر بين الصلاة معهم جمعةً والفرادى ظهراً ، ومعه كيف تجب عليه الصلاة والإعادة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الروايتين لزوم الصلاة معهم تقيّة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الأمر بالتيمّم لأجل أنّ الدخول في الصلاة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أن يكون مع الوضوء أو التيمّم ، كما لعلّه تشهد به رواية مسعدة بن صدقة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لا يبعد كونها موثّقة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قائلاً قال لجعفر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Amiri" w:hAnsi="Amiri" w:eastAsia="Amiri" w:cs="Amiri"/>
          <w:color w:val="111111"/>
          <w:sz w:val="28"/>
          <w:sz w:val="28"/>
          <w:szCs w:val="28"/>
          <w:rtl w:val="true"/>
          <w:lang w:bidi="ar-SA"/>
        </w:rPr>
        <w:t>فداك ، إنّي أمرّ بقوم ناصبية ، وقد اُقيمت لهم الصلاة ، وأنا على غير وضوء ، فإن لم أدخل معهم في الصلاة قالوا ما شاؤوا أن يقولوا ، أفاُصلّي معهم ، ثمّ أتوضّأ إذا</w:t>
      </w:r>
    </w:p>
    <w:p>
      <w:pPr>
        <w:pStyle w:val="BookText"/>
        <w:rPr/>
      </w:pPr>
      <w:r>
        <w:rPr>
          <w:rFonts w:ascii="Amiri" w:hAnsi="Amiri" w:eastAsia="Amiri" w:cs="Amiri"/>
          <w:color w:val="111111"/>
          <w:sz w:val="28"/>
          <w:sz w:val="28"/>
          <w:szCs w:val="28"/>
          <w:rtl w:val="true"/>
          <w:lang w:bidi="ar-SA"/>
        </w:rPr>
        <w:t>انصرفت واُصلّي ؟</w:t>
      </w:r>
    </w:p>
    <w:p>
      <w:pPr>
        <w:pStyle w:val="BookText"/>
        <w:rPr/>
      </w:pP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يخاف من يصلّي من غير وضوء أن تأخذه الأرض خسفاً ؟</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حملها على أنّ الصلاة معهم وجبت تقيّة ، ويستحبّ أو يجب التيمّم لها ، لكن لا تقع عن الفريضة ، وتجب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وقوعها فريضة ليس لكون الصلاة معهم ؛ لما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معهم مُجزية</w:t>
      </w:r>
      <w:r>
        <w:rPr>
          <w:rStyle w:val="FootnoteAnchor"/>
          <w:rtl w:val="true"/>
        </w:rPr>
        <w:footnoteReference w:id="1118"/>
      </w:r>
      <w:r>
        <w:rPr>
          <w:rFonts w:ascii="Amiri" w:hAnsi="Amiri" w:eastAsia="Amiri" w:cs="Amiri"/>
          <w:color w:val="111111"/>
          <w:sz w:val="28"/>
          <w:sz w:val="28"/>
          <w:szCs w:val="28"/>
          <w:rtl w:val="true"/>
          <w:lang w:bidi="ar-SA"/>
        </w:rPr>
        <w:t xml:space="preserve">، بل لعدم صحّة التيمّم مع العلم بوجود الماء ورفع المانع في الوقت ، خصوصاً في مثل المفروض في الرواية </w:t>
      </w:r>
      <w:r>
        <w:rPr>
          <w:rFonts w:eastAsia="Amiri" w:cs="Amiri" w:ascii="Amiri" w:hAnsi="Amiri"/>
          <w:color w:val="111111"/>
          <w:sz w:val="28"/>
          <w:szCs w:val="28"/>
          <w:rtl w:val="true"/>
          <w:lang w:bidi="ar-SA"/>
        </w:rPr>
        <w:t xml:space="preserve">. </w:t>
      </w:r>
      <w:bookmarkStart w:id="516" w:name="pg17116_198900"/>
    </w:p>
    <w:p>
      <w:pPr>
        <w:pStyle w:val="Heading6"/>
        <w:numPr>
          <w:ilvl w:val="5"/>
          <w:numId w:val="1"/>
        </w:numPr>
        <w:rPr/>
      </w:pPr>
      <w:bookmarkStart w:id="517" w:name="__RefHeading___Toc8646187_3381743652"/>
      <w:bookmarkStart w:id="518" w:name="_Toc185"/>
      <w:bookmarkEnd w:id="516"/>
      <w:bookmarkEnd w:id="517"/>
      <w:r>
        <w:rPr>
          <w:rtl w:val="true"/>
        </w:rPr>
        <w:t>في حكم المتيمّم مع نجاسة الثوب</w:t>
      </w:r>
      <w:bookmarkEnd w:id="518"/>
    </w:p>
    <w:p>
      <w:pPr>
        <w:pStyle w:val="BookText"/>
        <w:rPr/>
      </w:pPr>
      <w:r>
        <w:rPr>
          <w:rFonts w:ascii="Amiri" w:hAnsi="Amiri" w:eastAsia="Amiri" w:cs="Amiri"/>
          <w:color w:val="111111"/>
          <w:sz w:val="28"/>
          <w:sz w:val="28"/>
          <w:szCs w:val="28"/>
          <w:rtl w:val="true"/>
          <w:lang w:bidi="ar-SA"/>
        </w:rPr>
        <w:t>ثمّ إنّه حُكي</w:t>
      </w:r>
      <w:r>
        <w:rPr>
          <w:rStyle w:val="FootnoteAnchor"/>
          <w:rtl w:val="true"/>
        </w:rPr>
        <w:footnoteReference w:id="111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من كان على ثوبه نجاسة غير معفوّة ، وتعذّر عليه إزالتها ، يتيمّم ويصلّي ، ثمّ يعيد</w:t>
      </w:r>
      <w:r>
        <w:rPr>
          <w:rFonts w:eastAsia="Amiri" w:cs="Amiri" w:ascii="Amiri" w:hAnsi="Amiri"/>
          <w:color w:val="111111"/>
          <w:sz w:val="28"/>
          <w:szCs w:val="28"/>
          <w:rtl w:val="true"/>
          <w:lang w:bidi="ar-SA"/>
        </w:rPr>
        <w:t>»</w:t>
      </w:r>
      <w:r>
        <w:rPr>
          <w:rStyle w:val="FootnoteAnchor"/>
          <w:rtl w:val="true"/>
        </w:rPr>
        <w:footnoteReference w:id="1120"/>
      </w:r>
      <w:r>
        <w:rPr>
          <w:rFonts w:ascii="IRNazanin" w:hAnsi="IRNazanin" w:eastAsia="IRNazanin"/>
          <w:color w:val="111111"/>
          <w:sz w:val="28"/>
          <w:sz w:val="28"/>
          <w:szCs w:val="28"/>
          <w:rtl w:val="true"/>
          <w:lang w:bidi="fa-IR"/>
        </w:rPr>
        <w:t xml:space="preserve">ومستنده موثّقة عمّار الساباطي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رجل ليس عليه إلاّ ثوب ، ولا تحلّ الصلاة فيه ، وليس يجد ماءً يغسله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ويصلّي ، فإذا أصاب ماءً غسله وأعاد الصلاة</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الموثّقة غير مربوطة بالمقام سؤالاً وجواباً ؛ لوضوح أنّ سؤاله إنّما هو عن وحدة الثوب وعدم إمكان تطهيره ، فأجاب بالتيمّم والصلاة ؛ أي مع الثوب النجس ظاهراً ، ثمّ إذا أصاب الماء أعادها بعد غسله ، فالجواب عن هذه الحيثية ، ولهذا تعرّض لغسله وإعادتها ، لا للوضوء والإعادة ، وإنّما ذكر التيمّم تطفّلاً لفرض فقدان الماء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المسألة ليست من مستثنيات المسألة المتقدّمة ، بل هي مسألة اُخرى برأسها تأتي إن شاء اللّه في أبواب النجاسات</w:t>
      </w:r>
      <w:r>
        <w:rPr>
          <w:rStyle w:val="FootnoteAnchor"/>
          <w:rtl w:val="true"/>
        </w:rPr>
        <w:footnoteReference w:id="1122"/>
      </w:r>
      <w:r>
        <w:rPr>
          <w:rFonts w:ascii="Amiri" w:hAnsi="Amiri" w:eastAsia="Amiri" w:cs="Amiri"/>
          <w:color w:val="111111"/>
          <w:sz w:val="28"/>
          <w:sz w:val="28"/>
          <w:szCs w:val="28"/>
          <w:rtl w:val="true"/>
          <w:lang w:bidi="ar-SA"/>
        </w:rPr>
        <w:t xml:space="preserve">وقد كثرت الروايات فيمن كان ثوبه نجساً </w:t>
      </w:r>
      <w:r>
        <w:rPr>
          <w:rStyle w:val="FootnoteAnchor"/>
          <w:rtl w:val="true"/>
        </w:rPr>
        <w:footnoteReference w:id="1123"/>
      </w:r>
      <w:r>
        <w:rPr>
          <w:rFonts w:ascii="Amiri" w:hAnsi="Amiri" w:eastAsia="Amiri" w:cs="Amiri"/>
          <w:color w:val="111111"/>
          <w:sz w:val="28"/>
          <w:sz w:val="28"/>
          <w:szCs w:val="28"/>
          <w:rtl w:val="true"/>
          <w:lang w:bidi="ar-SA"/>
        </w:rPr>
        <w:t>، واختلفت في وجوب الصلاة معه أو عرياناً ، والمقام ليس مورد تنقيحها</w:t>
      </w:r>
      <w:r>
        <w:rPr>
          <w:rFonts w:eastAsia="Amiri" w:cs="Amiri" w:ascii="Amiri" w:hAnsi="Amiri"/>
          <w:color w:val="111111"/>
          <w:sz w:val="28"/>
          <w:szCs w:val="28"/>
          <w:rtl w:val="true"/>
          <w:lang w:bidi="ar-SA"/>
        </w:rPr>
        <w:t xml:space="preserve">. </w:t>
      </w:r>
      <w:bookmarkStart w:id="519" w:name="pg17116_198901"/>
    </w:p>
    <w:p>
      <w:pPr>
        <w:pStyle w:val="Heading5"/>
        <w:numPr>
          <w:ilvl w:val="4"/>
          <w:numId w:val="1"/>
        </w:numPr>
        <w:rPr/>
      </w:pPr>
      <w:bookmarkStart w:id="520" w:name="__RefHeading___Toc8646189_3381743652"/>
      <w:bookmarkStart w:id="521" w:name="_Toc186"/>
      <w:bookmarkEnd w:id="519"/>
      <w:bookmarkEnd w:id="520"/>
      <w:r>
        <w:rPr>
          <w:rtl w:val="true"/>
        </w:rPr>
        <w:t>الأمر الرابع</w:t>
      </w:r>
      <w:r>
        <w:rPr>
          <w:rtl w:val="true"/>
        </w:rPr>
        <w:t xml:space="preserve">: </w:t>
      </w:r>
      <w:r>
        <w:rPr>
          <w:rtl w:val="true"/>
        </w:rPr>
        <w:t>في حكم فاقد الطهورين</w:t>
      </w:r>
      <w:bookmarkEnd w:id="521"/>
    </w:p>
    <w:p>
      <w:pPr>
        <w:pStyle w:val="Heading6"/>
        <w:numPr>
          <w:ilvl w:val="5"/>
          <w:numId w:val="1"/>
        </w:numPr>
        <w:rPr/>
      </w:pPr>
      <w:bookmarkStart w:id="522" w:name="__RefHeading___Toc8646191_3381743652"/>
      <w:bookmarkStart w:id="523" w:name="_Toc187"/>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فاقد الطهورين تسقط عنه الصلاة</w:t>
      </w:r>
      <w:r>
        <w:rPr>
          <w:rStyle w:val="FootnoteAnchor"/>
          <w:rtl w:val="true"/>
        </w:rPr>
        <w:footnoteReference w:id="112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الأصحاب ، لا نعلم فيه مخالفاً</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نّه ظاهر مذهب أصحابنا</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ويعيد</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وغيرها </w:t>
      </w:r>
      <w:r>
        <w:rPr>
          <w:rStyle w:val="FootnoteAnchor"/>
          <w:rtl w:val="true"/>
        </w:rPr>
        <w:footnoteReference w:id="1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بعض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جدّ المرتضى وجوب الأداء لا القضاء</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524" w:name="pg17116_198902"/>
    </w:p>
    <w:p>
      <w:pPr>
        <w:pStyle w:val="Heading6"/>
        <w:numPr>
          <w:ilvl w:val="5"/>
          <w:numId w:val="1"/>
        </w:numPr>
        <w:rPr/>
      </w:pPr>
      <w:bookmarkStart w:id="525" w:name="__RefHeading___Toc8646193_3381743652"/>
      <w:bookmarkStart w:id="526" w:name="_Toc188"/>
      <w:bookmarkEnd w:id="524"/>
      <w:bookmarkEnd w:id="525"/>
      <w:r>
        <w:rPr>
          <w:rtl w:val="true"/>
        </w:rPr>
        <w:t>مقتضى القاعدة في مثل المقام</w:t>
      </w:r>
      <w:bookmarkEnd w:id="526"/>
    </w:p>
    <w:p>
      <w:pPr>
        <w:pStyle w:val="BookText"/>
        <w:rPr/>
      </w:pPr>
      <w:r>
        <w:rPr>
          <w:rFonts w:ascii="Amiri" w:hAnsi="Amiri" w:eastAsia="Amiri" w:cs="Amiri"/>
          <w:color w:val="111111"/>
          <w:sz w:val="28"/>
          <w:sz w:val="28"/>
          <w:szCs w:val="28"/>
          <w:rtl w:val="true"/>
          <w:lang w:bidi="ar-SA"/>
        </w:rPr>
        <w:t xml:space="preserve">ولا بأس بالإشارة إلى مقتضى القاعدة في مثل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بجزئية شيء للمركّب أو شرطيته في الجملة ، وشكّ في أ نّه كذلك مطلقاً ، أو مخصوص بحال التمكّن ، فلا يخلو إمّا أن يكون لدليل المركّب إطلاق دون دليل اعتبارهما ، أو العكس ، أو لكلٍّ منهما إطلاق ، أو إهمال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لدليل المركّب إطلاق فقط ، يجب إتيانه مع العجز عن الجزء أو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لدليل اعتبارهما فقط ، فيسقط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بإطلاق دليله فقط تقدّم دليله على دليل اعتبارهما بحكومة أو غيرها لو كان لهما إطلاق ، وبإطلاق دليليهما تقدّمهما على دليله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إهمالهما أو إطلاقهما من غير ترجيح ، يرجع إلى مقتضى الأصل العقلي أو النقلي مع قطع النظر عن أدلّة العلاج ؛ لو قلنا بشمولها لمثل المقام ، والأصل العقلي يقتضي البراءة مطلقاً ، كما هو المقرّر في محلّه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يتمسّك</w:t>
      </w:r>
      <w:r>
        <w:rPr>
          <w:rStyle w:val="FootnoteAnchor"/>
          <w:rtl w:val="true"/>
        </w:rPr>
        <w:footnoteReference w:id="1132"/>
      </w:r>
      <w:r>
        <w:rPr>
          <w:rFonts w:ascii="Amiri" w:hAnsi="Amiri" w:eastAsia="Amiri" w:cs="Amiri"/>
          <w:color w:val="111111"/>
          <w:sz w:val="28"/>
          <w:sz w:val="28"/>
          <w:szCs w:val="28"/>
          <w:rtl w:val="true"/>
          <w:lang w:bidi="ar-SA"/>
        </w:rPr>
        <w:t>بالاستصحاب في بعض الموارد بوجوه من التقرير ، وقد فرغنا عن تضعيفه</w:t>
      </w:r>
      <w:r>
        <w:rPr>
          <w:rStyle w:val="FootnoteAnchor"/>
          <w:rtl w:val="true"/>
        </w:rPr>
        <w:footnoteReference w:id="1133"/>
      </w:r>
      <w:r>
        <w:rPr>
          <w:rFonts w:ascii="Amiri" w:hAnsi="Amiri" w:eastAsia="Amiri" w:cs="Amiri"/>
          <w:color w:val="111111"/>
          <w:sz w:val="28"/>
          <w:sz w:val="28"/>
          <w:szCs w:val="28"/>
          <w:rtl w:val="true"/>
          <w:lang w:bidi="ar-SA"/>
        </w:rPr>
        <w:t xml:space="preserve">، وبقاعدة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ضعيفة المستند</w:t>
      </w:r>
      <w:r>
        <w:rPr>
          <w:rStyle w:val="FootnoteAnchor"/>
          <w:rtl w:val="true"/>
        </w:rPr>
        <w:footnoteReference w:id="1134"/>
      </w:r>
      <w:r>
        <w:rPr>
          <w:rFonts w:ascii="Amiri" w:hAnsi="Amiri" w:eastAsia="Amiri" w:cs="Amiri"/>
          <w:color w:val="111111"/>
          <w:sz w:val="28"/>
          <w:sz w:val="28"/>
          <w:szCs w:val="28"/>
          <w:rtl w:val="true"/>
          <w:lang w:bidi="ar-SA"/>
        </w:rPr>
        <w:t xml:space="preserve">غير مجبورة </w:t>
      </w:r>
      <w:r>
        <w:rPr>
          <w:rFonts w:eastAsia="Amiri" w:cs="Amiri" w:ascii="Amiri" w:hAnsi="Amiri"/>
          <w:color w:val="111111"/>
          <w:sz w:val="28"/>
          <w:szCs w:val="28"/>
          <w:rtl w:val="true"/>
          <w:lang w:bidi="ar-SA"/>
        </w:rPr>
        <w:t xml:space="preserve">. </w:t>
      </w:r>
      <w:bookmarkStart w:id="527" w:name="pg17116_198903"/>
    </w:p>
    <w:p>
      <w:pPr>
        <w:pStyle w:val="Heading6"/>
        <w:numPr>
          <w:ilvl w:val="5"/>
          <w:numId w:val="1"/>
        </w:numPr>
        <w:rPr/>
      </w:pPr>
      <w:bookmarkStart w:id="528" w:name="__RefHeading___Toc8646195_3381743652"/>
      <w:bookmarkStart w:id="529" w:name="_Toc189"/>
      <w:bookmarkEnd w:id="527"/>
      <w:bookmarkEnd w:id="528"/>
      <w:r>
        <w:rPr>
          <w:rtl w:val="true"/>
        </w:rPr>
        <w:t>حول سقوط الأداء في فاقد الطهورين</w:t>
      </w:r>
      <w:bookmarkEnd w:id="529"/>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آية الوضوء</w:t>
      </w:r>
      <w:r>
        <w:rPr>
          <w:rStyle w:val="FootnoteAnchor"/>
          <w:rtl w:val="true"/>
        </w:rPr>
        <w:footnoteReference w:id="1135"/>
      </w:r>
      <w:r>
        <w:rPr>
          <w:rFonts w:ascii="Amiri" w:hAnsi="Amiri" w:eastAsia="Amiri" w:cs="Amiri"/>
          <w:color w:val="111111"/>
          <w:sz w:val="28"/>
          <w:sz w:val="28"/>
          <w:szCs w:val="28"/>
          <w:rtl w:val="true"/>
          <w:lang w:bidi="ar-SA"/>
        </w:rPr>
        <w:t xml:space="preserve">أنّ الصلاة مشروطة بالطهور مطلقاً ولو مع 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قصور الأمر عن إثبات الشرطية حال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توجّه الخطاب إلى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w:t>
      </w:r>
      <w:r>
        <w:rPr>
          <w:rStyle w:val="FootnoteAnchor"/>
          <w:rtl w:val="true"/>
        </w:rPr>
        <w:footnoteReference w:id="1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مثل تلك الأوامر إرشادية لا يعتبر فيها القدرة على متعلّقاتها ؛ لأنّ مفادها ليس إلاّ الإرشاد إلى دخل متعلّقاتها في متعلّق الخطاب النفسي ، ففي الحقيقة أنّ تلك الخطابات بمنزلة الإخبار ؛ لا بعث فيها ، ولا تحريك إلى المتعلَّقات حتّى تقتضي القدرة عليها ، فلا فرق بين الشرطية المستفادة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أو المستفادة من الأمر الإرشادي</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لما قرّرناه في محلّه</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مطلق الأوامر نفسية كانت أو غيرية أو إرشادية ، إنّما تستعمل في معناها ؛ وهو نفس البعث والإغراء ، فإنّ الهيئة موضوعة لذلك من غير أن يكون الوجوب أو غيره مفادَها ، لكن البعث إذا توجّه إلى طبيعة من غير دلالة على أ نّه لأجل مطلوب آخر ، ينتزع منه النفسية ، وإذا تعلّق بشيء مع الدلالة على أ نّه لآخر ، ينتزع منه الغيرية ، أو الإرشاد إلى الشرطية ، أو الجزئية ؛ حسب اختلاف المقامات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وُجُوهَكُمْ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لا ينسلخ عن البعث إلى غسل الوجوه والأيدي ؛ بحيث تكون الهيئة مستعملة في الإخبار باشتراط الصلاة بالوضوء ؛ ضرورة أنّ هذا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غلطاً 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لفهم العرف والعقلاء ، بل الهيئة مستعملة في معناها ؛ وهو البعث والإغراء ، لكن لمّا كانت مسبوقة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دالّة على أنّ البعث إليه لأجل اشتراط الصلاة به ، ففهم الشرطية أو انتزاعها إنّما هو من البعث والإغراء مع خصوصية المورد ، وتصوّر ما ذكر يكفي عن مؤونة تصديقه في مثل المقامات التي يكون الاتّكال فيها على العرف والذوق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حقّقناه في مظانّه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الأوامر الكلّية القانونية ، غير مشروطة عقلاً بصحّة توجّهها إلى كلّ فرد فرد من المكلّفين ، وليست الخطابات الكلّية منحلّة كلٌّ إلى خطابات متوجّهة إلى آحادهم ؛ فيكون كلّ خطابٍ منحلٍّ منظوراً فيه شرائط توجّه الخطاب ، وإلاّ لزم منه مفاسد ، كعدم تكليف العصاة والكفّار ، والجاهل بالحكم أو الموضوع ، بل واختصاص الوضعيات بمن يختصّ به التكاليف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ممّا يطول ذكره ، والخلط بين شرائط الخطاب الجزئي الشخصي والخطاب العامّ القانوني ، منشأ لكثير من الاشتباهات والاختلاطات ، والتفصيل موكول إلى محلّه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الآية يقتضي اشتراطها بالطهور مطلقاً ، ومقتضاه سقوط الصلاة مع تعذّر الشرط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الاتّكال على صِرف ظاهر الآية وإطلاقها ، لكان لتوهّم إطلاق </w:t>
      </w:r>
    </w:p>
    <w:p>
      <w:pPr>
        <w:pStyle w:val="BookText"/>
        <w:rPr/>
      </w:pPr>
      <w:r>
        <w:rPr>
          <w:rFonts w:ascii="Amiri" w:hAnsi="Amiri" w:eastAsia="Amiri" w:cs="Amiri"/>
          <w:color w:val="111111"/>
          <w:sz w:val="28"/>
          <w:sz w:val="28"/>
          <w:szCs w:val="28"/>
          <w:rtl w:val="true"/>
          <w:lang w:bidi="ar-SA"/>
        </w:rPr>
        <w:t xml:space="preserve">أدلّة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 ، بل كان ذلك حاكماً على ظاهر الآية ؛ لتعرّضه لمقام الإتيان ، وهو من أقسام الحكومة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مضافاً إلى عدم إطلاق معتدٍّ به في أدلّة تشريع الصلاة ، وعدم ثبوت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تترك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طريقنا ؛ بحيث يمكن الاتّكال عليه وعلى إطلاقه وحكومته على الآية ، ومقتضى الاستقراء وإن كان أنّ للوقت في نظر الشارع أهمّية فوق غالب الأجزاء والشرائط ، فربّما يحصل الظنّ منه بأنّ الصلاة لا تترك بحال ، لكن ذلك ليس بمثابة يمكن الركون إلى كلّيته وإطلاقه ، وما ورد في بعض الروايات في باب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زرارة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تدع الصلاة على حال ؛ فإنّ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دينكم</w:t>
      </w:r>
      <w:r>
        <w:rPr>
          <w:rFonts w:eastAsia="IRNazanin" w:cs="IRNazanin"/>
          <w:color w:val="111111"/>
          <w:sz w:val="28"/>
          <w:szCs w:val="28"/>
          <w:rtl w:val="true"/>
          <w:lang w:bidi="fa-IR"/>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مربوط بمثل المقام ، وليس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الصلاة عماد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يمكن معها كشف صحّتها لدى الشكّ في شرطية شيء لها أو جزئيته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 ؛ لأنّ الصحيحة رافعة لموضوعها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حاكم على عدم جواز الترك على فرض الموضوع بل من أوضح موارد الحكومة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لمن أقرّ على نفسه بالسهو</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مثلاً بالنسبة إلى أدلّة الشكوك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قاعدة الميسور إن كان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الميسورة لا تسقط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المراد أنّ ميسور الطبيعة لا يسقط ، فلا يبعد أن تكون القاعدة حاكمة عليه ؛ لعدم لزوم صدق الطبيعة على ميسورها ، فيمكن أن يكون شيءٌ ميسورَ شيءٍ عرفاً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منافاة حينئذٍ بين الصحيحة والقاعدة ؛ لأنّ مفاد</w:t>
      </w:r>
    </w:p>
    <w:p>
      <w:pPr>
        <w:pStyle w:val="BookText"/>
        <w:rPr/>
      </w:pPr>
      <w:r>
        <w:rPr>
          <w:rFonts w:ascii="Amiri" w:hAnsi="Amiri" w:eastAsia="Amiri" w:cs="Amiri"/>
          <w:color w:val="111111"/>
          <w:sz w:val="28"/>
          <w:sz w:val="28"/>
          <w:szCs w:val="28"/>
          <w:rtl w:val="true"/>
          <w:lang w:bidi="ar-SA"/>
        </w:rPr>
        <w:t xml:space="preserve">الاُولى أنّ فاقد الطهور ليس بصلاة ، ومفاد الثانية أنّ ميسور الصلاة ولو لم يكن صلاة لا يسقط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مضافاً إلى عدم ظهور القاعدة في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بظهورها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لتلك القاعدة ؛ لضعف سندها ، وعدم ثبوت الجبر ، خصوصاً في مثل تلك المسألة التي هي مظنّة الإجماع على عدم وجوب الأداء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يمكن الإشكال في صحيحة زرارة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 نّها منقولة في الباب الأوّل من أبواب الوضوء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 بإسناده عن الحسين بن سعيد ، عن حمّاد بن عيسى ، عن حريز ، عن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الحرّ في الباب الرابع من أبواب الوضوء بالسند المتقدّم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الوقت وجب الطهور والصلاة ، ولا صلاة إلاّ </w:t>
      </w:r>
    </w:p>
    <w:p>
      <w:pPr>
        <w:pStyle w:val="BookText"/>
        <w:rPr/>
      </w:pP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الباب التاسع من أحكام الخلوة بالسند المتقدّم ، عن أبي جعفر علیه السلام</w:t>
      </w:r>
    </w:p>
    <w:p>
      <w:pPr>
        <w:pStyle w:val="BookText"/>
        <w:rPr/>
      </w:pP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 ويجزيك عن الاستنجاء ثلاثة أحجار ؛ بذلك جرت السنّة من رسول اللّه ، وأمّا البول فإنّه لا بدّ من غسله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فيحتمل أن تكون الرواية واحدة ، هي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الوقت وجب الطهور والصلاة ، ولا صلاة إلاّ بطهور ، ويجزيك عن الاستنجاء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فيكون الذيل قرينة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من الخبث ، وقد جزّأها المحدّثون والنقَلة على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دعوى الإطلاق في صدرها للطهورين ؛ وإن كان الذيل يناسب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روايتين أو ثلاثاً ، كما هو الظاهر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فاختصاص الطهور بالوضوء وأخويه ، بعيد ولو بلحاظ ذيل الصحيحة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مقتضى إطلاقها تحكيمها على أدلّة اشتراط الطهارة من الخبث ، مع أ نّه مخالف للنصّ والفتوى ، فيشكل الأمر من جهة أنّ ورود التقييد على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لاستهجانه عرفاً ، فلا بدّ في رفعه من الالتزام بأ نّها مخصوصة بموارد بطلان الصلاة مع الخبثية ، ومعه يشكل التشبّث بها وتحكيمها على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 </w:t>
      </w:r>
      <w:bookmarkStart w:id="530" w:name="pg17116_198908"/>
    </w:p>
    <w:p>
      <w:pPr>
        <w:pStyle w:val="BookText"/>
        <w:rPr/>
      </w:pPr>
      <w:bookmarkEnd w:id="530"/>
      <w:r>
        <w:rPr>
          <w:rFonts w:ascii="Amiri" w:hAnsi="Amiri" w:eastAsia="Amiri" w:cs="Amiri"/>
          <w:color w:val="111111"/>
          <w:sz w:val="28"/>
          <w:sz w:val="28"/>
          <w:szCs w:val="28"/>
          <w:rtl w:val="true"/>
          <w:lang w:bidi="ar-SA"/>
        </w:rPr>
        <w:t xml:space="preserve">لكن ذلك لا يوجب التوقّف في أصل المسألة ؛ لإطلاق أدلّة الشرط ، كالآية الكريمة وعدم إطلاق في أدلّة تشريع الصلاة كتاباً وسنّة ، فالأقوى عدم وجوب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الذكر عليه مقدار الصلاة ، والاكتفاء به عن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رسالة المفيد إلى ولده</w:t>
      </w:r>
      <w:r>
        <w:rPr>
          <w:rStyle w:val="FootnoteAnchor"/>
          <w:rtl w:val="true"/>
        </w:rPr>
        <w:footnoteReference w:id="1147"/>
      </w:r>
      <w:r>
        <w:rPr>
          <w:rFonts w:ascii="Amiri" w:hAnsi="Amiri" w:eastAsia="Amiri" w:cs="Amiri"/>
          <w:color w:val="111111"/>
          <w:sz w:val="28"/>
          <w:sz w:val="28"/>
          <w:szCs w:val="28"/>
          <w:rtl w:val="true"/>
          <w:lang w:bidi="ar-SA"/>
        </w:rPr>
        <w:t xml:space="preserve">وعن أبي العبّاس في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والصيمري في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نعثر على مستنده ، بل ولا مستند استحبابه بالخصوص </w:t>
      </w:r>
      <w:r>
        <w:rPr>
          <w:rFonts w:eastAsia="IRNazanin" w:cs="IRNazanin"/>
          <w:color w:val="111111"/>
          <w:sz w:val="28"/>
          <w:szCs w:val="28"/>
          <w:rtl w:val="true"/>
          <w:lang w:bidi="fa-IR"/>
        </w:rPr>
        <w:t>.</w:t>
      </w:r>
    </w:p>
    <w:p>
      <w:pPr>
        <w:pStyle w:val="Heading6"/>
        <w:numPr>
          <w:ilvl w:val="5"/>
          <w:numId w:val="1"/>
        </w:numPr>
        <w:rPr/>
      </w:pPr>
      <w:bookmarkStart w:id="531" w:name="__RefHeading___Toc8646197_3381743652"/>
      <w:bookmarkStart w:id="532" w:name="_Toc190"/>
      <w:bookmarkEnd w:id="531"/>
      <w:r>
        <w:rPr>
          <w:rtl w:val="true"/>
        </w:rPr>
        <w:t>حول سقوط القضاء عن فاقد الطهورين</w:t>
      </w:r>
      <w:bookmarkEnd w:id="532"/>
    </w:p>
    <w:p>
      <w:pPr>
        <w:pStyle w:val="BookText"/>
        <w:rPr/>
      </w:pPr>
      <w:r>
        <w:rPr>
          <w:rFonts w:ascii="Amiri" w:hAnsi="Amiri" w:eastAsia="Amiri" w:cs="Amiri"/>
          <w:color w:val="111111"/>
          <w:sz w:val="28"/>
          <w:sz w:val="28"/>
          <w:szCs w:val="28"/>
          <w:rtl w:val="true"/>
          <w:lang w:bidi="ar-SA"/>
        </w:rPr>
        <w:t>فهل يجب عليه القضاء عند ارتفاع العذر بعد الوقت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4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الأشهر بين المتقدّمين والمتأخّرين</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لعمومِ ما دلّ عليه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 لِه في النبوي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فاتته فريضة فليقضها إذا </w:t>
      </w:r>
    </w:p>
    <w:p>
      <w:pPr>
        <w:pStyle w:val="BookText"/>
        <w:rPr/>
      </w:pPr>
      <w:r>
        <w:rPr>
          <w:rFonts w:ascii="Amiri" w:hAnsi="Amiri" w:eastAsia="Amiri" w:cs="Amiri"/>
          <w:color w:val="111111"/>
          <w:sz w:val="28"/>
          <w:sz w:val="28"/>
          <w:szCs w:val="28"/>
          <w:rtl w:val="true"/>
          <w:lang w:bidi="ar-SA"/>
        </w:rPr>
        <w:t>ذكرها ، فذلك وقتها</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سقوط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وقتها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المستفيضة من طريق الخاصّة في الأبواب المتفرّقة ، كصحيحة زرارة ، عن أبي جعفر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صلوات يصلّيها الرجل في كلّ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فاتتك فمتى ذكرتها أدّيتها </w:t>
      </w:r>
      <w:r>
        <w:rPr>
          <w:rFonts w:eastAsia="IRNazanin" w:cs="IRNazanin"/>
          <w:color w:val="111111"/>
          <w:sz w:val="28"/>
          <w:szCs w:val="28"/>
          <w:rtl w:val="true"/>
          <w:lang w:bidi="fa-IR"/>
        </w:rPr>
        <w:t>. . .»</w:t>
      </w:r>
      <w:r>
        <w:rPr>
          <w:rStyle w:val="FootnoteAnchor"/>
          <w:rtl w:val="true"/>
        </w:rPr>
        <w:footnoteReference w:id="115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رجل فاتته صلاة النهار ، متى يقضيها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شاء</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ومثلهما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ومتى ما ذكرت صلاة فاتتك صلّيتها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الاُخرى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صلّى بغير طهور ، أو نسي صلوات لم يصلّها ، أو نام عنها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إذا ذكرها في أيّ ساعة ذكرها</w:t>
      </w:r>
      <w:r>
        <w:rPr>
          <w:rFonts w:eastAsia="Amiri" w:cs="Amiri" w:ascii="Amiri" w:hAnsi="Amiri"/>
          <w:color w:val="111111"/>
          <w:sz w:val="28"/>
          <w:szCs w:val="28"/>
          <w:rtl w:val="true"/>
          <w:lang w:bidi="ar-SA"/>
        </w:rPr>
        <w:t>»</w:t>
      </w:r>
      <w:r>
        <w:rPr>
          <w:rStyle w:val="FootnoteAnchor"/>
          <w:rtl w:val="true"/>
        </w:rPr>
        <w:footnoteReference w:id="115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تبعية القضاء للأداء ، غير مسموعة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الأداء فريضة ؛ إمّا بدعوى 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لتلك الصلوات ، لا وصفاً لها ، كما </w:t>
      </w:r>
    </w:p>
    <w:p>
      <w:pPr>
        <w:pStyle w:val="BookText"/>
        <w:rPr/>
      </w:pPr>
      <w:r>
        <w:rPr>
          <w:rFonts w:ascii="Amiri" w:hAnsi="Amiri" w:eastAsia="Amiri" w:cs="Amiri"/>
          <w:color w:val="111111"/>
          <w:sz w:val="28"/>
          <w:sz w:val="28"/>
          <w:szCs w:val="28"/>
          <w:rtl w:val="true"/>
          <w:lang w:bidi="ar-SA"/>
        </w:rPr>
        <w:t>احتمله الشهيد</w:t>
      </w:r>
      <w:r>
        <w:rPr>
          <w:rStyle w:val="FootnoteAnchor"/>
          <w:rtl w:val="true"/>
        </w:rPr>
        <w:footnoteReference w:id="1159"/>
      </w:r>
      <w:r>
        <w:rPr>
          <w:rFonts w:ascii="Amiri" w:hAnsi="Amiri" w:eastAsia="Amiri" w:cs="Amiri"/>
          <w:color w:val="111111"/>
          <w:sz w:val="28"/>
          <w:sz w:val="28"/>
          <w:szCs w:val="28"/>
          <w:rtl w:val="true"/>
          <w:lang w:bidi="ar-SA"/>
        </w:rPr>
        <w:t xml:space="preserve">، 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فريضة فعلاً وإن كان المكلّف معذوراً في تركها ، كما ذكرناه في محلّه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كدعوى عدم صدق الفوت ؛ ضرورة صدقه عرفاً مع فوات المصلحة ، فضلاً عمّا قلنا من فعلية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الأشبه مع ذلك عدم وجوبه ، وفاقاً للمحقّق والعلاّمة والكركي وغيرهم</w:t>
      </w:r>
      <w:r>
        <w:rPr>
          <w:rStyle w:val="FootnoteAnchor"/>
          <w:rtl w:val="true"/>
        </w:rPr>
        <w:footnoteReference w:id="1161"/>
      </w:r>
      <w:r>
        <w:rPr>
          <w:rFonts w:ascii="Amiri" w:hAnsi="Amiri" w:eastAsia="Amiri" w:cs="Amiri"/>
          <w:color w:val="111111"/>
          <w:sz w:val="28"/>
          <w:sz w:val="28"/>
          <w:szCs w:val="28"/>
          <w:rtl w:val="true"/>
          <w:lang w:bidi="ar-SA"/>
        </w:rPr>
        <w:t xml:space="preserve">للأصل بعد عدم إطلاق أو عموم يمكن الركون إليه ، سيّما في مثل الفرض الذي هو نادر الوجود بحيث يلحق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النبويان ، فمع عدم جبر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ثبوت اتّكال الأصحاب عليهما في أبواب القضاء ، مع وجود روايات كثيرة من طرقنا </w:t>
      </w:r>
      <w:r>
        <w:rPr>
          <w:rStyle w:val="FootnoteAnchor"/>
          <w:rtl w:val="true"/>
        </w:rPr>
        <w:footnoteReference w:id="1162"/>
      </w:r>
      <w:r>
        <w:rPr>
          <w:rFonts w:ascii="Amiri" w:hAnsi="Amiri" w:eastAsia="Amiri" w:cs="Amiri"/>
          <w:color w:val="111111"/>
          <w:sz w:val="28"/>
          <w:sz w:val="28"/>
          <w:szCs w:val="28"/>
          <w:rtl w:val="true"/>
          <w:lang w:bidi="ar-SA"/>
        </w:rPr>
        <w:t xml:space="preserve">يحتمل اتّكالهم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في مقام بيان حكم آخر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منهما ففي مقام بيان كيفية القضاء ؛ إن قصراً فقصراً ، وإن تماماً فتماماً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في طائفة من رواياتنا ، مثل 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فاتته صلاة من صلاة السفر ، فذكرها في الحضر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 ؛ إن كانت صلاة السفر أدّاها في الحضر مثلها ، وإن كانت صلاة الحضر فليقض في السفر صلاة الحضر كما فاتته</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فهي كالتفسير للنبوي المتقدّم </w:t>
      </w:r>
    </w:p>
    <w:p>
      <w:pPr>
        <w:pStyle w:val="BookText"/>
        <w:rPr/>
      </w:pPr>
      <w:r>
        <w:rPr>
          <w:rFonts w:ascii="Amiri" w:hAnsi="Amiri" w:eastAsia="Amiri" w:cs="Amiri"/>
          <w:color w:val="111111"/>
          <w:sz w:val="28"/>
          <w:sz w:val="28"/>
          <w:szCs w:val="28"/>
          <w:rtl w:val="true"/>
          <w:lang w:bidi="ar-SA"/>
        </w:rPr>
        <w:t xml:space="preserve">الأوّل ، وتكون في مقام بيان حكم آخر ، فلا إطلاق لها ولا للنبوي المفسّر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 الثاني ، فمضافاً إلى احتمال اختصاصه بالناسي ،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بيان جواز إتيان القضاء بلا كراهية في أيّ وقت من الأوقات ، فهو كطائفة اُخرى من رواياتنا ، كالصحاح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الكلام في الروايات التي هي من طرقنا ، فإنّها جميعاً في مقام بيان أحكام اُخر لا إطلاق في واحد منها ، كما يظهر بالنظر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قضاء الفرائض على من لم يأتِ بها في وقتها ، كان من الاُمور المعهودة لديهم</w:t>
      </w:r>
      <w:r>
        <w:rPr>
          <w:rStyle w:val="FootnoteAnchor"/>
          <w:rtl w:val="true"/>
        </w:rPr>
        <w:footnoteReference w:id="1164"/>
      </w:r>
      <w:r>
        <w:rPr>
          <w:rFonts w:ascii="Amiri" w:hAnsi="Amiri" w:eastAsia="Amiri" w:cs="Amiri"/>
          <w:color w:val="111111"/>
          <w:sz w:val="28"/>
          <w:sz w:val="28"/>
          <w:szCs w:val="28"/>
          <w:rtl w:val="true"/>
          <w:lang w:bidi="ar-SA"/>
        </w:rPr>
        <w:t xml:space="preserve">، غير مفيدة ؛ لأنّ معهوديته في الجملة ضرورية ، ولزومه في الجملة منصوص عليه ، لكن لا يثبت بها الحكم في الموارد المشكوك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الدعوى إلى معهودية القضاء مطلقاً حتّى في مثل المقام ، فهي فاسدة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بتلك الروايات إلاّ المعهودية في الجملة ، وهي غير مفيدة ، وما هي مفيدة غير ثابتة بها ، خصوصاً في مثل فاقد الطهورين الذي تنصرف عنه الأذهان ؛ لغاية ندرته ، بل هو من الفروع التي أبداها الفقهاء ، ولم يكن معهوداً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التشبّث لسقوط القضاء بالتعليل الوارد في المغمى عليه بأ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533" w:name="pg17116_198912"/>
    </w:p>
    <w:p>
      <w:pPr>
        <w:pStyle w:val="BookText"/>
        <w:rPr/>
      </w:pPr>
      <w:bookmarkEnd w:id="533"/>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بهذا العموم مشكل ؛ لورود تخصيصات كثيرة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القواعد وإن تقتضي سقوطه ، إلاّ أنّ الاحتياط لاينبغي أن يترك </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8646199_3381743652"/>
      <w:bookmarkStart w:id="535" w:name="_Toc191"/>
      <w:bookmarkEnd w:id="534"/>
      <w:r>
        <w:rPr>
          <w:rtl w:val="true"/>
        </w:rPr>
        <w:t>مقتضى الاحتياط ترك الصلاة مع فقدان الطهورين</w:t>
      </w:r>
      <w:bookmarkEnd w:id="535"/>
    </w:p>
    <w:p>
      <w:pPr>
        <w:pStyle w:val="BookText"/>
        <w:rPr/>
      </w:pPr>
      <w:r>
        <w:rPr>
          <w:rFonts w:ascii="Amiri" w:hAnsi="Amiri" w:eastAsia="Amiri" w:cs="Amiri"/>
          <w:color w:val="111111"/>
          <w:sz w:val="28"/>
          <w:sz w:val="28"/>
          <w:szCs w:val="28"/>
          <w:rtl w:val="true"/>
          <w:lang w:bidi="ar-SA"/>
        </w:rPr>
        <w:t xml:space="preserve">لكن ينبغي الاحتياط بترك الصلاة مع فقدان الطهورين ؛ لاحتمال الحرمة النفسية في الدخول فيها جنباً ، بل ومن غير وضوء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سُكَارَى حَتَّى تَعْلَمُوا مَا تَقُولُونَ وَلاَ جُنُباً إِلاّ عَابِرِى سَبِيلٍ حَتَّى تَغْتَسِلُوا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لا محالّها ، كما هو الأظهر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المسافر الفاقد الذي يأتي حكمه في ذيلها ، ولا يكون ذلك تكراراً بشيعاً حتّى يكون قرينة على إرادة محالّها ، بل هو من قبيل الإجمال والتفصيل ، وهو من فنون البلاغة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الحرمة الذاتية ، وليس سبيلها سبيل النواهي في المركّبات التي تكون ظاهرة في الإرشاد إلى المانعية ؛ للفرق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سبيله سبيل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لاَتَقْرَبُوا الزِّنَا</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w:t>
      </w:r>
    </w:p>
    <w:p>
      <w:pPr>
        <w:pStyle w:val="BookText"/>
        <w:rPr/>
      </w:pP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لاَتَقْرَبُوهُنَّ حَتَّى يَطْهُرْنَ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ممّا هي ظاهرة في مبغوضية الارتكاب وأهمّية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ولرواية مسعدة بن صدقة الموثّقة على الأصحّ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ابن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أفما يخاف من يصلّي من غير وضوء أن تأخذه الأرض خسفاً ؟</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صفوان الجمّال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رجل من الأحبار</w:t>
      </w:r>
    </w:p>
    <w:p>
      <w:pPr>
        <w:pStyle w:val="BookText"/>
        <w:rPr/>
      </w:pPr>
      <w:r>
        <w:rPr>
          <w:rFonts w:ascii="Amiri" w:hAnsi="Amiri" w:eastAsia="Amiri" w:cs="Amiri"/>
          <w:color w:val="111111"/>
          <w:sz w:val="28"/>
          <w:sz w:val="28"/>
          <w:szCs w:val="28"/>
          <w:rtl w:val="true"/>
          <w:lang w:bidi="ar-SA"/>
        </w:rPr>
        <w:t xml:space="preserve">في قبره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جالدوك مائة جلدة من عذاب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تجلدونيها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أ نّك صلّيت يوماً بغير وضوء</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الجلدة لم تكن لترك الصلاة ، بل لإتيانها بغير وضوء ، وليست الحرمة النفسية ببعيدة بعد وقوع نظيرها في العبادات ، كصلاة الحائض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وردت رواية صحيحة من زرارة</w:t>
      </w:r>
      <w:r>
        <w:rPr>
          <w:rStyle w:val="FootnoteAnchor"/>
          <w:rtl w:val="true"/>
        </w:rPr>
        <w:footnoteReference w:id="1173"/>
      </w:r>
      <w:r>
        <w:rPr>
          <w:rFonts w:ascii="Amiri" w:hAnsi="Amiri" w:eastAsia="Amiri" w:cs="Amiri"/>
          <w:color w:val="111111"/>
          <w:sz w:val="28"/>
          <w:sz w:val="28"/>
          <w:szCs w:val="28"/>
          <w:rtl w:val="true"/>
          <w:lang w:bidi="ar-SA"/>
        </w:rPr>
        <w:t xml:space="preserve">يظهر منها أنّ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المساجد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في ترك الاحتياط بإتيانها جنباً ومن غير طهور </w:t>
      </w:r>
      <w:r>
        <w:rPr>
          <w:rFonts w:eastAsia="Amiri" w:cs="Amiri" w:ascii="Amiri" w:hAnsi="Amiri"/>
          <w:color w:val="111111"/>
          <w:sz w:val="28"/>
          <w:szCs w:val="28"/>
          <w:rtl w:val="true"/>
          <w:lang w:bidi="ar-SA"/>
        </w:rPr>
        <w:t xml:space="preserve">. </w:t>
      </w:r>
      <w:bookmarkStart w:id="536" w:name="pg17116_198914"/>
    </w:p>
    <w:p>
      <w:pPr>
        <w:pStyle w:val="Heading5"/>
        <w:numPr>
          <w:ilvl w:val="4"/>
          <w:numId w:val="1"/>
        </w:numPr>
        <w:rPr/>
      </w:pPr>
      <w:bookmarkStart w:id="537" w:name="__RefHeading___Toc8646201_3381743652"/>
      <w:bookmarkStart w:id="538" w:name="_Toc192"/>
      <w:bookmarkEnd w:id="536"/>
      <w:bookmarkEnd w:id="537"/>
      <w:r>
        <w:rPr>
          <w:rtl w:val="true"/>
        </w:rPr>
        <w:t>الأمر الخامس</w:t>
      </w:r>
      <w:r>
        <w:rPr>
          <w:rtl w:val="true"/>
        </w:rPr>
        <w:t xml:space="preserve">: </w:t>
      </w:r>
      <w:r>
        <w:rPr>
          <w:rtl w:val="true"/>
        </w:rPr>
        <w:t>في حكم المتيمّم إذا وجد الماء</w:t>
      </w:r>
      <w:bookmarkEnd w:id="538"/>
    </w:p>
    <w:p>
      <w:pPr>
        <w:pStyle w:val="Heading6"/>
        <w:numPr>
          <w:ilvl w:val="5"/>
          <w:numId w:val="1"/>
        </w:numPr>
        <w:rPr/>
      </w:pPr>
      <w:bookmarkStart w:id="539" w:name="__RefHeading___Toc8646203_3381743652"/>
      <w:bookmarkStart w:id="540" w:name="_Toc193"/>
      <w:bookmarkEnd w:id="539"/>
      <w:r>
        <w:rPr>
          <w:rtl w:val="true"/>
        </w:rPr>
        <w:t>بطلان التيمّم إذا وجد الماء قبل الدخول في الصلاة</w:t>
      </w:r>
      <w:bookmarkEnd w:id="540"/>
    </w:p>
    <w:p>
      <w:pPr>
        <w:pStyle w:val="BookText"/>
        <w:rPr/>
      </w:pPr>
      <w:r>
        <w:rPr>
          <w:rFonts w:ascii="Amiri" w:hAnsi="Amiri" w:eastAsia="Amiri" w:cs="Amiri"/>
          <w:color w:val="111111"/>
          <w:sz w:val="28"/>
          <w:sz w:val="28"/>
          <w:szCs w:val="28"/>
          <w:rtl w:val="true"/>
          <w:lang w:bidi="ar-SA"/>
        </w:rPr>
        <w:t xml:space="preserve">إذا وجد المتيمّم الماء قبل دخوله في الصلاة ، انتقض تيمّمه بلا إشكال نصّاً </w:t>
      </w:r>
      <w:r>
        <w:rPr>
          <w:rStyle w:val="FootnoteAnchor"/>
          <w:rtl w:val="true"/>
        </w:rPr>
        <w:footnoteReference w:id="1174"/>
      </w:r>
      <w:r>
        <w:rPr>
          <w:rFonts w:ascii="IRNazanin" w:hAnsi="IRNazanin" w:eastAsia="IRNazanin"/>
          <w:color w:val="111111"/>
          <w:sz w:val="28"/>
          <w:sz w:val="28"/>
          <w:szCs w:val="28"/>
          <w:rtl w:val="true"/>
          <w:lang w:bidi="fa-IR"/>
        </w:rPr>
        <w:t>وفتوى</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الوجدان هو التمكّن من استعماله عقلاً وشرعاً ، كما هو المحكيّ عن ظاهر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w:t>
      </w:r>
      <w:r>
        <w:rPr>
          <w:rStyle w:val="FootnoteAnchor"/>
          <w:rtl w:val="true"/>
        </w:rPr>
        <w:footnoteReference w:id="1176"/>
      </w:r>
      <w:r>
        <w:rPr>
          <w:rFonts w:ascii="Amiri" w:hAnsi="Amiri" w:eastAsia="Amiri" w:cs="Amiri"/>
          <w:color w:val="111111"/>
          <w:sz w:val="28"/>
          <w:sz w:val="28"/>
          <w:szCs w:val="28"/>
          <w:rtl w:val="true"/>
          <w:lang w:bidi="ar-SA"/>
        </w:rPr>
        <w:t xml:space="preserve">، وصريح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بل هو المتفاهم من جميع روايات الباب ، كما قلنا في الآية الشريفة</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الوجدان هو عدم وجدان ما يُغتسل أو يُتوضّأ 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والإصابة والوجدان في تلك الروايات وإن لم تكن مقرونة بما في رواية </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يقدر عليه</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ونحوه ، كانت ظاهرة في الإصابة والوجدان على نحو يتمكّن من رفع احتياجه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الإصابة مطلقاً موجبة للتعبّد بانتقاض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بالانتقاض</w:t>
      </w:r>
    </w:p>
    <w:p>
      <w:pPr>
        <w:pStyle w:val="BookText"/>
        <w:rPr/>
      </w:pPr>
      <w:r>
        <w:rPr>
          <w:rFonts w:ascii="IRNazanin" w:hAnsi="IRNazanin" w:eastAsia="IRNazanin"/>
          <w:color w:val="111111"/>
          <w:sz w:val="28"/>
          <w:sz w:val="28"/>
          <w:szCs w:val="28"/>
          <w:rtl w:val="true"/>
          <w:lang w:bidi="fa-IR"/>
        </w:rPr>
        <w:t xml:space="preserve">مع إصابة ماء قليل لا يكفي للوضوء أو الغسل ، أو كان مغصوباً مع كفايته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جدّاً ، بل مقطوع الفساد ، فضلاً عن مقارنة الروايات بما يجعلها كالصريح في المقصود ، كقوله في صحيحة زرارة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بتيمّم واحد صلاة الليل والنهار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ما لم يحدث أو يصب 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الماء ، ورجا أن يقدر على ماء آخر ، وظنّ أ نّه يقدر عليه كلّما أراد ، فعسر ذلك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 ذلك تيمّمه ، وعليه أن يعيد التيمّم </w:t>
      </w:r>
      <w:r>
        <w:rPr>
          <w:rFonts w:eastAsia="Amiri" w:cs="Amiri" w:ascii="Amiri" w:hAnsi="Amiri"/>
          <w:color w:val="111111"/>
          <w:sz w:val="28"/>
          <w:szCs w:val="28"/>
          <w:rtl w:val="true"/>
          <w:lang w:bidi="ar-SA"/>
        </w:rPr>
        <w:t>. . .»</w:t>
      </w:r>
      <w:r>
        <w:rPr>
          <w:rStyle w:val="FootnoteAnchor"/>
          <w:rtl w:val="true"/>
        </w:rPr>
        <w:footnoteReference w:id="118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يظهر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 ، أ نّه فهم من إصابة الماء في قول أبي جعفر علیه السلام  ، هو إصابة ما يقدر على استعماله ، كما هو واضح</w:t>
      </w:r>
    </w:p>
    <w:p>
      <w:pPr>
        <w:pStyle w:val="BookText"/>
        <w:rPr/>
      </w:pP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وكمرسلة العامري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تيمّمه الأوّل انتقض حين مرّ بالماء ولم يغتسل</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541" w:name="pg17116_198916"/>
    </w:p>
    <w:p>
      <w:pPr>
        <w:pStyle w:val="BookText"/>
        <w:rPr/>
      </w:pPr>
      <w:bookmarkEnd w:id="541"/>
      <w:r>
        <w:rPr>
          <w:rFonts w:ascii="Amiri" w:hAnsi="Amiri" w:eastAsia="Amiri" w:cs="Amiri"/>
          <w:color w:val="111111"/>
          <w:sz w:val="28"/>
          <w:sz w:val="28"/>
          <w:szCs w:val="28"/>
          <w:rtl w:val="true"/>
          <w:lang w:bidi="ar-SA"/>
        </w:rPr>
        <w:t>يظهر منها أنّ الانتقاض إنّما هو بالمرور بماء يتمكّن من الاغتسال به ولم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منهما قوله في رواية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الماء وكان يقدر عليه ، انتقض تيمّمه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وجد الماء في ضيق الوقت الذي هو فيه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استظهرناه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بالتيمّم لم ينتقض تيمّمه ، فلو فقد حين الصلاة أو بعدها بلا مهلة لم يجب عليه تجديده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وإن وردت في وجدان الماء ، لكن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رفع سائر الأعذار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وجدان الماء ورفع العذر بين ما قبل دخول الوقت وما بعده ؛ سواء قلنا بجواز الوضوء والغسل للصلاة قبل الوقت كما هو الأقوى ، أو لا ؛ لإطلاق الروايات وحصول القدرة ولو لغاية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حكم من وجد بعد الفراغ منها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8646205_3381743652"/>
      <w:bookmarkStart w:id="543" w:name="_Toc194"/>
      <w:bookmarkEnd w:id="542"/>
      <w:r>
        <w:rPr>
          <w:rtl w:val="true"/>
        </w:rPr>
        <w:t>عدم بطلان التيمّم إذا وجد الماء بعد الدخول في الصلاة</w:t>
      </w:r>
      <w:bookmarkEnd w:id="543"/>
    </w:p>
    <w:p>
      <w:pPr>
        <w:pStyle w:val="BookText"/>
        <w:rPr/>
      </w:pPr>
      <w:r>
        <w:rPr>
          <w:rFonts w:ascii="Amiri" w:hAnsi="Amiri" w:eastAsia="Amiri" w:cs="Amiri"/>
          <w:color w:val="111111"/>
          <w:sz w:val="28"/>
          <w:sz w:val="28"/>
          <w:szCs w:val="28"/>
          <w:rtl w:val="true"/>
          <w:lang w:bidi="ar-SA"/>
        </w:rPr>
        <w:t xml:space="preserve">وإن وجد في الأثناء ففيه أقوال خمسة أو ستّة ، لكن العمدة منها قولان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يقطع ما لم يركع ،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والجُعفي والحسن بن عيسى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ورسالة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وشرحها </w:t>
      </w:r>
      <w:r>
        <w:rPr>
          <w:rStyle w:val="FootnoteAnchor"/>
          <w:rtl w:val="true"/>
        </w:rPr>
        <w:footnoteReference w:id="1183"/>
      </w:r>
      <w:r>
        <w:rPr>
          <w:rFonts w:ascii="Amiri" w:hAnsi="Amiri" w:eastAsia="Amiri" w:cs="Amiri"/>
          <w:color w:val="111111"/>
          <w:sz w:val="28"/>
          <w:sz w:val="28"/>
          <w:szCs w:val="28"/>
          <w:rtl w:val="true"/>
          <w:lang w:bidi="ar-SA"/>
        </w:rPr>
        <w:t xml:space="preserve">، وقد بالغ في تشييده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يمضي بعد التلبّس بتكبيرة الإحرام ، وهو المحكيّ عن رسالتي علي بن بابويه والسيّد</w:t>
      </w:r>
      <w:r>
        <w:rPr>
          <w:rStyle w:val="FootnoteAnchor"/>
          <w:rtl w:val="true"/>
        </w:rPr>
        <w:footnoteReference w:id="11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وكتب المحقّق</w:t>
      </w:r>
      <w:r>
        <w:rPr>
          <w:rStyle w:val="FootnoteAnchor"/>
          <w:rtl w:val="true"/>
        </w:rPr>
        <w:footnoteReference w:id="1187"/>
      </w:r>
      <w:r>
        <w:rPr>
          <w:rFonts w:ascii="Amiri" w:hAnsi="Amiri" w:eastAsia="Amiri" w:cs="Amiri"/>
          <w:color w:val="111111"/>
          <w:sz w:val="28"/>
          <w:sz w:val="28"/>
          <w:szCs w:val="28"/>
          <w:rtl w:val="true"/>
          <w:lang w:bidi="ar-SA"/>
        </w:rPr>
        <w:t>والعلاّمة</w:t>
      </w:r>
      <w:r>
        <w:rPr>
          <w:rStyle w:val="FootnoteAnchor"/>
          <w:rtl w:val="true"/>
        </w:rPr>
        <w:footnoteReference w:id="1188"/>
      </w:r>
      <w:r>
        <w:rPr>
          <w:rFonts w:ascii="Amiri" w:hAnsi="Amiri" w:eastAsia="Amiri" w:cs="Amiri"/>
          <w:color w:val="111111"/>
          <w:sz w:val="28"/>
          <w:sz w:val="28"/>
          <w:szCs w:val="28"/>
          <w:rtl w:val="true"/>
          <w:lang w:bidi="ar-SA"/>
        </w:rPr>
        <w:t>وغيرهم</w:t>
      </w:r>
      <w:r>
        <w:rPr>
          <w:rStyle w:val="FootnoteAnchor"/>
          <w:rtl w:val="true"/>
        </w:rPr>
        <w:footnoteReference w:id="1189"/>
      </w:r>
      <w:r>
        <w:rPr>
          <w:rFonts w:ascii="Amiri" w:hAnsi="Amiri" w:eastAsia="Amiri" w:cs="Amiri"/>
          <w:color w:val="111111"/>
          <w:sz w:val="28"/>
          <w:sz w:val="28"/>
          <w:szCs w:val="28"/>
          <w:rtl w:val="true"/>
          <w:lang w:bidi="ar-SA"/>
        </w:rPr>
        <w:t xml:space="preserve">، وهو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في بحث الحيض والاستحاضة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للأصل أو الاُصول أو أدلّة التنزيل والبدلية</w:t>
      </w:r>
      <w:r>
        <w:rPr>
          <w:rStyle w:val="FootnoteAnchor"/>
          <w:rtl w:val="true"/>
        </w:rPr>
        <w:footnoteReference w:id="1192"/>
      </w:r>
      <w:r>
        <w:rPr>
          <w:rFonts w:ascii="Amiri" w:hAnsi="Amiri" w:eastAsia="Amiri" w:cs="Amiri"/>
          <w:color w:val="111111"/>
          <w:sz w:val="28"/>
          <w:sz w:val="28"/>
          <w:szCs w:val="28"/>
          <w:rtl w:val="true"/>
          <w:lang w:bidi="ar-SA"/>
        </w:rPr>
        <w:t>، وكفاية عشر سنين</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والنهي عن إبطال العمل كتاباً </w:t>
      </w:r>
      <w:r>
        <w:rPr>
          <w:rStyle w:val="FootnoteAnchor"/>
          <w:rtl w:val="true"/>
        </w:rPr>
        <w:footnoteReference w:id="1194"/>
      </w:r>
      <w:r>
        <w:rPr>
          <w:rFonts w:ascii="Amiri" w:hAnsi="Amiri" w:eastAsia="Amiri" w:cs="Amiri"/>
          <w:color w:val="111111"/>
          <w:sz w:val="28"/>
          <w:sz w:val="28"/>
          <w:szCs w:val="28"/>
          <w:rtl w:val="true"/>
          <w:lang w:bidi="ar-SA"/>
        </w:rPr>
        <w:t>وسنّة عن الانصراف حتّى يسمع الصوت ويجد الريح</w:t>
      </w:r>
      <w:r>
        <w:rPr>
          <w:rStyle w:val="FootnoteAnchor"/>
          <w:rtl w:val="true"/>
        </w:rPr>
        <w:footnoteReference w:id="119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يطول ذكرها </w:t>
      </w:r>
      <w:r>
        <w:rPr>
          <w:rStyle w:val="FootnoteAnchor"/>
          <w:rtl w:val="true"/>
        </w:rPr>
        <w:footnoteReference w:id="1196"/>
      </w:r>
      <w:r>
        <w:rPr>
          <w:rFonts w:ascii="Amiri" w:hAnsi="Amiri" w:eastAsia="Amiri" w:cs="Amiri"/>
          <w:color w:val="111111"/>
          <w:sz w:val="28"/>
          <w:sz w:val="28"/>
          <w:szCs w:val="28"/>
          <w:rtl w:val="true"/>
          <w:lang w:bidi="ar-SA"/>
        </w:rPr>
        <w:t xml:space="preserve">؛ لقطع ذلك كلّه بإطلاق أدلّة بطلانه بوجدان الماء وإصابته ؛ ممّا قد مرّ بعضها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ما لم يشرع في المقصود ، في غير محلّها ، كدعوى عدم إطلاقها ، لكونه القدر المتيقّن ؛ بعد ما حرّر في مقامه من عدم إضراره بالإطلاق</w:t>
      </w:r>
      <w:r>
        <w:rPr>
          <w:rStyle w:val="FootnoteAnchor"/>
          <w:rtl w:val="true"/>
        </w:rPr>
        <w:footnoteReference w:id="1198"/>
      </w:r>
      <w:r>
        <w:rPr>
          <w:rFonts w:ascii="Amiri" w:hAnsi="Amiri" w:eastAsia="Amiri" w:cs="Amiri"/>
          <w:color w:val="111111"/>
          <w:sz w:val="28"/>
          <w:sz w:val="28"/>
          <w:szCs w:val="28"/>
          <w:rtl w:val="true"/>
          <w:lang w:bidi="ar-SA"/>
        </w:rPr>
        <w:t xml:space="preserve">، سيّما أمثال ذلك ممّا يقطع بعدم الإضرار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للشهرة والإجماع المنقولين ؛ لعدم حجّيتهما في مثل هذه المسألة التي نقطع بكون المدرك هو النصوص الموجودة ، بل عدم ثبوتهما ، خصوصاً الثاني بعد خماسيتها قولاً أو سداسيتها ، وذهاب من تقدّم وغيرهم إلى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لعدم دليل صالح للركون إليه للقول بالتفصيل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صحيحة زرارة ، عن أبي جعفر علیه السلام  وفيها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الماء وقد دخل في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فلينصرف فليتوضّأ ما لم يركع ، وإن كان قد ركع فليمض في صلاته ؛ فإنّ التيمّم أحد الطهورين</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فلأنّ حمل الأمر بالانصراف والتوضّي قبل الركوع على الوجوب والإرشاد العقلي إلى بطلان التيمّم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الأمر بالمضيّ على الإرشاد إلى الصحّة بعد الركوع ، كما هو الشأن في مثل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مناسب مع التعليل بأنّ التراب أحد الطهورين ؛ فإنّ العلّة المشتركة بين ما قبل الدخول في الركوع وما بعده ، لا تناسب التفصيل ، بل قاطعة له ، هذا نظير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الخمر ، ولا تشرب النبيذ ؛ فإنّه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المسكرية مشتركة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لو كانت العلّة للمضيّ كون التراب أحد الطهورين فقط كما هو الظاهر ، لم يكن للتفصيل وجه ، ولو كان التفصيل إلزامياً حتّى يستفاد منه ما تقدّم ، كان عليه أن يعلّل بأنّ حرمة الركوع مثلاً مانعة عن نقض الطهور ، فلا بدّ من حمل الأمر بالانصراف والتوضّي على الاستحباب ؛ والأخذ بعموم التعليل لصحّة الصلاة مطلقاً ، أو رفع اليد عن التعليل بلا جهة موجبة ، والأوّل متعيّن ، فتكون الصحيحة من أدلّة القول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لم يجعلها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القول بالتفصيل ، مع</w:t>
      </w:r>
    </w:p>
    <w:p>
      <w:pPr>
        <w:pStyle w:val="BookText"/>
        <w:rPr/>
      </w:pPr>
      <w:r>
        <w:rPr>
          <w:rFonts w:ascii="Amiri" w:hAnsi="Amiri" w:eastAsia="Amiri" w:cs="Amiri"/>
          <w:color w:val="111111"/>
          <w:sz w:val="28"/>
          <w:sz w:val="28"/>
          <w:szCs w:val="28"/>
          <w:rtl w:val="true"/>
          <w:lang w:bidi="ar-SA"/>
        </w:rPr>
        <w:t xml:space="preserve">كونها بمنظر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احتجّ الشيخ بالروايات الدالّة على الرجوع ما لم يركع ،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عبداللّه بن عاصم ، فهي في التحقيق رواية واحدة ويعارضها روايتنا ، وهي أرجح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حُمران أشهر في العدالة والعلم من عبداللّه بن عاصم ، والأعدل مقدّم</w:t>
      </w:r>
      <w:r>
        <w:rPr>
          <w:rFonts w:eastAsia="Amiri" w:cs="Amiri" w:ascii="Amiri" w:hAnsi="Amiri"/>
          <w:color w:val="111111"/>
          <w:sz w:val="28"/>
          <w:szCs w:val="28"/>
          <w:rtl w:val="true"/>
          <w:lang w:bidi="ar-SA"/>
        </w:rPr>
        <w:t>»</w:t>
      </w:r>
      <w:r>
        <w:rPr>
          <w:rStyle w:val="FootnoteAnchor"/>
          <w:rtl w:val="true"/>
        </w:rPr>
        <w:footnoteReference w:id="120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ونسبة المحقّق إلى الغفلة عن صحيحة زرارة</w:t>
      </w:r>
      <w:r>
        <w:rPr>
          <w:rStyle w:val="FootnoteAnchor"/>
          <w:rtl w:val="true"/>
        </w:rPr>
        <w:footnoteReference w:id="1201"/>
      </w:r>
      <w:r>
        <w:rPr>
          <w:rFonts w:ascii="Amiri" w:hAnsi="Amiri" w:eastAsia="Amiri" w:cs="Amiri"/>
          <w:color w:val="111111"/>
          <w:sz w:val="28"/>
          <w:sz w:val="28"/>
          <w:szCs w:val="28"/>
          <w:rtl w:val="true"/>
          <w:lang w:bidi="ar-SA"/>
        </w:rPr>
        <w:t xml:space="preserve">، كأ نّها غفلة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عبداللّه بن عاصم ، فهي منقولة من طريق الكليني إليه</w:t>
      </w:r>
      <w:r>
        <w:rPr>
          <w:rStyle w:val="FootnoteAnchor"/>
          <w:rtl w:val="true"/>
        </w:rPr>
        <w:footnoteReference w:id="1202"/>
      </w:r>
      <w:r>
        <w:rPr>
          <w:rFonts w:ascii="Amiri" w:hAnsi="Amiri" w:eastAsia="Amiri" w:cs="Amiri"/>
          <w:color w:val="111111"/>
          <w:sz w:val="28"/>
          <w:sz w:val="28"/>
          <w:szCs w:val="28"/>
          <w:rtl w:val="true"/>
          <w:lang w:bidi="ar-SA"/>
        </w:rPr>
        <w:t xml:space="preserve">، وفي طريقه المعلّى بن محمّد الذي قال النجاشي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مضطرب الحديث والمذهب ، وكتبه قريبة</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القسم الثاني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باضطراب الحديث والمذهب</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حديثه وينكر ، ويروي عن الضعفاء ، ويجوز أن يخرَّج شاهداً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الوجيزة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ضعيف</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إجازة ، وهو يُغنيه عن التوثيق ، ولأجله صحّح حديثه</w:t>
      </w:r>
    </w:p>
    <w:p>
      <w:pPr>
        <w:pStyle w:val="BookText"/>
        <w:rPr/>
      </w:pPr>
      <w:r>
        <w:rPr>
          <w:rFonts w:ascii="IRNazanin" w:hAnsi="IRNazanin" w:eastAsia="IRNazanin"/>
          <w:color w:val="111111"/>
          <w:sz w:val="28"/>
          <w:sz w:val="28"/>
          <w:szCs w:val="28"/>
          <w:rtl w:val="true"/>
          <w:lang w:bidi="fa-IR"/>
        </w:rPr>
        <w:t>بعضهم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شيخ إجازة غير ثابت ، وغناء كلّ شيخِ إجازةٍ عن التوثيق أيضاً غير ثابت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طريق الشيخ إليه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الحسن بن الحسين اللؤلؤي</w:t>
      </w:r>
      <w:r>
        <w:rPr>
          <w:rStyle w:val="FootnoteAnchor"/>
          <w:rtl w:val="true"/>
        </w:rPr>
        <w:footnoteReference w:id="1208"/>
      </w:r>
      <w:r>
        <w:rPr>
          <w:rFonts w:ascii="IRNazanin" w:hAnsi="IRNazanin" w:eastAsia="IRNazanin"/>
          <w:color w:val="111111"/>
          <w:sz w:val="28"/>
          <w:sz w:val="28"/>
          <w:szCs w:val="28"/>
          <w:rtl w:val="true"/>
          <w:lang w:bidi="fa-IR"/>
        </w:rPr>
        <w:t>وقد ضعّفه الصدوق</w:t>
      </w:r>
      <w:r>
        <w:rPr>
          <w:rStyle w:val="FootnoteAnchor"/>
          <w:rtl w:val="true"/>
        </w:rPr>
        <w:footnoteReference w:id="1209"/>
      </w:r>
      <w:r>
        <w:rPr>
          <w:rFonts w:ascii="Amiri" w:hAnsi="Amiri" w:eastAsia="Amiri" w:cs="Amiri"/>
          <w:color w:val="111111"/>
          <w:sz w:val="28"/>
          <w:sz w:val="28"/>
          <w:szCs w:val="28"/>
          <w:rtl w:val="true"/>
          <w:lang w:bidi="ar-SA"/>
        </w:rPr>
        <w:t xml:space="preserve">واستثناه شيخه ابن الوليد من روايات محمّد بن أحمد بن يحيى ونقل النجاشي استثناء ابن الوليد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العبّاس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شيخنا أبو جعفر محمّد بن الحسن بن الوليد في ذلك كلّه ، وتبعه أبو جعفر ابن بابويه على ذلك ، إلاّ في محمّد بن عيسى بن عبيد ، فلا أدري ما رأيه فيه ؛ لأ 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استثناء أبي العبّاس أنّ استثناء ابن الوليد ، إنّما هو لضعف في الرجال نفسهم ، نعم وثّقه النجاشي</w:t>
      </w:r>
      <w:r>
        <w:rPr>
          <w:rStyle w:val="FootnoteAnchor"/>
          <w:rtl w:val="true"/>
        </w:rPr>
        <w:footnoteReference w:id="1211"/>
      </w:r>
      <w:r>
        <w:rPr>
          <w:rFonts w:ascii="Amiri" w:hAnsi="Amiri" w:eastAsia="Amiri" w:cs="Amiri"/>
          <w:color w:val="111111"/>
          <w:sz w:val="28"/>
          <w:sz w:val="28"/>
          <w:szCs w:val="28"/>
          <w:rtl w:val="true"/>
          <w:lang w:bidi="ar-SA"/>
        </w:rPr>
        <w:t xml:space="preserve">، لكن سكت عند نقل عبارة ابن نوح ، ولعلّه لرضاه بما ذكره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يشكل الاتّكال على توثيقه بعد تضعيف الصدوق وشيخه ظاهراً وابن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تضعيف الصدوق لاتّباع ابن الوليد وإن كان قريباً ، لكن يؤيّد ذلك بل يدلّ على أنّ ابن الوليد إنّما ضعّف الرجال نفسهم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تقدّم عصره عن النجاشي ، وقول الصدوق فيه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عن قول النجاشي لو لم يقدّم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القاسم بن محمّد الجوهري</w:t>
      </w:r>
      <w:r>
        <w:rPr>
          <w:rStyle w:val="FootnoteAnchor"/>
          <w:rtl w:val="true"/>
        </w:rPr>
        <w:footnoteReference w:id="1212"/>
      </w:r>
      <w:r>
        <w:rPr>
          <w:rFonts w:ascii="Amiri" w:hAnsi="Amiri" w:eastAsia="Amiri" w:cs="Amiri"/>
          <w:color w:val="111111"/>
          <w:sz w:val="28"/>
          <w:sz w:val="28"/>
          <w:szCs w:val="28"/>
          <w:rtl w:val="true"/>
          <w:lang w:bidi="ar-SA"/>
        </w:rPr>
        <w:t>وهو واقفي غير موثّق</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عبداللّه بن عاصم فهو مهمل في كتب الرجال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عبداللّه بن عاصم غير مذكور في كتب الرجال ، لكن يظهر ممّا سننقل من كلام المحقّق توثيقه</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والعبارة المشار إليها هي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مسألتنا هذه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رواية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حُمران أشهر في العدالة والعلم من عبداللّه بن عاصم ، والأعدل مقدّم</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المحقّق لم يوثّقه بنفسه ، ولم يعدّله ، بل يظهر منه أشهرية عدالته من ابن حمران</w:t>
      </w:r>
      <w:r>
        <w:rPr>
          <w:rStyle w:val="FootnoteAnchor"/>
          <w:rtl w:val="true"/>
        </w:rPr>
        <w:footnoteReference w:id="1216"/>
      </w:r>
      <w:r>
        <w:rPr>
          <w:rFonts w:ascii="Amiri" w:hAnsi="Amiri" w:eastAsia="Amiri" w:cs="Amiri"/>
          <w:color w:val="111111"/>
          <w:sz w:val="28"/>
          <w:sz w:val="28"/>
          <w:szCs w:val="28"/>
          <w:rtl w:val="true"/>
          <w:lang w:bidi="ar-SA"/>
        </w:rPr>
        <w:t xml:space="preserve">، وهي شهرة منقولة بعدالته على إشكال ، لا وثاقته ، وحجّية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إهمال الرجل في كتب الرجال المعدّة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 بل منع ، سيّما مع كون الوثاقة غير العلم والعدالة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الركون إلى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 ومع الغضّ عن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بل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الغضّ عن سندها لا إشكال في دلالتها على مذهب المفصّل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بإزائها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صحيحة زرارة المتقدّمة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اُخرى عنه وعن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رجل لم يصب الماء ، وحضرت الصلاة ، فتيمّم وصلّى ركعتين ، ثمّ أصاب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الركعتين أو يقطعهما ويتوضّأ ، ثمّ يصلّي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ولكنّه يمضي في صلاته ، ولا ينقضهما ؛ لمكان أ نّه دخلها وهو على طهر بتيمّم</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على أنّ تمام العلّة لعدم النقض والمضيّ ، دخوله فيها وهو على طهر بتيمّم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الدخول فيها على الدخول في الركوع ، وتقييد التعليل بالدخول فيه ، طرحها في الحقيقة ، لا جمع بينها وبين رواية عبداللّه على فرض تسليم سندها ،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فيها ، ولا يكون صادقاً على الدخول في الركوع</w:t>
      </w:r>
    </w:p>
    <w:p>
      <w:pPr>
        <w:pStyle w:val="BookText"/>
        <w:rPr/>
      </w:pPr>
      <w:r>
        <w:rPr>
          <w:rFonts w:ascii="Amiri" w:hAnsi="Amiri" w:eastAsia="Amiri" w:cs="Amiri"/>
          <w:color w:val="111111"/>
          <w:sz w:val="28"/>
          <w:sz w:val="28"/>
          <w:szCs w:val="28"/>
          <w:rtl w:val="true"/>
          <w:lang w:bidi="ar-SA"/>
        </w:rPr>
        <w:t xml:space="preserve">ومطلقاً قابلاً للتقييد ؛ لوضوح الفرق بين هذا التعبير وبين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داخل في</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لا يصدق إلاّ على أوّل الجزء وحال الشروع ، بخلاف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محمّد بن حُمران ،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لا يبعد أن تكون صحيحة ؛ لقرب احتمال أن يكون محمّد بن سَماعة الواقع في سندها هو الحضرمي الثقة ؛ لقيام شواهد عليه ، كما يظهر من ترجمته وترجمة ابنه جعفر ابن محمّد بن سماعة</w:t>
      </w:r>
      <w:r>
        <w:rPr>
          <w:rStyle w:val="FootnoteAnchor"/>
          <w:rtl w:val="true"/>
        </w:rPr>
        <w:footnoteReference w:id="1218"/>
      </w:r>
      <w:r>
        <w:rPr>
          <w:rFonts w:ascii="Amiri" w:hAnsi="Amiri" w:eastAsia="Amiri" w:cs="Amiri"/>
          <w:color w:val="111111"/>
          <w:sz w:val="28"/>
          <w:sz w:val="28"/>
          <w:szCs w:val="28"/>
          <w:rtl w:val="true"/>
          <w:lang w:bidi="ar-SA"/>
        </w:rPr>
        <w:t>وقرب احتمال أن يكون محمّد بن حمران هو النهدي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الثقة ؛ بقرينة رواية محمّد بن سماعة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ابن أعين يكون ممدوحاً ؛ </w:t>
      </w:r>
    </w:p>
    <w:p>
      <w:pPr>
        <w:pStyle w:val="BookText"/>
        <w:rPr/>
      </w:pPr>
      <w:r>
        <w:rPr>
          <w:rFonts w:ascii="Amiri" w:hAnsi="Amiri" w:eastAsia="Amiri" w:cs="Amiri"/>
          <w:color w:val="111111"/>
          <w:sz w:val="28"/>
          <w:sz w:val="28"/>
          <w:szCs w:val="28"/>
          <w:rtl w:val="true"/>
          <w:lang w:bidi="ar-SA"/>
        </w:rPr>
        <w:t xml:space="preserve">لكونه من مشايخ ابن أبي عمير ؛ لحديث في المجلس الثاني من مجالس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محمّد بن حمران</w:t>
      </w:r>
      <w:r>
        <w:rPr>
          <w:rStyle w:val="FootnoteAnchor"/>
          <w:rtl w:val="true"/>
        </w:rPr>
        <w:footnoteReference w:id="1219"/>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بكونه النهدي قول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أشهر في العلم والعدالة من عبداللّه بن عاصم</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ومن كان كذلك هو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تيمّم ، ثمّ دخل في الصلاة ، وقد كان طلب الماء فلم يقدر عليه ، ثمّ يؤتى بالماء حين يدخل في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الصلاة ، واعلم أ نّه ليس ينبغي لأحد أن يتيمّم إلاّ في آخر الوقت</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كالنصّ في أنّ الإتيان بالماء في أوّل الشروع في الصلاة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p>
    <w:p>
      <w:pPr>
        <w:pStyle w:val="BookText"/>
        <w:rPr/>
      </w:pP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حين الدخول أوّل وقته ، فإذا اُضيف إلى فعل المضارع صار كالنصّ فيه ، وإذا اُضيف إلى ذلك إعادته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في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الاحتياج إلى التكرار إن كان المراد مطلق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 لأنّ الظاهر أ نّه لإفادة زائدة ؛ وهي بيان أنّ الإتيان به إنّما هو في أوّل</w:t>
      </w:r>
    </w:p>
    <w:p>
      <w:pPr>
        <w:pStyle w:val="BookText"/>
        <w:rPr/>
      </w:pPr>
      <w:r>
        <w:rPr>
          <w:rFonts w:ascii="Amiri" w:hAnsi="Amiri" w:eastAsia="Amiri" w:cs="Amiri"/>
          <w:color w:val="111111"/>
          <w:sz w:val="28"/>
          <w:sz w:val="28"/>
          <w:szCs w:val="28"/>
          <w:rtl w:val="true"/>
          <w:lang w:bidi="ar-SA"/>
        </w:rPr>
        <w:t xml:space="preserve">الشروع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ما بعد الدخول في الركوع طرح لها جزماً ، لا جمع بينها وبين رواية عبداللّه ، ولهذا قال المحقّق في مقام ترجيحها على رواية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برواية محمّد ، يمكن العمل برواية عبداللّه بالتنزيل على الاستحباب ، ولو </w:t>
      </w:r>
      <w:bookmarkStart w:id="544" w:name="pg17116_198925"/>
    </w:p>
    <w:p>
      <w:pPr>
        <w:pStyle w:val="BookText"/>
        <w:rPr/>
      </w:pPr>
      <w:bookmarkEnd w:id="544"/>
      <w:r>
        <w:rPr>
          <w:rFonts w:ascii="Amiri" w:hAnsi="Amiri" w:eastAsia="Amiri" w:cs="Amiri"/>
          <w:color w:val="111111"/>
          <w:sz w:val="28"/>
          <w:sz w:val="28"/>
          <w:szCs w:val="28"/>
          <w:rtl w:val="true"/>
          <w:lang w:bidi="ar-SA"/>
        </w:rPr>
        <w:t>عمل بروايته لم يكن لرواية محمّد محمل</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انتهى ، مع أنّ حمل المطلق على المقيّد من أوضح المحامل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الأمر بالمضيّ قبل الركوع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لا غبار فيه ، ولم نترقّب من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ما ارتكبه في هذه المسألة الواضحة المأخذ بما لا ينقضي العجب منه ؛ من التمسّك بما لا ينبغي التمسّك به ، وحمل الروايات على ما لا ينبغي الحمل عليه ؛ ممّا يطول الكلام لو تعرّضنا لموارد النظر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أ نّه خالف المشهور مع تصديقه بتحصيل الشهرة ، مع أنّ بناءه على اتّباعها وارتكاب التأويل في الأدلّة المخالفة لها كيف كانت ، وفي المقام خالفها ، وارتكب التأويلات الغريبة في أدلّتها الظاهرة الدلالة على المذهب المشهور</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Heading6"/>
        <w:numPr>
          <w:ilvl w:val="5"/>
          <w:numId w:val="1"/>
        </w:numPr>
        <w:rPr/>
      </w:pPr>
      <w:bookmarkStart w:id="545" w:name="__RefHeading___Toc8646207_3381743652"/>
      <w:bookmarkStart w:id="546" w:name="_Toc195"/>
      <w:bookmarkEnd w:id="545"/>
      <w:r>
        <w:rPr>
          <w:rtl w:val="true"/>
        </w:rPr>
        <w:t xml:space="preserve">حول ما عن </w:t>
      </w:r>
      <w:r>
        <w:rPr>
          <w:rtl w:val="true"/>
        </w:rPr>
        <w:t>«</w:t>
      </w:r>
      <w:r>
        <w:rPr>
          <w:rtl w:val="true"/>
        </w:rPr>
        <w:t>التذكرة</w:t>
      </w:r>
      <w:r>
        <w:rPr>
          <w:rtl w:val="true"/>
        </w:rPr>
        <w:t xml:space="preserve">» </w:t>
      </w:r>
      <w:r>
        <w:rPr>
          <w:rtl w:val="true"/>
        </w:rPr>
        <w:t>من استحباب الاستئناف مطلقاً</w:t>
      </w:r>
      <w:bookmarkEnd w:id="54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حكي</w:t>
      </w:r>
      <w:r>
        <w:rPr>
          <w:rStyle w:val="FootnoteAnchor"/>
          <w:rtl w:val="true"/>
        </w:rPr>
        <w:footnoteReference w:id="122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الاستئناف مطلقاً </w:t>
      </w:r>
      <w:r>
        <w:rPr>
          <w:rStyle w:val="FootnoteAnchor"/>
          <w:rtl w:val="true"/>
        </w:rPr>
        <w:footnoteReference w:id="1225"/>
      </w:r>
      <w:r>
        <w:rPr>
          <w:rFonts w:ascii="IRNazanin" w:hAnsi="IRNazanin" w:eastAsia="IRNazanin"/>
          <w:color w:val="111111"/>
          <w:sz w:val="28"/>
          <w:sz w:val="28"/>
          <w:szCs w:val="28"/>
          <w:rtl w:val="true"/>
          <w:lang w:bidi="fa-IR"/>
        </w:rPr>
        <w:t xml:space="preserve">، ولعلّه لرواية الصيقل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تيمّم ، ثمّ قام يصلّي ، فمرّ به نهر وقد صلّى ركعة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فليغتسل وليستقبل الصلاة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صلّى صلاته كلّها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 باستحباب الإعادة مطلقاً حتّى بعد الصلاة ؛ لصحيحة عبداللّه بن سنان المتقدّمة الآمرة بالإعادة بعد الصلاة إذا أمن البرد</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للاستحباب مراتب بحسب حالات ما قبل الركوع ، وما بعده ، وما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بالتنافي بين رواية الصيقل وما دلّت على وجوب المضيّ خصوصاً ما فصّلت بين ما قبل الركوع وما بعده</w:t>
      </w:r>
      <w:r>
        <w:rPr>
          <w:rStyle w:val="FootnoteAnchor"/>
          <w:rtl w:val="true"/>
        </w:rPr>
        <w:footnoteReference w:id="1228"/>
      </w:r>
      <w:r>
        <w:rPr>
          <w:rFonts w:ascii="Amiri" w:hAnsi="Amiri" w:eastAsia="Amiri" w:cs="Amiri"/>
          <w:color w:val="111111"/>
          <w:sz w:val="28"/>
          <w:sz w:val="28"/>
          <w:szCs w:val="28"/>
          <w:rtl w:val="true"/>
          <w:lang w:bidi="ar-SA"/>
        </w:rPr>
        <w:t xml:space="preserve">، ودعوى قصور الأخبار عن إفادة 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الأوامر فيها في مقام توهّم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بعد مغروسية حرمة قطع الصلاة ، وكون النقض منافياً لاحترامها في أذهان المتشرّعة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الواردة في ذلك المضمار ، لا يستفاد منها إلاّ الإرشاد إلى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العمل ، ولهذا لا يجوز التمسّك بمثلها على حرمة القطع ، كما ترى معروفية عدم الدليل على حرمته إلاّ الإجماع</w:t>
      </w:r>
      <w:r>
        <w:rPr>
          <w:rStyle w:val="FootnoteAnchor"/>
          <w:rtl w:val="true"/>
        </w:rPr>
        <w:footnoteReference w:id="1230"/>
      </w:r>
      <w:r>
        <w:rPr>
          <w:rFonts w:ascii="Amiri" w:hAnsi="Amiri" w:eastAsia="Amiri" w:cs="Amiri"/>
          <w:color w:val="111111"/>
          <w:sz w:val="28"/>
          <w:sz w:val="28"/>
          <w:szCs w:val="28"/>
          <w:rtl w:val="true"/>
          <w:lang w:bidi="ar-SA"/>
        </w:rPr>
        <w:t xml:space="preserve">مع أنّ أمثال هذه الروايات كثيرة ، وليس ذلك إلاّ لعدم دلالتها على وجوب المضيّ ، فمع إرشاديتها إلى صحّة العمل وعدم انتقاض التيمّم ، لا مانع من الجمع بينها وبين الأمر بالإعادة بحمله على الاستحباب </w:t>
      </w:r>
      <w:r>
        <w:rPr>
          <w:rFonts w:eastAsia="Amiri" w:cs="Amiri" w:ascii="Amiri" w:hAnsi="Amiri"/>
          <w:color w:val="111111"/>
          <w:sz w:val="28"/>
          <w:szCs w:val="28"/>
          <w:rtl w:val="true"/>
          <w:lang w:bidi="ar-SA"/>
        </w:rPr>
        <w:t xml:space="preserve">. </w:t>
      </w:r>
      <w:bookmarkStart w:id="547" w:name="pg17116_198927"/>
    </w:p>
    <w:p>
      <w:pPr>
        <w:pStyle w:val="BookText"/>
        <w:rPr/>
      </w:pPr>
      <w:bookmarkEnd w:id="547"/>
      <w:r>
        <w:rPr>
          <w:rFonts w:ascii="Amiri" w:hAnsi="Amiri" w:eastAsia="Amiri" w:cs="Amiri"/>
          <w:color w:val="111111"/>
          <w:sz w:val="28"/>
          <w:sz w:val="28"/>
          <w:szCs w:val="28"/>
          <w:rtl w:val="true"/>
          <w:lang w:bidi="ar-SA"/>
        </w:rPr>
        <w:t xml:space="preserve">ودعوى مغروسية حرمة القطع في أذهان المتشرّعة في زمان صدور الروايات بل مطلقاً ، غير ثابتة ، خصوصاً في مثل المقام الذي يمكن أن يقال فيه بارتكازية وجوب الاستئناف ؛ لكون التيمّم طهارة اضطرارية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ضعف الرواية</w:t>
      </w:r>
      <w:r>
        <w:rPr>
          <w:rStyle w:val="FootnoteAnchor"/>
          <w:rtl w:val="true"/>
        </w:rPr>
        <w:footnoteReference w:id="1231"/>
      </w:r>
      <w:r>
        <w:rPr>
          <w:rFonts w:ascii="Amiri" w:hAnsi="Amiri" w:eastAsia="Amiri" w:cs="Amiri"/>
          <w:color w:val="111111"/>
          <w:sz w:val="28"/>
          <w:sz w:val="28"/>
          <w:szCs w:val="28"/>
          <w:rtl w:val="true"/>
          <w:lang w:bidi="ar-SA"/>
        </w:rPr>
        <w:t xml:space="preserve">، وعدم إمكان التشبّث بالتسامح في أدلّة السنن في مثل المقام الذي هو مظنّة الإجماع على حرمة القطع لكان القول بالاستحباب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ينكر الإجماع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منه في غير مثل المورد ، لكن الأحوط عدم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التنافي بين استحباب الانصراف قبل الركوع وبقاء التيمّم مع عدم العذر ووجدان الماء</w:t>
      </w:r>
      <w:r>
        <w:rPr>
          <w:rStyle w:val="FootnoteAnchor"/>
          <w:rtl w:val="true"/>
        </w:rPr>
        <w:footnoteReference w:id="1232"/>
      </w:r>
      <w:r>
        <w:rPr>
          <w:rFonts w:ascii="Amiri" w:hAnsi="Amiri" w:eastAsia="Amiri" w:cs="Amiri"/>
          <w:color w:val="111111"/>
          <w:sz w:val="28"/>
          <w:sz w:val="28"/>
          <w:szCs w:val="28"/>
          <w:rtl w:val="true"/>
          <w:lang w:bidi="ar-SA"/>
        </w:rPr>
        <w:t xml:space="preserve">، ففي غاية السقوط بعد وجود الأدلّة الصحيحة المعمول عليها </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646209_3381743652"/>
      <w:bookmarkStart w:id="549" w:name="_Toc196"/>
      <w:bookmarkEnd w:id="548"/>
      <w:r>
        <w:rPr>
          <w:rtl w:val="true"/>
        </w:rPr>
        <w:t>عدم الفرق بين الفريضة والنافلة</w:t>
      </w:r>
      <w:bookmarkEnd w:id="54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يختصّ الحكم بصحّة الصلاة مع الدخول فيها بتيمّم بالفرائض اليومية ، أو يعمّ مطلق الفرائض ، أو يعمّ النوافل أيضاً ، أو يعمّ مطلق المركّبات المشروطة بالطهارة ؟ </w:t>
      </w:r>
    </w:p>
    <w:p>
      <w:pPr>
        <w:pStyle w:val="BookText"/>
        <w:rPr/>
      </w:pPr>
      <w:r>
        <w:rPr>
          <w:rFonts w:ascii="Amiri" w:hAnsi="Amiri" w:eastAsia="Amiri" w:cs="Amiri"/>
          <w:color w:val="111111"/>
          <w:sz w:val="28"/>
          <w:sz w:val="28"/>
          <w:szCs w:val="28"/>
          <w:rtl w:val="true"/>
          <w:lang w:bidi="ar-SA"/>
        </w:rPr>
        <w:t>قد يقال</w:t>
      </w:r>
      <w:r>
        <w:rPr>
          <w:rStyle w:val="FootnoteAnchor"/>
          <w:rtl w:val="true"/>
        </w:rPr>
        <w:footnoteReference w:id="1233"/>
      </w:r>
      <w:r>
        <w:rPr>
          <w:rFonts w:ascii="Amiri" w:hAnsi="Amiri" w:eastAsia="Amiri" w:cs="Amiri"/>
          <w:color w:val="111111"/>
          <w:sz w:val="28"/>
          <w:sz w:val="28"/>
          <w:szCs w:val="28"/>
          <w:rtl w:val="true"/>
          <w:lang w:bidi="ar-SA"/>
        </w:rPr>
        <w:t xml:space="preserve">بالأوّل لاختصاص الأدلّة بها وانصرافها إليها ، وفي غيرها يرجع إلى أدلّة نقض التيمّم بوجدان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 احتمال التعميم إلى مطلق المركّبات ؛ بدعوى اقتضاء التعليل الوارد في صحيحة زرارة ومحمّد بن مسلم</w:t>
      </w:r>
      <w:r>
        <w:rPr>
          <w:rStyle w:val="FootnoteAnchor"/>
          <w:rtl w:val="true"/>
        </w:rPr>
        <w:footnoteReference w:id="1234"/>
      </w:r>
      <w:r>
        <w:rPr>
          <w:rFonts w:ascii="Amiri" w:hAnsi="Amiri" w:eastAsia="Amiri" w:cs="Amiri"/>
          <w:color w:val="111111"/>
          <w:sz w:val="28"/>
          <w:sz w:val="28"/>
          <w:szCs w:val="28"/>
          <w:rtl w:val="true"/>
          <w:lang w:bidi="ar-SA"/>
        </w:rPr>
        <w:t xml:space="preserve">ذلك ؛ فإنّه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 نّه دخلها وهو على طهر 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العلّة لعدم النقض والمضيّ ، هو وجدان الطهور حال الدخول في العمل ؛ من غير دخالة لكونه صلاة فريضة ، بل ولا لكونه صلاة ، فكما يعمّم العرف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إلى كلّ مسكر ولو لم يكن خمراً ، ولا يعتني بالمورد ولا بالضمير الراجع إليه ، كذلك في المقام يستفاد من التعليل أنّ الدخول بتيمّم في كلّ عمل مشروط بالطهارة ، يقتضي عدم النقض وصحّة العمل وبقاء الطهور ؛ من غير اعتناء بالضمير الراجع إلى الفريضة أو إلى الصلاة ، فإنّه لو كان لها دخالة فيه لما علّل بالدخول وهو على طهر بتيمّم ، بل كان المناسب التعليل بحرمة القطع ونظائرها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عموم الحكم ، ويلغى</w:t>
      </w:r>
    </w:p>
    <w:p>
      <w:pPr>
        <w:pStyle w:val="BookText"/>
        <w:rPr/>
      </w:pPr>
      <w:r>
        <w:rPr>
          <w:rFonts w:ascii="Amiri" w:hAnsi="Amiri" w:eastAsia="Amiri" w:cs="Amiri"/>
          <w:color w:val="111111"/>
          <w:sz w:val="28"/>
          <w:sz w:val="28"/>
          <w:szCs w:val="28"/>
          <w:rtl w:val="true"/>
          <w:lang w:bidi="ar-SA"/>
        </w:rPr>
        <w:t xml:space="preserve">المورد وخصوصية الضمير الراجع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التقريب في تعليل الصحيحة الاُخرى لزرارة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التيمّم أحد الطهورين</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فإنّ مقتضاه وإن كان الصحّة لو تيمّم صحيحاً ولو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قبل الدخول ، لكن يرفع اليد عنه بالنسبة إلى ما قبل الدخول بالروايات </w:t>
      </w:r>
      <w:bookmarkStart w:id="550" w:name="pg17116_198929"/>
    </w:p>
    <w:p>
      <w:pPr>
        <w:pStyle w:val="BookText"/>
        <w:rPr/>
      </w:pPr>
      <w:bookmarkEnd w:id="550"/>
      <w:r>
        <w:rPr>
          <w:rFonts w:ascii="Amiri" w:hAnsi="Amiri" w:eastAsia="Amiri" w:cs="Amiri"/>
          <w:color w:val="111111"/>
          <w:sz w:val="28"/>
          <w:sz w:val="28"/>
          <w:szCs w:val="28"/>
          <w:rtl w:val="true"/>
          <w:lang w:bidi="ar-SA"/>
        </w:rPr>
        <w:t>الدالّة على نقضه إذا وجد الماء</w:t>
      </w:r>
      <w:r>
        <w:rPr>
          <w:rStyle w:val="FootnoteAnchor"/>
          <w:rtl w:val="true"/>
        </w:rPr>
        <w:footnoteReference w:id="1236"/>
      </w:r>
      <w:r>
        <w:rPr>
          <w:rFonts w:ascii="Amiri" w:hAnsi="Amiri" w:eastAsia="Amiri" w:cs="Amiri"/>
          <w:color w:val="111111"/>
          <w:sz w:val="28"/>
          <w:sz w:val="28"/>
          <w:szCs w:val="28"/>
          <w:rtl w:val="true"/>
          <w:lang w:bidi="ar-SA"/>
        </w:rPr>
        <w:t xml:space="preserve">، فإنّ الظاهر أو المتيقّن منها هو النقض قبل الدخول في الصلاة ، ولو كان فيها إطلاق يرفع اليد عنه بالروايات المتقدّمة ، ومعه لا يمكن تعميم العلّة حتّى بالنسبة إلى ما قبل الدخول ، للزوم طرح تلك الروايات ، فيبقى العموم في غير موردها ، ويعمّم إلى غير الصلاة بالتقريب المتقدّم فنتعدّى إلى الطواف وغيره من غير احتياج إلى التمسّك بالنبوي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حتّى يستشكل في سنده ودلالته أيضاً ؛ بدعوى عدم التنزيل من هذه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لا يخلو التعميم بهذه السعة من إشكال ؛ لاحتمال عدم مساعدة العرف على التعميم إلى غير الصلاة ؛ وإن كان إلى مطلق الصلاة فريضة أو نافلة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دعوى انصراف جميع الروايات إلى الفرائض أو اليومية منها ، ممنوعة ؛ ضرورة أنّ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الرواتب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معمولاً بها في تلك الأعصار ، ولم تكن كأعصارنا مهجورة ينصرف عنها الأذهان ، فمقتضى إطلاق الأدلّة عدم الفرق بين الفريضة والنافلة </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8646211_3381743652"/>
      <w:bookmarkStart w:id="552" w:name="_Toc197"/>
      <w:bookmarkEnd w:id="551"/>
      <w:r>
        <w:rPr>
          <w:rtl w:val="true"/>
        </w:rPr>
        <w:t>حكم فقدان الماء بعد وجدانه في أثناء الصلاة</w:t>
      </w:r>
      <w:bookmarkEnd w:id="55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وُجد الماء في أثناء الصلاة بمقدار يمكن معه الوضوء أو الغسل ، وفُقد في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الأثناء أو بعدها بلا مهلة ، فالأقرب بقاء الطهارة وعدم الاحتياج إلى الإعادة ؛ لعدم شمول الروايات الحاكمة بنقض الطهارة بوجدان الماء أو بالقدرة عليه لذلك ؛ فإنّ المراد منهما ليس مطلق الوجدان والقدرة عليه ، ولذا لو وُجد وكان مغصوباً لا ينتقض به بلا ريب ، بل المراد ما يمكن رفع الاحتياج به شرعاً وعقلاً ، فينسلك المورد فيما دلّت على جواز إتيان الصلوات المتعدّدة بتيمّم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فيه يكفي الأصل بعد حصول الطهور والشكّ في النقض بعد قصور أدلّته </w:t>
      </w:r>
      <w:r>
        <w:rPr>
          <w:rFonts w:eastAsia="Amiri" w:cs="Amiri" w:ascii="Amiri" w:hAnsi="Amiri"/>
          <w:color w:val="111111"/>
          <w:sz w:val="28"/>
          <w:szCs w:val="28"/>
          <w:rtl w:val="true"/>
          <w:lang w:bidi="ar-SA"/>
        </w:rPr>
        <w:t xml:space="preserve">. </w:t>
      </w:r>
      <w:bookmarkStart w:id="553" w:name="pg17116_198931"/>
    </w:p>
    <w:p>
      <w:pPr>
        <w:pStyle w:val="Heading5"/>
        <w:numPr>
          <w:ilvl w:val="4"/>
          <w:numId w:val="1"/>
        </w:numPr>
        <w:rPr/>
      </w:pPr>
      <w:bookmarkStart w:id="554" w:name="__RefHeading___Toc8646213_3381743652"/>
      <w:bookmarkStart w:id="555" w:name="_Toc198"/>
      <w:bookmarkEnd w:id="553"/>
      <w:bookmarkEnd w:id="554"/>
      <w:r>
        <w:rPr>
          <w:rtl w:val="true"/>
        </w:rPr>
        <w:t>الأمر السادس</w:t>
      </w:r>
      <w:r>
        <w:rPr>
          <w:rtl w:val="true"/>
        </w:rPr>
        <w:t xml:space="preserve">: </w:t>
      </w:r>
      <w:r>
        <w:rPr>
          <w:rtl w:val="true"/>
        </w:rPr>
        <w:t>المتيمّم يستبيح ما يستبيحه المتطهّر بالماء</w:t>
      </w:r>
      <w:bookmarkEnd w:id="555"/>
    </w:p>
    <w:p>
      <w:pPr>
        <w:pStyle w:val="Heading6"/>
        <w:numPr>
          <w:ilvl w:val="5"/>
          <w:numId w:val="1"/>
        </w:numPr>
        <w:rPr/>
      </w:pPr>
      <w:bookmarkStart w:id="556" w:name="__RefHeading___Toc8646215_3381743652"/>
      <w:bookmarkStart w:id="557" w:name="_Toc199"/>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المتيمّم يستبيح ما يستبيحه المتطهّر بالماء</w:t>
      </w:r>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8646217_3381743652"/>
      <w:bookmarkStart w:id="559" w:name="_Toc200"/>
      <w:bookmarkEnd w:id="558"/>
      <w:r>
        <w:rPr>
          <w:rtl w:val="true"/>
        </w:rPr>
        <w:t>المقام الأوّل إنّه لو تيمّم لغاية جاز لأجلها التيمّم ، يباح له جميع ما يباح للمتطهّر</w:t>
      </w:r>
      <w:bookmarkEnd w:id="559"/>
    </w:p>
    <w:p>
      <w:pPr>
        <w:pStyle w:val="BookText"/>
        <w:rPr/>
      </w:pPr>
      <w:r>
        <w:rPr>
          <w:rFonts w:ascii="Amiri" w:hAnsi="Amiri" w:eastAsia="Amiri" w:cs="Amiri"/>
          <w:color w:val="111111"/>
          <w:sz w:val="28"/>
          <w:sz w:val="28"/>
          <w:szCs w:val="28"/>
          <w:rtl w:val="true"/>
          <w:lang w:bidi="ar-SA"/>
        </w:rPr>
        <w:t xml:space="preserve">فلو تيمّم لصلاة فريضة جاز له فعل النافلة ، ومسّ الكتاب ، واجتياز المسجدين ، واللبث في غيرهما ، وقراءة العزائم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 وخالف في ذلك فخر المحقّقين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هذه المسألة إنّما يأتي بناءً على كون التيمّم مبيحاً ، أو بناءً على اعتبارية الطهور على فرض كونه رافعاً ؛ لإمكان أن يقال على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مبيح بالنسبة إلى غاية دون غاية اُخرى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اعتبرت الطهورية كذلك بالنسبة إلى غاية دون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القول بالرفع وكونه طهوراً ، وكون الطهور أمراً واقعياً كشف عنه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الحدث قذارة معنوية كشف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للنزاع ؛ لعدم تعقّل كون العاجز المتيمّم طاهراً من الجنابة أو الحدث الأصغر بالنسبة إلى عمل ، وجنباً ومحدثاً بالأصغر بالنسبة إلى آخر ، فهذا النزاع إنّما يتمشّى بعد الفراغ عن مبيحية التيمّم ، ولمّا فرغنا عن كونه طهوراً ورافعاً كما مرّ</w:t>
      </w:r>
      <w:r>
        <w:rPr>
          <w:rStyle w:val="FootnoteAnchor"/>
          <w:rtl w:val="true"/>
        </w:rPr>
        <w:footnoteReference w:id="1240"/>
      </w:r>
      <w:r>
        <w:rPr>
          <w:rFonts w:ascii="Amiri" w:hAnsi="Amiri" w:eastAsia="Amiri" w:cs="Amiri"/>
          <w:color w:val="111111"/>
          <w:sz w:val="28"/>
          <w:sz w:val="28"/>
          <w:szCs w:val="28"/>
          <w:rtl w:val="true"/>
          <w:lang w:bidi="ar-SA"/>
        </w:rPr>
        <w:t xml:space="preserve">، فلا يبقى وجه لذلك ؛ لضعف احتمال اعتبارية 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المبيحية أيضاً ، الأقوى ما عليه المشهور ، لأدلّة البدلية والمنزلة ، ولو نوقش في إطلاق بعضها فلا مجال للتشكيك بالنسبة إلى جميعها ، كذيل الآية الكريمة</w:t>
      </w:r>
      <w:r>
        <w:rPr>
          <w:rStyle w:val="FootnoteAnchor"/>
          <w:rtl w:val="true"/>
        </w:rPr>
        <w:footnoteReference w:id="1241"/>
      </w:r>
      <w:r>
        <w:rPr>
          <w:rFonts w:ascii="Amiri" w:hAnsi="Amiri" w:eastAsia="Amiri" w:cs="Amiri"/>
          <w:color w:val="111111"/>
          <w:sz w:val="28"/>
          <w:sz w:val="28"/>
          <w:szCs w:val="28"/>
          <w:rtl w:val="true"/>
          <w:lang w:bidi="ar-SA"/>
        </w:rPr>
        <w:t xml:space="preserve">فإنّها وإن وردت في الصلاة ، لكن يظهر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بأتمّ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طهور ، ولأجل طهوريته أمر الشارع به للصلاة ، فمع حصول الطهور يجوز معه الإتيان بكلّ ما يشترط فيه الطهور ويحتاج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بعدم حصول الطهور كما هو المفروض ، لا محالة يقول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بمنزلته ، فيفهم منه عموم المنزلة ؛ لأنّ الذيل بمنزلة التعليل ، وكأ نّه قال على هذا</w:t>
      </w:r>
    </w:p>
    <w:p>
      <w:pPr>
        <w:pStyle w:val="BookText"/>
        <w:rPr/>
      </w:pP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التيمّم بمنزلة الطهور تيمّموا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وكالروايات المتواترة ؛ لقوله صلی الله علیه و آله وسلم  في المستفيضة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مسجداً وطهوراً</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w:t>
      </w:r>
      <w:bookmarkStart w:id="560" w:name="pg17116_198933"/>
    </w:p>
    <w:p>
      <w:pPr>
        <w:pStyle w:val="BookText"/>
        <w:rPr/>
      </w:pPr>
      <w:bookmarkEnd w:id="560"/>
      <w:r>
        <w:rPr>
          <w:rFonts w:ascii="Amiri" w:hAnsi="Amiri" w:eastAsia="Amiri" w:cs="Amiri"/>
          <w:color w:val="111111"/>
          <w:sz w:val="28"/>
          <w:sz w:val="28"/>
          <w:szCs w:val="28"/>
          <w:rtl w:val="true"/>
          <w:lang w:bidi="ar-SA"/>
        </w:rPr>
        <w:t>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عشر سنين</w:t>
      </w:r>
      <w:r>
        <w:rPr>
          <w:rFonts w:eastAsia="IRNazanin" w:cs="IRNazanin"/>
          <w:color w:val="111111"/>
          <w:sz w:val="28"/>
          <w:szCs w:val="28"/>
          <w:rtl w:val="true"/>
          <w:lang w:bidi="fa-IR"/>
        </w:rPr>
        <w:t>»</w:t>
      </w:r>
      <w:r>
        <w:rPr>
          <w:rStyle w:val="FootnoteAnchor"/>
          <w:rtl w:val="true"/>
        </w:rPr>
        <w:footnoteReference w:id="1245"/>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وربّ الأرض واحد</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الطهورين</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التيمّم غسل المضطرّ ووضوؤه</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الوضوء التامّ الكامل في وقت الضرورة</w:t>
      </w:r>
      <w:r>
        <w:rPr>
          <w:rFonts w:eastAsia="Amiri" w:cs="Amiri" w:ascii="Amiri" w:hAnsi="Amiri"/>
          <w:color w:val="111111"/>
          <w:sz w:val="28"/>
          <w:szCs w:val="28"/>
          <w:rtl w:val="true"/>
          <w:lang w:bidi="ar-SA"/>
        </w:rPr>
        <w:t>»</w:t>
      </w:r>
      <w:r>
        <w:rPr>
          <w:rStyle w:val="FootnoteAnchor"/>
          <w:rtl w:val="true"/>
        </w:rPr>
        <w:footnoteReference w:id="124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بمنزلة الوضوء والغسل في جميع ما لهما من الخواصّ والآثار </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8646219_3381743652"/>
      <w:bookmarkStart w:id="562" w:name="_Toc201"/>
      <w:bookmarkEnd w:id="561"/>
      <w:r>
        <w:rPr>
          <w:rtl w:val="true"/>
        </w:rPr>
        <w:t>المقام الثاني إنّه هل يجوز التيمّم لكلّ غاية ، أو مخصوص بغايات خاصّة ؟</w:t>
      </w:r>
      <w:bookmarkEnd w:id="562"/>
    </w:p>
    <w:p>
      <w:pPr>
        <w:pStyle w:val="Heading6"/>
        <w:numPr>
          <w:ilvl w:val="5"/>
          <w:numId w:val="1"/>
        </w:numPr>
        <w:rPr/>
      </w:pPr>
      <w:bookmarkStart w:id="563" w:name="__RefHeading___Toc8646221_3381743652"/>
      <w:bookmarkStart w:id="564" w:name="_Toc202"/>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يظهر من بعضهم عدم وجوبه إلاّ للصلاة أو لها وللخروج من المسجدين</w:t>
      </w:r>
      <w:r>
        <w:rPr>
          <w:rStyle w:val="FootnoteAnchor"/>
          <w:rtl w:val="true"/>
        </w:rPr>
        <w:footnoteReference w:id="1250"/>
      </w:r>
      <w:r>
        <w:rPr>
          <w:rFonts w:ascii="Amiri" w:hAnsi="Amiri" w:eastAsia="Amiri" w:cs="Amiri"/>
          <w:color w:val="111111"/>
          <w:sz w:val="28"/>
          <w:sz w:val="28"/>
          <w:szCs w:val="28"/>
          <w:rtl w:val="true"/>
          <w:lang w:bidi="ar-SA"/>
        </w:rPr>
        <w:t>أو مع زيادة الطواف</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الفخر أنّ والده لا يجوّز التيمّم من الحدث الأكبر للطواف ومسّ كتابة القرآن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 أيضاً عدم مشروعية التيمّم لصوم الجنب والحائض والمستحاضة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المحقّق الأنصاري نوع تردّد فيه ، قال في صومه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يتمكّن المكلّف من الغسل فهل يجب عليه التيمّم ؟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المنزلة في صحيحة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المحقّق والشهيد الثانيين</w:t>
      </w:r>
      <w:r>
        <w:rPr>
          <w:rStyle w:val="FootnoteAnchor"/>
          <w:rtl w:val="true"/>
        </w:rPr>
        <w:footnoteReference w:id="1254"/>
      </w:r>
      <w:r>
        <w:rPr>
          <w:rFonts w:ascii="Amiri" w:hAnsi="Amiri" w:eastAsia="Amiri" w:cs="Amiri"/>
          <w:color w:val="111111"/>
          <w:sz w:val="28"/>
          <w:sz w:val="28"/>
          <w:szCs w:val="28"/>
          <w:rtl w:val="true"/>
          <w:lang w:bidi="ar-SA"/>
        </w:rPr>
        <w:t xml:space="preserve">،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من أنّ المانع هو حدث الجنابة ، والتيمّم لا يرفعه ، وهو طهور بمنزلة الماء في كلّ ما يجب فيه الغسل ، لا ما توقّف على رفع الجنابة ، فالتيمّم يجب في كلّ موضع يجب فيه الغسل ، لا فيما يشترط بعدم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به قوله في صحيحة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انتظر ماءً يسخّن أو يستقى فطلع الفجر فلا شيء عليه</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حيث إنّه لم يأمر بالتيمّم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التيمّم</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1258"/>
      </w:r>
      <w:r>
        <w:rPr>
          <w:rFonts w:ascii="Amiri" w:hAnsi="Amiri" w:eastAsia="Amiri" w:cs="Amiri"/>
          <w:color w:val="111111"/>
          <w:sz w:val="28"/>
          <w:sz w:val="28"/>
          <w:szCs w:val="28"/>
          <w:rtl w:val="true"/>
          <w:lang w:bidi="ar-SA"/>
        </w:rPr>
        <w:t>من أنّ التيمّم رافع للجنابة في الموضوع الخاصّ ، كما هو مقتضى الأدلّة ، وقد دفعنا الإشكال العقلي فيما مرّ</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رفعها فلا إشكال في أنّ مقتضى الأدلّة رفع مانعيتها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 ويقوم مقامه في كلّ ما له من الآثار ؛ بمقتضى عموم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عموم المنزلة ، حاكم على ما دلّ على أنّ الجنابة مانعة ، أو رفعها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بن مسلم ، فهي عن أحدهما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سأله عن الرجل تصيبه الجنابة في رمضان ، ثمّ ينام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استيقظ قبل أن يطلع الفجر ، فإن انتظر ماءً يسخّن أو يستقى فطلع الفجر ، فلا يقضي صومه</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 نّها بصدد بيان حكم آخر ؛ وهو حكم طلوع الفجر حال انتظار تسخين الماء أو استقائه ، لا لتكليفه عند ضيق الوقت ، فالسؤال إنّما هو عن طلوع الفجر فجأة ، وهو غير مربوط بالمقام ، كرواية إسماعيل بن عيسى عن الرضا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أصابته جنابة في آخر الليل ، فقام ليغتسل ولم يصب ماءً ، فذهب يطلبه ، أو بعث من يأتيه بالماء ، فعسر عليه حتّى أصبح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إذا جاءه ، ثمّ يصلّي</w:t>
      </w:r>
      <w:r>
        <w:rPr>
          <w:rFonts w:eastAsia="IRNazanin" w:cs="IRNazanin"/>
          <w:color w:val="111111"/>
          <w:sz w:val="28"/>
          <w:szCs w:val="28"/>
          <w:rtl w:val="true"/>
          <w:lang w:bidi="fa-IR"/>
        </w:rPr>
        <w:t>»</w:t>
      </w:r>
      <w:r>
        <w:rPr>
          <w:rStyle w:val="FootnoteAnchor"/>
          <w:rtl w:val="true"/>
        </w:rPr>
        <w:footnoteReference w:id="1260"/>
      </w:r>
      <w:r>
        <w:rPr>
          <w:rFonts w:ascii="Amiri" w:hAnsi="Amiri" w:eastAsia="Amiri" w:cs="Amiri"/>
          <w:color w:val="111111"/>
          <w:sz w:val="28"/>
          <w:sz w:val="28"/>
          <w:szCs w:val="28"/>
          <w:rtl w:val="true"/>
          <w:lang w:bidi="ar-SA"/>
        </w:rPr>
        <w:t xml:space="preserve">فإنّها أيضاً في مقام بيان حكم آخر ، فلا يمكن الاستشهاد عليه بسكوته في مقام البيان لصحّة الصوم مع ترك التيمّم عمداً ، كما لا يخفى </w:t>
      </w:r>
      <w:r>
        <w:rPr>
          <w:rFonts w:eastAsia="Amiri" w:cs="Amiri" w:ascii="Amiri" w:hAnsi="Amiri"/>
          <w:color w:val="111111"/>
          <w:sz w:val="28"/>
          <w:szCs w:val="28"/>
          <w:rtl w:val="true"/>
          <w:lang w:bidi="ar-SA"/>
        </w:rPr>
        <w:t xml:space="preserve">. </w:t>
      </w:r>
      <w:bookmarkStart w:id="565" w:name="pg17116_198936"/>
    </w:p>
    <w:p>
      <w:pPr>
        <w:pStyle w:val="Heading6"/>
        <w:numPr>
          <w:ilvl w:val="5"/>
          <w:numId w:val="1"/>
        </w:numPr>
        <w:rPr/>
      </w:pPr>
      <w:bookmarkStart w:id="566" w:name="__RefHeading___Toc8646223_3381743652"/>
      <w:bookmarkStart w:id="567" w:name="_Toc203"/>
      <w:bookmarkEnd w:id="565"/>
      <w:bookmarkEnd w:id="566"/>
      <w:r>
        <w:rPr>
          <w:rtl w:val="true"/>
        </w:rPr>
        <w:t>قيام التيمّم مقام الوضوءات والأغسال المستحبّة</w:t>
      </w:r>
      <w:bookmarkEnd w:id="567"/>
    </w:p>
    <w:p>
      <w:pPr>
        <w:pStyle w:val="BookText"/>
        <w:rPr/>
      </w:pPr>
      <w:r>
        <w:rPr>
          <w:rFonts w:ascii="Amiri" w:hAnsi="Amiri" w:eastAsia="Amiri" w:cs="Amiri"/>
          <w:color w:val="111111"/>
          <w:sz w:val="28"/>
          <w:sz w:val="28"/>
          <w:szCs w:val="28"/>
          <w:rtl w:val="true"/>
          <w:lang w:bidi="ar-SA"/>
        </w:rPr>
        <w:t xml:space="preserve">ثمّ إنّ مقتضى إطلاق المنزلة وعمومها، قيام التيمّم مقام الوضوءات المستحبّة؛ حتّى وضوء الحائض للذِكر ، والأغسال المستحبّة حتّى غسل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غير رافع ، وفي الثاني بذلك أيضاً ؛ بدعوى</w:t>
      </w:r>
      <w:r>
        <w:rPr>
          <w:rStyle w:val="FootnoteAnchor"/>
          <w:rtl w:val="true"/>
        </w:rPr>
        <w:footnoteReference w:id="1261"/>
      </w:r>
      <w:r>
        <w:rPr>
          <w:rFonts w:ascii="Amiri" w:hAnsi="Amiri" w:eastAsia="Amiri" w:cs="Amiri"/>
          <w:color w:val="111111"/>
          <w:sz w:val="28"/>
          <w:sz w:val="28"/>
          <w:szCs w:val="28"/>
          <w:rtl w:val="true"/>
          <w:lang w:bidi="ar-SA"/>
        </w:rPr>
        <w:t>انصراف الأدلّة إلى الرافع ، سيّما بملاحظة أنّ الحكمة في شرع بعضها التنظيف</w:t>
      </w:r>
      <w:r>
        <w:rPr>
          <w:rStyle w:val="FootnoteAnchor"/>
          <w:rtl w:val="true"/>
        </w:rPr>
        <w:footnoteReference w:id="1262"/>
      </w:r>
      <w:r>
        <w:rPr>
          <w:rFonts w:ascii="Amiri" w:hAnsi="Amiri" w:eastAsia="Amiri" w:cs="Amiri"/>
          <w:color w:val="111111"/>
          <w:sz w:val="28"/>
          <w:sz w:val="28"/>
          <w:szCs w:val="28"/>
          <w:rtl w:val="true"/>
          <w:lang w:bidi="ar-SA"/>
        </w:rPr>
        <w:t>مع سكوت روايات غسل الجمعة عن ذكر التيمّم ، خصوصاً الروايات المتعرّضة لعدم التمكّن من الغسل يوم الجمعة مع تعرّضها لتقديمه وقضائه يوم السبت</w:t>
      </w:r>
      <w:r>
        <w:rPr>
          <w:rStyle w:val="FootnoteAnchor"/>
          <w:rtl w:val="true"/>
        </w:rPr>
        <w:footnoteReference w:id="1263"/>
      </w:r>
      <w:r>
        <w:rPr>
          <w:rFonts w:ascii="Amiri" w:hAnsi="Amiri" w:eastAsia="Amiri" w:cs="Amiri"/>
          <w:color w:val="111111"/>
          <w:sz w:val="28"/>
          <w:sz w:val="28"/>
          <w:szCs w:val="28"/>
          <w:rtl w:val="true"/>
          <w:lang w:bidi="ar-SA"/>
        </w:rPr>
        <w:t xml:space="preserve">، لعلّه في غير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دعوى الانصراف فغير وجيهة ، خصوصاً مع حصول نحو طهارة لمطلق الوضوء ، بل الغسل ، كما ورد في رواية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إذا أراد أن يوبّخ الرجل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لأنت أعجز من تارك الغسل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يزال في طهر إلى الجمعة الاُخرى</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 استحباب الغسل لدخول مكّة</w:t>
      </w:r>
      <w:r>
        <w:rPr>
          <w:rStyle w:val="FootnoteAnchor"/>
          <w:rtl w:val="true"/>
        </w:rPr>
        <w:footnoteReference w:id="1265"/>
      </w:r>
      <w:r>
        <w:rPr>
          <w:rFonts w:ascii="Amiri" w:hAnsi="Amiri" w:eastAsia="Amiri" w:cs="Amiri"/>
          <w:color w:val="111111"/>
          <w:sz w:val="28"/>
          <w:sz w:val="28"/>
          <w:szCs w:val="28"/>
          <w:rtl w:val="true"/>
          <w:lang w:bidi="ar-SA"/>
        </w:rPr>
        <w:t xml:space="preserve">ما يُشعر بذلك بل الظاهر أنّ </w:t>
      </w:r>
    </w:p>
    <w:p>
      <w:pPr>
        <w:pStyle w:val="BookText"/>
        <w:rPr/>
      </w:pPr>
      <w:r>
        <w:rPr>
          <w:rFonts w:ascii="Amiri" w:hAnsi="Amiri" w:eastAsia="Amiri" w:cs="Amiri"/>
          <w:color w:val="111111"/>
          <w:sz w:val="28"/>
          <w:sz w:val="28"/>
          <w:szCs w:val="28"/>
          <w:rtl w:val="true"/>
          <w:lang w:bidi="ar-SA"/>
        </w:rPr>
        <w:t xml:space="preserve">كلاًّ من الغسل والوضوء ماهية واحدة موجبة لنحو طهارة ؛ وإن كانت للطهارة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تتّجه دعوى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التأييد للانصراف بأنّ الحكمة في شرع بعضها التنظيف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المشتملة على العلل ، أنّ الوضوء وغسل الجنابة وغسل الميّت وغسل مسّه للتنظيف</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غسل الميّت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ومعه لا يسوغ دعوى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التعرّض له في الروايات الواردة فيمن لا يتمكّن من الغسل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واردة فيمن نسي الغسل يوم الجمعة وفوّته ، ولم أرَ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فقدان الماء إلاّ في رواية واحدة</w:t>
      </w:r>
      <w:r>
        <w:rPr>
          <w:rStyle w:val="FootnoteAnchor"/>
          <w:rtl w:val="true"/>
        </w:rPr>
        <w:footnoteReference w:id="1267"/>
      </w:r>
      <w:r>
        <w:rPr>
          <w:rFonts w:ascii="Amiri" w:hAnsi="Amiri" w:eastAsia="Amiri" w:cs="Amiri"/>
          <w:color w:val="111111"/>
          <w:sz w:val="28"/>
          <w:sz w:val="28"/>
          <w:szCs w:val="28"/>
          <w:rtl w:val="true"/>
          <w:lang w:bidi="ar-SA"/>
        </w:rPr>
        <w:t>ولا يمكن رفع اليد عن إطلاق أدلّة البدلية</w:t>
      </w:r>
      <w:r>
        <w:rPr>
          <w:rStyle w:val="FootnoteAnchor"/>
          <w:rtl w:val="true"/>
        </w:rPr>
        <w:footnoteReference w:id="1268"/>
      </w:r>
      <w:r>
        <w:rPr>
          <w:rFonts w:ascii="Amiri" w:hAnsi="Amiri" w:eastAsia="Amiri" w:cs="Amiri"/>
          <w:color w:val="111111"/>
          <w:sz w:val="28"/>
          <w:sz w:val="28"/>
          <w:szCs w:val="28"/>
          <w:rtl w:val="true"/>
          <w:lang w:bidi="ar-SA"/>
        </w:rPr>
        <w:t xml:space="preserve">بمجرّد عدم التعرّض في رواية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التقديم</w:t>
      </w:r>
      <w:r>
        <w:rPr>
          <w:rStyle w:val="FootnoteAnchor"/>
          <w:rtl w:val="true"/>
        </w:rPr>
        <w:footnoteReference w:id="1269"/>
      </w:r>
      <w:r>
        <w:rPr>
          <w:rFonts w:ascii="Amiri" w:hAnsi="Amiri" w:eastAsia="Amiri" w:cs="Amiri"/>
          <w:color w:val="111111"/>
          <w:sz w:val="28"/>
          <w:sz w:val="28"/>
          <w:szCs w:val="28"/>
          <w:rtl w:val="true"/>
          <w:lang w:bidi="ar-SA"/>
        </w:rPr>
        <w:t>فلا تشعر بالمقصود ؛ لأ نّه مع شرعيته لا تبقى للبدلية</w:t>
      </w:r>
    </w:p>
    <w:p>
      <w:pPr>
        <w:pStyle w:val="BookText"/>
        <w:rPr/>
      </w:pPr>
      <w:r>
        <w:rPr>
          <w:rFonts w:ascii="Amiri" w:hAnsi="Amiri" w:eastAsia="Amiri" w:cs="Amiri"/>
          <w:color w:val="111111"/>
          <w:sz w:val="28"/>
          <w:sz w:val="28"/>
          <w:szCs w:val="28"/>
          <w:rtl w:val="true"/>
          <w:lang w:bidi="ar-SA"/>
        </w:rPr>
        <w:t xml:space="preserve">مجال ، تأمّل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ما ذكرناه ، والأحوط الإتيان به رجاءً </w:t>
      </w:r>
      <w:r>
        <w:rPr>
          <w:rFonts w:eastAsia="Amiri" w:cs="Amiri" w:ascii="Amiri" w:hAnsi="Amiri"/>
          <w:color w:val="111111"/>
          <w:sz w:val="28"/>
          <w:szCs w:val="28"/>
          <w:rtl w:val="true"/>
          <w:lang w:bidi="ar-SA"/>
        </w:rPr>
        <w:t xml:space="preserve">. </w:t>
      </w:r>
      <w:bookmarkStart w:id="568" w:name="pg17116_198938"/>
    </w:p>
    <w:p>
      <w:pPr>
        <w:pStyle w:val="Heading5"/>
        <w:numPr>
          <w:ilvl w:val="4"/>
          <w:numId w:val="1"/>
        </w:numPr>
        <w:rPr/>
      </w:pPr>
      <w:bookmarkStart w:id="569" w:name="__RefHeading___Toc8646225_3381743652"/>
      <w:bookmarkStart w:id="570" w:name="_Toc204"/>
      <w:bookmarkEnd w:id="568"/>
      <w:bookmarkEnd w:id="569"/>
      <w:r>
        <w:rPr>
          <w:rtl w:val="true"/>
        </w:rPr>
        <w:t>الأمر السابع</w:t>
      </w:r>
      <w:r>
        <w:rPr>
          <w:rtl w:val="true"/>
        </w:rPr>
        <w:t xml:space="preserve">: </w:t>
      </w:r>
      <w:r>
        <w:rPr>
          <w:rtl w:val="true"/>
        </w:rPr>
        <w:t>في حكم اجتماع ميّت وجنب ومحدث بالأصغر</w:t>
      </w:r>
      <w:bookmarkEnd w:id="570"/>
    </w:p>
    <w:p>
      <w:pPr>
        <w:pStyle w:val="BookText"/>
        <w:rPr/>
      </w:pPr>
      <w:r>
        <w:rPr>
          <w:rFonts w:ascii="Amiri" w:hAnsi="Amiri" w:eastAsia="Amiri" w:cs="Amiri"/>
          <w:color w:val="111111"/>
          <w:sz w:val="28"/>
          <w:sz w:val="28"/>
          <w:szCs w:val="28"/>
          <w:rtl w:val="true"/>
          <w:lang w:bidi="ar-SA"/>
        </w:rPr>
        <w:t xml:space="preserve">إذا اجتمع ميّت وجنب ومحدث بالأصغر ، ومعهم من الماء ما يكفي أحدهم ، فإن كان ملكاً لأحدهم اختصّ به ، ويحرم على غيره التصرّف فيه من 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المالك هو الميّت تعيّن صرفه فيه ؛ لأ نّه أولى بماء غسله من غيره حتّى 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لغيره فلا يبعد القول بجواز إيثاره على نفسه ، 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الدليل على وجوب حفظه حتّى مع العلم بعدم الإصابة في مثل المورد ؛ لأنّ المتيقّن من الأدلّة اللبّية ، إنّما هو حرمة تفويت التكليف بإراقة الماء ونحوه ممّا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فراراً من التكليف ، وأمّا حرمة صرفه في مقاصده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أهمّها احترام موتاهم بتغسيلها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وذلك لما عرفت في محلّه من دلالة الآية وغيرها على عدم جواز تعذير العبد نفسه</w:t>
      </w:r>
      <w:r>
        <w:rPr>
          <w:rStyle w:val="FootnoteAnchor"/>
          <w:rtl w:val="true"/>
        </w:rPr>
        <w:footnoteReference w:id="1271"/>
      </w:r>
      <w:r>
        <w:rPr>
          <w:rFonts w:ascii="Amiri" w:hAnsi="Amiri" w:eastAsia="Amiri" w:cs="Amiri"/>
          <w:color w:val="111111"/>
          <w:sz w:val="28"/>
          <w:sz w:val="28"/>
          <w:szCs w:val="28"/>
          <w:rtl w:val="true"/>
          <w:lang w:bidi="ar-SA"/>
        </w:rPr>
        <w:t xml:space="preserve">، ومقتضى إطلاقها عدم الفرق بين المقامات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استفادة الحكم من الأدلّة المتفرّقة في تجويز التيمّم بخوف العطش ولو على الدوابّ</w:t>
      </w:r>
      <w:r>
        <w:rPr>
          <w:rStyle w:val="FootnoteAnchor"/>
          <w:rtl w:val="true"/>
        </w:rPr>
        <w:footnoteReference w:id="1272"/>
      </w:r>
      <w:r>
        <w:rPr>
          <w:rFonts w:ascii="Amiri" w:hAnsi="Amiri" w:eastAsia="Amiri" w:cs="Amiri"/>
          <w:color w:val="111111"/>
          <w:sz w:val="28"/>
          <w:sz w:val="28"/>
          <w:szCs w:val="28"/>
          <w:rtl w:val="true"/>
          <w:lang w:bidi="ar-SA"/>
        </w:rPr>
        <w:t>وفي مورد الدخول في الركية</w:t>
      </w:r>
      <w:r>
        <w:rPr>
          <w:rStyle w:val="FootnoteAnchor"/>
          <w:rtl w:val="true"/>
        </w:rPr>
        <w:footnoteReference w:id="1273"/>
      </w:r>
      <w:r>
        <w:rPr>
          <w:rFonts w:ascii="Amiri" w:hAnsi="Amiri" w:eastAsia="Amiri" w:cs="Amiri"/>
          <w:color w:val="111111"/>
          <w:sz w:val="28"/>
          <w:sz w:val="28"/>
          <w:szCs w:val="28"/>
          <w:rtl w:val="true"/>
          <w:lang w:bidi="ar-SA"/>
        </w:rPr>
        <w:t>وغيرهما من الموارد</w:t>
      </w:r>
      <w:r>
        <w:rPr>
          <w:rStyle w:val="FootnoteAnchor"/>
          <w:rtl w:val="true"/>
        </w:rPr>
        <w:footnoteReference w:id="1274"/>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جواز صرف الماء في مطلق المقاصد العقلائية ،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العقل الحاكم في مقام الإطاعة وكيفيتها ، لا يرى ذلك مخالفة لأمر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إذا أمر عبيده بشيء ، كتنظيف بدنهم حين الورود على محضره ؛ بحيث يكون في تنظيف كلّ واحد منهم غرض إلزامي ، ولم يوجد ماء كافٍ لجميعهم ، ولم يمكن حصول أغراض المولى ؛ لقصور الماء ، ولم يكن في نظره فرق بين فعل النظافة منه ومن غيره ، وتركها كذلك ، لا يعدّ العقل من آثر غيره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 ماءه لإطاعة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لأمره ، بعد كون المولى واحداً ، والعبيدِ كلّهم موظّفين بإطاعته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العبيد لمولى واحد ، وعملهم لتحصيل غرضه ، لا يفرّق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المزاحمة وعدم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السقوط منه ومن غيره ، بل لو آثر غيره على نفسه لوصوله إلى المثوبة ، يكون مأجوراً ؛ للإيثار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 ما إذا كان الماء مباحاً ، فإنّ التخلية بينه وبين غيره وإيثاره على نفسه ، حسن عقلاً ، وليس مخالفاً لأمره ؛ بعد أن لا يكون غرضه الإهمال </w:t>
      </w:r>
    </w:p>
    <w:p>
      <w:pPr>
        <w:pStyle w:val="BookText"/>
        <w:rPr/>
      </w:pPr>
      <w:r>
        <w:rPr>
          <w:rFonts w:ascii="Amiri" w:hAnsi="Amiri" w:eastAsia="Amiri" w:cs="Amiri"/>
          <w:color w:val="111111"/>
          <w:sz w:val="28"/>
          <w:sz w:val="28"/>
          <w:szCs w:val="28"/>
          <w:rtl w:val="true"/>
          <w:lang w:bidi="ar-SA"/>
        </w:rPr>
        <w:t xml:space="preserve">في أمره ، والتواني في إطاعته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العبيد بالنسبة إلى إطاعة المولى الواحد في المزاحمة ، كعبد واحد بالنسبة إلى تكاليف متعدّدة متساوية في مقام المزاحمة ، فكما يحكم العقل بعدم الترجيح في الثاني ، يحكم بعدمه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وإن أمكن أن يكون بعيداً من الأذهان ابتداءً ، لكن بالنظر والتأمّل في الموالي العرفية والعبيد المأمورين بتحصيل أغراضهم ، يرفع الاستبعاد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تكون الروايات الواردة في الباب ، وترجيح الجنب في مقام الدوران بين رفع الجنابة ورفع الحدث الأصغر وغسل الميّت وترجيح رفع الحدث الأصغر من جماعة ورفع الجنابة من واحد ؛ لأجل ما ذكرناه من اعتبار المكلّفين كأ نّهم شخص واحد مأمور بتحصيل غرض المولى ، وإلاّ فلا وجه للترجيح في التكاليف المتعدّدة والأشخاص المختلفة ؛ لعدم التعارض بينها إلاّ باعتبار ما ذكر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عبد الرحمان بن أبي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الحسن موسى بن جعفر علیه السلام  عن ثلاثة نفر كانوا في سفر ؛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وضوء ، وحضرت الصلاة ، ومعهم من الماء قدر ما يكفي أحدهم ، من يأخذ الماء ، وكيف يصنعون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الجنب ، ويدفن الميّت بتيمّم ، ويتيمّم الذي هو على غير وضوء ؛ لأنّ غسل الجنابة فريضة ، وغسل الميّت سنّة ، والتيمّم للآخر جائز</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رواية الحسين بن النضر الأرمني</w:t>
      </w:r>
      <w:r>
        <w:rPr>
          <w:rStyle w:val="FootnoteAnchor"/>
          <w:rtl w:val="true"/>
        </w:rPr>
        <w:footnoteReference w:id="1276"/>
      </w:r>
      <w:r>
        <w:rPr>
          <w:rFonts w:ascii="Amiri" w:hAnsi="Amiri" w:eastAsia="Amiri" w:cs="Amiri"/>
          <w:color w:val="111111"/>
          <w:sz w:val="28"/>
          <w:sz w:val="28"/>
          <w:szCs w:val="28"/>
          <w:rtl w:val="true"/>
          <w:lang w:bidi="ar-SA"/>
        </w:rPr>
        <w:t xml:space="preserve">إلاّ أنّ فيها فرض ميّت وجنب ، ورواية الحسن التفليسي ، وفي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سُنّة وفريضة بدئ بالفرض</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قوم كانوا في سفر ، فأصاب بعضهم جنابة ، وليس معهم من الماء إلاّ ما يكفي الجنب لغسله ، يتوضّؤون هم هو أفضل ، أو يعطون الجنب فيغتسل وهم لا يتوضّؤون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يتوضّؤون هم ، ويتيمّم الجنب</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وقوع المزاحمة والترجيح بما ذكر ، إنّما هو لكون المولى واحداً والعبيد كأ نّهم واحد ، كما أشرنا إليه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ترك الاستفصال في الروايات عدم الفرق بين كون الماء مشتركاً بينهم ، أو مختصّاً بأحدهم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التعليل هو كون الترجيح استحبابياً لا إلزامياً ، كما يظهر من المحقّق الإجماع عليه</w:t>
      </w:r>
      <w:r>
        <w:rPr>
          <w:rStyle w:val="FootnoteAnchor"/>
          <w:rtl w:val="true"/>
        </w:rPr>
        <w:footnoteReference w:id="1279"/>
      </w:r>
      <w:r>
        <w:rPr>
          <w:rFonts w:ascii="Amiri" w:hAnsi="Amiri" w:eastAsia="Amiri" w:cs="Amiri"/>
          <w:color w:val="111111"/>
          <w:sz w:val="28"/>
          <w:sz w:val="28"/>
          <w:szCs w:val="28"/>
          <w:rtl w:val="true"/>
          <w:lang w:bidi="ar-SA"/>
        </w:rPr>
        <w:t xml:space="preserve">، 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على الروايات إذا كان الميّت مالكاً ، مشكل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جواز العمل إذا كان شريكاً ؛ لعدم لزوم إعطاء الشريك ماءه </w:t>
      </w:r>
    </w:p>
    <w:p>
      <w:pPr>
        <w:pStyle w:val="BookText"/>
        <w:rPr/>
      </w:pPr>
      <w:r>
        <w:rPr>
          <w:rFonts w:ascii="Amiri" w:hAnsi="Amiri" w:eastAsia="Amiri" w:cs="Amiri"/>
          <w:color w:val="111111"/>
          <w:sz w:val="28"/>
          <w:sz w:val="28"/>
          <w:szCs w:val="28"/>
          <w:rtl w:val="true"/>
          <w:lang w:bidi="ar-SA"/>
        </w:rPr>
        <w:t xml:space="preserve">لتغسيله ، ومعه يكون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يفسد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التصرّف فيه وتقويمه ، أو يرجع إلى ورثته ، ويجوز لهم التبرّع به لغسل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الروايات على كون الماء مباحاً أصلياً ، فغير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بالعمل بموثّقة أبي بصير بعد كون الترجيح استحبابياً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مرسلة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w:t>
      </w:r>
      <w:r>
        <w:rPr>
          <w:rStyle w:val="FootnoteAnchor"/>
          <w:rtl w:val="true"/>
        </w:rPr>
        <w:footnoteReference w:id="1280"/>
      </w:r>
      <w:r>
        <w:rPr>
          <w:rFonts w:ascii="IRNazanin" w:hAnsi="IRNazanin" w:eastAsia="IRNazanin"/>
          <w:color w:val="111111"/>
          <w:sz w:val="28"/>
          <w:sz w:val="28"/>
          <w:szCs w:val="28"/>
          <w:rtl w:val="true"/>
          <w:lang w:bidi="fa-IR"/>
        </w:rPr>
        <w:t xml:space="preserve">فمع ضعفها </w:t>
      </w:r>
      <w:r>
        <w:rPr>
          <w:rStyle w:val="FootnoteAnchor"/>
          <w:rtl w:val="true"/>
        </w:rPr>
        <w:footnoteReference w:id="1281"/>
      </w:r>
      <w:r>
        <w:rPr>
          <w:rFonts w:ascii="Amiri" w:hAnsi="Amiri" w:eastAsia="Amiri" w:cs="Amiri"/>
          <w:color w:val="111111"/>
          <w:sz w:val="28"/>
          <w:sz w:val="28"/>
          <w:szCs w:val="28"/>
          <w:rtl w:val="true"/>
          <w:lang w:bidi="ar-SA"/>
        </w:rPr>
        <w:t>ومخالفتها للمعتبرة وفتاوى الأصحاب</w:t>
      </w:r>
      <w:r>
        <w:rPr>
          <w:rStyle w:val="FootnoteAnchor"/>
          <w:rtl w:val="true"/>
        </w:rPr>
        <w:footnoteReference w:id="1282"/>
      </w:r>
      <w:r>
        <w:rPr>
          <w:rFonts w:ascii="Amiri" w:hAnsi="Amiri" w:eastAsia="Amiri" w:cs="Amiri"/>
          <w:color w:val="111111"/>
          <w:sz w:val="28"/>
          <w:sz w:val="28"/>
          <w:szCs w:val="28"/>
          <w:rtl w:val="true"/>
          <w:lang w:bidi="ar-SA"/>
        </w:rPr>
        <w:t xml:space="preserve">، لا يعوّل عليها </w:t>
      </w:r>
      <w:r>
        <w:rPr>
          <w:rFonts w:eastAsia="Amiri" w:cs="Amiri" w:ascii="Amiri" w:hAnsi="Amiri"/>
          <w:color w:val="111111"/>
          <w:sz w:val="28"/>
          <w:szCs w:val="28"/>
          <w:rtl w:val="true"/>
          <w:lang w:bidi="ar-SA"/>
        </w:rPr>
        <w:t xml:space="preserve">. </w:t>
      </w:r>
      <w:bookmarkStart w:id="571" w:name="pg17116_198943"/>
    </w:p>
    <w:p>
      <w:pPr>
        <w:pStyle w:val="Heading5"/>
        <w:numPr>
          <w:ilvl w:val="4"/>
          <w:numId w:val="1"/>
        </w:numPr>
        <w:rPr/>
      </w:pPr>
      <w:bookmarkStart w:id="572" w:name="__RefHeading___Toc8646227_3381743652"/>
      <w:bookmarkStart w:id="573" w:name="_Toc205"/>
      <w:bookmarkEnd w:id="571"/>
      <w:bookmarkEnd w:id="572"/>
      <w:r>
        <w:rPr>
          <w:rtl w:val="true"/>
        </w:rPr>
        <w:t>الأمر الثامن</w:t>
      </w:r>
      <w:r>
        <w:rPr>
          <w:rtl w:val="true"/>
        </w:rPr>
        <w:t xml:space="preserve">: </w:t>
      </w:r>
      <w:r>
        <w:rPr>
          <w:rtl w:val="true"/>
        </w:rPr>
        <w:t>في حكم الجنب المتيمّم إذا أحدث بالأصغر</w:t>
      </w:r>
      <w:bookmarkEnd w:id="573"/>
    </w:p>
    <w:p>
      <w:pPr>
        <w:pStyle w:val="Heading6"/>
        <w:numPr>
          <w:ilvl w:val="5"/>
          <w:numId w:val="1"/>
        </w:numPr>
        <w:rPr/>
      </w:pPr>
      <w:bookmarkStart w:id="574" w:name="__RefHeading___Toc8646229_3381743652"/>
      <w:bookmarkStart w:id="575" w:name="_Toc206"/>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إذا تيمّم الجنب بدلاً من الغسل ، ثمّ أحدث بالأصغر ، فعن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أعاد بدلاً من الغسل ، ولا يتوضّأ لو وجد ماءً بقدر الوضوء</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المجنب إذا تيمّم ثمّ أحدث حدثاً أصغر ووجد ما يكفيه للوضوء توضّأ ؛ لأنّ حدثه الأوّل قد ارتفع ، وجاء ما يوجب الصغرى ، وقد وجد من الماء ما يكفيه لها ، فيجب عليه استعماله</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وأجابوا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بقيام الإجماع على أنّ التيمّم ليس برافع ، بل هو مبيح ، والجنابة باقية ، وزالت الإباحة بالحدث الأصغر ، فيجب عليه الغسل ، ومع فقد الماء التيمّم بدله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الاستدلال وجوابه أنّ المسألة مبتنية على المسألة المتقدّمة ، ومع القول بالرافعية لا مجال للقول المشهور ، ومع القول بالاستباحة لا مجال لقول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 لإمكان القول بالرافعية إلى غاية حصول الحدث ، وإمكان القول بأ نّه مبيح لا ترفع إباحته من حيث الجنابة بحدوث الأصغر ، فلا بدّ من النظر في الأدلّة على كلا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أدلّة التنزيل والبدلية كتاباً </w:t>
      </w:r>
      <w:r>
        <w:rPr>
          <w:rStyle w:val="FootnoteAnchor"/>
          <w:rtl w:val="true"/>
        </w:rPr>
        <w:footnoteReference w:id="1286"/>
      </w:r>
      <w:r>
        <w:rPr>
          <w:rFonts w:ascii="Amiri" w:hAnsi="Amiri" w:eastAsia="Amiri" w:cs="Amiri"/>
          <w:color w:val="111111"/>
          <w:sz w:val="28"/>
          <w:sz w:val="28"/>
          <w:szCs w:val="28"/>
          <w:rtl w:val="true"/>
          <w:lang w:bidi="ar-SA"/>
        </w:rPr>
        <w:t>وسنّة</w:t>
      </w:r>
      <w:r>
        <w:rPr>
          <w:rStyle w:val="FootnoteAnchor"/>
          <w:rtl w:val="true"/>
        </w:rPr>
        <w:footnoteReference w:id="1287"/>
      </w:r>
      <w:r>
        <w:rPr>
          <w:rFonts w:ascii="Amiri" w:hAnsi="Amiri" w:eastAsia="Amiri" w:cs="Amiri"/>
          <w:color w:val="111111"/>
          <w:sz w:val="28"/>
          <w:sz w:val="28"/>
          <w:szCs w:val="28"/>
          <w:rtl w:val="true"/>
          <w:lang w:bidi="ar-SA"/>
        </w:rPr>
        <w:t xml:space="preserve">، قيام التيمّم مقام الغسل والوضوء في جميع ما لهما من الآثار ؛ سواء قلنا بطهوريته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فواضح ؛ لأنّ الطهور من الجنابة لا ينتقض إلاّ بجنابة جديدة ، نعم لو قام دليل خاصّ على انتقاضه بالحدث الأصغر ، لالتزمنا بكونه طهوراً إلى غاية ، وإلاّ فمقتضى إطلاق الأدلّة طهوريته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بكونه طهوراً للعاجز ؛ لقيام الدليل على الاغتسال بعد رفع العجز ، كما تقدّم</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الاستباحة ؛ فلأنّ غاية ما نرفع اليد به عن إطلاق الأدلّة وتنزيل التراب منزلة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قيام دليل عقلي أو غيره على عدم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قيامه مقامه في الرافعية ، فيكون الدليل الخارجي قرينة على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الطهورين تنزيلاً ؛ أي بمنزلة الطهور ، فيكون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الإطلاق أ نّه طهور تعبّدي تنزيلي في جميع الآثار ، فنزّل الشارع المقدّس الجنابة منزلة العدم ، والتيمّم منزلة الطهور والغسل ، فكما أنّ الغسل </w:t>
      </w:r>
    </w:p>
    <w:p>
      <w:pPr>
        <w:pStyle w:val="BookText"/>
        <w:rPr/>
      </w:pPr>
      <w:r>
        <w:rPr>
          <w:rFonts w:ascii="Amiri" w:hAnsi="Amiri" w:eastAsia="Amiri" w:cs="Amiri"/>
          <w:color w:val="111111"/>
          <w:sz w:val="28"/>
          <w:sz w:val="28"/>
          <w:szCs w:val="28"/>
          <w:rtl w:val="true"/>
          <w:lang w:bidi="ar-SA"/>
        </w:rPr>
        <w:t xml:space="preserve">والطهور من الجنابة لا ينتقض بالأصغر ، كذلك ما هو بمنزلته ، بل هو هو في عالم التنزيل ، فلا بدّ من قيام دليل على ذلك حتّى ترفع اليد عن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إنكار إطلاقها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التنزيل ناظرة إلى التنزيل في أصل التحقّق ، لا في الناقض ، فيمكن أن يكون البول مثلاً ناقضاً ، ولا إطلاق لها لرفع هذا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المراد أنّ مفادها حصول الطهور ، أو ما هو بمنزلته مطلقاً للفاقد ، ويكون البول موجباً لحدوث جنابة جديدة ، فهو مخالف للضرورة والأدلّة ، فلا بدّ من الالتزام بحصول الطهارة لموضوع خاصّ ، مثل من لم يحدث ، أو إلى أمد خاصّ ؛ أي إلى حين الحدث ، فيرجع إلى التقييد في موضوع الأدلّة الدالّة على أ نّه طهور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الالتزام بمقالة المشهور حتّى مع القول بطهورية التيمّم ؛ بدعوى أنّ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وجودية ، والحدث أيضاً قذارة معنوية ، فنلتزم بعدم المضادّة بين الوصفين ذاتاً ، بل التنافي بين أثريهما ،</w:t>
      </w:r>
    </w:p>
    <w:p>
      <w:pPr>
        <w:pStyle w:val="BookText"/>
        <w:rPr/>
      </w:pPr>
      <w:r>
        <w:rPr>
          <w:rFonts w:ascii="Amiri" w:hAnsi="Amiri" w:eastAsia="Amiri" w:cs="Amiri"/>
          <w:color w:val="111111"/>
          <w:sz w:val="28"/>
          <w:sz w:val="28"/>
          <w:szCs w:val="28"/>
          <w:rtl w:val="true"/>
          <w:lang w:bidi="ar-SA"/>
        </w:rPr>
        <w:t>كما أنّ المسلوس طاهر ومحدث حقيقة ، وغسل الجنابة رافع لحدث الجنابة ، ومفيد للطهارة التي هي شرط الصلاة ، وأمّا التيمّم فإنّما يقوم مقام الغسل والوضوء في الطهورية المسوّغة لاستباحة الغايات ؛ أي المجامعة مع المانع ، لا بصفة المانعية ، وأمّا كونه بمنزلتهما في إزالة ذات المانع فالأدلّة قاصرة</w:t>
      </w:r>
    </w:p>
    <w:p>
      <w:pPr>
        <w:pStyle w:val="BookText"/>
        <w:rPr/>
      </w:pPr>
      <w:r>
        <w:rPr>
          <w:rFonts w:ascii="IRNazanin" w:hAnsi="IRNazanin" w:eastAsia="IRNazanin"/>
          <w:color w:val="111111"/>
          <w:sz w:val="28"/>
          <w:sz w:val="28"/>
          <w:szCs w:val="28"/>
          <w:rtl w:val="true"/>
          <w:lang w:bidi="fa-IR"/>
        </w:rPr>
        <w:t xml:space="preserve">عن إثباته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دلّ على أ نّه طهور فواضح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على أنّ التراب بمنزلة الماء ، فهو وإن اقتضى عموم المنزلة ، لكن </w:t>
      </w:r>
    </w:p>
    <w:p>
      <w:pPr>
        <w:pStyle w:val="BookText"/>
        <w:rPr/>
      </w:pPr>
      <w:r>
        <w:rPr>
          <w:rFonts w:ascii="Amiri" w:hAnsi="Amiri" w:eastAsia="Amiri" w:cs="Amiri"/>
          <w:color w:val="111111"/>
          <w:sz w:val="28"/>
          <w:sz w:val="28"/>
          <w:szCs w:val="28"/>
          <w:rtl w:val="true"/>
          <w:lang w:bidi="ar-SA"/>
        </w:rPr>
        <w:t>العلم ببقاء الأثر في الجملة المقتضي لوجوب الغسل لدى القدرة ، موجب لصرف الذهن عن إرادة التشبيه في إزالة الذات</w:t>
      </w:r>
      <w:r>
        <w:rPr>
          <w:rStyle w:val="FootnoteAnchor"/>
          <w:rtl w:val="true"/>
        </w:rPr>
        <w:footnoteReference w:id="1289"/>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تأمّل وتردّد وأمر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التضادّ بين الصفتين ارتكازي بين المتشرّعة ، وأنّ القطرات غير الاختيارية في المسلوس والمبطون ، ليست سبباً للحدث بمقتضى الجمع بين الأدلّة كما حقّق في محلّه</w:t>
      </w:r>
      <w:r>
        <w:rPr>
          <w:rStyle w:val="FootnoteAnchor"/>
          <w:rtl w:val="true"/>
        </w:rPr>
        <w:footnoteReference w:id="1290"/>
      </w:r>
      <w:r>
        <w:rPr>
          <w:rFonts w:ascii="Amiri" w:hAnsi="Amiri" w:eastAsia="Amiri" w:cs="Amiri"/>
          <w:color w:val="111111"/>
          <w:sz w:val="28"/>
          <w:sz w:val="28"/>
          <w:szCs w:val="28"/>
          <w:rtl w:val="true"/>
          <w:lang w:bidi="ar-SA"/>
        </w:rPr>
        <w:t xml:space="preserve">وأنّ الحدث مانع للصلاة ، لا الطهارة شرط على الأقرب وإنّما اُمر بالطهارة لإزالة الجنابة وسائر الأحداث ؛ وإن يوهم شرطيتَها بعضُ الأدلّة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تذيّله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ويجزيك من الاستنجاء ثلاثة أحجار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يُدفع التوهّم ، كما أشرنا إليه</w:t>
      </w:r>
      <w:r>
        <w:rPr>
          <w:rStyle w:val="FootnoteAnchor"/>
          <w:rtl w:val="true"/>
        </w:rPr>
        <w:footnoteReference w:id="1292"/>
      </w:r>
      <w:r>
        <w:rPr>
          <w:rFonts w:ascii="Amiri" w:hAnsi="Amiri" w:eastAsia="Amiri" w:cs="Amiri"/>
          <w:color w:val="111111"/>
          <w:sz w:val="28"/>
          <w:sz w:val="28"/>
          <w:szCs w:val="28"/>
          <w:rtl w:val="true"/>
          <w:lang w:bidi="ar-SA"/>
        </w:rPr>
        <w:t xml:space="preserve">، 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ظاهر في أنّ الأمر بالاغتسال لإزالة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دلالة الأدلّة على إزالة ذات المانع ، في غير محلّه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الكريمة فمع تصديرها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كالنصّ في أنّ الغسل مزيل للجنابة ورافع لها ، وليس ذلك إلاّ للتضادّ بين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ظاهرة جدّاً في أنّ التيمّم أيضاً رافع عند فقدان الماء ؛ لما تقدّم </w:t>
      </w:r>
    </w:p>
    <w:p>
      <w:pPr>
        <w:pStyle w:val="BookText"/>
        <w:rPr/>
      </w:pPr>
      <w:r>
        <w:rPr>
          <w:rFonts w:ascii="Amiri" w:hAnsi="Amiri" w:eastAsia="Amiri" w:cs="Amiri"/>
          <w:color w:val="111111"/>
          <w:sz w:val="28"/>
          <w:sz w:val="28"/>
          <w:szCs w:val="28"/>
          <w:rtl w:val="true"/>
          <w:lang w:bidi="ar-SA"/>
        </w:rPr>
        <w:t xml:space="preserve">مراراً من استفادة عموم التنزيل منها </w:t>
      </w:r>
      <w:r>
        <w:rPr>
          <w:rStyle w:val="FootnoteAnchor"/>
          <w:rtl w:val="true"/>
        </w:rPr>
        <w:footnoteReference w:id="1294"/>
      </w:r>
      <w:r>
        <w:rPr>
          <w:rFonts w:ascii="Amiri" w:hAnsi="Amiri" w:eastAsia="Amiri" w:cs="Amiri"/>
          <w:color w:val="111111"/>
          <w:sz w:val="28"/>
          <w:sz w:val="28"/>
          <w:szCs w:val="28"/>
          <w:rtl w:val="true"/>
          <w:lang w:bidi="ar-SA"/>
        </w:rPr>
        <w:t xml:space="preserve">ولو لم تكن مذيّلة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يبقى مجالُ تشكيكٍ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الدليل العقلي المعروف بينهم</w:t>
      </w:r>
      <w:r>
        <w:rPr>
          <w:rStyle w:val="FootnoteAnchor"/>
          <w:rtl w:val="true"/>
        </w:rPr>
        <w:footnoteReference w:id="1295"/>
      </w:r>
      <w:r>
        <w:rPr>
          <w:rFonts w:ascii="Amiri" w:hAnsi="Amiri" w:eastAsia="Amiri" w:cs="Amiri"/>
          <w:color w:val="111111"/>
          <w:sz w:val="28"/>
          <w:sz w:val="28"/>
          <w:szCs w:val="28"/>
          <w:rtl w:val="true"/>
          <w:lang w:bidi="ar-SA"/>
        </w:rPr>
        <w:t>تامّاً ، لما كان بدّ من توجيهها وتوجيه سائر الأدلّة التي هي كالنصّ في الطهورية</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إعراض القوم عن هذا الظاهر والتزامهم بالاستباحة ؛ لأجل المانع العقلي ، كما هو المعوّل عليه من زمن شيخ الطائفة رضى‌الله‌عنه</w:t>
      </w:r>
      <w:r>
        <w:rPr>
          <w:rStyle w:val="FootnoteAnchor"/>
          <w:rtl w:val="true"/>
        </w:rPr>
        <w:footnoteReference w:id="1297"/>
      </w:r>
      <w:r>
        <w:rPr>
          <w:rFonts w:ascii="Amiri" w:hAnsi="Amiri" w:eastAsia="Amiri" w:cs="Amiri"/>
          <w:color w:val="111111"/>
          <w:sz w:val="28"/>
          <w:sz w:val="28"/>
          <w:szCs w:val="28"/>
          <w:rtl w:val="true"/>
          <w:lang w:bidi="ar-SA"/>
        </w:rPr>
        <w:t>وبعد ما تقدّم من تصوير الرافعية من غير لزوم إشكال عقلي</w:t>
      </w:r>
      <w:r>
        <w:rPr>
          <w:rStyle w:val="FootnoteAnchor"/>
          <w:rtl w:val="true"/>
        </w:rPr>
        <w:footnoteReference w:id="1298"/>
      </w:r>
      <w:r>
        <w:rPr>
          <w:rFonts w:ascii="Amiri" w:hAnsi="Amiri" w:eastAsia="Amiri" w:cs="Amiri"/>
          <w:color w:val="111111"/>
          <w:sz w:val="28"/>
          <w:sz w:val="28"/>
          <w:szCs w:val="28"/>
          <w:rtl w:val="true"/>
          <w:lang w:bidi="ar-SA"/>
        </w:rPr>
        <w:t xml:space="preserve">، لا يبقى مجال لردّ الأدلّة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دعوى وضوح عدم دلالة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على كونه مزيلاً لذات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صَرف مثل تلك الأخبار عن الدلالة على إزالة قذارة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في حكمها ، كالطرح للأدلّة بلا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هذه الطائفة أوضح بمراتب من دلالة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كما لا يخفى بأدنى تأمّل </w:t>
      </w:r>
      <w:r>
        <w:rPr>
          <w:rFonts w:eastAsia="Amiri" w:cs="Amiri" w:ascii="Amiri" w:hAnsi="Amiri"/>
          <w:color w:val="111111"/>
          <w:sz w:val="28"/>
          <w:szCs w:val="28"/>
          <w:rtl w:val="true"/>
          <w:lang w:bidi="ar-SA"/>
        </w:rPr>
        <w:t xml:space="preserve">. </w:t>
      </w:r>
      <w:bookmarkStart w:id="576" w:name="pg17116_198948"/>
    </w:p>
    <w:p>
      <w:pPr>
        <w:pStyle w:val="BookText"/>
        <w:rPr/>
      </w:pPr>
      <w:bookmarkEnd w:id="576"/>
      <w:r>
        <w:rPr>
          <w:rFonts w:ascii="Amiri" w:hAnsi="Amiri" w:eastAsia="Amiri" w:cs="Amiri"/>
          <w:color w:val="111111"/>
          <w:sz w:val="28"/>
          <w:sz w:val="28"/>
          <w:szCs w:val="28"/>
          <w:rtl w:val="true"/>
          <w:lang w:bidi="ar-SA"/>
        </w:rPr>
        <w:t>فالأدلّة دالّة على المقصود ولو قلنا بمقالة المشهور في مسألة الاستباحة والرفع</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هنا بعض الروايات استدلّ بها للقول المشهور</w:t>
      </w:r>
      <w:r>
        <w:rPr>
          <w:rStyle w:val="FootnoteAnchor"/>
          <w:rtl w:val="true"/>
        </w:rPr>
        <w:footnoteReference w:id="1303"/>
      </w:r>
      <w:r>
        <w:rPr>
          <w:rFonts w:ascii="Amiri" w:hAnsi="Amiri" w:eastAsia="Amiri" w:cs="Amiri"/>
          <w:color w:val="111111"/>
          <w:sz w:val="28"/>
          <w:sz w:val="28"/>
          <w:szCs w:val="28"/>
          <w:rtl w:val="true"/>
          <w:lang w:bidi="ar-SA"/>
        </w:rPr>
        <w:t xml:space="preserve">؛ ممّا لا داعي لنقلها والجواب عنها بعد وضوح عدم دلالتها </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8646231_3381743652"/>
      <w:bookmarkStart w:id="578" w:name="_Toc207"/>
      <w:bookmarkEnd w:id="577"/>
      <w:r>
        <w:rPr>
          <w:rtl w:val="true"/>
        </w:rPr>
        <w:t>بيان مقتضى القاعدة في المقام</w:t>
      </w:r>
      <w:bookmarkEnd w:id="578"/>
    </w:p>
    <w:p>
      <w:pPr>
        <w:pStyle w:val="BookText"/>
        <w:rPr/>
      </w:pPr>
      <w:r>
        <w:rPr>
          <w:rFonts w:ascii="Amiri" w:hAnsi="Amiri" w:eastAsia="Amiri" w:cs="Amiri"/>
          <w:color w:val="111111"/>
          <w:sz w:val="28"/>
          <w:sz w:val="28"/>
          <w:szCs w:val="28"/>
          <w:rtl w:val="true"/>
          <w:lang w:bidi="ar-SA"/>
        </w:rPr>
        <w:t xml:space="preserve">ثمّ لو فرض قصور أدلّة التنزيل عن إثبات الحكم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الاحتياط ؛ لكون الشكّ في المكلّف به ، فيجب بعد الحدث الجمع بين التيمّم بدلاً من الغسل ، وبين الوضوء أو التيمّم بدله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بعد الشكّ إلى استصحاب بقاء الطهور الحقيقي أو التنزيلي ،</w:t>
      </w:r>
    </w:p>
    <w:p>
      <w:pPr>
        <w:pStyle w:val="BookText"/>
        <w:rPr/>
      </w:pPr>
      <w:r>
        <w:rPr>
          <w:rFonts w:ascii="Amiri" w:hAnsi="Amiri" w:eastAsia="Amiri" w:cs="Amiri"/>
          <w:color w:val="111111"/>
          <w:sz w:val="28"/>
          <w:sz w:val="28"/>
          <w:szCs w:val="28"/>
          <w:rtl w:val="true"/>
          <w:lang w:bidi="ar-SA"/>
        </w:rPr>
        <w:t xml:space="preserve">ومعه ينقّح موضوع الأدلّة الاجتهادية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الطاهر من الجنابة إذا أحدث بالصغرى ، يجب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استصحاب عدم مشروعية الوضوء قبل التيمّم ؛ لأنّ الشكّ في المشروعية وعدمها ناشئ عن بقاء الطهارة وعدمه ، واستصحاب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المنقّح لموضوع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قلنا بحصول الطهارة حقيقةً واضح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قلنا بالاستباحة ؛ لأنّ القائل بها لا يمكنه رفع اليد عن ظاهر الأدلّة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المتواترة إلاّ بما دلّ دليل عقلي أو نقلي على خلافه ، فمع قيامه على عدم حصول الطهارة واقعاً ، تحمل الأدلّة على حصول التنزيلية منها ، فيكون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أحدهما حكماً ، لكن بلسان تحقّق الموضوع ، وهو من أوضح موارد الحكومة ، فكما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 الطهور تنزيلي ، كذلك استصحابه ينقّح موضوع الأدلّة الاجتهادية الحاكمة على أنّ الحدث الأصغر لغير الجنب موجب للوضوء ، فلا إشكال في المسألة ؛ سواء قلنا بالرافعية كما هو الأقوى ، أو بالاستباحة </w:t>
      </w:r>
      <w:r>
        <w:rPr>
          <w:rFonts w:eastAsia="Amiri" w:cs="Amiri" w:ascii="Amiri" w:hAnsi="Amiri"/>
          <w:color w:val="111111"/>
          <w:sz w:val="28"/>
          <w:szCs w:val="28"/>
          <w:rtl w:val="true"/>
          <w:lang w:bidi="ar-SA"/>
        </w:rPr>
        <w:t xml:space="preserve">. </w:t>
      </w:r>
      <w:bookmarkStart w:id="579" w:name="pg17116_198950"/>
    </w:p>
    <w:p>
      <w:pPr>
        <w:pStyle w:val="Heading5"/>
        <w:numPr>
          <w:ilvl w:val="4"/>
          <w:numId w:val="1"/>
        </w:numPr>
        <w:rPr/>
      </w:pPr>
      <w:bookmarkStart w:id="580" w:name="__RefHeading___Toc8646233_3381743652"/>
      <w:bookmarkStart w:id="581" w:name="_Toc208"/>
      <w:bookmarkEnd w:id="579"/>
      <w:bookmarkEnd w:id="580"/>
      <w:r>
        <w:rPr>
          <w:rtl w:val="true"/>
        </w:rPr>
        <w:t>الأمر التاسع</w:t>
      </w:r>
      <w:r>
        <w:rPr>
          <w:rtl w:val="true"/>
        </w:rPr>
        <w:t xml:space="preserve">: </w:t>
      </w:r>
      <w:r>
        <w:rPr>
          <w:rtl w:val="true"/>
        </w:rPr>
        <w:t>في بعض فروع انتقاض التيمّم مع التمكّن من استعمال الماء</w:t>
      </w:r>
      <w:bookmarkEnd w:id="581"/>
    </w:p>
    <w:p>
      <w:pPr>
        <w:pStyle w:val="Heading6"/>
        <w:numPr>
          <w:ilvl w:val="5"/>
          <w:numId w:val="1"/>
        </w:numPr>
        <w:rPr/>
      </w:pPr>
      <w:bookmarkStart w:id="582" w:name="__RefHeading___Toc8646235_3381743652"/>
      <w:bookmarkStart w:id="583" w:name="_Toc209"/>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لا إشكال نصّاً </w:t>
      </w:r>
      <w:r>
        <w:rPr>
          <w:rStyle w:val="FootnoteAnchor"/>
          <w:rtl w:val="true"/>
        </w:rPr>
        <w:footnoteReference w:id="1305"/>
      </w:r>
      <w:r>
        <w:rPr>
          <w:rFonts w:ascii="IRNazanin" w:hAnsi="IRNazanin" w:eastAsia="IRNazanin"/>
          <w:color w:val="111111"/>
          <w:sz w:val="28"/>
          <w:sz w:val="28"/>
          <w:szCs w:val="28"/>
          <w:rtl w:val="true"/>
          <w:lang w:bidi="fa-IR"/>
        </w:rPr>
        <w:t>وفتوى</w:t>
      </w:r>
      <w:r>
        <w:rPr>
          <w:rStyle w:val="FootnoteAnchor"/>
          <w:rtl w:val="true"/>
        </w:rPr>
        <w:footnoteReference w:id="1306"/>
      </w:r>
      <w:r>
        <w:rPr>
          <w:rFonts w:ascii="Amiri" w:hAnsi="Amiri" w:eastAsia="Amiri" w:cs="Amiri"/>
          <w:color w:val="111111"/>
          <w:sz w:val="28"/>
          <w:sz w:val="28"/>
          <w:szCs w:val="28"/>
          <w:rtl w:val="true"/>
          <w:lang w:bidi="ar-SA"/>
        </w:rPr>
        <w:t>في انتقاض التيمّم مع التمكّن من استعمال الماء</w:t>
      </w:r>
    </w:p>
    <w:p>
      <w:pPr>
        <w:pStyle w:val="BookText"/>
        <w:rPr/>
      </w:pPr>
      <w:r>
        <w:rPr>
          <w:rFonts w:ascii="Amiri" w:hAnsi="Amiri" w:eastAsia="Amiri" w:cs="Amiri"/>
          <w:color w:val="111111"/>
          <w:sz w:val="28"/>
          <w:sz w:val="28"/>
          <w:szCs w:val="28"/>
          <w:rtl w:val="true"/>
          <w:lang w:bidi="ar-SA"/>
        </w:rPr>
        <w:t xml:space="preserve">وعدم العذر منه شرعاً وعقلاً ، ومع فقده بعد ذلك افتُقر إلى تجديده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انتقاضه بخروج الوقت ، ولا بإتيان الصلاة ، فما عن الشافعي من اختصاص أثر التيمّم بصلاة واحدة</w:t>
      </w:r>
      <w:r>
        <w:rPr>
          <w:rStyle w:val="FootnoteAnchor"/>
          <w:rtl w:val="true"/>
        </w:rPr>
        <w:footnoteReference w:id="1307"/>
      </w:r>
      <w:r>
        <w:rPr>
          <w:rFonts w:ascii="Amiri" w:hAnsi="Amiri" w:eastAsia="Amiri" w:cs="Amiri"/>
          <w:color w:val="111111"/>
          <w:sz w:val="28"/>
          <w:sz w:val="28"/>
          <w:szCs w:val="28"/>
          <w:rtl w:val="true"/>
          <w:lang w:bidi="ar-SA"/>
        </w:rPr>
        <w:t xml:space="preserve">،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يعوَّل على رواية السكوني</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التيمّم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للروايات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وفتوى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7116_198951"/>
    </w:p>
    <w:p>
      <w:pPr>
        <w:pStyle w:val="Heading6"/>
        <w:numPr>
          <w:ilvl w:val="5"/>
          <w:numId w:val="1"/>
        </w:numPr>
        <w:rPr/>
      </w:pPr>
      <w:bookmarkStart w:id="585" w:name="__RefHeading___Toc8646237_3381743652"/>
      <w:bookmarkStart w:id="586" w:name="_Toc210"/>
      <w:bookmarkEnd w:id="584"/>
      <w:bookmarkEnd w:id="585"/>
      <w:r>
        <w:rPr>
          <w:rtl w:val="true"/>
        </w:rPr>
        <w:t xml:space="preserve">وإنّما الكلام في بعض الفروع </w:t>
      </w:r>
      <w:r>
        <w:rPr>
          <w:rtl w:val="true"/>
        </w:rPr>
        <w:t>:</w:t>
      </w:r>
      <w:bookmarkEnd w:id="58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تيمّمت الحائض أو المستحاضة تيمّمين بدلاً من الغسل والوضوء ، فوجدت ماءً يكفي لواحد منهما لا كليهما ، فلا يخلو إمّا أن تعلم بأهمّية أحدهما المعيّن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إلزاميةً ، أو تحتمل ذلك ، أو تعلم بأهمّية أحدهما</w:t>
      </w:r>
    </w:p>
    <w:p>
      <w:pPr>
        <w:pStyle w:val="BookText"/>
        <w:rPr/>
      </w:pPr>
      <w:r>
        <w:rPr>
          <w:rFonts w:ascii="Amiri" w:hAnsi="Amiri" w:eastAsia="Amiri" w:cs="Amiri"/>
          <w:color w:val="111111"/>
          <w:sz w:val="28"/>
          <w:sz w:val="28"/>
          <w:szCs w:val="28"/>
          <w:rtl w:val="true"/>
          <w:lang w:bidi="ar-SA"/>
        </w:rPr>
        <w:t xml:space="preserve">المعيّن واقعاً ولا تعرفه ، أو تحتمل ذلك ، أو تعلم بتساويهما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ما هو بدل الأهمّ ؛ لحصول التمكّن من استعمال الماء له ، ولا ينتقض بدل المهمّ ؛ للعذر عن استعماله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محتمل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انتقاضهما مع التساوي ،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التفصيلي بانتقاضه ؛ إمّا لكونه أهمّ ، فيختصّ بالانتقاض ، أو لتساويهما فينتقضان ، والآخر محتمل الانتقاض ، فيستصحب 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العلم بانتقاض أحدهما وبقاء أحدهما ، فيجب عليها التيمّمان لو قلنا باختلاف كيفيتهما ، وتكتفي بواحد بقصد ما في الذمّة لو قلنا</w:t>
      </w:r>
    </w:p>
    <w:p>
      <w:pPr>
        <w:pStyle w:val="BookText"/>
        <w:rPr/>
      </w:pPr>
      <w:r>
        <w:rPr>
          <w:rFonts w:ascii="Amiri" w:hAnsi="Amiri" w:eastAsia="Amiri" w:cs="Amiri"/>
          <w:color w:val="111111"/>
          <w:sz w:val="28"/>
          <w:sz w:val="28"/>
          <w:szCs w:val="28"/>
          <w:rtl w:val="true"/>
          <w:lang w:bidi="ar-SA"/>
        </w:rPr>
        <w:t xml:space="preserve">باتّحادهما كيفية ،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احتمال الأهمّية في كلّ واحد منهما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إحراز تساويهما ينتقض التيمّمان ؛ لكونها قادرة على كلّ واحد من الغسل والوضوء ؛ وإن لم تكن قادرة على الجمع ، والقدرة عليه ليست موضوعة للحكم ، بل القدرة على كلّ واحد موجبة لانتقاضه ، وهي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باب المتزاحمين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لو ترك المكلّف إنقاذ الغريقين ، يستحقّ العقوبة على ترك كلٍّ منهما ؛ للقدرة على إنقاذه وإن لم يقدر على الجمع ، وهو ليس بمأمور به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إحراز أهمّية الغسل لو توضّأت صحّ وضوؤها ؛ لقاعدة الترتّب ، ومقتضاها انتقاض ما هو بدل من الوضوء أيضاً على تقدير ترك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أتلفت الماء انتقض التيمّمان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حرّرنا في محلّه من بطلان الترتّب</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انتقاض التيمّم في المقام نصّاً وفتوى ، متوقّف على القدرة الفعلية على استعمال الماء للوضوء ، وعدمِ محذور فيه ، وهي لم تحصل إلاّ باستعمال مقدار من الماء للوضوء أو غيره ، أو إتلافِ مقدار منه ؛ بحيث خرجت البقيّة عن إمكان الاغتسال بها ، فحينئذٍ لو استعملت الماء لغير الوضوء ، أو أتلفته ثمّ توضّأت بالبقيّة ، صحّ وضوؤها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الفرض خارج عن محطّ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استعملت في الوضوء ، فما لم يخرج الماء عن إمكان الاغتسال به ، لم ينتقض تيمّمها ؛ لكونها غير قادرة على استعماله في الوضوء ؛ لبقاء العذر ولزوم تقديم 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تعذّر بالاستعمال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تعذّر بعد غسل وجهها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تيمّمها ، فلا يمكن أن يقع ذلك الوضوء صحيحاً ؛ لحصول الانتقاض بعد غسل الوجه وصيرورتها محدثة أثناء الوضوء ، نظير حدوث الحدث أثناءه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التيمّم حصل بالوضوء وفي أثنائه ، فلا يقع صحيحاً ، وذلك من غير فرق بين القول برافعية التيمّم حقيقةً أو حكماً ، كما لا يخفى وجهه بالتأمّل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إتلاف الماء لا يوجب انتقاض التيمّم بدل الوضوء إلاّ أن يكون تدريجياً ؛ بحيث تقدر على الوضوء بعد سلب قدرتها عن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أتلفته دفعة ، فلا موجب لانتقاض بدل الأصغر بعد فرض أهمّية الأكبر ؛ لأ نّها قبل التلف لم تكن قادرة على استعماله في الوضوء ، وبالتلف تسلب القدرة عنهما دفعة ، فلا وجه لانتقاض ما هو بدل الأصغر ، فإطلاق القول با نتقاضهما بالإتلاف محلّ إشكال ومنع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فرض عدم الأهمّية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ينتقضان إن تركت استعماله فيهما إلى أن يمضي زمان تتمكّن فيه من فعل كلٍّ من الطهارتين ؛ لقدرتها على كلٍّ منهما على تقدير ترك الآخر ، وقد تحقّق التقدير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استعماله في أحدهما ، فالظاهر عدم انتقاض ما هو بدل من الآخر ؛ لعدم قدرتها على الإتيان بمبدله على تقدير صرف الماء فيما استعملت بمقتضى تكليفها</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مضيّ الزمان بمقدار العمل لا دخالة له في قدرتها ، بل هي حاصلة في أوّل زمان وجدان الماء الجائز الاستعمال شرعاً وعقلاً ؛ فإنّ القدرة على كلٍّ منهما ليست معلّقة على ترك الآخر ، بل فعله رافع للقدرة ؛ لأجل المزاحمة عقلاً بينهما ، فالقدرة قبل الاشتغال بالعملين حاصلة بالنسبة إلى كلٍّ من العملين ، وبالاشتغال بأحدهما ترفع عن الآخر ما دام الاشتغال ، أو مع نقصان الماء بالاستعمال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النظر في كلامه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الانتقاض على تقدير الاستعمال </w:t>
      </w:r>
    </w:p>
    <w:p>
      <w:pPr>
        <w:pStyle w:val="BookText"/>
        <w:rPr/>
      </w:pPr>
      <w:r>
        <w:rPr>
          <w:rFonts w:ascii="Amiri" w:hAnsi="Amiri" w:eastAsia="Amiri" w:cs="Amiri"/>
          <w:color w:val="111111"/>
          <w:sz w:val="28"/>
          <w:sz w:val="28"/>
          <w:szCs w:val="28"/>
          <w:rtl w:val="true"/>
          <w:lang w:bidi="ar-SA"/>
        </w:rPr>
        <w:t xml:space="preserve">في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كانت حاصلة لكلٍّ منهما قبل الاشتغال بالآخر ،</w:t>
      </w:r>
    </w:p>
    <w:p>
      <w:pPr>
        <w:pStyle w:val="BookText"/>
        <w:rPr/>
      </w:pPr>
      <w:r>
        <w:rPr>
          <w:rFonts w:ascii="Amiri" w:hAnsi="Amiri" w:eastAsia="Amiri" w:cs="Amiri"/>
          <w:color w:val="111111"/>
          <w:sz w:val="28"/>
          <w:sz w:val="28"/>
          <w:szCs w:val="28"/>
          <w:rtl w:val="true"/>
          <w:lang w:bidi="ar-SA"/>
        </w:rPr>
        <w:t xml:space="preserve">ولا يشترط في الانتقاض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انتقاضهما بمجرّد الوجدان والقدرة على الاستعمال قبل الاشتغال بأحدهما ، ولا تأثير للاشتغال به في عدم الانتقاض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القائل بالتفصيل في هذا الفرع لم يفصّل في الفرع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جماعة ماءً يباح لهم التصرّف فيه ، فإن تمكّن كلٌّ منهم من التصرّف فيه على وجه سائغ من غير أن يزاحمه غيره ، انتقض تيمّم الجميع ، وإلاّ انتقض تيمّم المتمكّن خاصّة</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عليه التفصيل المتقدّم ؛ من مضيّ زمان بمقدار العمل مع تركهم الاستعمال ، ومع استعمال أحدهم حين الوجدان يلتزم بعدم الانتقاض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ذلك ، ولم يصرّح به لإيكاله إلى الوضوح بعد بيان الفرع المتقدّم ، فيرد عليه ما تقدّم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هذه الوجيزة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المعظّم ،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bookmarkStart w:id="587" w:name="pg17116_198955"/>
    </w:p>
    <w:p>
      <w:pPr>
        <w:pStyle w:val="Heading2"/>
        <w:numPr>
          <w:ilvl w:val="1"/>
          <w:numId w:val="1"/>
        </w:numPr>
        <w:rPr/>
      </w:pPr>
      <w:bookmarkStart w:id="588" w:name="__RefHeading___Toc8646239_3381743652"/>
      <w:bookmarkStart w:id="589" w:name="_Toc211"/>
      <w:bookmarkEnd w:id="587"/>
      <w:bookmarkEnd w:id="588"/>
      <w:r>
        <w:rPr>
          <w:rtl w:val="true"/>
        </w:rPr>
        <w:t>الفهارس العامّة</w:t>
      </w:r>
      <w:bookmarkEnd w:id="589"/>
    </w:p>
    <w:p>
      <w:pPr>
        <w:pStyle w:val="Heading3"/>
        <w:numPr>
          <w:ilvl w:val="2"/>
          <w:numId w:val="1"/>
        </w:numPr>
        <w:rPr/>
      </w:pPr>
      <w:bookmarkStart w:id="590" w:name="__RefHeading___Toc8646241_3381743652"/>
      <w:bookmarkStart w:id="591" w:name="_Toc212"/>
      <w:bookmarkEnd w:id="590"/>
      <w:r>
        <w:rPr>
          <w:rtl w:val="true"/>
        </w:rPr>
        <w:t>اشارة</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7116_198957"/>
      <w:bookmarkStart w:id="593" w:name="pg17116_198957"/>
      <w:bookmarkEnd w:id="593"/>
    </w:p>
    <w:p>
      <w:pPr>
        <w:pStyle w:val="Heading3"/>
        <w:numPr>
          <w:ilvl w:val="2"/>
          <w:numId w:val="1"/>
        </w:numPr>
        <w:rPr/>
      </w:pPr>
      <w:bookmarkStart w:id="594" w:name="pg17116_198957"/>
      <w:bookmarkStart w:id="595" w:name="__RefHeading___Toc8646243_3381743652"/>
      <w:bookmarkStart w:id="596" w:name="_Toc213"/>
      <w:bookmarkEnd w:id="594"/>
      <w:bookmarkEnd w:id="595"/>
      <w:r>
        <w:rPr/>
        <w:t>1</w:t>
      </w:r>
      <w:r>
        <w:rPr>
          <w:rtl w:val="true"/>
        </w:rPr>
        <w:t xml:space="preserve"> - </w:t>
      </w:r>
      <w:r>
        <w:rPr>
          <w:rtl w:val="true"/>
        </w:rPr>
        <w:t>فهرس الآيات الكريمة</w:t>
      </w:r>
      <w:bookmarkEnd w:id="596"/>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w:t>
      </w:r>
    </w:p>
    <w:p>
      <w:pPr>
        <w:pStyle w:val="BookText"/>
        <w:rPr/>
      </w:pP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الْقُرْآنُ</w:t>
      </w:r>
    </w:p>
    <w:p>
      <w:pPr>
        <w:pStyle w:val="BookText"/>
        <w:rPr/>
      </w:pPr>
      <w:r>
        <w:rPr>
          <w:rFonts w:ascii="Amiri" w:hAnsi="Amiri" w:eastAsia="Amiri" w:cs="Amiri"/>
          <w:color w:val="111111"/>
          <w:sz w:val="28"/>
          <w:sz w:val="28"/>
          <w:szCs w:val="28"/>
          <w:rtl w:val="true"/>
          <w:lang w:bidi="ar-SA"/>
        </w:rPr>
        <w:t>هُدىً لِلنَّاسِ وَبَيِّنَاتٍ مِنَ الْهُدَى</w:t>
      </w:r>
    </w:p>
    <w:p>
      <w:pPr>
        <w:pStyle w:val="BookText"/>
        <w:rPr/>
      </w:pPr>
      <w:r>
        <w:rPr>
          <w:rFonts w:ascii="Amiri" w:hAnsi="Amiri" w:eastAsia="Amiri" w:cs="Amiri"/>
          <w:color w:val="111111"/>
          <w:sz w:val="28"/>
          <w:sz w:val="28"/>
          <w:szCs w:val="28"/>
          <w:rtl w:val="true"/>
          <w:lang w:bidi="ar-SA"/>
        </w:rPr>
        <w:t>وَالْفُرْقَانِ فَمَنْ شَهِدَ مِنْكُمُ الشَّهْرَ</w:t>
      </w:r>
    </w:p>
    <w:p>
      <w:pPr>
        <w:pStyle w:val="BookText"/>
        <w:rPr/>
      </w:pPr>
      <w:r>
        <w:rPr>
          <w:rFonts w:ascii="Amiri" w:hAnsi="Amiri" w:eastAsia="Amiri" w:cs="Amiri"/>
          <w:color w:val="111111"/>
          <w:sz w:val="28"/>
          <w:sz w:val="28"/>
          <w:szCs w:val="28"/>
          <w:rtl w:val="true"/>
          <w:lang w:bidi="ar-SA"/>
        </w:rPr>
        <w:t>فَلْيَصُمْهُ وَمَنْ كَانَ مَرِيضاً أَوْ عَلَى</w:t>
      </w:r>
    </w:p>
    <w:p>
      <w:pPr>
        <w:pStyle w:val="BookText"/>
        <w:rPr/>
      </w:pPr>
      <w:r>
        <w:rPr>
          <w:rFonts w:ascii="Amiri" w:hAnsi="Amiri" w:eastAsia="Amiri" w:cs="Amiri"/>
          <w:color w:val="111111"/>
          <w:sz w:val="28"/>
          <w:sz w:val="28"/>
          <w:szCs w:val="28"/>
          <w:rtl w:val="true"/>
          <w:lang w:bidi="ar-SA"/>
        </w:rPr>
        <w:t>سَفَرٍ فَعِدَّةٌ مِنْ أَيَّامٍ أُخَرَ يُرِيدُ اللّه‌ُ بِكُمُ</w:t>
      </w:r>
    </w:p>
    <w:p>
      <w:pPr>
        <w:pStyle w:val="BookText"/>
        <w:rPr/>
      </w:pPr>
      <w:r>
        <w:rPr>
          <w:rFonts w:ascii="Amiri" w:hAnsi="Amiri" w:eastAsia="Amiri" w:cs="Amiri"/>
          <w:color w:val="111111"/>
          <w:sz w:val="28"/>
          <w:sz w:val="28"/>
          <w:szCs w:val="28"/>
          <w:rtl w:val="true"/>
          <w:lang w:bidi="ar-SA"/>
        </w:rPr>
        <w:t>الْيُسْرَ وَلاَ 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w:t>
      </w:r>
    </w:p>
    <w:p>
      <w:pPr>
        <w:pStyle w:val="BookText"/>
        <w:rPr/>
      </w:pPr>
      <w:r>
        <w:rPr>
          <w:rFonts w:ascii="Amiri" w:hAnsi="Amiri" w:eastAsia="Amiri" w:cs="Amiri"/>
          <w:color w:val="111111"/>
          <w:sz w:val="28"/>
          <w:sz w:val="28"/>
          <w:szCs w:val="28"/>
          <w:rtl w:val="true"/>
          <w:lang w:bidi="ar-SA"/>
        </w:rPr>
        <w:t>مِنْ أَيَّامٍ اُخَرَ يُرِيدُ اللّه‌ُ بِكُمُ الْيُسْرَ وَلاَ</w:t>
      </w:r>
    </w:p>
    <w:p>
      <w:pPr>
        <w:pStyle w:val="BookText"/>
        <w:rPr/>
      </w:pPr>
      <w:r>
        <w:rPr>
          <w:rFonts w:ascii="Amiri" w:hAnsi="Amiri" w:eastAsia="Amiri" w:cs="Amiri"/>
          <w:color w:val="111111"/>
          <w:sz w:val="28"/>
          <w:sz w:val="28"/>
          <w:szCs w:val="28"/>
          <w:rtl w:val="true"/>
          <w:lang w:bidi="ar-SA"/>
        </w:rPr>
        <w:t>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w:t>
      </w:r>
    </w:p>
    <w:p>
      <w:pPr>
        <w:pStyle w:val="BookText"/>
        <w:rPr/>
      </w:pP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لاَتَقْرَبُوهُنَّ حَتَّى يَطْهُرْنَ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p>
    <w:p>
      <w:pPr>
        <w:pStyle w:val="BookText"/>
        <w:rPr/>
      </w:pPr>
      <w:r>
        <w:rPr>
          <w:rFonts w:ascii="Amiri" w:hAnsi="Amiri" w:eastAsia="Amiri" w:cs="Amiri"/>
          <w:color w:val="111111"/>
          <w:sz w:val="28"/>
          <w:sz w:val="28"/>
          <w:szCs w:val="28"/>
          <w:rtl w:val="true"/>
          <w:lang w:bidi="ar-SA"/>
        </w:rPr>
        <w:t>رَبَّنَا وَلاَ تَحْمِلْ عَلَيْنَا إِصْراً كَمَا حَمَلْتَهُ</w:t>
      </w:r>
    </w:p>
    <w:p>
      <w:pPr>
        <w:pStyle w:val="BookText"/>
        <w:rPr/>
      </w:pPr>
      <w:r>
        <w:rPr>
          <w:rFonts w:ascii="Amiri" w:hAnsi="Amiri" w:eastAsia="Amiri" w:cs="Amiri"/>
          <w:color w:val="111111"/>
          <w:sz w:val="28"/>
          <w:sz w:val="28"/>
          <w:szCs w:val="28"/>
          <w:rtl w:val="true"/>
          <w:lang w:bidi="ar-SA"/>
        </w:rPr>
        <w:t>عَلَى الَّذِينَ مِنْ قَبْلِنَا رَبَّنَا وَلاَ تُحَمِّلْنَا</w:t>
      </w:r>
    </w:p>
    <w:p>
      <w:pPr>
        <w:pStyle w:val="BookText"/>
        <w:rPr/>
      </w:pPr>
      <w:r>
        <w:rPr>
          <w:rFonts w:ascii="Amiri" w:hAnsi="Amiri" w:eastAsia="Amiri" w:cs="Amiri"/>
          <w:color w:val="111111"/>
          <w:sz w:val="28"/>
          <w:sz w:val="28"/>
          <w:szCs w:val="28"/>
          <w:rtl w:val="true"/>
          <w:lang w:bidi="ar-SA"/>
        </w:rPr>
        <w:t>مَا لاَ طَاقَةَ لَنَا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عَلَيْنَا إِصْراً كَمَا</w:t>
      </w:r>
    </w:p>
    <w:p>
      <w:pPr>
        <w:pStyle w:val="BookText"/>
        <w:rPr/>
      </w:pPr>
      <w:r>
        <w:rPr>
          <w:rFonts w:ascii="Amiri" w:hAnsi="Amiri" w:eastAsia="Amiri" w:cs="Amiri"/>
          <w:color w:val="111111"/>
          <w:sz w:val="28"/>
          <w:sz w:val="28"/>
          <w:szCs w:val="28"/>
          <w:rtl w:val="true"/>
          <w:lang w:bidi="ar-SA"/>
        </w:rPr>
        <w:t>حَمَلْتَهُ عَلَى الَّذِينَ مِنْ قَبْلِنَا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الصَّلَوةَ وَأَنْتُمْ سُكَارَى</w:t>
      </w:r>
    </w:p>
    <w:p>
      <w:pPr>
        <w:pStyle w:val="BookText"/>
        <w:rPr/>
      </w:pPr>
      <w:r>
        <w:rPr>
          <w:rFonts w:ascii="Amiri" w:hAnsi="Amiri" w:eastAsia="Amiri" w:cs="Amiri"/>
          <w:color w:val="111111"/>
          <w:sz w:val="28"/>
          <w:sz w:val="28"/>
          <w:szCs w:val="28"/>
          <w:rtl w:val="true"/>
          <w:lang w:bidi="ar-SA"/>
        </w:rPr>
        <w:t>حَتَّى تَعْلَمُوا مَا تَقُولُونَ وَلاَ جُنُباً إِلاَّ</w:t>
      </w:r>
    </w:p>
    <w:p>
      <w:pPr>
        <w:pStyle w:val="BookText"/>
        <w:rPr/>
      </w:pPr>
      <w:r>
        <w:rPr>
          <w:rFonts w:ascii="Amiri" w:hAnsi="Amiri" w:eastAsia="Amiri" w:cs="Amiri"/>
          <w:color w:val="111111"/>
          <w:sz w:val="28"/>
          <w:sz w:val="28"/>
          <w:szCs w:val="28"/>
          <w:rtl w:val="true"/>
          <w:lang w:bidi="ar-SA"/>
        </w:rPr>
        <w:t>عَابِرِى سَبِيلٍ حَتَّى تَغْتَسِلُوا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عَابِرِى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عَابِرِى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 أَوْ</w:t>
      </w:r>
    </w:p>
    <w:p>
      <w:pPr>
        <w:pStyle w:val="BookText"/>
        <w:rPr/>
      </w:pPr>
      <w:r>
        <w:rPr>
          <w:rFonts w:ascii="Amiri" w:hAnsi="Amiri" w:eastAsia="Amiri" w:cs="Amiri"/>
          <w:color w:val="111111"/>
          <w:sz w:val="28"/>
          <w:sz w:val="28"/>
          <w:szCs w:val="28"/>
          <w:rtl w:val="true"/>
          <w:lang w:bidi="ar-SA"/>
        </w:rPr>
        <w:t>جَاءَ أَحَدٌ مِنْكُمْ مِنَ الْغَائِطِ أَوْ لاَمَسْتُمُ</w:t>
      </w:r>
    </w:p>
    <w:p>
      <w:pPr>
        <w:pStyle w:val="BookText"/>
        <w:rPr/>
      </w:pPr>
      <w:r>
        <w:rPr>
          <w:rFonts w:ascii="Amiri" w:hAnsi="Amiri" w:eastAsia="Amiri" w:cs="Amiri"/>
          <w:color w:val="111111"/>
          <w:sz w:val="28"/>
          <w:sz w:val="28"/>
          <w:szCs w:val="28"/>
          <w:rtl w:val="true"/>
          <w:lang w:bidi="ar-SA"/>
        </w:rPr>
        <w:t>النِّسَاءَ فَلَمْ تَجِدُوا مَآءً فَتَيَمَّمُوا صَعِيداً</w:t>
      </w:r>
    </w:p>
    <w:p>
      <w:pPr>
        <w:pStyle w:val="BookText"/>
        <w:rPr/>
      </w:pPr>
      <w:r>
        <w:rPr>
          <w:rFonts w:ascii="Amiri" w:hAnsi="Amiri" w:eastAsia="Amiri" w:cs="Amiri"/>
          <w:color w:val="111111"/>
          <w:sz w:val="28"/>
          <w:sz w:val="28"/>
          <w:szCs w:val="28"/>
          <w:rtl w:val="true"/>
          <w:lang w:bidi="ar-SA"/>
        </w:rPr>
        <w:t>طَيِّباً فَامْسَحُوا بِوُجُوهِكُمْ وَأَيْدِيكُمْ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مَسْتُمُ النِّسَاءِ فَلَمْ تَجِدُوا مَاءً</w:t>
      </w:r>
    </w:p>
    <w:p>
      <w:pPr>
        <w:pStyle w:val="BookText"/>
        <w:rPr/>
      </w:pP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w:t>
      </w:r>
    </w:p>
    <w:p>
      <w:p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w:t>
      </w:r>
    </w:p>
    <w:p>
      <w:pPr>
        <w:pStyle w:val="BookText"/>
        <w:rPr/>
      </w:pPr>
      <w:r>
        <w:rPr>
          <w:rFonts w:ascii="Amiri" w:hAnsi="Amiri" w:eastAsia="Amiri" w:cs="Amiri"/>
          <w:color w:val="111111"/>
          <w:sz w:val="28"/>
          <w:sz w:val="28"/>
          <w:szCs w:val="28"/>
          <w:rtl w:val="true"/>
          <w:lang w:bidi="ar-SA"/>
        </w:rPr>
        <w:t>الصَّلَوةِ فَاغْسِلُوا وُجُوهَكُمْ وَأَيْدِيَكُمْ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الْمَرَافِقِ وَامْسَحُوا بِرُؤُوسِكُمْ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وَأَرْجُلَكُمْ إِلَى الْكَعْبَيْنِ وَإِنْ كُنْتُمْ جُنُباً</w:t>
      </w:r>
    </w:p>
    <w:p>
      <w:pPr>
        <w:pStyle w:val="BookText"/>
        <w:rPr/>
      </w:pPr>
      <w:r>
        <w:rPr>
          <w:rFonts w:ascii="Amiri" w:hAnsi="Amiri" w:eastAsia="Amiri" w:cs="Amiri"/>
          <w:color w:val="111111"/>
          <w:sz w:val="28"/>
          <w:sz w:val="28"/>
          <w:szCs w:val="28"/>
          <w:rtl w:val="true"/>
          <w:lang w:bidi="ar-SA"/>
        </w:rPr>
        <w:t>فَاطَّهَّرُوا وَإِنْ كُنْتُمْ مَرْضَى أَوْ عَلَى سَفَرٍ</w:t>
      </w:r>
    </w:p>
    <w:p>
      <w:pPr>
        <w:pStyle w:val="BookText"/>
        <w:rPr/>
      </w:pPr>
      <w:r>
        <w:rPr>
          <w:rFonts w:ascii="Amiri" w:hAnsi="Amiri" w:eastAsia="Amiri" w:cs="Amiri"/>
          <w:color w:val="111111"/>
          <w:sz w:val="28"/>
          <w:sz w:val="28"/>
          <w:szCs w:val="28"/>
          <w:rtl w:val="true"/>
          <w:lang w:bidi="ar-SA"/>
        </w:rPr>
        <w:t>أَوْ جَاءَ أَحَدٌ مِنْكُمْ مِنَ الْغَائِطِ أَوْ</w:t>
      </w:r>
    </w:p>
    <w:p>
      <w:pPr>
        <w:pStyle w:val="BookText"/>
        <w:rPr/>
      </w:pPr>
      <w:r>
        <w:rPr>
          <w:rFonts w:ascii="Amiri" w:hAnsi="Amiri" w:eastAsia="Amiri" w:cs="Amiri"/>
          <w:color w:val="111111"/>
          <w:sz w:val="28"/>
          <w:sz w:val="28"/>
          <w:szCs w:val="28"/>
          <w:rtl w:val="true"/>
          <w:lang w:bidi="ar-SA"/>
        </w:rPr>
        <w:t>لاَمَسْتُمُ النِّسَاءَ فَلَمْ تَجِدُوا مَاءً فَتَيَمَّمُوا</w:t>
      </w:r>
    </w:p>
    <w:p>
      <w:pPr>
        <w:pStyle w:val="BookText"/>
        <w:rPr/>
      </w:pPr>
      <w:r>
        <w:rPr>
          <w:rFonts w:ascii="Amiri" w:hAnsi="Amiri" w:eastAsia="Amiri" w:cs="Amiri"/>
          <w:color w:val="111111"/>
          <w:sz w:val="28"/>
          <w:sz w:val="28"/>
          <w:szCs w:val="28"/>
          <w:rtl w:val="true"/>
          <w:lang w:bidi="ar-SA"/>
        </w:rPr>
        <w:t>صَعِيداً طَيِّباً فَامْسَحُوا بِوُجُوهِكُمْ</w:t>
      </w:r>
    </w:p>
    <w:p>
      <w:pPr>
        <w:pStyle w:val="BookText"/>
        <w:rPr/>
      </w:pPr>
      <w:r>
        <w:rPr>
          <w:rFonts w:ascii="Amiri" w:hAnsi="Amiri" w:eastAsia="Amiri" w:cs="Amiri"/>
          <w:color w:val="111111"/>
          <w:sz w:val="28"/>
          <w:sz w:val="28"/>
          <w:szCs w:val="28"/>
          <w:rtl w:val="true"/>
          <w:lang w:bidi="ar-SA"/>
        </w:rPr>
        <w:t>وَأَيْدِيكُمْ مِنْهُ مَا يُرِيدُ اللّه‌ُ لِيَجْعَلَ</w:t>
      </w:r>
    </w:p>
    <w:p>
      <w:pPr>
        <w:pStyle w:val="BookText"/>
        <w:rPr/>
      </w:pPr>
      <w:r>
        <w:rPr>
          <w:rFonts w:ascii="Amiri" w:hAnsi="Amiri" w:eastAsia="Amiri" w:cs="Amiri"/>
          <w:color w:val="111111"/>
          <w:sz w:val="28"/>
          <w:sz w:val="28"/>
          <w:szCs w:val="28"/>
          <w:rtl w:val="true"/>
          <w:lang w:bidi="ar-SA"/>
        </w:rPr>
        <w:t>عَلَيْكُمْ مِنْ حَرَجٍ وَلكِنْ يُرِيدُ لِيُطَهِّرَكُمْ</w:t>
      </w:r>
    </w:p>
    <w:p>
      <w:pPr>
        <w:pStyle w:val="BookText"/>
        <w:rPr/>
      </w:pPr>
      <w:r>
        <w:rPr>
          <w:rFonts w:ascii="Amiri" w:hAnsi="Amiri" w:eastAsia="Amiri" w:cs="Amiri"/>
          <w:color w:val="111111"/>
          <w:sz w:val="28"/>
          <w:sz w:val="28"/>
          <w:szCs w:val="28"/>
          <w:rtl w:val="true"/>
          <w:lang w:bidi="ar-SA"/>
        </w:rPr>
        <w:t>وَلِيُتِمَّ نِعْمَتَهُ عَلَيْكُمْ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w:t>
      </w:r>
    </w:p>
    <w:p>
      <w:pPr>
        <w:pStyle w:val="BookText"/>
        <w:rPr/>
      </w:pP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w:t>
      </w:r>
    </w:p>
    <w:p>
      <w:pPr>
        <w:pStyle w:val="BookText"/>
        <w:rPr/>
      </w:pP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p>
    <w:p>
      <w:pPr>
        <w:pStyle w:val="BookText"/>
        <w:rPr/>
      </w:pP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 فَامْسَحُوا</w:t>
      </w:r>
    </w:p>
    <w:p>
      <w:pPr>
        <w:pStyle w:val="BookText"/>
        <w:rPr/>
      </w:pPr>
      <w:r>
        <w:rPr>
          <w:rFonts w:ascii="Amiri" w:hAnsi="Amiri" w:eastAsia="Amiri" w:cs="Amiri"/>
          <w:color w:val="111111"/>
          <w:sz w:val="28"/>
          <w:sz w:val="28"/>
          <w:szCs w:val="28"/>
          <w:rtl w:val="true"/>
          <w:lang w:bidi="ar-SA"/>
        </w:rPr>
        <w:t>بِوُجُوهِكُمْ وَأَيْدِيكُمْ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p>
    <w:p>
      <w:pPr>
        <w:pStyle w:val="BookText"/>
        <w:rPr/>
      </w:pP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الْفَوَاحِشَ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p>
    <w:p>
      <w:pPr>
        <w:pStyle w:val="BookText"/>
        <w:rPr/>
      </w:pPr>
      <w:r>
        <w:rPr>
          <w:rFonts w:ascii="Amiri" w:hAnsi="Amiri" w:eastAsia="Amiri" w:cs="Amiri"/>
          <w:color w:val="111111"/>
          <w:sz w:val="28"/>
          <w:sz w:val="28"/>
          <w:szCs w:val="28"/>
          <w:rtl w:val="true"/>
          <w:lang w:bidi="ar-SA"/>
        </w:rPr>
        <w:t>وَالَّذِى خَبُثَ لاَ يَخْرُجُ إِلاَّ نَكِداً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طَرَفَىِ الْنَّهَارِ وَزُلَفاً مِنَ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w:t>
      </w:r>
    </w:p>
    <w:p>
      <w:pPr>
        <w:pStyle w:val="BookText"/>
        <w:rPr/>
      </w:pPr>
      <w:r>
        <w:rPr>
          <w:rFonts w:ascii="Amiri" w:hAnsi="Amiri" w:eastAsia="Amiri" w:cs="Amiri"/>
          <w:color w:val="111111"/>
          <w:sz w:val="28"/>
          <w:sz w:val="28"/>
          <w:szCs w:val="28"/>
          <w:rtl w:val="true"/>
          <w:lang w:bidi="ar-SA"/>
        </w:rPr>
        <w:t>بِالاْءِيمَانِ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w:t>
      </w:r>
    </w:p>
    <w:p>
      <w:pPr>
        <w:pStyle w:val="BookText"/>
        <w:rPr/>
      </w:pPr>
      <w:r>
        <w:rPr>
          <w:rFonts w:ascii="Amiri" w:hAnsi="Amiri" w:eastAsia="Amiri" w:cs="Amiri"/>
          <w:color w:val="111111"/>
          <w:sz w:val="28"/>
          <w:sz w:val="28"/>
          <w:szCs w:val="28"/>
          <w:rtl w:val="true"/>
          <w:lang w:bidi="ar-SA"/>
        </w:rPr>
        <w:t>غَسَقِ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زَلَقاً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فِى الدِّينِ مِنْ</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فِى</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597" w:name="pg17116_198965"/>
    </w:p>
    <w:p>
      <w:pPr>
        <w:pStyle w:val="Heading3"/>
        <w:numPr>
          <w:ilvl w:val="2"/>
          <w:numId w:val="1"/>
        </w:numPr>
        <w:rPr/>
      </w:pPr>
      <w:bookmarkStart w:id="598" w:name="__RefHeading___Toc8646245_3381743652"/>
      <w:bookmarkStart w:id="599" w:name="_Toc214"/>
      <w:bookmarkEnd w:id="597"/>
      <w:bookmarkEnd w:id="598"/>
      <w:r>
        <w:rPr/>
        <w:t>2</w:t>
      </w:r>
      <w:r>
        <w:rPr>
          <w:rtl w:val="true"/>
        </w:rPr>
        <w:t xml:space="preserve"> - </w:t>
      </w:r>
      <w:r>
        <w:rPr>
          <w:rtl w:val="true"/>
        </w:rPr>
        <w:t>فهرس الأحاديث الشريفة</w:t>
      </w:r>
      <w:bookmarkEnd w:id="599"/>
    </w:p>
    <w:p>
      <w:pPr>
        <w:pStyle w:val="BookText"/>
        <w:rPr/>
      </w:pPr>
      <w:r>
        <w:rPr>
          <w:rFonts w:ascii="IRNazanin" w:hAnsi="IRNazanin" w:eastAsia="IRNazanin"/>
          <w:color w:val="111111"/>
          <w:sz w:val="28"/>
          <w:sz w:val="28"/>
          <w:szCs w:val="28"/>
          <w:rtl w:val="true"/>
          <w:lang w:bidi="fa-IR"/>
        </w:rPr>
        <w:t xml:space="preserve">أتى عمّار بن ياسر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أخّر التيمّم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إذا أتيت البئر وأنت جنب ، فلم تجد دلواً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فتيمّم بالصعيد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اجتمعت سُنّة وفريضة بدئ بالفرض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إذا بلّ رأسه وجسده</w:t>
      </w:r>
      <w:r>
        <w:rPr>
          <w:rFonts w:eastAsia="IRNazanin" w:cs="IRNazanin"/>
          <w:color w:val="111111"/>
          <w:sz w:val="28"/>
          <w:szCs w:val="28"/>
          <w:rtl w:val="true"/>
          <w:lang w:bidi="fa-IR"/>
        </w:rPr>
        <w:t xml:space="preserve">. . .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إذا خاف أن يفوته الوقت فليتيمّم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إذا خاف على نفسه من سبع أو غيره وخاف فوت الوقت فليتيمّم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إذا دخل الوقت وجب الطهور والصلاة ، ولا صلاة إلاّ بطهور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إذا رأى الماء وكان يقدر عليه ، انتقض تيمّمه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إذا غرقت الجبهة ولم تثبت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إذا قمتم من النوم </w:t>
      </w:r>
      <w:r>
        <w:rPr>
          <w:rFonts w:eastAsia="IRNazanin" w:cs="IRNazanin"/>
          <w:color w:val="111111"/>
          <w:sz w:val="28"/>
          <w:szCs w:val="28"/>
          <w:rtl w:val="true"/>
          <w:lang w:bidi="fa-IR"/>
        </w:rPr>
        <w:t xml:space="preserve">. .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إذا كانت الأرض مبتلّة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فانظر أجفّ موضع تجده فتيمّم منه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إذا كان معها بقدر ما تغسل به فرجها فتغسله ، ثمّ تتيمّم وتصلّي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إذا كنت في حال لا تجد إلاّ الطين فلا بأس أن تتيمّم به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إذا كنتَ في حال لا تقدر إلاّ على الطين فتيمّم به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لا تجد إلاّ الطين فلا بأس أن تتيمّم به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تجد ماءً وأردت التيمّم ، فأخّر التيمّم إلى آخر الوقت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إذا لم يجد الرجل طهوراً وكان جنباً ، فليتمسّح من الأرض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إذا لم يجد الرجل طهوراً وكان جنباً، فليمسح من الأرض وليصلّ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إذا لم يجد المسافر الماء فليطلب ما دام في الوقت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إذا لم يكن معك ثوب جافّ أو لِبْد تقدر أن تنفضه وتتيمّم به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إذا وجد الماء قبل أن يمضي الوقت توضّأ وأعاد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أربع صلوات يصلّيها الرجل في كلّ ساعة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أعطى اللّه اُمّتي وفضّلهم به على سائر الاُمم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اغتسل على ما كان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اغتسل على ما كان ؛ فإنّه لا بدّ من الغسل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افرج الماء بيدك ثمّ توضّأ ؛ فإنّ الدين ليس بمضيّق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 فوضعهما على الصعيد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اُقعِدَ رجل من الأحبار في قبره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جالدوك مائة جلدة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ألا ترى إنّما جعل عليه نصف الطهور؟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ألا ترى أ نّه إنّما جعل عليه نصف الطهور؟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ألا يمّموه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شفاء العيّ السؤال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أمّا أنا فكنت فاعلاً ، إنّي كنت أتوضّأ واُعيد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إن أجنب فعليه أن يغتسل على ما كان منه ، وإن احتلم فليتيمّم </w:t>
      </w:r>
      <w:r>
        <w:rPr>
          <w:rFonts w:eastAsia="Amiri" w:cs="Amiri" w:ascii="Amiri" w:hAnsi="Amiri"/>
          <w:color w:val="111111"/>
          <w:sz w:val="28"/>
          <w:szCs w:val="28"/>
          <w:lang w:bidi="ar-SA"/>
        </w:rPr>
        <w:t>75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استيقظ قبل أن يطلع الفجر ، فإن انتظر ماءً يسخّن أو يستقى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التراب طهور المسلم ولو إلى عشر سنين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 التيمّم أحد الطهورين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 التيمّم غسل المضطرّ ووضوؤه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إنّ الصعيد طهور المسلم إن لم يجد الماء عشر سنين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 اللّه أولى بالعذر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إنّ اللّه عزّ وجلّ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والصعيد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 المسح ببعض الرأس وبعض الرجلين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إنّ النبي صلی الله علیه و آله وسلم  ذُكر له أنّ رجلاً أصابته جنابة على جرح كان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إنّا نخاف عليك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إن خاف عطشاً فلا يهريق منه قطرة ، وليتيمّم بالصعيد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خاف على نفسه من سبع أو غيره وخاف فوت الوقت فليتيمّم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 ربّ الماء ربّ الصعيد ، فقد فعل أحد الطهورين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 ربّ الماء هو ربّ التراب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إنّ ربّ الماء هو ربّ الصعيد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 ربّهما واحد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إنّ رجلاً أتى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أصوم شهر رمضان في السفر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إن فاتك الماء لم تفتك الأرض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إن فاته الماء لم تفته الأرض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إن كان أجنب هو فليغتسل ، وإن كان احتلم فليتيمّم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إن كان أصابه الثلج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أصابه الثلج فلينظر لِبْد سرجه ، فليتيمّم من غباره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كانت الأرض مبتلّة ليس فيها تراب ولا ماء ، فانظر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إنّما فرض اللّه عزّ وجلّ على الناس من الجمعة إلى الجمعة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أ نّه أتى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هلكتُ ؛ جامعتُ على غير ماء</w:t>
      </w:r>
      <w:r>
        <w:rPr>
          <w:rFonts w:eastAsia="IRNazanin" w:cs="IRNazanin"/>
          <w:color w:val="111111"/>
          <w:sz w:val="28"/>
          <w:szCs w:val="28"/>
          <w:rtl w:val="true"/>
          <w:lang w:bidi="fa-IR"/>
        </w:rPr>
        <w:t xml:space="preserve">! . .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إنّه أحد الطهورين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إنّه الوضوء التامّ الكامل في وقت الضرورة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 نّه سئل عن التيمّم بالجصّ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 نّه سئل عن الرجل يكون في وسط الزحام يوم الجمعة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أهوى بيديه إلى الأرض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أهوى بيديه إلى الأرض ، فوضعهما على الصعيد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إيت أهلك توجر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أيحبّ أحدكم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بل يتيمّم ، وكذلك إذا أراد الوضوء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بمنزلة الماء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التراب طهور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تضرب بكفّيك الأرض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تضرب بكفّيك الأرض ، ثمّ تنفضهما وتمسح بهما وجهك ويديك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تضرب بكفّيك الأرض مرّتين ، ثمّ تنفضهما وتمسح بهما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تضرب بكفّيك على الأرض مرّتين ، ثمّ تنفضهما وتمسح بهما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تضرب بيديك مرّتين ، ثمّ تنفضهما </w:t>
      </w:r>
      <w:r>
        <w:rPr>
          <w:rFonts w:eastAsia="Amiri" w:cs="Amiri" w:ascii="Amiri" w:hAnsi="Amiri"/>
          <w:color w:val="111111"/>
          <w:sz w:val="28"/>
          <w:szCs w:val="28"/>
          <w:lang w:bidi="ar-SA"/>
        </w:rPr>
        <w:t>339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صلاته ، ولا إعادة عليه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تنفضهما وتمسح بهما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التيمّم بالصعيد لمن لا يجد الماء كمن توضّأ من غدير ماء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التيمّم بالصعيد لمن لم يجد الماء كمن توضّأ من غدير ماء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التيمّم ضربة للوجه ، وضربة للكفّين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الثلج إذا بلّ رأسه وجسده أفضل ، فإن لم يقدر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ثمّ أهوى بيديه إلى الأرض ، فوضعهما على الصعيد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ثمّ تمسح بأطراف أصابعك وجهك من فوق حاجبيك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ثمّ تمسح بهما وجهك موضع السجود من مقام الشعر إلى طرف الأنف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ثمّ دلك إحدى يديه بالاُخرى على ظهر الكفّ بدءً باليمنى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ثمّ مسح بجبينيه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ثمّ مسح من بين عينيه إلى أسفل حاجبيه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ثمّ مسح يديه بجبينيه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ثمّ نزل في التيمّم بإسقاط المسحين ، وجعل مكان موضع الغسل مسحاً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ثمّ وضع يديه جميعاً على الصعيد ، ثمّ مسح من بين عينيه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جبينيه بأصابعه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جعلت لي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طهوراً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lang w:bidi="ar-SA"/>
        </w:rPr>
        <w:t>192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توسيع من اللّه عزّ وجلّ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 الماء وربّ الأرض واحد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يخاف من يصلّي من غير وضوء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الصائم في السفر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الصائم في السفر في شهر رمضان كالمفطر فيه في الحضر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عن الأرض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صعيد طيّب وماء طهور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الصلاة لا تترك بحال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على قدر جِدَته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عليه أن يتوضّأ ويعيد الصلاة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فإنّ التيمّم أحد الطهورين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فإنّ الصعيد أحبّ إليّ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فإنّ الصلاة عماد دينكم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فإنّ اللّه أولى بالعذر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فإنّ اللّه عزّ وجلّ جعل التراب طهوراً كما جعل الماء طهوراً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فإن انتظر ماءً يسخّن أو يستقى فطلع الفجر فلا شيء عليه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فإنّ تيمّمه الأوّل انتقض حين مرّ بالماء ولم يغتسل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فإن صلّى ركعة من الغداة ثمّ طلعت الشمس فليتمّ، فقد جازت صلاته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فإن فاتك الماء لم تفتك الأرض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فإن كان في ثلج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فإن كان في ثلج فلينظر لِبْدَ سرجه فليتيمّم من غُباره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فإن لم تجدوا بشراءٍ أو غير شراء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فإن لم يقدر أن يغتسل به فليتيمّم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الصعيد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فدعوتُ الغِلْمة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فاغسلوني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فضرب بيديه على الأرض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فضرب بيديه على الأرض ، ثمّ ضرب إحداهما على الاُخرى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فعل أحد الطهورين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يتمرّغ الحمار ؛ أفلا صنعت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تجلدونيها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نجلدك أ نّك صلّيت يوماً بغير وضوء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يجزيك من ذلك أن تمسح بيديك وجهك وكفّيك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الحمار ، وإنّما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فلمّا وضع الوضوء عمّن لم يجد الماء أثبت بعض الغسل مسحاً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فليتيمّم وليصلّ في آخر الوقت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فليطلب إذا كان في سعة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فليطلب ما دام في الوقت ، فإذا خاف أن يفوته الوقت فليتيمّم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فليغتسل وليستقبل الصلاة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فلينصرف فليتوضّأ ما لم يركع ، وإن كان قد ركع فليمض في صلاته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فمسح اليسرى على اليمنى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فمسح كفّيه كلّ واحدة على ظهر الاُخرى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فوضعهما على الصعيد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فوضع يده على المِسْح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ولاُمّتك الأرض كلّها مسجداً ، وترابها طهوراً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أهدى إليّ وإلى اُمّتي 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ذات يوم لعمّار </w:t>
      </w:r>
      <w:r>
        <w:rPr>
          <w:rFonts w:eastAsia="IRNazanin" w:cs="IRNazanin"/>
          <w:color w:val="111111"/>
          <w:sz w:val="28"/>
          <w:szCs w:val="28"/>
          <w:rtl w:val="true"/>
          <w:lang w:bidi="fa-IR"/>
        </w:rPr>
        <w:t xml:space="preserve">. .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عن اُمّتي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اضطُرّوا إليه </w:t>
      </w:r>
      <w:r>
        <w:rPr>
          <w:rFonts w:eastAsia="IRNazanin" w:cs="IRNazanin"/>
          <w:color w:val="111111"/>
          <w:sz w:val="28"/>
          <w:szCs w:val="28"/>
          <w:rtl w:val="true"/>
          <w:lang w:bidi="fa-IR"/>
        </w:rPr>
        <w:t xml:space="preserve">. .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 هذا الدين متين ، فأوغل فيه </w:t>
      </w:r>
      <w:r>
        <w:rPr>
          <w:rFonts w:eastAsia="IRNazanin" w:cs="IRNazanin"/>
          <w:color w:val="111111"/>
          <w:sz w:val="28"/>
          <w:szCs w:val="28"/>
          <w:rtl w:val="true"/>
          <w:lang w:bidi="fa-IR"/>
        </w:rPr>
        <w:t xml:space="preserve">. . . </w:t>
      </w:r>
      <w:r>
        <w:rPr>
          <w:rFonts w:eastAsia="IRNazanin" w:cs="IRNazanin"/>
          <w:color w:val="111111"/>
          <w:sz w:val="28"/>
          <w:szCs w:val="28"/>
          <w:lang w:bidi="fa-IR"/>
        </w:rPr>
        <w:t>117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قتلوه ، ألا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شفاء العيّ السؤال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مضت صلاته ، وليتطهّر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كذلك يتمرّغ الحمار ؛ 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كلّ ما غلب اللّه عليه فاللّه أولى بالعذر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آمره أن يُغرّر بنفسه ؛ فيعرض له لصّ أو سبع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لا أرى أن يعود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 بأس بأن لا يغتسل ؛ يتيمّم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لا بدّ من الغسل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لا بل يتيمّم ؛ ألا ترى أ نّه إنّما جعل عليه نصف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 بل يشتري ، قد أصابني مثل ذلك فاشتريت وتوضّأت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تصلّ في وَبَر ما لا يُؤكل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تطلب الماء ، ولكن تيمّم ؛ فإنّي أخاف عليك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لا تطلب يميناً ولا شمالاً ، ولا في بئر ، إن وجدته على الطريق فتوضّأ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تعد الصلاة ؛ فإنّ ربّ الماء هو ربّ الصعيد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لا تفسد على القوم ماءهم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لا تقع في البئر، ولا تفسد على القوم ماءهم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لا تُكرهوا إلى أنفسكم العبادة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لا ، حتّى آخر الوقت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لا خوف عليّ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لا سهو لمن أقرّ على نفسه بالسهو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 xml:space="preserve">لا صلاة إلاّ بطهور ، ويجزيك عن الاستنجاء ثلاثة أحجار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غِلَظَ على مسلم في شيء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 لأنّ الرماد لم يخرج من الأرض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 ولكنّه يمضي في صلاته ، ولا ينقضهما ؛ لمكان أ نّه دخلها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لا ، ولكن يتيمّم الجنب ويصلّي بهم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لا ؛ هو بمنزلة الماء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لا يعيد ؛ إنّ ربّ الماء ربّ الصعيد ، فقد فعل أحد الطهورين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لا يغتسل ويتيمّم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Amiri" w:hAnsi="Amiri" w:eastAsia="Amiri" w:cs="Amiri"/>
          <w:color w:val="111111"/>
          <w:sz w:val="28"/>
          <w:sz w:val="28"/>
          <w:szCs w:val="28"/>
          <w:rtl w:val="true"/>
          <w:lang w:bidi="ar-SA"/>
        </w:rPr>
        <w:t xml:space="preserve">لا يهريق منه قطرة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لمكان أ نّه دخلها وهو على طهر بتيمّم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لم يجد طهوراً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لم يخرج من الأرض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ليس عليه إعادة الصلاة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ليس عليه أن يدخل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ليس عليه أن يدخل الركية ؛ لأنّ ربّ الماء هو ربّ الأرض ، فليتيمّم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ما أبينها لمن عقلها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فليصمه ، ومن سافر فلا يصمه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اُحبّ أن يفعل ذلك ، إلاّ أن يكون شَبِقاً ، أو يخاف على نفسه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ما يشتري بذلك مال كثير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المبطون والكسير يؤمّمان ولا يغسّلان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مرّتين مرّتين للوجه واليدين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مسح الوجه من فوق الحاجبين ، وبقي ما بقي </w:t>
      </w:r>
      <w:r>
        <w:rPr>
          <w:rFonts w:eastAsia="Amiri" w:cs="Amiri" w:ascii="Amiri" w:hAnsi="Amiri"/>
          <w:color w:val="111111"/>
          <w:sz w:val="28"/>
          <w:szCs w:val="28"/>
          <w:lang w:bidi="ar-SA"/>
        </w:rPr>
        <w:t>308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جبينيه بأصابعه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 أدرك ركعة من الصلاة فقد أدرك الصلاة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أدرك ركعة من العصر قبل أن تغرب الشمس فقد أدرك العصر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أدرك ركعة من الوقت فقد أدرك الوقت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بين عينيه إلى أسفل حاجبيه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 شهد شهر رمضان فليصمه ، ومن سافر فيه فليفطر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من فاتته فريضة فليقضها إذا ذكرها ، فذلك وقتها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موضع السجود من مقام الشعر إلى طرف الأنف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نصف الطهور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نعم ؛ صعيد طيّب وماء طهور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نعم ، ما لم يحدث أو يصب ماءً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نور وطهور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والعجب لجهله وجهل الاُمّة ، أ نّه كتب إلى جميع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واللّه لأنت أعجز من تارك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يزال في 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وأمّا صوم السفر والمرض فإنّ العامّة قد اختلفت في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وإن أصابه ما أصابه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وإنّ اللّه تعالى أعطى اُمّتي ذلك حيث يقول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وإن كان في حال لا يجد إلاّ الطين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وتمسح بهما وجهك ويديك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الوضوء على الوضوء نور على نور </w:t>
      </w:r>
      <w:r>
        <w:rPr>
          <w:rFonts w:eastAsia="IRNazanin" w:cs="IRNazanin"/>
          <w:color w:val="111111"/>
          <w:sz w:val="28"/>
          <w:szCs w:val="28"/>
          <w:lang w:bidi="fa-IR"/>
        </w:rPr>
        <w:t>249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الوضوء فريضة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الوضوء نور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الوقت والطهور والقبلة والتوجّه والركوع والسجود والدعاء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وكذلك إذا نظرت في جميع الأشياء لم تجد أحداً في ضيق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ولا أرى أن يعود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ولا تدع الصلاة على حال ؛ فإنّ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دينكم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ولا يجوز بالرماد ؛ لأ نّه لم يخرج من الأرض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وما يشتري بذلك مال كثير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ومتى أصبت الماء فعليك الغسل إن كنت جنباً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ومتى ما ذكرت صلاة فاتتك صلّيتها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ونروي أنّ جبرئيل نزل إلى سيّدنا محمّد صلی الله علیه و آله وسلم  في الوضوء </w:t>
      </w:r>
      <w:r>
        <w:rPr>
          <w:rFonts w:eastAsia="IRNazanin" w:cs="IRNazanin"/>
          <w:color w:val="111111"/>
          <w:sz w:val="28"/>
          <w:szCs w:val="28"/>
          <w:rtl w:val="true"/>
          <w:lang w:bidi="fa-IR"/>
        </w:rPr>
        <w:t xml:space="preserve">. .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وهو واجد لها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ويجزيك من الاستنجاء ثلاثة أحجار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هذا التيمّم على ما كان فيه الغسل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هكذا يصنع الحمار، إنّما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هو أحد الطهورين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هو بمنزلة الضرورة يتيمّم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هو بمنزلة الماء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هو ضرب واحد للوضوء والغسل من الجنابة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هو له حلال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يتوضّؤون هم ، ويتيمّم الجنب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يتيمّم أفضل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يتيمّم أفضل ؛ ألا ترى إنّما جعل عليه نصف الطهور؟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يتيمّم بالصعيد ، فإذا وجد الماء فليغتسل ولا يعيد </w:t>
      </w:r>
      <w:r>
        <w:rPr>
          <w:rFonts w:eastAsia="Amiri" w:cs="Amiri" w:ascii="Amiri" w:hAnsi="Amiri"/>
          <w:color w:val="111111"/>
          <w:sz w:val="28"/>
          <w:szCs w:val="28"/>
          <w:lang w:bidi="ar-SA"/>
        </w:rPr>
        <w:t>363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يتيمّم بالصعيد ، ويستبقي الماء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يتيمّم ، فإنّه الصعيد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يتيمّم من لِبْده أو سرجه أو مَعْرَفة دابّته ؛ فإنّ فيها غباراً ، ويصلّي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يتيمّم ولا يتوضّأ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يتيمّم ويصلّي ، فإذا أصاب ماءً غسله وأعاد الصلاة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يتيمّم ويصلّي ، فإذا أمن البرد اغتسل وأعاد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يتيمّم ويصلّي ، فإذا أمن من البرد اغتسل وأعاد الصلاة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يجزيك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 واثنتان للذراعين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يجزيك من ذلك أن تمسح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يحشر الناس يوم القيامة حفاةً عراةً على صعيد واحد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يطلب الماء في السفر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يطلب الماء في السفر إن كانت الحزونة فغَلْوة ، وإن كانت سهولة فغَلْوتين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يعرف هذا وأشباهه من كتاب اللّه عزّ وجلّ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يغتسل إذا جاءه ، ثمّ يصلّي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يغتسل الجنب ، ويدفن الميّت بتيمّم ، ويتيمّم الذي هو على غير وضوء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يغتسل بالثلج أو ماء النهر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يغتسل على ما كان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يغتسل وإن أصابه ما أصابه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يقضي ما فاته كما فاته ؛ إن كانت صلاة السفر أدّاها في الحضر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يقضيها إذا ذكرها في أيّ ساعة ذكرها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يكفي عشر سنين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يكفيك عشر سنين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يمضي في الصلاة ، واعلم أ نّه ليس ينبغي لأحد أن يتيمّم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ينقض ذلك تيمّمه ، وعليه أن يعيد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يؤمّم المجدور والكسير إذا أصابتهما جنابة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600" w:name="pg17116_198977"/>
    </w:p>
    <w:p>
      <w:pPr>
        <w:pStyle w:val="Heading3"/>
        <w:numPr>
          <w:ilvl w:val="2"/>
          <w:numId w:val="1"/>
        </w:numPr>
        <w:rPr/>
      </w:pPr>
      <w:bookmarkStart w:id="601" w:name="__RefHeading___Toc8646247_3381743652"/>
      <w:bookmarkStart w:id="602" w:name="_Toc215"/>
      <w:bookmarkEnd w:id="600"/>
      <w:bookmarkEnd w:id="601"/>
      <w:r>
        <w:rPr/>
        <w:t>3</w:t>
      </w:r>
      <w:r>
        <w:rPr>
          <w:rtl w:val="true"/>
        </w:rPr>
        <w:t xml:space="preserve"> - </w:t>
      </w:r>
      <w:r>
        <w:rPr>
          <w:rtl w:val="true"/>
        </w:rPr>
        <w:t>فهرس أسماء المعصومين علیهم السلام</w:t>
      </w:r>
      <w:bookmarkEnd w:id="602"/>
    </w:p>
    <w:p>
      <w:pPr>
        <w:pStyle w:val="BookText"/>
        <w:rPr/>
      </w:pPr>
      <w:r>
        <w:rPr>
          <w:rFonts w:ascii="IRNazanin" w:hAnsi="IRNazanin" w:eastAsia="IRNazanin"/>
          <w:color w:val="111111"/>
          <w:sz w:val="28"/>
          <w:sz w:val="28"/>
          <w:szCs w:val="28"/>
          <w:rtl w:val="true"/>
          <w:lang w:bidi="fa-IR"/>
        </w:rPr>
        <w:t xml:space="preserve">النبي ، محمّد ،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w:t>
      </w:r>
    </w:p>
    <w:p>
      <w:pPr>
        <w:pStyle w:val="BookText"/>
        <w:rPr/>
      </w:pPr>
      <w:r>
        <w:rPr>
          <w:rFonts w:ascii="IRNazanin" w:hAnsi="IRNazanin" w:eastAsia="IRNazanin"/>
          <w:color w:val="111111"/>
          <w:sz w:val="28"/>
          <w:sz w:val="28"/>
          <w:szCs w:val="28"/>
          <w:rtl w:val="true"/>
          <w:lang w:bidi="fa-IR"/>
        </w:rPr>
        <w:t>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علي بن الحسين علیه السلام ، الإمام الرابع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w:t>
      </w:r>
    </w:p>
    <w:p>
      <w:pPr>
        <w:pStyle w:val="BookText"/>
        <w:rPr/>
      </w:pPr>
      <w:r>
        <w:rPr>
          <w:rFonts w:ascii="IRNazanin" w:hAnsi="IRNazanin" w:eastAsia="IRNazanin"/>
          <w:color w:val="111111"/>
          <w:sz w:val="28"/>
          <w:sz w:val="28"/>
          <w:szCs w:val="28"/>
          <w:rtl w:val="true"/>
          <w:lang w:bidi="fa-IR"/>
        </w:rPr>
        <w:t>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الصادق علیه السلام ،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الكاظم ، أبو إبراهيم ، أبو الحسن ، العبد</w:t>
      </w:r>
    </w:p>
    <w:p>
      <w:pPr>
        <w:pStyle w:val="BookText"/>
        <w:rPr/>
      </w:pPr>
      <w:r>
        <w:rPr>
          <w:rFonts w:ascii="IRNazanin" w:hAnsi="IRNazanin" w:eastAsia="IRNazanin"/>
          <w:color w:val="111111"/>
          <w:sz w:val="28"/>
          <w:sz w:val="28"/>
          <w:szCs w:val="28"/>
          <w:rtl w:val="true"/>
          <w:lang w:bidi="fa-IR"/>
        </w:rPr>
        <w:t xml:space="preserve">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w:t>
      </w:r>
    </w:p>
    <w:p>
      <w:pPr>
        <w:pStyle w:val="BookText"/>
        <w:rPr/>
      </w:pPr>
      <w:r>
        <w:rPr>
          <w:rFonts w:ascii="IRNazanin" w:hAnsi="IRNazanin" w:eastAsia="IRNazanin"/>
          <w:color w:val="111111"/>
          <w:sz w:val="28"/>
          <w:sz w:val="28"/>
          <w:szCs w:val="28"/>
          <w:rtl w:val="true"/>
          <w:lang w:bidi="fa-IR"/>
        </w:rPr>
        <w:t>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الرضا ،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p>
    <w:p>
      <w:pPr>
        <w:pStyle w:val="BookText"/>
        <w:rPr/>
      </w:pPr>
      <w:r>
        <w:rPr>
          <w:rFonts w:ascii="IRNazanin" w:hAnsi="IRNazanin" w:eastAsia="IRNazanin"/>
          <w:color w:val="111111"/>
          <w:sz w:val="28"/>
          <w:sz w:val="28"/>
          <w:szCs w:val="28"/>
          <w:rtl w:val="true"/>
          <w:lang w:bidi="fa-IR"/>
        </w:rPr>
        <w:t>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241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النبي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603" w:name="pg17116_198979"/>
    </w:p>
    <w:p>
      <w:pPr>
        <w:pStyle w:val="Heading3"/>
        <w:numPr>
          <w:ilvl w:val="2"/>
          <w:numId w:val="1"/>
        </w:numPr>
        <w:rPr/>
      </w:pPr>
      <w:bookmarkStart w:id="604" w:name="__RefHeading___Toc8646249_3381743652"/>
      <w:bookmarkStart w:id="605" w:name="_Toc216"/>
      <w:bookmarkEnd w:id="603"/>
      <w:bookmarkEnd w:id="604"/>
      <w:r>
        <w:rPr/>
        <w:t>4</w:t>
      </w:r>
      <w:r>
        <w:rPr>
          <w:rtl w:val="true"/>
        </w:rPr>
        <w:t xml:space="preserve"> - </w:t>
      </w:r>
      <w:r>
        <w:rPr>
          <w:rtl w:val="true"/>
        </w:rPr>
        <w:t>فهرس الأعلام</w:t>
      </w:r>
      <w:bookmarkEnd w:id="605"/>
    </w:p>
    <w:p>
      <w:pPr>
        <w:pStyle w:val="BookText"/>
        <w:rPr/>
      </w:pPr>
      <w:r>
        <w:rPr>
          <w:rFonts w:ascii="Amiri" w:hAnsi="Amiri" w:eastAsia="Amiri" w:cs="Amiri"/>
          <w:color w:val="111111"/>
          <w:sz w:val="28"/>
          <w:sz w:val="28"/>
          <w:szCs w:val="28"/>
          <w:rtl w:val="true"/>
          <w:lang w:bidi="ar-SA"/>
        </w:rPr>
        <w:t>الآقا جمال خوانساري، محمّد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إبراهيم بن</w:t>
      </w:r>
    </w:p>
    <w:p>
      <w:pPr>
        <w:pStyle w:val="BookText"/>
        <w:rPr/>
      </w:pPr>
      <w:r>
        <w:rPr>
          <w:rFonts w:ascii="IRNazanin" w:hAnsi="IRNazanin" w:eastAsia="IRNazanin"/>
          <w:color w:val="111111"/>
          <w:sz w:val="28"/>
          <w:sz w:val="28"/>
          <w:szCs w:val="28"/>
          <w:rtl w:val="true"/>
          <w:lang w:bidi="fa-IR"/>
        </w:rPr>
        <w:t>هاشم</w:t>
      </w:r>
    </w:p>
    <w:p>
      <w:pPr>
        <w:pStyle w:val="BookText"/>
        <w:rPr/>
      </w:pPr>
      <w:r>
        <w:rPr>
          <w:rFonts w:ascii="Amiri" w:hAnsi="Amiri" w:eastAsia="Amiri" w:cs="Amiri"/>
          <w:color w:val="111111"/>
          <w:sz w:val="28"/>
          <w:sz w:val="28"/>
          <w:szCs w:val="28"/>
          <w:rtl w:val="true"/>
          <w:lang w:bidi="ar-SA"/>
        </w:rPr>
        <w:t xml:space="preserve">ابن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w:t>
      </w:r>
    </w:p>
    <w:p>
      <w:pPr>
        <w:pStyle w:val="BookText"/>
        <w:rPr/>
      </w:pPr>
      <w:r>
        <w:rPr>
          <w:rFonts w:ascii="Amiri" w:hAnsi="Amiri" w:eastAsia="Amiri" w:cs="Amiri"/>
          <w:color w:val="111111"/>
          <w:sz w:val="28"/>
          <w:sz w:val="28"/>
          <w:szCs w:val="28"/>
          <w:rtl w:val="true"/>
          <w:lang w:bidi="ar-SA"/>
        </w:rPr>
        <w:t xml:space="preserve">ابن أبي عقيل، الحسن بن علي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ابن الشهيد الثاني، الحسن بن زين الدين</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الحسن</w:t>
      </w:r>
    </w:p>
    <w:p>
      <w:pPr>
        <w:pStyle w:val="BookText"/>
        <w:rPr/>
      </w:pPr>
      <w:r>
        <w:rPr>
          <w:rFonts w:ascii="Amiri" w:hAnsi="Amiri" w:eastAsia="Amiri" w:cs="Amiri"/>
          <w:color w:val="111111"/>
          <w:sz w:val="28"/>
          <w:sz w:val="28"/>
          <w:szCs w:val="28"/>
          <w:rtl w:val="true"/>
          <w:lang w:bidi="ar-SA"/>
        </w:rPr>
        <w:t>بن محمّد</w:t>
      </w:r>
    </w:p>
    <w:p>
      <w:pPr>
        <w:pStyle w:val="BookText"/>
        <w:rPr/>
      </w:pP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ابن الغضائري، أحمد بن الحسين</w:t>
      </w:r>
    </w:p>
    <w:p>
      <w:pPr>
        <w:pStyle w:val="BookText"/>
        <w:rPr/>
      </w:pP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المغيرة</w:t>
      </w:r>
    </w:p>
    <w:p>
      <w:pPr>
        <w:pStyle w:val="BookText"/>
        <w:rPr/>
      </w:pPr>
      <w:r>
        <w:rPr>
          <w:rFonts w:ascii="IRNazanin" w:hAnsi="IRNazanin" w:eastAsia="IRNazanin"/>
          <w:color w:val="111111"/>
          <w:sz w:val="28"/>
          <w:sz w:val="28"/>
          <w:szCs w:val="28"/>
          <w:rtl w:val="true"/>
          <w:lang w:bidi="fa-IR"/>
        </w:rPr>
        <w:t xml:space="preserve">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النعمان</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دريد، محمّد بن الحسن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ابن رشد، محمّد بن أحمد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w:t>
      </w:r>
    </w:p>
    <w:p>
      <w:pPr>
        <w:pStyle w:val="BookText"/>
        <w:rPr/>
      </w:pPr>
      <w:r>
        <w:rPr>
          <w:rFonts w:ascii="Amiri" w:hAnsi="Amiri" w:eastAsia="Amiri" w:cs="Amiri"/>
          <w:color w:val="111111"/>
          <w:sz w:val="28"/>
          <w:sz w:val="28"/>
          <w:szCs w:val="28"/>
          <w:rtl w:val="true"/>
          <w:lang w:bidi="ar-SA"/>
        </w:rPr>
        <w:t xml:space="preserve">ابن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يحيى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 xml:space="preserve">ابن سعيد، يحيى بن أحمد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 xml:space="preserve">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شريح</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ابن فارس، أحمد بن فارس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ابن فهد الحلّي، أحمد بن محمّد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ابن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مطر</w:t>
      </w:r>
    </w:p>
    <w:p>
      <w:pPr>
        <w:pStyle w:val="BookText"/>
        <w:rPr/>
      </w:pPr>
      <w:r>
        <w:rPr>
          <w:rFonts w:ascii="Amiri" w:hAnsi="Amiri" w:eastAsia="Amiri" w:cs="Amiri"/>
          <w:color w:val="111111"/>
          <w:sz w:val="28"/>
          <w:sz w:val="28"/>
          <w:szCs w:val="28"/>
          <w:rtl w:val="true"/>
          <w:lang w:bidi="ar-SA"/>
        </w:rPr>
        <w:t xml:space="preserve">أبو الصلاح الحلبي، التقي بن نجم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 أحمد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أبو أيّوب</w:t>
      </w:r>
    </w:p>
    <w:p>
      <w:pPr>
        <w:pStyle w:val="BookText"/>
        <w:rPr/>
      </w:pPr>
      <w:r>
        <w:rPr>
          <w:rFonts w:ascii="Amiri" w:hAnsi="Amiri" w:eastAsia="Amiri" w:cs="Amiri"/>
          <w:color w:val="111111"/>
          <w:sz w:val="28"/>
          <w:sz w:val="28"/>
          <w:szCs w:val="28"/>
          <w:rtl w:val="true"/>
          <w:lang w:bidi="ar-SA"/>
        </w:rPr>
        <w:t xml:space="preserve">أبو بصير، ليث المرادي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w:t>
      </w:r>
    </w:p>
    <w:p>
      <w:pPr>
        <w:pStyle w:val="BookText"/>
        <w:rPr/>
      </w:pPr>
      <w:r>
        <w:rPr>
          <w:rFonts w:ascii="Amiri" w:hAnsi="Amiri" w:eastAsia="Amiri" w:cs="Amiri"/>
          <w:color w:val="111111"/>
          <w:sz w:val="28"/>
          <w:sz w:val="28"/>
          <w:szCs w:val="28"/>
          <w:rtl w:val="true"/>
          <w:lang w:bidi="ar-SA"/>
        </w:rPr>
        <w:t>بن علي</w:t>
      </w:r>
    </w:p>
    <w:p>
      <w:pPr>
        <w:pStyle w:val="BookText"/>
        <w:rPr/>
      </w:pPr>
      <w:r>
        <w:rPr>
          <w:rFonts w:ascii="Amiri" w:hAnsi="Amiri" w:eastAsia="Amiri" w:cs="Amiri"/>
          <w:color w:val="111111"/>
          <w:sz w:val="28"/>
          <w:sz w:val="28"/>
          <w:szCs w:val="28"/>
          <w:rtl w:val="true"/>
          <w:lang w:bidi="ar-SA"/>
        </w:rPr>
        <w:t>أبو جعفر محمّد بن الحسن بن الوليد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أبو عبيدة، معمّر بن المثنّى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الأرمني، الحسين بن النضر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الأزهري، محمّد بن أحمد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إسماعيل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إسماعيل</w:t>
      </w:r>
    </w:p>
    <w:p>
      <w:pPr>
        <w:pStyle w:val="BookText"/>
        <w:rPr/>
      </w:pPr>
      <w:r>
        <w:rPr>
          <w:rFonts w:ascii="Amiri" w:hAnsi="Amiri" w:eastAsia="Amiri" w:cs="Amiri"/>
          <w:color w:val="111111"/>
          <w:sz w:val="28"/>
          <w:sz w:val="28"/>
          <w:szCs w:val="28"/>
          <w:rtl w:val="true"/>
          <w:lang w:bidi="ar-SA"/>
        </w:rPr>
        <w:t xml:space="preserve">إسماعيل بن عيسى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الأشعري، محمّد بن أحمد بن يحيى بن</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409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الأصفهاني، محمّد حسين بن عبدالرحيم</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 xml:space="preserve">الأصمعي، عبدالملك بن قريب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الأطروش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الأنصاري، جابر بن عبداللّه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الأوزاعي، عبدالرحمان بن عمرو بن</w:t>
      </w:r>
    </w:p>
    <w:p>
      <w:pPr>
        <w:pStyle w:val="BookText"/>
        <w:rPr/>
      </w:pPr>
      <w:r>
        <w:rPr>
          <w:rFonts w:ascii="Amiri" w:hAnsi="Amiri" w:eastAsia="Amiri" w:cs="Amiri"/>
          <w:color w:val="111111"/>
          <w:sz w:val="28"/>
          <w:sz w:val="28"/>
          <w:szCs w:val="28"/>
          <w:rtl w:val="true"/>
          <w:lang w:bidi="ar-SA"/>
        </w:rPr>
        <w:t xml:space="preserve">يُحمد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w:t>
      </w:r>
    </w:p>
    <w:p>
      <w:pPr>
        <w:pStyle w:val="BookText"/>
        <w:rPr/>
      </w:pPr>
      <w:r>
        <w:rPr>
          <w:rFonts w:ascii="Amiri" w:hAnsi="Amiri" w:eastAsia="Amiri" w:cs="Amiri"/>
          <w:color w:val="111111"/>
          <w:sz w:val="28"/>
          <w:sz w:val="28"/>
          <w:szCs w:val="28"/>
          <w:rtl w:val="true"/>
          <w:lang w:bidi="ar-SA"/>
        </w:rPr>
        <w:t>محمّد هادي</w:t>
      </w:r>
    </w:p>
    <w:p>
      <w:pPr>
        <w:pStyle w:val="BookText"/>
        <w:rPr/>
      </w:pPr>
      <w:r>
        <w:rPr>
          <w:rFonts w:ascii="Amiri" w:hAnsi="Amiri" w:eastAsia="Amiri" w:cs="Amiri"/>
          <w:color w:val="111111"/>
          <w:sz w:val="28"/>
          <w:sz w:val="28"/>
          <w:szCs w:val="28"/>
          <w:rtl w:val="true"/>
          <w:lang w:bidi="ar-SA"/>
        </w:rPr>
        <w:t xml:space="preserve">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w:t>
      </w:r>
    </w:p>
    <w:p>
      <w:pPr>
        <w:pStyle w:val="BookText"/>
        <w:rPr/>
      </w:pPr>
      <w:r>
        <w:rPr>
          <w:rFonts w:ascii="Amiri" w:hAnsi="Amiri" w:eastAsia="Amiri" w:cs="Amiri"/>
          <w:color w:val="111111"/>
          <w:sz w:val="28"/>
          <w:sz w:val="28"/>
          <w:szCs w:val="28"/>
          <w:rtl w:val="true"/>
          <w:lang w:bidi="ar-SA"/>
        </w:rPr>
        <w:t>محمّد هادي</w:t>
      </w:r>
    </w:p>
    <w:p>
      <w:pPr>
        <w:pStyle w:val="BookText"/>
        <w:rPr/>
      </w:pPr>
      <w:r>
        <w:rPr>
          <w:rFonts w:ascii="Amiri" w:hAnsi="Amiri" w:eastAsia="Amiri" w:cs="Amiri"/>
          <w:color w:val="111111"/>
          <w:sz w:val="28"/>
          <w:sz w:val="28"/>
          <w:szCs w:val="28"/>
          <w:rtl w:val="true"/>
          <w:lang w:bidi="ar-SA"/>
        </w:rPr>
        <w:t xml:space="preserve">التفليسي، الحسن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 التقي بن</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Amiri" w:hAnsi="Amiri" w:eastAsia="Amiri" w:cs="Amiri"/>
          <w:color w:val="111111"/>
          <w:sz w:val="28"/>
          <w:sz w:val="28"/>
          <w:szCs w:val="28"/>
          <w:rtl w:val="true"/>
          <w:lang w:bidi="ar-SA"/>
        </w:rPr>
        <w:t xml:space="preserve">التميمي المغربي، النعمان بن محمّد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جابر بن</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Amiri" w:hAnsi="Amiri" w:eastAsia="Amiri" w:cs="Amiri"/>
          <w:color w:val="111111"/>
          <w:sz w:val="28"/>
          <w:sz w:val="28"/>
          <w:szCs w:val="28"/>
          <w:rtl w:val="true"/>
          <w:lang w:bidi="ar-SA"/>
        </w:rPr>
        <w:t xml:space="preserve">جدّ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الأطروش الديلمي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علي</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جعفر بن محمّد بن سماعة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الجعفري، جعفر بن إبراهيم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الجعفي، أبو الفضل محمّد بن أحمد</w:t>
      </w:r>
    </w:p>
    <w:p>
      <w:pPr>
        <w:pStyle w:val="BookText"/>
        <w:rPr/>
      </w:pPr>
      <w:r>
        <w:rPr>
          <w:rFonts w:ascii="Amiri" w:hAnsi="Amiri" w:eastAsia="Amiri" w:cs="Amiri"/>
          <w:color w:val="111111"/>
          <w:sz w:val="28"/>
          <w:sz w:val="28"/>
          <w:szCs w:val="28"/>
          <w:rtl w:val="true"/>
          <w:lang w:bidi="ar-SA"/>
        </w:rPr>
        <w:t xml:space="preserve">الصابوني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 xml:space="preserve">الجوهري، القاسم بن محمّد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حريز بن عبداللّه</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 xml:space="preserve">الحسن التفليسي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التفليسي، الحسن</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الحسن بن عيسى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الحسين بن أبي طلحة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الحسين</w:t>
      </w:r>
    </w:p>
    <w:p>
      <w:pPr>
        <w:pStyle w:val="BookText"/>
        <w:rPr/>
      </w:pPr>
      <w:r>
        <w:rPr>
          <w:rFonts w:ascii="Amiri" w:hAnsi="Amiri" w:eastAsia="Amiri" w:cs="Amiri"/>
          <w:color w:val="111111"/>
          <w:sz w:val="28"/>
          <w:sz w:val="28"/>
          <w:szCs w:val="28"/>
          <w:rtl w:val="true"/>
          <w:lang w:bidi="ar-SA"/>
        </w:rPr>
        <w:t>بن سعيد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حسن بن سليمان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الطيّار</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w:t>
      </w:r>
    </w:p>
    <w:p>
      <w:pPr>
        <w:pStyle w:val="BookText"/>
        <w:rPr/>
      </w:pPr>
      <w:r>
        <w:rPr>
          <w:rFonts w:ascii="Amiri" w:hAnsi="Amiri" w:eastAsia="Amiri" w:cs="Amiri"/>
          <w:color w:val="111111"/>
          <w:sz w:val="28"/>
          <w:sz w:val="28"/>
          <w:szCs w:val="28"/>
          <w:rtl w:val="true"/>
          <w:lang w:bidi="ar-SA"/>
        </w:rPr>
        <w:t>محمّد باقر بن محمّد مؤمن</w:t>
      </w:r>
    </w:p>
    <w:p>
      <w:pPr>
        <w:pStyle w:val="BookText"/>
        <w:rPr/>
      </w:pPr>
      <w:r>
        <w:rPr>
          <w:rFonts w:ascii="Amiri" w:hAnsi="Amiri" w:eastAsia="Amiri" w:cs="Amiri"/>
          <w:color w:val="111111"/>
          <w:sz w:val="28"/>
          <w:sz w:val="28"/>
          <w:szCs w:val="28"/>
          <w:rtl w:val="true"/>
          <w:lang w:bidi="ar-SA"/>
        </w:rPr>
        <w:t xml:space="preserve">الخزّاز، أبو أيّوب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الآقا جمال خوانساري،</w:t>
      </w:r>
    </w:p>
    <w:p>
      <w:pPr>
        <w:pStyle w:val="BookText"/>
        <w:rPr/>
      </w:pPr>
      <w:r>
        <w:rPr>
          <w:rFonts w:ascii="Amiri" w:hAnsi="Amiri" w:eastAsia="Amiri" w:cs="Amiri"/>
          <w:color w:val="111111"/>
          <w:sz w:val="28"/>
          <w:sz w:val="28"/>
          <w:szCs w:val="28"/>
          <w:rtl w:val="true"/>
          <w:lang w:bidi="ar-SA"/>
        </w:rPr>
        <w:t>محمّد بن الحسين</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الديلمي، الحسن بن محمّد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الراغب الأصفهاني، الحسين بن محمّد</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سعيد بن</w:t>
      </w:r>
    </w:p>
    <w:p>
      <w:pPr>
        <w:pStyle w:val="BookText"/>
        <w:rPr/>
      </w:pPr>
      <w:r>
        <w:rPr>
          <w:rFonts w:ascii="Amiri" w:hAnsi="Amiri" w:eastAsia="Amiri" w:cs="Amiri"/>
          <w:color w:val="111111"/>
          <w:sz w:val="28"/>
          <w:sz w:val="28"/>
          <w:szCs w:val="28"/>
          <w:rtl w:val="true"/>
          <w:lang w:bidi="ar-SA"/>
        </w:rPr>
        <w:t>هبة اللّه</w:t>
      </w:r>
    </w:p>
    <w:p>
      <w:pPr>
        <w:pStyle w:val="BookText"/>
        <w:rPr/>
      </w:pPr>
      <w:r>
        <w:rPr>
          <w:rFonts w:ascii="Amiri" w:hAnsi="Amiri" w:eastAsia="Amiri" w:cs="Amiri"/>
          <w:color w:val="111111"/>
          <w:sz w:val="28"/>
          <w:sz w:val="28"/>
          <w:szCs w:val="28"/>
          <w:rtl w:val="true"/>
          <w:lang w:bidi="ar-SA"/>
        </w:rPr>
        <w:t>الراوندي الكاشاني، فضل اللّه بن علي</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 رفاعة بن موسى</w:t>
      </w:r>
    </w:p>
    <w:p>
      <w:pPr>
        <w:pStyle w:val="BookText"/>
        <w:rPr/>
      </w:pPr>
      <w:r>
        <w:rPr>
          <w:rFonts w:ascii="Amiri" w:hAnsi="Amiri" w:eastAsia="Amiri" w:cs="Amiri"/>
          <w:color w:val="111111"/>
          <w:sz w:val="28"/>
          <w:sz w:val="28"/>
          <w:szCs w:val="28"/>
          <w:rtl w:val="true"/>
          <w:lang w:bidi="ar-SA"/>
        </w:rPr>
        <w:t xml:space="preserve">الرقّي، داود بن كثير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الزجّاج، إبراهيم بن سري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الزهري، محمّد بن مسلم بن شهاب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Amiri" w:hAnsi="Amiri" w:eastAsia="Amiri" w:cs="Amiri"/>
          <w:color w:val="111111"/>
          <w:sz w:val="28"/>
          <w:sz w:val="28"/>
          <w:szCs w:val="28"/>
          <w:rtl w:val="true"/>
          <w:lang w:bidi="ar-SA"/>
        </w:rPr>
        <w:t xml:space="preserve">سلاّر الديلمي، حمزة بن عبدالعزيز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سليمان بن</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محمّد بن</w:t>
      </w:r>
    </w:p>
    <w:p>
      <w:pPr>
        <w:pStyle w:val="BookText"/>
        <w:rPr/>
      </w:pP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صاحب الجواهر، محمّد حسن بن باقر</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صاحب الفصول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p>
    <w:p>
      <w:pPr>
        <w:pStyle w:val="BookText"/>
        <w:rPr/>
      </w:pPr>
      <w:r>
        <w:rPr>
          <w:rFonts w:ascii="Amiri" w:hAnsi="Amiri" w:eastAsia="Amiri" w:cs="Amiri"/>
          <w:color w:val="111111"/>
          <w:sz w:val="28"/>
          <w:sz w:val="28"/>
          <w:szCs w:val="28"/>
          <w:rtl w:val="true"/>
          <w:lang w:bidi="ar-SA"/>
        </w:rPr>
        <w:t>محمّد حسين</w:t>
      </w:r>
    </w:p>
    <w:p>
      <w:pPr>
        <w:pStyle w:val="BookText"/>
        <w:rPr/>
      </w:pP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الثاني،</w:t>
      </w:r>
    </w:p>
    <w:p>
      <w:pPr>
        <w:pStyle w:val="BookText"/>
        <w:rPr/>
      </w:pPr>
      <w:r>
        <w:rPr>
          <w:rFonts w:ascii="Amiri" w:hAnsi="Amiri" w:eastAsia="Amiri" w:cs="Amiri"/>
          <w:color w:val="111111"/>
          <w:sz w:val="28"/>
          <w:sz w:val="28"/>
          <w:szCs w:val="28"/>
          <w:rtl w:val="true"/>
          <w:lang w:bidi="ar-SA"/>
        </w:rPr>
        <w:t>الحسن بن زين الدين</w:t>
      </w:r>
    </w:p>
    <w:p>
      <w:pPr>
        <w:pStyle w:val="BookText"/>
        <w:rPr/>
      </w:pP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محمّد</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Amiri" w:hAnsi="Amiri" w:eastAsia="Amiri" w:cs="Amiri"/>
          <w:color w:val="111111"/>
          <w:sz w:val="28"/>
          <w:sz w:val="28"/>
          <w:szCs w:val="28"/>
          <w:rtl w:val="true"/>
          <w:lang w:bidi="ar-SA"/>
        </w:rPr>
        <w:t xml:space="preserve">صاحب 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حمزة، محمّد بن علي</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 xml:space="preserve">الصيقل، الحسن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الصيمري، مفلح بن الحسن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الطبري الآملي، محمّد بن أبي القاسم</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الآملي، محمّد بن أبي القاسم</w:t>
      </w:r>
    </w:p>
    <w:p>
      <w:pPr>
        <w:pStyle w:val="BookText"/>
        <w:rPr/>
      </w:pPr>
      <w:r>
        <w:rPr>
          <w:rFonts w:ascii="Amiri" w:hAnsi="Amiri" w:eastAsia="Amiri" w:cs="Amiri"/>
          <w:color w:val="111111"/>
          <w:sz w:val="28"/>
          <w:sz w:val="28"/>
          <w:szCs w:val="28"/>
          <w:rtl w:val="true"/>
          <w:lang w:bidi="ar-SA"/>
        </w:rPr>
        <w:t xml:space="preserve">الطوسي، الحسن بن محمّد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العامري، الحسين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عبدالأعلى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عبدالأعلى بن أعين مولى</w:t>
      </w:r>
    </w:p>
    <w:p>
      <w:pPr>
        <w:pStyle w:val="BookText"/>
        <w:rPr/>
      </w:pPr>
      <w:r>
        <w:rPr>
          <w:rFonts w:ascii="IRNazanin" w:hAnsi="IRNazanin" w:eastAsia="IRNazanin"/>
          <w:color w:val="111111"/>
          <w:sz w:val="28"/>
          <w:sz w:val="28"/>
          <w:szCs w:val="28"/>
          <w:rtl w:val="true"/>
          <w:lang w:bidi="fa-IR"/>
        </w:rPr>
        <w:t>آل سام</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عبدالرحمان بن أبي نجران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عبداللّه بن عاصم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علي بن مطر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الساباطي، عمّار بن</w:t>
      </w:r>
    </w:p>
    <w:p>
      <w:pPr>
        <w:pStyle w:val="BookText"/>
        <w:rPr/>
      </w:pPr>
      <w:r>
        <w:rPr>
          <w:rFonts w:ascii="IRNazanin" w:hAnsi="IRNazanin" w:eastAsia="IRNazanin"/>
          <w:color w:val="111111"/>
          <w:sz w:val="28"/>
          <w:sz w:val="28"/>
          <w:szCs w:val="28"/>
          <w:rtl w:val="true"/>
          <w:lang w:bidi="fa-IR"/>
        </w:rPr>
        <w:t>موسى</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 xml:space="preserve">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عقيل، الحسن بن علي</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عمرو بن مروان الخزّاز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عبدالعزيز بن</w:t>
      </w:r>
    </w:p>
    <w:p>
      <w:pPr>
        <w:pStyle w:val="BookText"/>
        <w:rPr/>
      </w:pPr>
      <w:r>
        <w:rPr>
          <w:rFonts w:ascii="Amiri" w:hAnsi="Amiri" w:eastAsia="Amiri" w:cs="Amiri"/>
          <w:color w:val="111111"/>
          <w:sz w:val="28"/>
          <w:sz w:val="28"/>
          <w:szCs w:val="28"/>
          <w:rtl w:val="true"/>
          <w:lang w:bidi="ar-SA"/>
        </w:rPr>
        <w:t>نحرير</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محمّد التميمي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التميمي، النعمان بن محمّد</w:t>
      </w:r>
    </w:p>
    <w:p>
      <w:pPr>
        <w:pStyle w:val="BookText"/>
        <w:rPr/>
      </w:pPr>
      <w:r>
        <w:rPr>
          <w:rFonts w:ascii="Amiri" w:hAnsi="Amiri" w:eastAsia="Amiri" w:cs="Amiri"/>
          <w:color w:val="111111"/>
          <w:sz w:val="28"/>
          <w:sz w:val="28"/>
          <w:szCs w:val="28"/>
          <w:rtl w:val="true"/>
          <w:lang w:bidi="ar-SA"/>
        </w:rPr>
        <w:t>القاضي صاحب دعائم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النعمان بن محمّد</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 xml:space="preserve">القمّي، إبراهيم بن هاشم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 محمّد</w:t>
      </w:r>
    </w:p>
    <w:p>
      <w:pPr>
        <w:pStyle w:val="BookText"/>
        <w:rPr/>
      </w:pPr>
      <w:r>
        <w:rPr>
          <w:rFonts w:ascii="IRNazanin" w:hAnsi="IRNazanin" w:eastAsia="IRNazanin"/>
          <w:color w:val="111111"/>
          <w:sz w:val="28"/>
          <w:sz w:val="28"/>
          <w:szCs w:val="28"/>
          <w:rtl w:val="true"/>
          <w:lang w:bidi="fa-IR"/>
        </w:rPr>
        <w:t>بن أحمد</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محمّد بن</w:t>
      </w:r>
    </w:p>
    <w:p>
      <w:pPr>
        <w:pStyle w:val="BookText"/>
        <w:rPr/>
      </w:pPr>
      <w:r>
        <w:rPr>
          <w:rFonts w:ascii="IRNazanin" w:hAnsi="IRNazanin" w:eastAsia="IRNazanin"/>
          <w:color w:val="111111"/>
          <w:sz w:val="28"/>
          <w:sz w:val="28"/>
          <w:szCs w:val="28"/>
          <w:rtl w:val="true"/>
          <w:lang w:bidi="fa-IR"/>
        </w:rPr>
        <w:t>شاه مرتضى</w:t>
      </w:r>
    </w:p>
    <w:p>
      <w:pPr>
        <w:pStyle w:val="BookText"/>
        <w:rPr/>
      </w:pPr>
      <w:r>
        <w:rPr>
          <w:rFonts w:ascii="Amiri" w:hAnsi="Amiri" w:eastAsia="Amiri" w:cs="Amiri"/>
          <w:color w:val="111111"/>
          <w:sz w:val="28"/>
          <w:sz w:val="28"/>
          <w:szCs w:val="28"/>
          <w:rtl w:val="true"/>
          <w:lang w:bidi="ar-SA"/>
        </w:rPr>
        <w:t xml:space="preserve">الكاهلي، عبداللّه بن يحيى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 xml:space="preserve">الكندي، إسماعيل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ليث المرادي</w:t>
      </w:r>
    </w:p>
    <w:p>
      <w:pPr>
        <w:pStyle w:val="BookText"/>
        <w:rPr/>
      </w:pPr>
      <w:r>
        <w:rPr>
          <w:rFonts w:ascii="Amiri" w:hAnsi="Amiri" w:eastAsia="Amiri" w:cs="Amiri"/>
          <w:color w:val="111111"/>
          <w:sz w:val="28"/>
          <w:sz w:val="28"/>
          <w:szCs w:val="28"/>
          <w:rtl w:val="true"/>
          <w:lang w:bidi="ar-SA"/>
        </w:rPr>
        <w:t xml:space="preserve">اللؤلؤي، الحسن بن الحسين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علي</w:t>
      </w:r>
    </w:p>
    <w:p>
      <w:pPr>
        <w:pStyle w:val="BookText"/>
        <w:rPr/>
      </w:pP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المحقّق السبزواري، محمّد باقر بن محمّد</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p>
    <w:p>
      <w:pPr>
        <w:pStyle w:val="BookText"/>
        <w:rPr/>
      </w:pPr>
      <w:r>
        <w:rPr>
          <w:rFonts w:ascii="Amiri" w:hAnsi="Amiri" w:eastAsia="Amiri" w:cs="Amiri"/>
          <w:color w:val="111111"/>
          <w:sz w:val="28"/>
          <w:sz w:val="28"/>
          <w:szCs w:val="28"/>
          <w:rtl w:val="true"/>
          <w:lang w:bidi="ar-SA"/>
        </w:rPr>
        <w:t>محمّد بن أحمد بن يحيى بن عمران</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سكّين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المسعودي، علي بن الحسين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المعلّى بن محمّد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أحمد بن علي</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النوفلي، الحسين بن يزيد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النهدي، محمّد بن حمران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يحيى بن أبي العلاء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يحيى بن العلاء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يعقوب بن سالم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يقطين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606" w:name="pg17116_198987"/>
    </w:p>
    <w:p>
      <w:pPr>
        <w:pStyle w:val="Heading3"/>
        <w:numPr>
          <w:ilvl w:val="2"/>
          <w:numId w:val="1"/>
        </w:numPr>
        <w:rPr/>
      </w:pPr>
      <w:bookmarkStart w:id="607" w:name="__RefHeading___Toc8646251_3381743652"/>
      <w:bookmarkStart w:id="608" w:name="_Toc217"/>
      <w:bookmarkEnd w:id="606"/>
      <w:bookmarkEnd w:id="607"/>
      <w:r>
        <w:rPr/>
        <w:t>5</w:t>
      </w:r>
      <w:r>
        <w:rPr>
          <w:rtl w:val="true"/>
        </w:rPr>
        <w:t xml:space="preserve"> - </w:t>
      </w:r>
      <w:r>
        <w:rPr>
          <w:rtl w:val="true"/>
        </w:rPr>
        <w:t>فهرس الكتب الواردة في المتن</w:t>
      </w:r>
      <w:bookmarkEnd w:id="608"/>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أحكام الراوندي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إرشاد الجعفرية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p>
    <w:p>
      <w:pPr>
        <w:pStyle w:val="BookText"/>
        <w:rPr/>
      </w:pP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إشارة السبق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w:t>
      </w:r>
    </w:p>
    <w:p>
      <w:pPr>
        <w:pStyle w:val="BookText"/>
        <w:rPr/>
      </w:pP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الأمالى للصدوق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w:t>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حاشية الإرشاد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حاشية الميسي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رسالة التقيّة للإمام الخميني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رسالة السيّد المرتضى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رسالة صاحب المعالم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رسالة علي بن بابويه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شرح الجعفرية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شرح الرسالة للسيّد المرتضى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جمل العلم والعمل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رسالة صاحب المعالم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 xml:space="preserve">الفخرية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 xml:space="preserve">فوائد الشرائع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كتاب محمّد بن علي بن محبوب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كشف الالتباس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مجالس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p>
    <w:p>
      <w:pPr>
        <w:pStyle w:val="BookText"/>
        <w:rPr/>
      </w:pP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المصباح للسيّد المرتضى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w:t>
      </w:r>
    </w:p>
    <w:p>
      <w:pPr>
        <w:pStyle w:val="BookText"/>
        <w:rPr/>
      </w:pP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منظومة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لتحرير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p>
    <w:p>
      <w:pPr>
        <w:pStyle w:val="BookText"/>
        <w:rPr/>
      </w:pPr>
      <w:r>
        <w:rPr>
          <w:rFonts w:ascii="IRNazanin" w:hAnsi="IRNazanin" w:eastAsia="IRNazanin"/>
          <w:color w:val="111111"/>
          <w:sz w:val="28"/>
          <w:sz w:val="28"/>
          <w:szCs w:val="28"/>
          <w:rtl w:val="true"/>
          <w:lang w:bidi="fa-IR"/>
        </w:rPr>
        <w:t>والأثر</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7116_198993"/>
      <w:bookmarkStart w:id="610" w:name="pg17116_198993"/>
      <w:bookmarkEnd w:id="610"/>
    </w:p>
    <w:p>
      <w:pPr>
        <w:pStyle w:val="Heading3"/>
        <w:numPr>
          <w:ilvl w:val="2"/>
          <w:numId w:val="1"/>
        </w:numPr>
        <w:rPr/>
      </w:pPr>
      <w:bookmarkStart w:id="611" w:name="pg17116_198993"/>
      <w:bookmarkStart w:id="612" w:name="__RefHeading___Toc8646253_3381743652"/>
      <w:bookmarkStart w:id="613" w:name="_Toc218"/>
      <w:bookmarkEnd w:id="611"/>
      <w:bookmarkEnd w:id="612"/>
      <w:r>
        <w:rPr/>
        <w:t>6</w:t>
      </w:r>
      <w:r>
        <w:rPr>
          <w:rtl w:val="true"/>
        </w:rPr>
        <w:t xml:space="preserve"> - </w:t>
      </w:r>
      <w:r>
        <w:rPr>
          <w:rtl w:val="true"/>
        </w:rPr>
        <w:t>فهرس مصادر التحقيق</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أنصاريان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ستارة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إبراهيم البهادري ومحمّد هادي به ، الطبعة الاُولى ، مجلّدان ، قم ، منشورات اُسوة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نشر دار الكتاب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فارس الحسّون ، الطبعة الاُولى ، مجلّدان ، قم ، مؤسّسة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الطبعة الاُولى ، مجلّدان ، قم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عبدالرحيم محمود ، بيروت ، دار المعرفة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أبو الحسن علي بن أبي الفضل بن الحسن بن أبي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إبراهيم بهادري ، الطبعة الاُولى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إصباح الشيعة بمصباح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محمّد بن الحسين الكيدرى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قم ، مؤسّسة الإمام الصادق علیه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الدرر في قاعدة نفي الضرر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الثانية ، قم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تعليق مصطفى الحسيني الدشتي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مرتضى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منشورات دار مكتبة الحياة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w:t>
      </w:r>
    </w:p>
    <w:p>
      <w:pPr>
        <w:pStyle w:val="BookText"/>
        <w:rPr/>
      </w:pPr>
      <w:r>
        <w:rPr>
          <w:rFonts w:ascii="IRNazanin" w:hAnsi="IRNazanin" w:eastAsia="IRNazanin"/>
          <w:color w:val="111111"/>
          <w:sz w:val="28"/>
          <w:sz w:val="28"/>
          <w:szCs w:val="28"/>
          <w:rtl w:val="true"/>
          <w:lang w:bidi="fa-IR"/>
        </w:rPr>
        <w:t xml:space="preserve">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آل البيت علیهم السلام  لإحياء التراث ، الطبعة الاُولى ، صدر منه حتّى</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الكوه‌كمري ، الطبعة الاُولى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المقباس من تفسير ابن عباس ، وبهامشه 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في أسباب النزول ومعرفة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أبوطاهر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من العلماء برياسة أحمد سعد علي ، بيروت ، دار الجيل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أحمد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الذي اُلّف تحت إشراف آية اللّه العظمى الحاج آقا حسين الطباطبائي البروجردي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إسماعيل المعزّي الملايري ، الطبعة الثانيه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مطبعة مهر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أحمد عبدالعليم البردوني ،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دار</w:t>
      </w:r>
    </w:p>
    <w:p>
      <w:pPr>
        <w:pStyle w:val="BookText"/>
        <w:rPr/>
      </w:pPr>
      <w:r>
        <w:rPr>
          <w:rFonts w:ascii="Amiri" w:hAnsi="Amiri" w:eastAsia="Amiri" w:cs="Amiri"/>
          <w:color w:val="111111"/>
          <w:sz w:val="28"/>
          <w:sz w:val="28"/>
          <w:szCs w:val="28"/>
          <w:rtl w:val="true"/>
          <w:lang w:bidi="ar-SA"/>
        </w:rPr>
        <w:t xml:space="preserve">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يحيى بن أحمد بن سعيد الحلّي الهذلي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جمع من الفضلاء ، قم ، مؤسّسة سيّد 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رمزي منير بعلبكي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إبراهيم </w:t>
      </w:r>
    </w:p>
    <w:p>
      <w:pPr>
        <w:pStyle w:val="BookText"/>
        <w:rPr/>
      </w:pPr>
      <w:r>
        <w:rPr>
          <w:rFonts w:ascii="Amiri" w:hAnsi="Amiri" w:eastAsia="Amiri" w:cs="Amiri"/>
          <w:color w:val="111111"/>
          <w:sz w:val="28"/>
          <w:sz w:val="28"/>
          <w:szCs w:val="28"/>
          <w:rtl w:val="true"/>
          <w:lang w:bidi="ar-SA"/>
        </w:rPr>
        <w:t xml:space="preserve">البهادري ، الطبعة الاُولى ، قم ، مؤسّسة النشر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الإرشاد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بصيرتي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الشرواني وابن قاسم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حسين بن جمال الدين محمّد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منشورات المدرسة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 منشورات الاحتجاج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مهديّ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مكتبة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السبزواري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الحسيني الجلالي ، الطبعة الاُولى ، قم ، دار الحديث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الاُستادي ، الطبعة الاُولى ، قم ، مكتبة آية اللّه المرعشي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شمس الدين محمّد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الاُولى ، قم ، مكتبة آية اللّه المرعشي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الرسالات الفقهية والاُصولية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والآثار الإسلامية ، الطبعة الاُولى ، </w:t>
      </w:r>
    </w:p>
    <w:p>
      <w:pPr>
        <w:pStyle w:val="BookText"/>
        <w:rPr/>
      </w:pPr>
      <w:r>
        <w:rPr>
          <w:rFonts w:ascii="Amiri" w:hAnsi="Amiri" w:eastAsia="Amiri" w:cs="Amiri"/>
          <w:color w:val="111111"/>
          <w:sz w:val="28"/>
          <w:sz w:val="28"/>
          <w:szCs w:val="28"/>
          <w:rtl w:val="true"/>
          <w:lang w:bidi="ar-SA"/>
        </w:rPr>
        <w:t xml:space="preserve">مجلّدان ، قم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يوسف حسن عمر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تهران ، منشورات مؤسّسة الصادق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الزرقاني على موطأ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الزرقاني ، بيروت ،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عبدالرحمن بن محمّد بن أحمد 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مع المغني ، لعبداللّه بن أحمد بن قدامة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الكتاب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ابن البرّاج أبو القاسم عبدالعزيز بن نحرير بن عبدالعزيز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كاظم مدير شانه‌چى ، الطبعة الاُولى ، مشهد ، جامعة مشهد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للملايين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تراث الشيخ الأعظم ، قم ، مكتبة الفقهية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الفاضل اللنكراني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مؤسّسة تنظيم ونشر آثار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صادق الخلخالي ، قم ، مؤسّسة تنظيم </w:t>
      </w:r>
    </w:p>
    <w:p>
      <w:pPr>
        <w:pStyle w:val="BookText"/>
        <w:rPr/>
      </w:pPr>
      <w:r>
        <w:rPr>
          <w:rFonts w:ascii="Amiri" w:hAnsi="Amiri" w:eastAsia="Amiri" w:cs="Amiri"/>
          <w:color w:val="111111"/>
          <w:sz w:val="28"/>
          <w:sz w:val="28"/>
          <w:szCs w:val="28"/>
          <w:rtl w:val="true"/>
          <w:lang w:bidi="ar-SA"/>
        </w:rPr>
        <w:t xml:space="preserve">ونشر آثار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سيطبع إن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رضا الأنصاري القمّي ، الطبعة الاُولى ، مجلّدان ،</w:t>
      </w:r>
    </w:p>
    <w:p>
      <w:pPr>
        <w:pStyle w:val="BookText"/>
        <w:rPr/>
      </w:pPr>
      <w:r>
        <w:rPr>
          <w:rFonts w:ascii="Amiri" w:hAnsi="Amiri" w:eastAsia="Amiri" w:cs="Amiri"/>
          <w:color w:val="111111"/>
          <w:sz w:val="28"/>
          <w:sz w:val="28"/>
          <w:szCs w:val="28"/>
          <w:rtl w:val="true"/>
          <w:lang w:bidi="ar-SA"/>
        </w:rPr>
        <w:t xml:space="preserve">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مهدي المخزومي وإبراهيم السامرائي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بن رشيد بن صلاح الصيمري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جعفر الكوثراني العاملي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الهادي للطباعة والنشر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 الطبعة الثانية ، مجلّدان،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IRNazanin" w:hAnsi="IRNazanin" w:eastAsia="IRNazanin"/>
          <w:color w:val="111111"/>
          <w:sz w:val="28"/>
          <w:sz w:val="28"/>
          <w:szCs w:val="28"/>
          <w:rtl w:val="true"/>
          <w:lang w:bidi="fa-IR"/>
        </w:rPr>
        <w:t xml:space="preserve">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بن نجم أبو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رضا الاُستادي ، أصفهان ، مكتبة الإمام أمير المؤمنين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الكوفي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بن رشيد بن صلاح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الشيخ محمّد باقر شريف‌زاده ، الطبعة الرابعة ، مجلّدان ، طهران ، المكتبة الرضوية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بن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بيروت ، مؤسّسة فقه الشيعة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المعرفة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وتصحيح السيّد هاشم الرسولي المحلاّتي والسيّد</w:t>
      </w:r>
    </w:p>
    <w:p>
      <w:pPr>
        <w:pStyle w:val="BookText"/>
        <w:rPr/>
      </w:pPr>
      <w:r>
        <w:rPr>
          <w:rFonts w:ascii="Amiri" w:hAnsi="Amiri" w:eastAsia="Amiri" w:cs="Amiri"/>
          <w:color w:val="111111"/>
          <w:sz w:val="28"/>
          <w:sz w:val="28"/>
          <w:szCs w:val="28"/>
          <w:rtl w:val="true"/>
          <w:lang w:bidi="ar-SA"/>
        </w:rPr>
        <w:t xml:space="preserve">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بالآثار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عبدالغفّار سليمان البنداري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w:t>
      </w:r>
    </w:p>
    <w:p>
      <w:pPr>
        <w:pStyle w:val="BookText"/>
        <w:rPr/>
      </w:pPr>
      <w:r>
        <w:rPr>
          <w:rFonts w:ascii="Amiri" w:hAnsi="Amiri" w:eastAsia="Amiri" w:cs="Amiri"/>
          <w:color w:val="111111"/>
          <w:sz w:val="28"/>
          <w:sz w:val="28"/>
          <w:szCs w:val="28"/>
          <w:rtl w:val="true"/>
          <w:lang w:bidi="ar-SA"/>
        </w:rPr>
        <w:t xml:space="preserve">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علي بن الحسين الموسوي المعروف بالشريف المرتضى و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والشيخ محمّد باقر شريف‌زاده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مجلّدان ، طهران ، المكتبة المرتضوية لآثار الجعفرية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في شرح 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العلاّمة المجدّد الوحيد البهبهاني ، الطبعة الاُولى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علاّمة المجدّد الوحيد البهبهاني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المؤسّسة الجعفرية لإحياء التراث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w:t>
      </w:r>
    </w:p>
    <w:p>
      <w:pPr>
        <w:pStyle w:val="BookText"/>
        <w:rPr/>
      </w:pPr>
      <w:r>
        <w:rPr>
          <w:rFonts w:ascii="Amiri" w:hAnsi="Amiri" w:eastAsia="Amiri" w:cs="Amiri"/>
          <w:color w:val="111111"/>
          <w:sz w:val="28"/>
          <w:sz w:val="28"/>
          <w:szCs w:val="28"/>
          <w:rtl w:val="true"/>
          <w:lang w:bidi="ar-SA"/>
        </w:rPr>
        <w:t>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الطبعة الاُولى ، مجلّدان ، قم ،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بن محمّد صادق الشيرازي ، الطبعة الحجرية ، ايران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مغني اللبيب عن كتب الأعاريب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أبو محمّد عبداللّه بن يوسف بن هشام الأنصاري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العلماء ، الطبعة الخامسة ، قم ، مكتبة سيّد الشهداء علیه 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عدنان صفوان داوودي ، الطبعة الثانية ، قم ، منشورات ذوي القربى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الرسالة الألفية وحاشيتا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مركز النشر التابع لمكتب الإعلام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مقباس الهداية 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عبداللّه بن محمّد حسن المامقاني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رضا المامقاني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 الطبعة الثانية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 تحقيق السيّد مهدي الرجائي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مكتبة آية اللّه المرعشي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زين الدين الشهيد الجباعي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مؤسّسة النشر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في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محمّد بن إسماعيل الحائري المازندراني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 مؤسّسة سيّدالشهداء ، الطبعة الاُولى ، مجلّدان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العبّاس أحمد بن محمّد بن فهد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بن علي الحسيني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سعيد رضا علي عسكري ، الطبعة الاُولى ، قم ، مؤسّسة دار الحديث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الطبعة الثانية ، مجلّدان ، قم ،</w:t>
      </w:r>
    </w:p>
    <w:p>
      <w:pPr>
        <w:pStyle w:val="BookText"/>
        <w:rPr/>
      </w:pPr>
      <w:r>
        <w:rPr>
          <w:rFonts w:ascii="Amiri" w:hAnsi="Amiri" w:eastAsia="Amiri" w:cs="Amiri"/>
          <w:color w:val="111111"/>
          <w:sz w:val="28"/>
          <w:sz w:val="28"/>
          <w:szCs w:val="28"/>
          <w:rtl w:val="true"/>
          <w:lang w:bidi="ar-SA"/>
        </w:rPr>
        <w:t xml:space="preserve">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الطباعة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محمّد الحسّون ، الطبعة الاُولى ، قم ، مكتبة آية</w:t>
      </w:r>
    </w:p>
    <w:p>
      <w:pPr>
        <w:pStyle w:val="BookText"/>
        <w:rPr/>
      </w:pPr>
      <w:r>
        <w:rPr>
          <w:rFonts w:ascii="Amiri" w:hAnsi="Amiri" w:eastAsia="Amiri" w:cs="Amiri"/>
          <w:color w:val="111111"/>
          <w:sz w:val="28"/>
          <w:sz w:val="28"/>
          <w:szCs w:val="28"/>
          <w:rtl w:val="true"/>
          <w:lang w:bidi="ar-SA"/>
        </w:rPr>
        <w:t xml:space="preserve">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الإمام الهادي علیه السلام  ، الطبعة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 قم ، مؤسّسة الإمام الهادي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7116_199015"/>
      <w:bookmarkStart w:id="615" w:name="pg17116_199015"/>
      <w:bookmarkEnd w:id="615"/>
    </w:p>
    <w:p>
      <w:pPr>
        <w:pStyle w:val="Heading3"/>
        <w:numPr>
          <w:ilvl w:val="2"/>
          <w:numId w:val="1"/>
        </w:numPr>
        <w:rPr/>
      </w:pPr>
      <w:bookmarkStart w:id="616" w:name="pg17116_199015"/>
      <w:bookmarkStart w:id="617" w:name="__RefHeading___Toc8646255_3381743652"/>
      <w:bookmarkStart w:id="618" w:name="_Toc219"/>
      <w:bookmarkEnd w:id="616"/>
      <w:bookmarkEnd w:id="617"/>
      <w:r>
        <w:rPr/>
        <w:t>7</w:t>
      </w:r>
      <w:r>
        <w:rPr>
          <w:rtl w:val="true"/>
        </w:rPr>
        <w:t xml:space="preserve"> - </w:t>
      </w:r>
      <w:r>
        <w:rPr>
          <w:rtl w:val="true"/>
        </w:rPr>
        <w:t>فهرس الموضوعات</w:t>
      </w:r>
      <w:bookmarkEnd w:id="618"/>
    </w:p>
    <w:p>
      <w:pPr>
        <w:pStyle w:val="BookText"/>
        <w:rPr/>
      </w:pPr>
      <w:r>
        <w:rPr>
          <w:rFonts w:ascii="Amiri" w:hAnsi="Amiri" w:eastAsia="Amiri" w:cs="Amiri"/>
          <w:color w:val="111111"/>
          <w:sz w:val="28"/>
          <w:sz w:val="28"/>
          <w:szCs w:val="28"/>
          <w:rtl w:val="true"/>
          <w:lang w:bidi="ar-SA"/>
        </w:rPr>
        <w:t>مباحث التيمّم</w:t>
      </w:r>
    </w:p>
    <w:p>
      <w:pPr>
        <w:pStyle w:val="BookText"/>
        <w:rPr/>
      </w:pPr>
      <w:r>
        <w:rPr>
          <w:rFonts w:ascii="Amiri" w:hAnsi="Amiri" w:eastAsia="Amiri" w:cs="Amiri"/>
          <w:color w:val="111111"/>
          <w:sz w:val="28"/>
          <w:sz w:val="28"/>
          <w:szCs w:val="28"/>
          <w:rtl w:val="true"/>
          <w:lang w:bidi="ar-SA"/>
        </w:rPr>
        <w:t xml:space="preserve">قبل الورود في المباحث لا بأس بذكر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التيمّم من ضروريات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اتّصاف الطهارات بالوجوب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الطهارة الترابية بدلاً اضطرارياً عن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التمسّك بالكتاب على كون التيمّم بدلاً اضطرارياً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التمسّك بالسنّة على كون التيمّم بدلاً اضطرارياً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الروايات المنافي ظاهرها لما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الإشكال في اضطرارية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عدم جواز التعجيز قبل زمان التكليف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إذا عرفت ما ذكر فالمباحث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فيمسوّغات التيمّم</w:t>
      </w:r>
    </w:p>
    <w:p>
      <w:pPr>
        <w:pStyle w:val="BookText"/>
        <w:rPr/>
      </w:pPr>
      <w:r>
        <w:rPr>
          <w:rFonts w:ascii="Amiri" w:hAnsi="Amiri" w:eastAsia="Amiri" w:cs="Amiri"/>
          <w:color w:val="111111"/>
          <w:sz w:val="28"/>
          <w:sz w:val="28"/>
          <w:szCs w:val="28"/>
          <w:rtl w:val="true"/>
          <w:lang w:bidi="ar-SA"/>
        </w:rPr>
        <w:t xml:space="preserve">فيمن يشرع له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شمول آية التيمّم لجميع الأعذار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لابدّ من التعرّض لبعض أسباب العذر ، وهو اُمور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الطلب والفحص عن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حكم العقل بوجوب الطلب إلى زمان اليأس أو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يجب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الطلب في الجهات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الألفاظ الواردة في رواية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المراد من الحزونة والسهولة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المراد من الغلوة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تفسير الغلوة في كلمات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المراد بعدم وجدان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الإخلال بالطلب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يترتّب على الموضوع لانقلاب التكليف بالترابية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الماء بمقدار الكفاية كعدمه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تحصيل الماء ولو بالمعالجة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الوصلة إلى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حرجياً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سقوط المائية مع خوف حدوث الأمراض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حول سقوط المائية مع خوف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العطش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المحذور الشرعي من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تقديم رفع الخبث على رفع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حكم إدراك جميع الوقت مع الترابية وعدم إدراك شيء منه مع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إدراك ركعة من الوقت مع المائية وجميعه مع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صحيحة زرارة في فرض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عدم تمامية الحكومة بالنسبة لسائر الفروض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حكم ما إذا أدرك ركعة مع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إدراك ركعة مع المائية وأزيد منها مع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الخوف المأخوذ في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موضوع الأدلّة على نسقٍ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المستفاد من أدلّة الحرج سقوط المائية على نحو العزيمة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ميزان سقوط المائية على نحو العزيمة في غير مورد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الطهارة المائية عند تعيّن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بيان مقتضى القواعد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حكم مزاحمة الطهارة المائية لواجب أهمّ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بيان مقتضى الأدلّة النقلية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لابدّ من إفراز بعض المسائل التي وردت فيها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الطهارة المائية في موارد سقوطها بدليل نفي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مفاد رواية يحيى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نكتة اُخرى تقتضي بطلان الصلاة مع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الطهارة المائية في موارد سقوطها بغير دليل نفي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بالمائية لعذر عند تعيّن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يتيمّم به</w:t>
      </w:r>
    </w:p>
    <w:p>
      <w:pPr>
        <w:pStyle w:val="BookText"/>
        <w:rPr/>
      </w:pPr>
      <w:r>
        <w:rPr>
          <w:rFonts w:ascii="Amiri" w:hAnsi="Amiri" w:eastAsia="Amiri" w:cs="Amiri"/>
          <w:color w:val="111111"/>
          <w:sz w:val="28"/>
          <w:sz w:val="28"/>
          <w:szCs w:val="28"/>
          <w:rtl w:val="true"/>
          <w:lang w:bidi="ar-SA"/>
        </w:rPr>
        <w:t xml:space="preserve">ويتمّ ذلك في ضمن اُمور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كونه أرضاً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تحديد ما يصحّ التيمّم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الاستدلال بالكتاب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الاستدلال بالسنّة على كفاية مطلق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الاستدلال بالسنّة على اشتراط خصوص التراب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الاستدلال بالإجماع على اشتراط خصوص التراب وجوابه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التيمّم بما خرج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فيما استدلّ على جواز التيمّم بمطلق ما خرج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التيمّم بالرماد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التيمّم بالجصّ والنورة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إباحة 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طهارة 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امتزاج ما يصحّ التيمّم به بغيره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التيمّم بغبار الثوب ولبد السرج وعُرف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عدم اختصاص الحكم بالأمثلة المذكورة في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اشتراط جواز التيمّم بالغبار بفقد التراب أو مطلق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اعتبار محسوسية الغبار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التيمّم بالطين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مقتضى الأدلّة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مقتضى الأدلّة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أدلّة تقدّم الطين على الغبار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النكتة في تعبير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التيمّم بالوحل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التيمّم بالثلج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حول كلام المفيد في التوضّي بالثلج مثل الدهن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التيمّم</w:t>
      </w:r>
    </w:p>
    <w:p>
      <w:pPr>
        <w:pStyle w:val="BookText"/>
        <w:rPr/>
      </w:pPr>
      <w:r>
        <w:rPr>
          <w:rFonts w:ascii="Amiri" w:hAnsi="Amiri" w:eastAsia="Amiri" w:cs="Amiri"/>
          <w:color w:val="111111"/>
          <w:sz w:val="28"/>
          <w:sz w:val="28"/>
          <w:szCs w:val="28"/>
          <w:rtl w:val="true"/>
          <w:lang w:bidi="ar-SA"/>
        </w:rPr>
        <w:t xml:space="preserve">يعتبر في التيمّم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عدم لزوم قصد البدلية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رافعية التيمّم للحدث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الإشكال في المسألة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الإشكال العقلي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جواب بعض المحقّقين عن الإشكالين السابقين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عدم كون التيمّم رافعاً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حكم العاجز عن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الإشكال في استفادة الترتيب بين الكفّين من الأدلّة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الدليل على اعتبار الموالاة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ضرب اليدين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وجه اعتبار الضرب أو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الضرب أو الوضع شرط لحصول المسح أو 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المعتبر في الضرب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كون الضرب بكلتا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اعتبار الدفعة في الضرب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اعتبار الضرب بباطن الكفّين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عدم اعتبار اتّصال المتيمّم به بالأرض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اعتبار كون الضرب بجميع الباطن وكفاية الضرب بالكفّ الناقصة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من قطعت كفّاه من الزند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تعذّر الضرب بباطن الكفّين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نجاسة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التيمّم العلوق ممّا ضرب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عدم لزوم مسح المواضع بالتراب ونحوه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عدم لزوم أن يعلق على اليد من أجزاء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عدم اعتبار انتقال أثر من الأرض إلى الأعضاء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الماسح والممسوح وكيفية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أمّا الماسح فيقع 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المسح بيد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وجه الاجتزاء بيد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وجه عدم الاجتزاء بيد واحدة وترجيحه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المسح باليدين دفعة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كون المسح بجميع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تحديد الممسوح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وأمّا الممسوح ، فيقع 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والكلام يقع فيه في مقامين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الأدلّة مع قطع النظر عن فتوى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فتاوى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تأويل الروايات على ما تنطبق على القول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المسح إلى طرف الأنف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لزوم مسح الحاجبين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مسح الكفّين من الزنْد إلى أطراف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بيان كيفية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عدد ضربات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بيان مقتضى الأدلّة والجمع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حول كلمات القوم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اتّحاد كيفية التيمّم بدل جميع الأغسال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التيمّم بمنزلة المبدل منه في جميع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التيمّم</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التيمّم قبل الوقت لصاحبته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التمسّك بالإجماع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التمسّك بالدليل العقلي على عدم صحّة التيمّم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الإشكال في الإجماع المدّعى على عدم صحّة التيمّم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البدار إلى التيمّم مع سعة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التمسّك بالآية لجواز البدار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التمسّك بالروايات لجواز البدار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الخدشة في الروايات المستدلّ بها على عدم جواز البدار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التفصيل بين رجاء رفع العذر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التفصيل بين العلم برفع العذر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حول حصر محلّ الخلاف في غير المتيمّم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لزوم الإعادة مع انكشاف سعة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صلاة المتيمّم عن الإعادة والقضاء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عدم الفرق بين تعمّد الجنابة وغيره في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التفصيل بين التيمّم لأجل الخوف من الاستعمال وفقدان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وجوب الإعادة مع العلم بزوال الزحام بعد ساعة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حكم المتيمّم مع نجاسة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مقتضى القاعدة في مثل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حول سقوط الأداء في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حول سقوط القضاء عن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مقتضى الاحتياط ترك الصلاة مع فقدان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المتيمّم إذا وجد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بطلان التيمّم إذا وجد الماء قبل الدخول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عدم بطلان التيمّم إذا وجد الماء بعد الدخول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حول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الاستئناف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عدم الفرق بين الفريضة والنافلة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حكم فقدان الماء بعد وجدانه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المتيمّم يستبيح ما يستبيحه المتطهّر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تيمّم لغاية جاز لأجلها التيمّم ، يباح له جميع ما يباح للمتطهّر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يجوز التيمّم لكلّ غاية ، أو مخصوص بغايات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قيام التيمّم مقام الوضوءات والأغسال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اجتماع ميّت وجنب ومحدث بالأصغر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الجنب المتيمّم إذا أحدث بالأصغر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بيان مقتضى القاعدة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فروع انتقاض التيمّم مع التمكّن من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بن محمّد ، عن أبيه ، عن سعد بن عبداللّه ، عن محمّد بن أحمد بن يحيى ، عن العبّاس ، عن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والعبّاس في مشايخ محمّد بن أحمد بن يحيى منصرف إلى العبّاس بن معروف ولم نعثر على روايته عن السكوني إلاّ في هذا المورد ، وأكثر ما يروي عن السكوني بتوسّط أبي همّام ، عن محمّد ابن سعيد بن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سنده الآخر برواية محمّد بن علي بن محبوب ، عن العبّاس ابن معروف ، عن أبي همّام ، عن محمّد بن سعيد بن غزوان ، عن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محالة في سند الرواية سقط أو إرسال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بالآثار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 المسائل العزّية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سالم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حمزة سالم 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التاسع</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أسحقوا</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الأذهان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أحمد بن محمّد ، عن عثمان بن عيسى ، عن ابن مسكان ،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والترديد في سند الرواية لوقوع عثمان بن عيسى في السند وهو كان شيخ الواقفة ووجهها ومن أصحاب الإجماع على قول ، ولكن يظهر من ترجمته أ نّه رجع عن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الصلاة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أحمد بن محمّد ، عن ابن محبوب ، عن علي بن الحسن بن رباط ، عن عبدالأعلى مولى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كلام في رجال السند إلاّ في عبدالأعلى مولى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الخفّاف هو أبو علي الأعور ، وأخواه علي وعبد الحميد ، وكان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وثاقة داود بن كثير الرقّي ؛ قال النجاشي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والغلاة تروي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كثير الرقّي مولى بني أسد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أشيم ، قال الشيخ الطوسي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أشيم مجهول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فِى الدِّينِ مِنْ حَرَجٍ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مبحث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المسافر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الرسالات الفقهية والاُصولية ،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الحكم بن مسكين في طريق الصدوق رحمه‌الله إلى عبيد بن زرارة ، فإنّه قال في مشيخته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عبيد بن زرارة فقد رويته عن أبي رضى‌الله‌عنه ، عن سعد بن عبداللّه ، عن محمّد بن الحسين بن أبي الخطّاب ، عن الحكم بن مسكين الثقفي ، عن عبيد بن زرارة بن أعين وكان أحول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الرواية بطريق الكليني فضعيفة بعبدالعزيز العبدي، فإنّه رواها عن عدّة من أصحابنا، عن سهل بن زياد ، عن الحسن بن محبوب ، عن عبدالعزيز العبدي ، عن عبيد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الياء</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التيمّم أحد الطهورين</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 على الوضوء نور على نور</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في الجوامع الروائية المتوفّرة لدينا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الوسيلة ولكن نقل عنه في الجواهر ولعلّ الصحيح هو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المقباس من 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المقباس من 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ولقربهما في الكتب اشتبه الأمر على النسّاخ ، ويؤيّده صحيحة رفاعة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الطبعة الحجرية من الوسائل ، ولكن 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 الكامل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بهذا اللفظ ولكن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 الصلاة على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ديات الأعضاء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التيمّم أحد الطهورين</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 عن محمّد بن حمران وجميل بن درّاج ، وطريقه إليهما صحيح ، ورواها الشيخ الطوسي بإسناده ، عن محمّد بن علي بن محبوب ، عن يعقوب بن يزيد ، عن ابن أبيعمير ، عن محمّد بن حمران وجميل بن 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الترديد لأجل وقوع أحمد بن محمّد بن يحيى العطّار في طريق الشيخ الطوسي إلى محمّد بن علي بن محبوب ، وهو محلّ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المصنّف قدس‌سره عبّر عنها بالصحيحة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الموجودة من الوسائل لدينا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يؤمّم</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 جمل العلم والعمل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وصفة التيمّم للوضوء والجنابة وسائر أسباب الغسل واحد ، وهو أن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البهجة المرضيّة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علي بن إبراهيم ، عن محمّد بن عيسى ، عن يونس ، عن أبيأ يّوب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إشكال في رجال السند ، إلاّ في محمّد بن عيسى العبيدي ، وهو ثقة على الأصحّ ، كما صرّح به المصنّف قدس‌سره في غير موضع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الحسين بن سعيد ، عن عثمان بن عيسى ، عن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الترديد لوقوع عثمان بن عيسى وسماعة في السند ؛ لأنّ عثمان بن عيسى كان شيخ الواقفة ووجهها ومن أصحاب الإجماع على قول ، ولكنّ الظاهر رجوعه عن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وسماعة بن مهران ثقة عند النجاشي وواقفي عند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 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في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إلى آيات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الدمشقية ، المحقّق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محمّد بن الحسين ، عن صفوان ، عن الكاهلي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المتن موافق للطبع الحجري من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الدمشقية ، المحقّق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متنها في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متنها أيضاً في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القرآن ، الجصّاص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فتاوى الأصحاب في 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فَامْسَحُوا بِوُجُوهِكُمْ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القاسم جعفر بن محمّد ، عن أبيه ، عن محمّد بن الحسن الصفّار ، عن أحمد بن محمّد ، عن الحسين بن سعيد ، عن صفوان ، عن عمرو بن أبي المقدام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الطبعة الحجرية من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جبينيه</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الطبعة الحجرية من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عن الإمام الصادق عليه‌السلام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قد وردت في كتب الحديث عن أبي جعفر عليه‌السلام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الإرشاد ، ضمن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رسالة صاحب المعالم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لأحكام القرآن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في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تقدّمتا أيضاً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متنه في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 الأقوال وحكاية المعتبر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متنها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الانتصار ولكنّه موجود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الطبعة الحجرية من مصباح الفقيه ،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يأتي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جواهر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 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 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الكركي وآثاره ، حاشية إرشاد الأذهان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 ذيل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الكركي وآثاره ، الرسالة الجعفرية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الحسن بن علي ، عن علي بن أسباط ، عن يعقوب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مشترك بين الحسن بن علي بن زياد الوشاء والحسن بن علي بن عبداللّه ابن المغيرة وهما إماميان ثقتان ، وبين الحسن بن علي بن فضّال وهو فطحي ثقة ، وعلي بن أسباط ثقة وكان فطحياً واختلف في رجوعه عن الفطحية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موثّقتي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أيضاً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أيضاً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النسخة الموجودة عندنا خلاف ذلك ولكن نقل عنه الفاضل الهندي وصاحب المفتاح ، والظاهر وجود اختلاف في النسخ ، ولذا صرّح صاحب مفتاح الكرامة بأنّ الموجود في النسخة التي عنده هو عدم 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الرسالات الفقهية والاُصولية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 الموجز الحاوي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المواقيت ، الباب</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 جمل العلم والعمل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الحسين بن محمّد ، عن معلّى بن محمّد ، عن الوشّاء ، عن أبان ابن عثمان ، عن عبداللّه بن عاصم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الرجل لا يجد الماء فيتيمّم ويقيم في الصلاة فجاء الغلام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 الماء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لم يركع فلينصرف وليتوضّأ وإن كان قد ركع فليمض في صلاته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 عن محمّد بن علي بن محبوب ، عن الحسن بن الحسين اللؤلؤي ، عن جعفر بن بشير ، عن عبداللّه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الحسين بن سعيد ، عن القاسم بن محمّد ، عن أبان ابن عثمان ، عن عبداللّه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ولكنّ الصحيح عكس ذلك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محمّد بن الحسين ، عن موسى بن سعدان ، عن الحسين بن أبي العلاء ، عن المثنّى ، عن الحسن الصيقل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بموسى بن 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 ضمن تراث الشيخ الأعظم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مقدّمات الطواف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علي بن محمّد ، عن محمّد بن علي ، عن بعض أصحابه ، 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والجنب يتّفقان في مكان لا يكون فيه الماء إلاّ بقدر ما يكتفي به أحدهما ، أ يّهما أولى أن يجعل الماء 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يتيمّم الجنب ويغسل الميّت بالماء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 إرسالها ضعيفة بعلي بن محمّد القاشاني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 عن أبيه ، عن آبائه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يتمتّع بالتيمّم إلاّ صلاة واحدة</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68352</Words>
  <Characters>269322</Characters>
  <CharactersWithSpaces>335106</CharactersWithSpaces>
  <Paragraphs>3202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2026-08-28T15:50:13Z</dcterms:created>
  <dc:creator>ghaemiyeh.com</dc:creator>
  <dc:description/>
  <dc:language>en-US</dc:language>
  <cp:lastModifiedBy/>
  <dcterms:modified xsi:type="dcterms:W3CDTF">2026-08-28T19:20:28Z</dcterms:modified>
  <cp:revision>1</cp:revision>
  <dc:subject/>
  <dc:title>موسوعة الامام الخمینی قدس سرة الشریف المجلدات 8 - 11 کتاب الطهارة جلد 2</dc:title>
</cp:coreProperties>
</file>

<file path=docProps/custom.xml><?xml version="1.0" encoding="utf-8"?>
<Properties xmlns="http://schemas.openxmlformats.org/officeDocument/2006/custom-properties" xmlns:vt="http://schemas.openxmlformats.org/officeDocument/2006/docPropsVTypes"/>
</file>