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سؤال و جواب درباره ولایت حاکم شرع بر بالغه غیر رشیده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007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0008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00082_105122903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2800084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800086_1051229030">
            <w:r>
              <w:rPr>
                <w:webHidden/>
                <w:rStyle w:val="IndexLink"/>
                <w:rtl w:val="true"/>
              </w:rPr>
              <w:t>توضيحى پيرامون رساله حاضر</w:t>
            </w:r>
            <w:r>
              <w:rPr>
                <w:rStyle w:val="IndexLink"/>
                <w:rtl w:val="true"/>
              </w:rPr>
              <w:tab/>
            </w:r>
            <w:r>
              <w:rPr>
                <w:rStyle w:val="IndexLink"/>
              </w:rPr>
              <w:t>12</w:t>
            </w:r>
          </w:hyperlink>
        </w:p>
        <w:p>
          <w:pPr>
            <w:pStyle w:val="Contents2"/>
            <w:tabs>
              <w:tab w:val="clear" w:pos="8743"/>
              <w:tab w:val="right" w:pos="9026" w:leader="dot"/>
            </w:tabs>
            <w:rPr/>
          </w:pPr>
          <w:hyperlink w:anchor="__RefHeading___Toc2800088_1051229030">
            <w:r>
              <w:rPr>
                <w:webHidden/>
                <w:rStyle w:val="IndexLink"/>
                <w:rtl w:val="true"/>
              </w:rPr>
              <w:t>زندگى نامه مؤلّف</w:t>
            </w:r>
            <w:r>
              <w:rPr>
                <w:rStyle w:val="IndexLink"/>
                <w:rtl w:val="true"/>
              </w:rPr>
              <w:tab/>
            </w:r>
            <w:r>
              <w:rPr>
                <w:rStyle w:val="IndexLink"/>
              </w:rPr>
              <w:t>14</w:t>
            </w:r>
          </w:hyperlink>
        </w:p>
        <w:p>
          <w:pPr>
            <w:pStyle w:val="Contents3"/>
            <w:tabs>
              <w:tab w:val="clear" w:pos="8459"/>
              <w:tab w:val="right" w:pos="9026" w:leader="dot"/>
            </w:tabs>
            <w:rPr/>
          </w:pPr>
          <w:hyperlink w:anchor="__RefHeading___Toc2800090_1051229030">
            <w:r>
              <w:rPr>
                <w:webHidden/>
                <w:rStyle w:val="IndexLink"/>
                <w:rtl w:val="true"/>
              </w:rPr>
              <w:t>نام</w:t>
            </w:r>
            <w:r>
              <w:rPr>
                <w:rStyle w:val="IndexLink"/>
                <w:rtl w:val="true"/>
              </w:rPr>
              <w:tab/>
            </w:r>
            <w:r>
              <w:rPr>
                <w:rStyle w:val="IndexLink"/>
              </w:rPr>
              <w:t>14</w:t>
            </w:r>
          </w:hyperlink>
        </w:p>
        <w:p>
          <w:pPr>
            <w:pStyle w:val="Contents3"/>
            <w:tabs>
              <w:tab w:val="clear" w:pos="8459"/>
              <w:tab w:val="right" w:pos="9026" w:leader="dot"/>
            </w:tabs>
            <w:rPr/>
          </w:pPr>
          <w:hyperlink w:anchor="__RefHeading___Toc2800092_1051229030">
            <w:r>
              <w:rPr>
                <w:webHidden/>
                <w:rStyle w:val="IndexLink"/>
                <w:rtl w:val="true"/>
              </w:rPr>
              <w:t>شهرت</w:t>
            </w:r>
            <w:r>
              <w:rPr>
                <w:rStyle w:val="IndexLink"/>
                <w:rtl w:val="true"/>
              </w:rPr>
              <w:tab/>
            </w:r>
            <w:r>
              <w:rPr>
                <w:rStyle w:val="IndexLink"/>
              </w:rPr>
              <w:t>14</w:t>
            </w:r>
          </w:hyperlink>
        </w:p>
        <w:p>
          <w:pPr>
            <w:pStyle w:val="Contents3"/>
            <w:tabs>
              <w:tab w:val="clear" w:pos="8459"/>
              <w:tab w:val="right" w:pos="9026" w:leader="dot"/>
            </w:tabs>
            <w:rPr/>
          </w:pPr>
          <w:hyperlink w:anchor="__RefHeading___Toc2800094_1051229030">
            <w:r>
              <w:rPr>
                <w:webHidden/>
                <w:rStyle w:val="IndexLink"/>
                <w:rtl w:val="true"/>
              </w:rPr>
              <w:t>از نگاه ديگران</w:t>
            </w:r>
            <w:r>
              <w:rPr>
                <w:rStyle w:val="IndexLink"/>
                <w:rtl w:val="true"/>
              </w:rPr>
              <w:tab/>
            </w:r>
            <w:r>
              <w:rPr>
                <w:rStyle w:val="IndexLink"/>
              </w:rPr>
              <w:t>15</w:t>
            </w:r>
          </w:hyperlink>
        </w:p>
        <w:p>
          <w:pPr>
            <w:pStyle w:val="Contents4"/>
            <w:tabs>
              <w:tab w:val="clear" w:pos="8176"/>
              <w:tab w:val="right" w:pos="9026" w:leader="dot"/>
            </w:tabs>
            <w:rPr/>
          </w:pPr>
          <w:hyperlink w:anchor="__RefHeading___Toc2800096_105122903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800098_1051229030">
            <w:r>
              <w:rPr>
                <w:webHidden/>
                <w:rStyle w:val="IndexLink"/>
              </w:rPr>
              <w:t>1</w:t>
            </w:r>
            <w:r>
              <w:rPr>
                <w:rStyle w:val="IndexLink"/>
                <w:rtl w:val="true"/>
              </w:rPr>
              <w:t xml:space="preserve"> - </w:t>
            </w:r>
            <w:r>
              <w:rPr>
                <w:rStyle w:val="IndexLink"/>
                <w:rtl w:val="true"/>
              </w:rPr>
              <w:t>حكيم ملاّ على نورى قدس‌سره</w:t>
            </w:r>
            <w:r>
              <w:rPr>
                <w:rStyle w:val="IndexLink"/>
                <w:rtl w:val="true"/>
              </w:rPr>
              <w:tab/>
            </w:r>
            <w:r>
              <w:rPr>
                <w:rStyle w:val="IndexLink"/>
              </w:rPr>
              <w:t>15</w:t>
            </w:r>
          </w:hyperlink>
        </w:p>
        <w:p>
          <w:pPr>
            <w:pStyle w:val="Contents4"/>
            <w:tabs>
              <w:tab w:val="clear" w:pos="8176"/>
              <w:tab w:val="right" w:pos="9026" w:leader="dot"/>
            </w:tabs>
            <w:rPr/>
          </w:pPr>
          <w:hyperlink w:anchor="__RefHeading___Toc2800100_1051229030">
            <w:r>
              <w:rPr>
                <w:webHidden/>
                <w:rStyle w:val="IndexLink"/>
              </w:rPr>
              <w:t>2</w:t>
            </w:r>
            <w:r>
              <w:rPr>
                <w:rStyle w:val="IndexLink"/>
                <w:rtl w:val="true"/>
              </w:rPr>
              <w:t xml:space="preserve"> - </w:t>
            </w:r>
            <w:r>
              <w:rPr>
                <w:rStyle w:val="IndexLink"/>
                <w:rtl w:val="true"/>
              </w:rPr>
              <w:t>مرحوم آية اللّه حاج محمّد ابراهيم كرباسى</w:t>
            </w:r>
            <w:r>
              <w:rPr>
                <w:rStyle w:val="IndexLink"/>
                <w:rtl w:val="true"/>
              </w:rPr>
              <w:tab/>
            </w:r>
            <w:r>
              <w:rPr>
                <w:rStyle w:val="IndexLink"/>
              </w:rPr>
              <w:t>16</w:t>
            </w:r>
          </w:hyperlink>
        </w:p>
        <w:p>
          <w:pPr>
            <w:pStyle w:val="Contents4"/>
            <w:tabs>
              <w:tab w:val="clear" w:pos="8176"/>
              <w:tab w:val="right" w:pos="9026" w:leader="dot"/>
            </w:tabs>
            <w:rPr/>
          </w:pPr>
          <w:hyperlink w:anchor="__RefHeading___Toc2800102_1051229030">
            <w:r>
              <w:rPr>
                <w:webHidden/>
                <w:rStyle w:val="IndexLink"/>
              </w:rPr>
              <w:t>3</w:t>
            </w:r>
            <w:r>
              <w:rPr>
                <w:rStyle w:val="IndexLink"/>
                <w:rtl w:val="true"/>
              </w:rPr>
              <w:t xml:space="preserve"> - </w:t>
            </w:r>
            <w:r>
              <w:rPr>
                <w:rStyle w:val="IndexLink"/>
                <w:rtl w:val="true"/>
              </w:rPr>
              <w:t>علاّمه حاج سيّد محمّد باقر خوانسارى قدس‌سره</w:t>
            </w:r>
            <w:r>
              <w:rPr>
                <w:rStyle w:val="IndexLink"/>
                <w:rtl w:val="true"/>
              </w:rPr>
              <w:tab/>
            </w:r>
            <w:r>
              <w:rPr>
                <w:rStyle w:val="IndexLink"/>
              </w:rPr>
              <w:t>17</w:t>
            </w:r>
          </w:hyperlink>
        </w:p>
        <w:p>
          <w:pPr>
            <w:pStyle w:val="Contents4"/>
            <w:tabs>
              <w:tab w:val="clear" w:pos="8176"/>
              <w:tab w:val="right" w:pos="9026" w:leader="dot"/>
            </w:tabs>
            <w:rPr/>
          </w:pPr>
          <w:hyperlink w:anchor="__RefHeading___Toc2800104_1051229030">
            <w:r>
              <w:rPr>
                <w:webHidden/>
                <w:rStyle w:val="IndexLink"/>
              </w:rPr>
              <w:t>4</w:t>
            </w:r>
            <w:r>
              <w:rPr>
                <w:rStyle w:val="IndexLink"/>
                <w:rtl w:val="true"/>
              </w:rPr>
              <w:t xml:space="preserve"> - </w:t>
            </w:r>
            <w:r>
              <w:rPr>
                <w:rStyle w:val="IndexLink"/>
                <w:rtl w:val="true"/>
              </w:rPr>
              <w:t>محدّث خبير مرحوم حاج شيخ عبّاس قمّى</w:t>
            </w:r>
            <w:r>
              <w:rPr>
                <w:rStyle w:val="IndexLink"/>
                <w:rtl w:val="true"/>
              </w:rPr>
              <w:tab/>
            </w:r>
            <w:r>
              <w:rPr>
                <w:rStyle w:val="IndexLink"/>
              </w:rPr>
              <w:t>17</w:t>
            </w:r>
          </w:hyperlink>
        </w:p>
        <w:p>
          <w:pPr>
            <w:pStyle w:val="Contents3"/>
            <w:tabs>
              <w:tab w:val="clear" w:pos="8459"/>
              <w:tab w:val="right" w:pos="9026" w:leader="dot"/>
            </w:tabs>
            <w:rPr/>
          </w:pPr>
          <w:hyperlink w:anchor="__RefHeading___Toc2800106_1051229030">
            <w:r>
              <w:rPr>
                <w:webHidden/>
                <w:rStyle w:val="IndexLink"/>
                <w:rtl w:val="true"/>
              </w:rPr>
              <w:t>نسب</w:t>
            </w:r>
            <w:r>
              <w:rPr>
                <w:rStyle w:val="IndexLink"/>
                <w:rtl w:val="true"/>
              </w:rPr>
              <w:tab/>
            </w:r>
            <w:r>
              <w:rPr>
                <w:rStyle w:val="IndexLink"/>
              </w:rPr>
              <w:t>18</w:t>
            </w:r>
          </w:hyperlink>
        </w:p>
        <w:p>
          <w:pPr>
            <w:pStyle w:val="Contents3"/>
            <w:tabs>
              <w:tab w:val="clear" w:pos="8459"/>
              <w:tab w:val="right" w:pos="9026" w:leader="dot"/>
            </w:tabs>
            <w:rPr/>
          </w:pPr>
          <w:hyperlink w:anchor="__RefHeading___Toc2800108_1051229030">
            <w:r>
              <w:rPr>
                <w:webHidden/>
                <w:rStyle w:val="IndexLink"/>
                <w:rtl w:val="true"/>
              </w:rPr>
              <w:t>نياكان</w:t>
            </w:r>
            <w:r>
              <w:rPr>
                <w:rStyle w:val="IndexLink"/>
                <w:rtl w:val="true"/>
              </w:rPr>
              <w:tab/>
            </w:r>
            <w:r>
              <w:rPr>
                <w:rStyle w:val="IndexLink"/>
              </w:rPr>
              <w:t>19</w:t>
            </w:r>
          </w:hyperlink>
        </w:p>
        <w:p>
          <w:pPr>
            <w:pStyle w:val="Contents3"/>
            <w:tabs>
              <w:tab w:val="clear" w:pos="8459"/>
              <w:tab w:val="right" w:pos="9026" w:leader="dot"/>
            </w:tabs>
            <w:rPr/>
          </w:pPr>
          <w:hyperlink w:anchor="__RefHeading___Toc2800110_1051229030">
            <w:r>
              <w:rPr>
                <w:webHidden/>
                <w:rStyle w:val="IndexLink"/>
                <w:rtl w:val="true"/>
              </w:rPr>
              <w:t>تولّد</w:t>
            </w:r>
            <w:r>
              <w:rPr>
                <w:rStyle w:val="IndexLink"/>
                <w:rtl w:val="true"/>
              </w:rPr>
              <w:tab/>
            </w:r>
            <w:r>
              <w:rPr>
                <w:rStyle w:val="IndexLink"/>
              </w:rPr>
              <w:t>20</w:t>
            </w:r>
          </w:hyperlink>
        </w:p>
        <w:p>
          <w:pPr>
            <w:pStyle w:val="Contents3"/>
            <w:tabs>
              <w:tab w:val="clear" w:pos="8459"/>
              <w:tab w:val="right" w:pos="9026" w:leader="dot"/>
            </w:tabs>
            <w:rPr/>
          </w:pPr>
          <w:hyperlink w:anchor="__RefHeading___Toc2800112_1051229030">
            <w:r>
              <w:rPr>
                <w:webHidden/>
                <w:rStyle w:val="IndexLink"/>
                <w:rtl w:val="true"/>
              </w:rPr>
              <w:t>زادگاه</w:t>
            </w:r>
            <w:r>
              <w:rPr>
                <w:rStyle w:val="IndexLink"/>
                <w:rtl w:val="true"/>
              </w:rPr>
              <w:tab/>
            </w:r>
            <w:r>
              <w:rPr>
                <w:rStyle w:val="IndexLink"/>
              </w:rPr>
              <w:t>21</w:t>
            </w:r>
          </w:hyperlink>
        </w:p>
        <w:p>
          <w:pPr>
            <w:pStyle w:val="Contents3"/>
            <w:tabs>
              <w:tab w:val="clear" w:pos="8459"/>
              <w:tab w:val="right" w:pos="9026" w:leader="dot"/>
            </w:tabs>
            <w:rPr/>
          </w:pPr>
          <w:hyperlink w:anchor="__RefHeading___Toc2800114_1051229030">
            <w:r>
              <w:rPr>
                <w:webHidden/>
                <w:rStyle w:val="IndexLink"/>
                <w:rtl w:val="true"/>
              </w:rPr>
              <w:t>دوران تحصيل</w:t>
            </w:r>
            <w:r>
              <w:rPr>
                <w:rStyle w:val="IndexLink"/>
                <w:rtl w:val="true"/>
              </w:rPr>
              <w:tab/>
            </w:r>
            <w:r>
              <w:rPr>
                <w:rStyle w:val="IndexLink"/>
              </w:rPr>
              <w:t>22</w:t>
            </w:r>
          </w:hyperlink>
        </w:p>
        <w:p>
          <w:pPr>
            <w:pStyle w:val="Contents3"/>
            <w:tabs>
              <w:tab w:val="clear" w:pos="8459"/>
              <w:tab w:val="right" w:pos="9026" w:leader="dot"/>
            </w:tabs>
            <w:rPr/>
          </w:pPr>
          <w:hyperlink w:anchor="__RefHeading___Toc2800116_1051229030">
            <w:r>
              <w:rPr>
                <w:webHidden/>
                <w:rStyle w:val="IndexLink"/>
                <w:rtl w:val="true"/>
              </w:rPr>
              <w:t>استادان</w:t>
            </w:r>
            <w:r>
              <w:rPr>
                <w:rStyle w:val="IndexLink"/>
                <w:rtl w:val="true"/>
              </w:rPr>
              <w:tab/>
            </w:r>
            <w:r>
              <w:rPr>
                <w:rStyle w:val="IndexLink"/>
              </w:rPr>
              <w:t>24</w:t>
            </w:r>
          </w:hyperlink>
        </w:p>
        <w:p>
          <w:pPr>
            <w:pStyle w:val="Contents4"/>
            <w:tabs>
              <w:tab w:val="clear" w:pos="8176"/>
              <w:tab w:val="right" w:pos="9026" w:leader="dot"/>
            </w:tabs>
            <w:rPr/>
          </w:pPr>
          <w:hyperlink w:anchor="__RefHeading___Toc2800118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800120_1051229030">
            <w:r>
              <w:rPr>
                <w:webHidden/>
                <w:rStyle w:val="IndexLink"/>
              </w:rPr>
              <w:t>1</w:t>
            </w:r>
            <w:r>
              <w:rPr>
                <w:rStyle w:val="IndexLink"/>
                <w:rtl w:val="true"/>
              </w:rPr>
              <w:t xml:space="preserve"> - </w:t>
            </w:r>
            <w:r>
              <w:rPr>
                <w:rStyle w:val="IndexLink"/>
                <w:rtl w:val="true"/>
              </w:rPr>
              <w:t>مرحوم حاج ميرزا ابوالقاسم گيلانى قمّى</w:t>
            </w:r>
            <w:r>
              <w:rPr>
                <w:rStyle w:val="IndexLink"/>
                <w:rtl w:val="true"/>
              </w:rPr>
              <w:tab/>
            </w:r>
            <w:r>
              <w:rPr>
                <w:rStyle w:val="IndexLink"/>
              </w:rPr>
              <w:t>25</w:t>
            </w:r>
          </w:hyperlink>
        </w:p>
        <w:p>
          <w:pPr>
            <w:pStyle w:val="Contents4"/>
            <w:tabs>
              <w:tab w:val="clear" w:pos="8176"/>
              <w:tab w:val="right" w:pos="9026" w:leader="dot"/>
            </w:tabs>
            <w:rPr/>
          </w:pPr>
          <w:hyperlink w:anchor="__RefHeading___Toc2800122_1051229030">
            <w:r>
              <w:rPr>
                <w:webHidden/>
                <w:rStyle w:val="IndexLink"/>
              </w:rPr>
              <w:t>2</w:t>
            </w:r>
            <w:r>
              <w:rPr>
                <w:rStyle w:val="IndexLink"/>
                <w:rtl w:val="true"/>
              </w:rPr>
              <w:t xml:space="preserve"> - </w:t>
            </w:r>
            <w:r>
              <w:rPr>
                <w:rStyle w:val="IndexLink"/>
                <w:rtl w:val="true"/>
              </w:rPr>
              <w:t>علاّمه آقا محمّد باقر بهبهانى قدس‌سره</w:t>
            </w:r>
            <w:r>
              <w:rPr>
                <w:rStyle w:val="IndexLink"/>
                <w:rtl w:val="true"/>
              </w:rPr>
              <w:tab/>
            </w:r>
            <w:r>
              <w:rPr>
                <w:rStyle w:val="IndexLink"/>
              </w:rPr>
              <w:t>25</w:t>
            </w:r>
          </w:hyperlink>
        </w:p>
        <w:p>
          <w:pPr>
            <w:pStyle w:val="Contents4"/>
            <w:tabs>
              <w:tab w:val="clear" w:pos="8176"/>
              <w:tab w:val="right" w:pos="9026" w:leader="dot"/>
            </w:tabs>
            <w:rPr/>
          </w:pPr>
          <w:hyperlink w:anchor="__RefHeading___Toc2800124_1051229030">
            <w:r>
              <w:rPr>
                <w:webHidden/>
                <w:rStyle w:val="IndexLink"/>
              </w:rPr>
              <w:t>3</w:t>
            </w:r>
            <w:r>
              <w:rPr>
                <w:rStyle w:val="IndexLink"/>
                <w:rtl w:val="true"/>
              </w:rPr>
              <w:t xml:space="preserve"> - </w:t>
            </w:r>
            <w:r>
              <w:rPr>
                <w:rStyle w:val="IndexLink"/>
                <w:rtl w:val="true"/>
              </w:rPr>
              <w:t xml:space="preserve">علاّمه حاج شيخ جعفر نجفى رحمه‌الله </w:t>
            </w:r>
            <w:r>
              <w:rPr>
                <w:rStyle w:val="IndexLink"/>
                <w:rtl w:val="true"/>
              </w:rPr>
              <w:t xml:space="preserve">( </w:t>
            </w:r>
            <w:r>
              <w:rPr>
                <w:rStyle w:val="IndexLink"/>
                <w:rtl w:val="true"/>
              </w:rPr>
              <w:t xml:space="preserve">معروف به </w:t>
            </w:r>
            <w:r>
              <w:rPr>
                <w:rStyle w:val="IndexLink"/>
                <w:rtl w:val="true"/>
              </w:rPr>
              <w:t xml:space="preserve">: </w:t>
            </w:r>
            <w:r>
              <w:rPr>
                <w:rStyle w:val="IndexLink"/>
                <w:rtl w:val="true"/>
              </w:rPr>
              <w:t xml:space="preserve">كاشف الغطاء </w:t>
            </w:r>
            <w:r>
              <w:rPr>
                <w:rStyle w:val="IndexLink"/>
                <w:rtl w:val="true"/>
              </w:rPr>
              <w:t>)</w:t>
              <w:tab/>
            </w:r>
            <w:r>
              <w:rPr>
                <w:rStyle w:val="IndexLink"/>
              </w:rPr>
              <w:t>26</w:t>
            </w:r>
          </w:hyperlink>
        </w:p>
        <w:p>
          <w:pPr>
            <w:pStyle w:val="Contents4"/>
            <w:tabs>
              <w:tab w:val="clear" w:pos="8176"/>
              <w:tab w:val="right" w:pos="9026" w:leader="dot"/>
            </w:tabs>
            <w:rPr/>
          </w:pPr>
          <w:hyperlink w:anchor="__RefHeading___Toc2800126_1051229030">
            <w:r>
              <w:rPr>
                <w:webHidden/>
                <w:rStyle w:val="IndexLink"/>
              </w:rPr>
              <w:t>4</w:t>
            </w:r>
            <w:r>
              <w:rPr>
                <w:rStyle w:val="IndexLink"/>
                <w:rtl w:val="true"/>
              </w:rPr>
              <w:t xml:space="preserve"> - </w:t>
            </w:r>
            <w:r>
              <w:rPr>
                <w:rStyle w:val="IndexLink"/>
                <w:rtl w:val="true"/>
              </w:rPr>
              <w:t>آخوند ملاّ على نورى مازندرانى رحمه‌الله</w:t>
            </w:r>
            <w:r>
              <w:rPr>
                <w:rStyle w:val="IndexLink"/>
                <w:rtl w:val="true"/>
              </w:rPr>
              <w:tab/>
            </w:r>
            <w:r>
              <w:rPr>
                <w:rStyle w:val="IndexLink"/>
              </w:rPr>
              <w:t>26</w:t>
            </w:r>
          </w:hyperlink>
        </w:p>
        <w:p>
          <w:pPr>
            <w:pStyle w:val="Contents4"/>
            <w:tabs>
              <w:tab w:val="clear" w:pos="8176"/>
              <w:tab w:val="right" w:pos="9026" w:leader="dot"/>
            </w:tabs>
            <w:rPr/>
          </w:pPr>
          <w:hyperlink w:anchor="__RefHeading___Toc2800128_1051229030">
            <w:r>
              <w:rPr>
                <w:webHidden/>
                <w:rStyle w:val="IndexLink"/>
              </w:rPr>
              <w:t>5</w:t>
            </w:r>
            <w:r>
              <w:rPr>
                <w:rStyle w:val="IndexLink"/>
                <w:rtl w:val="true"/>
              </w:rPr>
              <w:t xml:space="preserve"> - </w:t>
            </w:r>
            <w:r>
              <w:rPr>
                <w:rStyle w:val="IndexLink"/>
                <w:rtl w:val="true"/>
              </w:rPr>
              <w:t>علاّمه حاج سيّد على طباطبائى قدس‌سره</w:t>
            </w:r>
            <w:r>
              <w:rPr>
                <w:rStyle w:val="IndexLink"/>
                <w:rtl w:val="true"/>
              </w:rPr>
              <w:tab/>
            </w:r>
            <w:r>
              <w:rPr>
                <w:rStyle w:val="IndexLink"/>
              </w:rPr>
              <w:t>27</w:t>
            </w:r>
          </w:hyperlink>
        </w:p>
        <w:p>
          <w:pPr>
            <w:pStyle w:val="Contents4"/>
            <w:tabs>
              <w:tab w:val="clear" w:pos="8176"/>
              <w:tab w:val="right" w:pos="9026" w:leader="dot"/>
            </w:tabs>
            <w:rPr/>
          </w:pPr>
          <w:hyperlink w:anchor="__RefHeading___Toc2800130_1051229030">
            <w:r>
              <w:rPr>
                <w:webHidden/>
                <w:rStyle w:val="IndexLink"/>
              </w:rPr>
              <w:t>6</w:t>
            </w:r>
            <w:r>
              <w:rPr>
                <w:rStyle w:val="IndexLink"/>
                <w:rtl w:val="true"/>
              </w:rPr>
              <w:t xml:space="preserve"> - </w:t>
            </w:r>
            <w:r>
              <w:rPr>
                <w:rStyle w:val="IndexLink"/>
                <w:rtl w:val="true"/>
              </w:rPr>
              <w:t>آية اللّه حاج سيّد محسن اعرجى كاظمينى رحمه‌الله</w:t>
            </w:r>
            <w:r>
              <w:rPr>
                <w:rStyle w:val="IndexLink"/>
                <w:rtl w:val="true"/>
              </w:rPr>
              <w:tab/>
            </w:r>
            <w:r>
              <w:rPr>
                <w:rStyle w:val="IndexLink"/>
              </w:rPr>
              <w:t>27</w:t>
            </w:r>
          </w:hyperlink>
        </w:p>
        <w:p>
          <w:pPr>
            <w:pStyle w:val="Contents4"/>
            <w:tabs>
              <w:tab w:val="clear" w:pos="8176"/>
              <w:tab w:val="right" w:pos="9026" w:leader="dot"/>
            </w:tabs>
            <w:rPr/>
          </w:pPr>
          <w:hyperlink w:anchor="__RefHeading___Toc2800132_1051229030">
            <w:r>
              <w:rPr>
                <w:webHidden/>
                <w:rStyle w:val="IndexLink"/>
              </w:rPr>
              <w:t>7</w:t>
            </w:r>
            <w:r>
              <w:rPr>
                <w:rStyle w:val="IndexLink"/>
                <w:rtl w:val="true"/>
              </w:rPr>
              <w:t xml:space="preserve"> - </w:t>
            </w:r>
            <w:r>
              <w:rPr>
                <w:rStyle w:val="IndexLink"/>
                <w:rtl w:val="true"/>
              </w:rPr>
              <w:t>علاّمه مجاهد آقا سيّد محمّد طباطبائى قدس‌سره</w:t>
            </w:r>
            <w:r>
              <w:rPr>
                <w:rStyle w:val="IndexLink"/>
                <w:rtl w:val="true"/>
              </w:rPr>
              <w:tab/>
            </w:r>
            <w:r>
              <w:rPr>
                <w:rStyle w:val="IndexLink"/>
              </w:rPr>
              <w:t>27</w:t>
            </w:r>
          </w:hyperlink>
        </w:p>
        <w:p>
          <w:pPr>
            <w:pStyle w:val="Contents4"/>
            <w:tabs>
              <w:tab w:val="clear" w:pos="8176"/>
              <w:tab w:val="right" w:pos="9026" w:leader="dot"/>
            </w:tabs>
            <w:rPr/>
          </w:pPr>
          <w:hyperlink w:anchor="__RefHeading___Toc2800134_1051229030">
            <w:r>
              <w:rPr>
                <w:webHidden/>
                <w:rStyle w:val="IndexLink"/>
              </w:rPr>
              <w:t>8</w:t>
            </w:r>
            <w:r>
              <w:rPr>
                <w:rStyle w:val="IndexLink"/>
                <w:rtl w:val="true"/>
              </w:rPr>
              <w:t xml:space="preserve"> - </w:t>
            </w:r>
            <w:r>
              <w:rPr>
                <w:rStyle w:val="IndexLink"/>
                <w:rtl w:val="true"/>
              </w:rPr>
              <w:t xml:space="preserve">علاّمه حاج سيّد محمّد مهدى طباطبائى قدس‌سره </w:t>
            </w:r>
            <w:r>
              <w:rPr>
                <w:rStyle w:val="IndexLink"/>
                <w:rtl w:val="true"/>
              </w:rPr>
              <w:t xml:space="preserve">( </w:t>
            </w:r>
            <w:r>
              <w:rPr>
                <w:rStyle w:val="IndexLink"/>
                <w:rtl w:val="true"/>
              </w:rPr>
              <w:t xml:space="preserve">سيّد بحرالعلوم </w:t>
            </w:r>
            <w:r>
              <w:rPr>
                <w:rStyle w:val="IndexLink"/>
                <w:rtl w:val="true"/>
              </w:rPr>
              <w:t>)</w:t>
              <w:tab/>
            </w:r>
            <w:r>
              <w:rPr>
                <w:rStyle w:val="IndexLink"/>
              </w:rPr>
              <w:t>28</w:t>
            </w:r>
          </w:hyperlink>
        </w:p>
        <w:p>
          <w:pPr>
            <w:pStyle w:val="Contents4"/>
            <w:tabs>
              <w:tab w:val="clear" w:pos="8176"/>
              <w:tab w:val="right" w:pos="9026" w:leader="dot"/>
            </w:tabs>
            <w:rPr/>
          </w:pPr>
          <w:hyperlink w:anchor="__RefHeading___Toc2800136_1051229030">
            <w:r>
              <w:rPr>
                <w:webHidden/>
                <w:rStyle w:val="IndexLink"/>
              </w:rPr>
              <w:t>9</w:t>
            </w:r>
            <w:r>
              <w:rPr>
                <w:rStyle w:val="IndexLink"/>
                <w:rtl w:val="true"/>
              </w:rPr>
              <w:t xml:space="preserve"> - </w:t>
            </w:r>
            <w:r>
              <w:rPr>
                <w:rStyle w:val="IndexLink"/>
                <w:rtl w:val="true"/>
              </w:rPr>
              <w:t>مرحوم ملاّ محمّد مهدى نراقى</w:t>
            </w:r>
            <w:r>
              <w:rPr>
                <w:rStyle w:val="IndexLink"/>
                <w:rtl w:val="true"/>
              </w:rPr>
              <w:tab/>
            </w:r>
            <w:r>
              <w:rPr>
                <w:rStyle w:val="IndexLink"/>
              </w:rPr>
              <w:t>29</w:t>
            </w:r>
          </w:hyperlink>
        </w:p>
        <w:p>
          <w:pPr>
            <w:pStyle w:val="Contents3"/>
            <w:tabs>
              <w:tab w:val="clear" w:pos="8459"/>
              <w:tab w:val="right" w:pos="9026" w:leader="dot"/>
            </w:tabs>
            <w:rPr/>
          </w:pPr>
          <w:hyperlink w:anchor="__RefHeading___Toc2800138_1051229030">
            <w:r>
              <w:rPr>
                <w:webHidden/>
                <w:rStyle w:val="IndexLink"/>
                <w:rtl w:val="true"/>
              </w:rPr>
              <w:t>مشايخ اجازه</w:t>
            </w:r>
            <w:r>
              <w:rPr>
                <w:rStyle w:val="IndexLink"/>
                <w:rtl w:val="true"/>
              </w:rPr>
              <w:tab/>
            </w:r>
            <w:r>
              <w:rPr>
                <w:rStyle w:val="IndexLink"/>
              </w:rPr>
              <w:t>29</w:t>
            </w:r>
          </w:hyperlink>
        </w:p>
        <w:p>
          <w:pPr>
            <w:pStyle w:val="Contents4"/>
            <w:tabs>
              <w:tab w:val="clear" w:pos="8176"/>
              <w:tab w:val="right" w:pos="9026" w:leader="dot"/>
            </w:tabs>
            <w:rPr/>
          </w:pPr>
          <w:hyperlink w:anchor="__RefHeading___Toc2800140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800142_1051229030">
            <w:r>
              <w:rPr>
                <w:webHidden/>
                <w:rStyle w:val="IndexLink"/>
              </w:rPr>
              <w:t>1</w:t>
            </w:r>
            <w:r>
              <w:rPr>
                <w:rStyle w:val="IndexLink"/>
                <w:rtl w:val="true"/>
              </w:rPr>
              <w:t xml:space="preserve"> - </w:t>
            </w:r>
            <w:r>
              <w:rPr>
                <w:rStyle w:val="IndexLink"/>
                <w:rtl w:val="true"/>
              </w:rPr>
              <w:t>مرحوم حاج ميرزا ابوالقاسم قمّى گيلانى</w:t>
            </w:r>
            <w:r>
              <w:rPr>
                <w:rStyle w:val="IndexLink"/>
                <w:rtl w:val="true"/>
              </w:rPr>
              <w:tab/>
            </w:r>
            <w:r>
              <w:rPr>
                <w:rStyle w:val="IndexLink"/>
              </w:rPr>
              <w:t>30</w:t>
            </w:r>
          </w:hyperlink>
        </w:p>
        <w:p>
          <w:pPr>
            <w:pStyle w:val="Contents4"/>
            <w:tabs>
              <w:tab w:val="clear" w:pos="8176"/>
              <w:tab w:val="right" w:pos="9026" w:leader="dot"/>
            </w:tabs>
            <w:rPr/>
          </w:pPr>
          <w:hyperlink w:anchor="__RefHeading___Toc2800144_1051229030">
            <w:r>
              <w:rPr>
                <w:webHidden/>
                <w:rStyle w:val="IndexLink"/>
              </w:rPr>
              <w:t>2</w:t>
            </w:r>
            <w:r>
              <w:rPr>
                <w:rStyle w:val="IndexLink"/>
                <w:rtl w:val="true"/>
              </w:rPr>
              <w:t xml:space="preserve"> - </w:t>
            </w:r>
            <w:r>
              <w:rPr>
                <w:rStyle w:val="IndexLink"/>
                <w:rtl w:val="true"/>
              </w:rPr>
              <w:t>مرحوم سيّد محمّد مهدى موسوى شهرستانى</w:t>
            </w:r>
            <w:r>
              <w:rPr>
                <w:rStyle w:val="IndexLink"/>
                <w:rtl w:val="true"/>
              </w:rPr>
              <w:tab/>
            </w:r>
            <w:r>
              <w:rPr>
                <w:rStyle w:val="IndexLink"/>
              </w:rPr>
              <w:t>30</w:t>
            </w:r>
          </w:hyperlink>
        </w:p>
        <w:p>
          <w:pPr>
            <w:pStyle w:val="Contents4"/>
            <w:tabs>
              <w:tab w:val="clear" w:pos="8176"/>
              <w:tab w:val="right" w:pos="9026" w:leader="dot"/>
            </w:tabs>
            <w:rPr/>
          </w:pPr>
          <w:hyperlink w:anchor="__RefHeading___Toc2800146_1051229030">
            <w:r>
              <w:rPr>
                <w:webHidden/>
                <w:rStyle w:val="IndexLink"/>
              </w:rPr>
              <w:t>3</w:t>
            </w:r>
            <w:r>
              <w:rPr>
                <w:rStyle w:val="IndexLink"/>
                <w:rtl w:val="true"/>
              </w:rPr>
              <w:t xml:space="preserve"> - </w:t>
            </w:r>
            <w:r>
              <w:rPr>
                <w:rStyle w:val="IndexLink"/>
                <w:rtl w:val="true"/>
              </w:rPr>
              <w:t xml:space="preserve">مرحوم آية اللّه شيخ جعفر نجفى </w:t>
            </w:r>
            <w:r>
              <w:rPr>
                <w:rStyle w:val="IndexLink"/>
                <w:rtl w:val="true"/>
              </w:rPr>
              <w:t xml:space="preserve">( </w:t>
            </w:r>
            <w:r>
              <w:rPr>
                <w:rStyle w:val="IndexLink"/>
                <w:rtl w:val="true"/>
              </w:rPr>
              <w:t xml:space="preserve">كاشف الغطاء </w:t>
            </w:r>
            <w:r>
              <w:rPr>
                <w:rStyle w:val="IndexLink"/>
                <w:rtl w:val="true"/>
              </w:rPr>
              <w:t>)</w:t>
              <w:tab/>
            </w:r>
            <w:r>
              <w:rPr>
                <w:rStyle w:val="IndexLink"/>
              </w:rPr>
              <w:t>31</w:t>
            </w:r>
          </w:hyperlink>
        </w:p>
        <w:p>
          <w:pPr>
            <w:pStyle w:val="Contents4"/>
            <w:tabs>
              <w:tab w:val="clear" w:pos="8176"/>
              <w:tab w:val="right" w:pos="9026" w:leader="dot"/>
            </w:tabs>
            <w:rPr/>
          </w:pPr>
          <w:hyperlink w:anchor="__RefHeading___Toc2800148_1051229030">
            <w:r>
              <w:rPr>
                <w:webHidden/>
                <w:rStyle w:val="IndexLink"/>
              </w:rPr>
              <w:t>4</w:t>
            </w:r>
            <w:r>
              <w:rPr>
                <w:rStyle w:val="IndexLink"/>
                <w:rtl w:val="true"/>
              </w:rPr>
              <w:t xml:space="preserve"> - </w:t>
            </w:r>
            <w:r>
              <w:rPr>
                <w:rStyle w:val="IndexLink"/>
                <w:rtl w:val="true"/>
              </w:rPr>
              <w:t>مرحوم أمير سيّد على طباطبائى حائرى</w:t>
            </w:r>
            <w:r>
              <w:rPr>
                <w:rStyle w:val="IndexLink"/>
                <w:rtl w:val="true"/>
              </w:rPr>
              <w:tab/>
            </w:r>
            <w:r>
              <w:rPr>
                <w:rStyle w:val="IndexLink"/>
              </w:rPr>
              <w:t>31</w:t>
            </w:r>
          </w:hyperlink>
        </w:p>
        <w:p>
          <w:pPr>
            <w:pStyle w:val="Contents4"/>
            <w:tabs>
              <w:tab w:val="clear" w:pos="8176"/>
              <w:tab w:val="right" w:pos="9026" w:leader="dot"/>
            </w:tabs>
            <w:rPr/>
          </w:pPr>
          <w:hyperlink w:anchor="__RefHeading___Toc2800150_1051229030">
            <w:r>
              <w:rPr>
                <w:webHidden/>
                <w:rStyle w:val="IndexLink"/>
              </w:rPr>
              <w:t>5</w:t>
            </w:r>
            <w:r>
              <w:rPr>
                <w:rStyle w:val="IndexLink"/>
                <w:rtl w:val="true"/>
              </w:rPr>
              <w:t xml:space="preserve"> - </w:t>
            </w:r>
            <w:r>
              <w:rPr>
                <w:rStyle w:val="IndexLink"/>
                <w:rtl w:val="true"/>
              </w:rPr>
              <w:t>مرحوم سيّد محسن أعرجى بغدادى</w:t>
            </w:r>
            <w:r>
              <w:rPr>
                <w:rStyle w:val="IndexLink"/>
                <w:rtl w:val="true"/>
              </w:rPr>
              <w:tab/>
            </w:r>
            <w:r>
              <w:rPr>
                <w:rStyle w:val="IndexLink"/>
              </w:rPr>
              <w:t>32</w:t>
            </w:r>
          </w:hyperlink>
        </w:p>
        <w:p>
          <w:pPr>
            <w:pStyle w:val="Contents4"/>
            <w:tabs>
              <w:tab w:val="clear" w:pos="8176"/>
              <w:tab w:val="right" w:pos="9026" w:leader="dot"/>
            </w:tabs>
            <w:rPr/>
          </w:pPr>
          <w:hyperlink w:anchor="__RefHeading___Toc2800152_1051229030">
            <w:r>
              <w:rPr>
                <w:webHidden/>
                <w:rStyle w:val="IndexLink"/>
              </w:rPr>
              <w:t>6</w:t>
            </w:r>
            <w:r>
              <w:rPr>
                <w:rStyle w:val="IndexLink"/>
                <w:rtl w:val="true"/>
              </w:rPr>
              <w:t xml:space="preserve"> - </w:t>
            </w:r>
            <w:r>
              <w:rPr>
                <w:rStyle w:val="IndexLink"/>
                <w:rtl w:val="true"/>
              </w:rPr>
              <w:t>مرحوم شيخ سليمان عاملى كاظمينى</w:t>
            </w:r>
            <w:r>
              <w:rPr>
                <w:rStyle w:val="IndexLink"/>
                <w:rtl w:val="true"/>
              </w:rPr>
              <w:tab/>
            </w:r>
            <w:r>
              <w:rPr>
                <w:rStyle w:val="IndexLink"/>
              </w:rPr>
              <w:t>32</w:t>
            </w:r>
          </w:hyperlink>
        </w:p>
        <w:p>
          <w:pPr>
            <w:pStyle w:val="Contents3"/>
            <w:tabs>
              <w:tab w:val="clear" w:pos="8459"/>
              <w:tab w:val="right" w:pos="9026" w:leader="dot"/>
            </w:tabs>
            <w:rPr/>
          </w:pPr>
          <w:hyperlink w:anchor="__RefHeading___Toc2800154_1051229030">
            <w:r>
              <w:rPr>
                <w:webHidden/>
                <w:rStyle w:val="IndexLink"/>
                <w:rtl w:val="true"/>
              </w:rPr>
              <w:t>ويژگى‌هاى اخلاقى</w:t>
            </w:r>
            <w:r>
              <w:rPr>
                <w:rStyle w:val="IndexLink"/>
                <w:rtl w:val="true"/>
              </w:rPr>
              <w:tab/>
            </w:r>
            <w:r>
              <w:rPr>
                <w:rStyle w:val="IndexLink"/>
              </w:rPr>
              <w:t>33</w:t>
            </w:r>
          </w:hyperlink>
        </w:p>
        <w:p>
          <w:pPr>
            <w:pStyle w:val="Contents3"/>
            <w:tabs>
              <w:tab w:val="clear" w:pos="8459"/>
              <w:tab w:val="right" w:pos="9026" w:leader="dot"/>
            </w:tabs>
            <w:rPr/>
          </w:pPr>
          <w:hyperlink w:anchor="__RefHeading___Toc2800156_1051229030">
            <w:r>
              <w:rPr>
                <w:webHidden/>
                <w:rStyle w:val="IndexLink"/>
                <w:rtl w:val="true"/>
              </w:rPr>
              <w:t>سخاوت</w:t>
            </w:r>
            <w:r>
              <w:rPr>
                <w:rStyle w:val="IndexLink"/>
                <w:rtl w:val="true"/>
              </w:rPr>
              <w:tab/>
            </w:r>
            <w:r>
              <w:rPr>
                <w:rStyle w:val="IndexLink"/>
              </w:rPr>
              <w:t>34</w:t>
            </w:r>
          </w:hyperlink>
        </w:p>
        <w:p>
          <w:pPr>
            <w:pStyle w:val="Contents3"/>
            <w:tabs>
              <w:tab w:val="clear" w:pos="8459"/>
              <w:tab w:val="right" w:pos="9026" w:leader="dot"/>
            </w:tabs>
            <w:rPr/>
          </w:pPr>
          <w:hyperlink w:anchor="__RefHeading___Toc2800158_1051229030">
            <w:r>
              <w:rPr>
                <w:webHidden/>
                <w:rStyle w:val="IndexLink"/>
                <w:rtl w:val="true"/>
              </w:rPr>
              <w:t>عبادت</w:t>
            </w:r>
            <w:r>
              <w:rPr>
                <w:rStyle w:val="IndexLink"/>
                <w:rtl w:val="true"/>
              </w:rPr>
              <w:tab/>
            </w:r>
            <w:r>
              <w:rPr>
                <w:rStyle w:val="IndexLink"/>
              </w:rPr>
              <w:t>35</w:t>
            </w:r>
          </w:hyperlink>
        </w:p>
        <w:p>
          <w:pPr>
            <w:pStyle w:val="Contents3"/>
            <w:tabs>
              <w:tab w:val="clear" w:pos="8459"/>
              <w:tab w:val="right" w:pos="9026" w:leader="dot"/>
            </w:tabs>
            <w:rPr/>
          </w:pPr>
          <w:hyperlink w:anchor="__RefHeading___Toc2800160_1051229030">
            <w:r>
              <w:rPr>
                <w:webHidden/>
                <w:rStyle w:val="IndexLink"/>
                <w:rtl w:val="true"/>
              </w:rPr>
              <w:t>شاگردان</w:t>
            </w:r>
            <w:r>
              <w:rPr>
                <w:rStyle w:val="IndexLink"/>
                <w:rtl w:val="true"/>
              </w:rPr>
              <w:tab/>
            </w:r>
            <w:r>
              <w:rPr>
                <w:rStyle w:val="IndexLink"/>
              </w:rPr>
              <w:t>35</w:t>
            </w:r>
          </w:hyperlink>
        </w:p>
        <w:p>
          <w:pPr>
            <w:pStyle w:val="Contents3"/>
            <w:tabs>
              <w:tab w:val="clear" w:pos="8459"/>
              <w:tab w:val="right" w:pos="9026" w:leader="dot"/>
            </w:tabs>
            <w:rPr/>
          </w:pPr>
          <w:hyperlink w:anchor="__RefHeading___Toc2800162_1051229030">
            <w:r>
              <w:rPr>
                <w:webHidden/>
                <w:rStyle w:val="IndexLink"/>
                <w:rtl w:val="true"/>
              </w:rPr>
              <w:t>داورى</w:t>
            </w:r>
            <w:r>
              <w:rPr>
                <w:rStyle w:val="IndexLink"/>
                <w:rtl w:val="true"/>
              </w:rPr>
              <w:tab/>
            </w:r>
            <w:r>
              <w:rPr>
                <w:rStyle w:val="IndexLink"/>
              </w:rPr>
              <w:t>36</w:t>
            </w:r>
          </w:hyperlink>
        </w:p>
        <w:p>
          <w:pPr>
            <w:pStyle w:val="Contents3"/>
            <w:tabs>
              <w:tab w:val="clear" w:pos="8459"/>
              <w:tab w:val="right" w:pos="9026" w:leader="dot"/>
            </w:tabs>
            <w:rPr/>
          </w:pPr>
          <w:hyperlink w:anchor="__RefHeading___Toc2800164_1051229030">
            <w:r>
              <w:rPr>
                <w:webHidden/>
                <w:rStyle w:val="IndexLink"/>
                <w:rtl w:val="true"/>
              </w:rPr>
              <w:t>اجراى حدود الهى</w:t>
            </w:r>
            <w:r>
              <w:rPr>
                <w:rStyle w:val="IndexLink"/>
                <w:rtl w:val="true"/>
              </w:rPr>
              <w:tab/>
            </w:r>
            <w:r>
              <w:rPr>
                <w:rStyle w:val="IndexLink"/>
              </w:rPr>
              <w:t>37</w:t>
            </w:r>
          </w:hyperlink>
        </w:p>
        <w:p>
          <w:pPr>
            <w:pStyle w:val="Contents3"/>
            <w:tabs>
              <w:tab w:val="clear" w:pos="8459"/>
              <w:tab w:val="right" w:pos="9026" w:leader="dot"/>
            </w:tabs>
            <w:rPr/>
          </w:pPr>
          <w:hyperlink w:anchor="__RefHeading___Toc2800166_1051229030">
            <w:r>
              <w:rPr>
                <w:webHidden/>
                <w:rStyle w:val="IndexLink"/>
                <w:rtl w:val="true"/>
              </w:rPr>
              <w:t>سفر به مكّه</w:t>
            </w:r>
            <w:r>
              <w:rPr>
                <w:rStyle w:val="IndexLink"/>
                <w:rtl w:val="true"/>
              </w:rPr>
              <w:tab/>
            </w:r>
            <w:r>
              <w:rPr>
                <w:rStyle w:val="IndexLink"/>
              </w:rPr>
              <w:t>38</w:t>
            </w:r>
          </w:hyperlink>
        </w:p>
        <w:p>
          <w:pPr>
            <w:pStyle w:val="Contents3"/>
            <w:tabs>
              <w:tab w:val="clear" w:pos="8459"/>
              <w:tab w:val="right" w:pos="9026" w:leader="dot"/>
            </w:tabs>
            <w:rPr/>
          </w:pPr>
          <w:hyperlink w:anchor="__RefHeading___Toc2800168_1051229030">
            <w:r>
              <w:rPr>
                <w:webHidden/>
                <w:rStyle w:val="IndexLink"/>
                <w:rtl w:val="true"/>
              </w:rPr>
              <w:t>آثار علمى</w:t>
            </w:r>
            <w:r>
              <w:rPr>
                <w:rStyle w:val="IndexLink"/>
                <w:rtl w:val="true"/>
              </w:rPr>
              <w:tab/>
            </w:r>
            <w:r>
              <w:rPr>
                <w:rStyle w:val="IndexLink"/>
              </w:rPr>
              <w:t>39</w:t>
            </w:r>
          </w:hyperlink>
        </w:p>
        <w:p>
          <w:pPr>
            <w:pStyle w:val="Contents3"/>
            <w:tabs>
              <w:tab w:val="clear" w:pos="8459"/>
              <w:tab w:val="right" w:pos="9026" w:leader="dot"/>
            </w:tabs>
            <w:rPr/>
          </w:pPr>
          <w:hyperlink w:anchor="__RefHeading___Toc2800170_1051229030">
            <w:r>
              <w:rPr>
                <w:webHidden/>
                <w:rStyle w:val="IndexLink"/>
                <w:rtl w:val="true"/>
              </w:rPr>
              <w:t>فقه</w:t>
            </w:r>
            <w:r>
              <w:rPr>
                <w:rStyle w:val="IndexLink"/>
                <w:rtl w:val="true"/>
              </w:rPr>
              <w:tab/>
            </w:r>
            <w:r>
              <w:rPr>
                <w:rStyle w:val="IndexLink"/>
              </w:rPr>
              <w:t>40</w:t>
            </w:r>
          </w:hyperlink>
        </w:p>
        <w:p>
          <w:pPr>
            <w:pStyle w:val="Contents3"/>
            <w:tabs>
              <w:tab w:val="clear" w:pos="8459"/>
              <w:tab w:val="right" w:pos="9026" w:leader="dot"/>
            </w:tabs>
            <w:rPr/>
          </w:pPr>
          <w:hyperlink w:anchor="__RefHeading___Toc2800172_1051229030">
            <w:r>
              <w:rPr>
                <w:webHidden/>
                <w:rStyle w:val="IndexLink"/>
                <w:rtl w:val="true"/>
              </w:rPr>
              <w:t>أصول فقه</w:t>
            </w:r>
            <w:r>
              <w:rPr>
                <w:rStyle w:val="IndexLink"/>
                <w:rtl w:val="true"/>
              </w:rPr>
              <w:tab/>
            </w:r>
            <w:r>
              <w:rPr>
                <w:rStyle w:val="IndexLink"/>
              </w:rPr>
              <w:t>42</w:t>
            </w:r>
          </w:hyperlink>
        </w:p>
        <w:p>
          <w:pPr>
            <w:pStyle w:val="Contents3"/>
            <w:tabs>
              <w:tab w:val="clear" w:pos="8459"/>
              <w:tab w:val="right" w:pos="9026" w:leader="dot"/>
            </w:tabs>
            <w:rPr/>
          </w:pPr>
          <w:hyperlink w:anchor="__RefHeading___Toc2800174_1051229030">
            <w:r>
              <w:rPr>
                <w:webHidden/>
                <w:rStyle w:val="IndexLink"/>
                <w:rtl w:val="true"/>
              </w:rPr>
              <w:t>حديث</w:t>
            </w:r>
            <w:r>
              <w:rPr>
                <w:rStyle w:val="IndexLink"/>
                <w:rtl w:val="true"/>
              </w:rPr>
              <w:tab/>
            </w:r>
            <w:r>
              <w:rPr>
                <w:rStyle w:val="IndexLink"/>
              </w:rPr>
              <w:t>42</w:t>
            </w:r>
          </w:hyperlink>
        </w:p>
        <w:p>
          <w:pPr>
            <w:pStyle w:val="Contents3"/>
            <w:tabs>
              <w:tab w:val="clear" w:pos="8459"/>
              <w:tab w:val="right" w:pos="9026" w:leader="dot"/>
            </w:tabs>
            <w:rPr/>
          </w:pPr>
          <w:hyperlink w:anchor="__RefHeading___Toc2800176_1051229030">
            <w:r>
              <w:rPr>
                <w:webHidden/>
                <w:rStyle w:val="IndexLink"/>
                <w:rtl w:val="true"/>
              </w:rPr>
              <w:t>رجال</w:t>
            </w:r>
            <w:r>
              <w:rPr>
                <w:rStyle w:val="IndexLink"/>
                <w:rtl w:val="true"/>
              </w:rPr>
              <w:tab/>
            </w:r>
            <w:r>
              <w:rPr>
                <w:rStyle w:val="IndexLink"/>
              </w:rPr>
              <w:t>43</w:t>
            </w:r>
          </w:hyperlink>
        </w:p>
        <w:p>
          <w:pPr>
            <w:pStyle w:val="Contents3"/>
            <w:tabs>
              <w:tab w:val="clear" w:pos="8459"/>
              <w:tab w:val="right" w:pos="9026" w:leader="dot"/>
            </w:tabs>
            <w:rPr/>
          </w:pPr>
          <w:hyperlink w:anchor="__RefHeading___Toc2800178_1051229030">
            <w:r>
              <w:rPr>
                <w:webHidden/>
                <w:rStyle w:val="IndexLink"/>
                <w:rtl w:val="true"/>
              </w:rPr>
              <w:t>كلام</w:t>
            </w:r>
            <w:r>
              <w:rPr>
                <w:rStyle w:val="IndexLink"/>
                <w:rtl w:val="true"/>
              </w:rPr>
              <w:tab/>
            </w:r>
            <w:r>
              <w:rPr>
                <w:rStyle w:val="IndexLink"/>
              </w:rPr>
              <w:t>44</w:t>
            </w:r>
          </w:hyperlink>
        </w:p>
        <w:p>
          <w:pPr>
            <w:pStyle w:val="Contents3"/>
            <w:tabs>
              <w:tab w:val="clear" w:pos="8459"/>
              <w:tab w:val="right" w:pos="9026" w:leader="dot"/>
            </w:tabs>
            <w:rPr/>
          </w:pPr>
          <w:hyperlink w:anchor="__RefHeading___Toc2800180_1051229030">
            <w:r>
              <w:rPr>
                <w:webHidden/>
                <w:rStyle w:val="IndexLink"/>
                <w:rtl w:val="true"/>
              </w:rPr>
              <w:t>نحو</w:t>
            </w:r>
            <w:r>
              <w:rPr>
                <w:rStyle w:val="IndexLink"/>
                <w:rtl w:val="true"/>
              </w:rPr>
              <w:tab/>
            </w:r>
            <w:r>
              <w:rPr>
                <w:rStyle w:val="IndexLink"/>
              </w:rPr>
              <w:t>45</w:t>
            </w:r>
          </w:hyperlink>
        </w:p>
        <w:p>
          <w:pPr>
            <w:pStyle w:val="Contents3"/>
            <w:tabs>
              <w:tab w:val="clear" w:pos="8459"/>
              <w:tab w:val="right" w:pos="9026" w:leader="dot"/>
            </w:tabs>
            <w:rPr/>
          </w:pPr>
          <w:hyperlink w:anchor="__RefHeading___Toc2800182_1051229030">
            <w:r>
              <w:rPr>
                <w:webHidden/>
                <w:rStyle w:val="IndexLink"/>
                <w:rtl w:val="true"/>
              </w:rPr>
              <w:t>ساخت مسجدى بزرگ</w:t>
            </w:r>
            <w:r>
              <w:rPr>
                <w:rStyle w:val="IndexLink"/>
                <w:rtl w:val="true"/>
              </w:rPr>
              <w:tab/>
            </w:r>
            <w:r>
              <w:rPr>
                <w:rStyle w:val="IndexLink"/>
              </w:rPr>
              <w:t>45</w:t>
            </w:r>
          </w:hyperlink>
        </w:p>
        <w:p>
          <w:pPr>
            <w:pStyle w:val="Contents3"/>
            <w:tabs>
              <w:tab w:val="clear" w:pos="8459"/>
              <w:tab w:val="right" w:pos="9026" w:leader="dot"/>
            </w:tabs>
            <w:rPr/>
          </w:pPr>
          <w:hyperlink w:anchor="__RefHeading___Toc2800184_1051229030">
            <w:r>
              <w:rPr>
                <w:webHidden/>
                <w:rStyle w:val="IndexLink"/>
                <w:rtl w:val="true"/>
              </w:rPr>
              <w:t>فرزندان</w:t>
            </w:r>
            <w:r>
              <w:rPr>
                <w:rStyle w:val="IndexLink"/>
                <w:rtl w:val="true"/>
              </w:rPr>
              <w:tab/>
            </w:r>
            <w:r>
              <w:rPr>
                <w:rStyle w:val="IndexLink"/>
              </w:rPr>
              <w:t>45</w:t>
            </w:r>
          </w:hyperlink>
        </w:p>
        <w:p>
          <w:pPr>
            <w:pStyle w:val="Contents4"/>
            <w:tabs>
              <w:tab w:val="clear" w:pos="8176"/>
              <w:tab w:val="right" w:pos="9026" w:leader="dot"/>
            </w:tabs>
            <w:rPr/>
          </w:pPr>
          <w:hyperlink w:anchor="__RefHeading___Toc2800186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800188_1051229030">
            <w:r>
              <w:rPr>
                <w:webHidden/>
                <w:rStyle w:val="IndexLink"/>
              </w:rPr>
              <w:t>1</w:t>
            </w:r>
            <w:r>
              <w:rPr>
                <w:rStyle w:val="IndexLink"/>
                <w:rtl w:val="true"/>
              </w:rPr>
              <w:t xml:space="preserve"> - </w:t>
            </w:r>
            <w:r>
              <w:rPr>
                <w:rStyle w:val="IndexLink"/>
                <w:rtl w:val="true"/>
              </w:rPr>
              <w:t>مرحوم علاّمه حاج سيّد أسد اللّه</w:t>
            </w:r>
            <w:r>
              <w:rPr>
                <w:rStyle w:val="IndexLink"/>
                <w:rtl w:val="true"/>
              </w:rPr>
              <w:tab/>
            </w:r>
            <w:r>
              <w:rPr>
                <w:rStyle w:val="IndexLink"/>
              </w:rPr>
              <w:t>46</w:t>
            </w:r>
          </w:hyperlink>
        </w:p>
        <w:p>
          <w:pPr>
            <w:pStyle w:val="Contents4"/>
            <w:tabs>
              <w:tab w:val="clear" w:pos="8176"/>
              <w:tab w:val="right" w:pos="9026" w:leader="dot"/>
            </w:tabs>
            <w:rPr/>
          </w:pPr>
          <w:hyperlink w:anchor="__RefHeading___Toc2800190_1051229030">
            <w:r>
              <w:rPr>
                <w:webHidden/>
                <w:rStyle w:val="IndexLink"/>
              </w:rPr>
              <w:t>2</w:t>
            </w:r>
            <w:r>
              <w:rPr>
                <w:rStyle w:val="IndexLink"/>
                <w:rtl w:val="true"/>
              </w:rPr>
              <w:t xml:space="preserve"> - </w:t>
            </w:r>
            <w:r>
              <w:rPr>
                <w:rStyle w:val="IndexLink"/>
                <w:rtl w:val="true"/>
              </w:rPr>
              <w:t>مير محمّد مهدى</w:t>
            </w:r>
            <w:r>
              <w:rPr>
                <w:rStyle w:val="IndexLink"/>
                <w:rtl w:val="true"/>
              </w:rPr>
              <w:tab/>
            </w:r>
            <w:r>
              <w:rPr>
                <w:rStyle w:val="IndexLink"/>
              </w:rPr>
              <w:t>49</w:t>
            </w:r>
          </w:hyperlink>
        </w:p>
        <w:p>
          <w:pPr>
            <w:pStyle w:val="Contents4"/>
            <w:tabs>
              <w:tab w:val="clear" w:pos="8176"/>
              <w:tab w:val="right" w:pos="9026" w:leader="dot"/>
            </w:tabs>
            <w:rPr/>
          </w:pPr>
          <w:hyperlink w:anchor="__RefHeading___Toc2800192_1051229030">
            <w:r>
              <w:rPr>
                <w:webHidden/>
                <w:rStyle w:val="IndexLink"/>
              </w:rPr>
              <w:t>3</w:t>
            </w:r>
            <w:r>
              <w:rPr>
                <w:rStyle w:val="IndexLink"/>
                <w:rtl w:val="true"/>
              </w:rPr>
              <w:t xml:space="preserve"> - </w:t>
            </w:r>
            <w:r>
              <w:rPr>
                <w:rStyle w:val="IndexLink"/>
                <w:rtl w:val="true"/>
              </w:rPr>
              <w:t>آقا سيّد مؤمن</w:t>
            </w:r>
            <w:r>
              <w:rPr>
                <w:rStyle w:val="IndexLink"/>
                <w:rtl w:val="true"/>
              </w:rPr>
              <w:tab/>
            </w:r>
            <w:r>
              <w:rPr>
                <w:rStyle w:val="IndexLink"/>
              </w:rPr>
              <w:t>49</w:t>
            </w:r>
          </w:hyperlink>
        </w:p>
        <w:p>
          <w:pPr>
            <w:pStyle w:val="Contents4"/>
            <w:tabs>
              <w:tab w:val="clear" w:pos="8176"/>
              <w:tab w:val="right" w:pos="9026" w:leader="dot"/>
            </w:tabs>
            <w:rPr/>
          </w:pPr>
          <w:hyperlink w:anchor="__RefHeading___Toc2800194_1051229030">
            <w:r>
              <w:rPr>
                <w:webHidden/>
                <w:rStyle w:val="IndexLink"/>
              </w:rPr>
              <w:t>4</w:t>
            </w:r>
            <w:r>
              <w:rPr>
                <w:rStyle w:val="IndexLink"/>
                <w:rtl w:val="true"/>
              </w:rPr>
              <w:t xml:space="preserve"> - </w:t>
            </w:r>
            <w:r>
              <w:rPr>
                <w:rStyle w:val="IndexLink"/>
                <w:rtl w:val="true"/>
              </w:rPr>
              <w:t>حاج سيّد محمّد على</w:t>
            </w:r>
            <w:r>
              <w:rPr>
                <w:rStyle w:val="IndexLink"/>
                <w:rtl w:val="true"/>
              </w:rPr>
              <w:tab/>
            </w:r>
            <w:r>
              <w:rPr>
                <w:rStyle w:val="IndexLink"/>
              </w:rPr>
              <w:t>50</w:t>
            </w:r>
          </w:hyperlink>
        </w:p>
        <w:p>
          <w:pPr>
            <w:pStyle w:val="Contents4"/>
            <w:tabs>
              <w:tab w:val="clear" w:pos="8176"/>
              <w:tab w:val="right" w:pos="9026" w:leader="dot"/>
            </w:tabs>
            <w:rPr/>
          </w:pPr>
          <w:hyperlink w:anchor="__RefHeading___Toc2800196_1051229030">
            <w:r>
              <w:rPr>
                <w:webHidden/>
                <w:rStyle w:val="IndexLink"/>
              </w:rPr>
              <w:t>5</w:t>
            </w:r>
            <w:r>
              <w:rPr>
                <w:rStyle w:val="IndexLink"/>
                <w:rtl w:val="true"/>
              </w:rPr>
              <w:t xml:space="preserve"> - </w:t>
            </w:r>
            <w:r>
              <w:rPr>
                <w:rStyle w:val="IndexLink"/>
                <w:rtl w:val="true"/>
              </w:rPr>
              <w:t>حاج سيّد محمّد جعفر</w:t>
            </w:r>
            <w:r>
              <w:rPr>
                <w:rStyle w:val="IndexLink"/>
                <w:rtl w:val="true"/>
              </w:rPr>
              <w:tab/>
            </w:r>
            <w:r>
              <w:rPr>
                <w:rStyle w:val="IndexLink"/>
              </w:rPr>
              <w:t>52</w:t>
            </w:r>
          </w:hyperlink>
        </w:p>
        <w:p>
          <w:pPr>
            <w:pStyle w:val="Contents4"/>
            <w:tabs>
              <w:tab w:val="clear" w:pos="8176"/>
              <w:tab w:val="right" w:pos="9026" w:leader="dot"/>
            </w:tabs>
            <w:rPr/>
          </w:pPr>
          <w:hyperlink w:anchor="__RefHeading___Toc2800198_1051229030">
            <w:r>
              <w:rPr>
                <w:webHidden/>
                <w:rStyle w:val="IndexLink"/>
              </w:rPr>
              <w:t>6</w:t>
            </w:r>
            <w:r>
              <w:rPr>
                <w:rStyle w:val="IndexLink"/>
                <w:rtl w:val="true"/>
              </w:rPr>
              <w:t xml:space="preserve"> - </w:t>
            </w:r>
            <w:r>
              <w:rPr>
                <w:rStyle w:val="IndexLink"/>
                <w:rtl w:val="true"/>
              </w:rPr>
              <w:t>آقا سيّد زين العابدين</w:t>
            </w:r>
            <w:r>
              <w:rPr>
                <w:rStyle w:val="IndexLink"/>
                <w:rtl w:val="true"/>
              </w:rPr>
              <w:tab/>
            </w:r>
            <w:r>
              <w:rPr>
                <w:rStyle w:val="IndexLink"/>
              </w:rPr>
              <w:t>52</w:t>
            </w:r>
          </w:hyperlink>
        </w:p>
        <w:p>
          <w:pPr>
            <w:pStyle w:val="Contents3"/>
            <w:tabs>
              <w:tab w:val="clear" w:pos="8459"/>
              <w:tab w:val="right" w:pos="9026" w:leader="dot"/>
            </w:tabs>
            <w:rPr/>
          </w:pPr>
          <w:hyperlink w:anchor="__RefHeading___Toc2800200_1051229030">
            <w:r>
              <w:rPr>
                <w:webHidden/>
                <w:rStyle w:val="IndexLink"/>
                <w:rtl w:val="true"/>
              </w:rPr>
              <w:t>درگذشت</w:t>
            </w:r>
            <w:r>
              <w:rPr>
                <w:rStyle w:val="IndexLink"/>
                <w:rtl w:val="true"/>
              </w:rPr>
              <w:tab/>
            </w:r>
            <w:r>
              <w:rPr>
                <w:rStyle w:val="IndexLink"/>
              </w:rPr>
              <w:t>53</w:t>
            </w:r>
          </w:hyperlink>
        </w:p>
        <w:p>
          <w:pPr>
            <w:pStyle w:val="Contents2"/>
            <w:tabs>
              <w:tab w:val="clear" w:pos="8743"/>
              <w:tab w:val="right" w:pos="9026" w:leader="dot"/>
            </w:tabs>
            <w:rPr/>
          </w:pPr>
          <w:hyperlink w:anchor="__RefHeading___Toc2800202_1051229030">
            <w:r>
              <w:rPr>
                <w:webHidden/>
                <w:rStyle w:val="IndexLink"/>
                <w:rtl w:val="true"/>
              </w:rPr>
              <w:t>سؤال</w:t>
            </w:r>
            <w:r>
              <w:rPr>
                <w:rStyle w:val="IndexLink"/>
                <w:rtl w:val="true"/>
              </w:rPr>
              <w:tab/>
            </w:r>
            <w:r>
              <w:rPr>
                <w:rStyle w:val="IndexLink"/>
              </w:rPr>
              <w:t>58</w:t>
            </w:r>
          </w:hyperlink>
        </w:p>
        <w:p>
          <w:pPr>
            <w:pStyle w:val="Contents2"/>
            <w:tabs>
              <w:tab w:val="clear" w:pos="8743"/>
              <w:tab w:val="right" w:pos="9026" w:leader="dot"/>
            </w:tabs>
            <w:rPr/>
          </w:pPr>
          <w:hyperlink w:anchor="__RefHeading___Toc2800204_1051229030">
            <w:r>
              <w:rPr>
                <w:webHidden/>
                <w:rStyle w:val="IndexLink"/>
                <w:rtl w:val="true"/>
              </w:rPr>
              <w:t>جواب</w:t>
            </w:r>
            <w:r>
              <w:rPr>
                <w:rStyle w:val="IndexLink"/>
                <w:rtl w:val="true"/>
              </w:rPr>
              <w:tab/>
            </w:r>
            <w:r>
              <w:rPr>
                <w:rStyle w:val="IndexLink"/>
              </w:rPr>
              <w:t>58</w:t>
            </w:r>
          </w:hyperlink>
        </w:p>
        <w:p>
          <w:pPr>
            <w:pStyle w:val="Contents2"/>
            <w:tabs>
              <w:tab w:val="clear" w:pos="8743"/>
              <w:tab w:val="right" w:pos="9026" w:leader="dot"/>
            </w:tabs>
            <w:rPr/>
          </w:pPr>
          <w:hyperlink w:anchor="__RefHeading___Toc2800206_1051229030">
            <w:r>
              <w:rPr>
                <w:webHidden/>
                <w:rStyle w:val="IndexLink"/>
                <w:rtl w:val="true"/>
              </w:rPr>
              <w:t>ولايت حاكم شرع در اموال</w:t>
            </w:r>
            <w:r>
              <w:rPr>
                <w:rStyle w:val="IndexLink"/>
                <w:rtl w:val="true"/>
              </w:rPr>
              <w:tab/>
            </w:r>
            <w:r>
              <w:rPr>
                <w:rStyle w:val="IndexLink"/>
              </w:rPr>
              <w:t>59</w:t>
            </w:r>
          </w:hyperlink>
        </w:p>
        <w:p>
          <w:pPr>
            <w:pStyle w:val="Contents3"/>
            <w:tabs>
              <w:tab w:val="clear" w:pos="8459"/>
              <w:tab w:val="right" w:pos="9026" w:leader="dot"/>
            </w:tabs>
            <w:rPr/>
          </w:pPr>
          <w:hyperlink w:anchor="__RefHeading___Toc2800208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800210_1051229030">
            <w:r>
              <w:rPr>
                <w:webHidden/>
                <w:rStyle w:val="IndexLink"/>
                <w:rtl w:val="true"/>
              </w:rPr>
              <w:t>تفسير الرشد</w:t>
            </w:r>
            <w:r>
              <w:rPr>
                <w:rStyle w:val="IndexLink"/>
                <w:rtl w:val="true"/>
              </w:rPr>
              <w:tab/>
            </w:r>
            <w:r>
              <w:rPr>
                <w:rStyle w:val="IndexLink"/>
              </w:rPr>
              <w:t>63</w:t>
            </w:r>
          </w:hyperlink>
        </w:p>
        <w:p>
          <w:pPr>
            <w:pStyle w:val="Contents2"/>
            <w:tabs>
              <w:tab w:val="clear" w:pos="8743"/>
              <w:tab w:val="right" w:pos="9026" w:leader="dot"/>
            </w:tabs>
            <w:rPr/>
          </w:pPr>
          <w:hyperlink w:anchor="__RefHeading___Toc2800212_1051229030">
            <w:r>
              <w:rPr>
                <w:webHidden/>
                <w:rStyle w:val="IndexLink"/>
                <w:rtl w:val="true"/>
              </w:rPr>
              <w:t>ولايت حاكم شرع در تزويج</w:t>
            </w:r>
            <w:r>
              <w:rPr>
                <w:rStyle w:val="IndexLink"/>
                <w:rtl w:val="true"/>
              </w:rPr>
              <w:tab/>
            </w:r>
            <w:r>
              <w:rPr>
                <w:rStyle w:val="IndexLink"/>
              </w:rPr>
              <w:t>67</w:t>
            </w:r>
          </w:hyperlink>
        </w:p>
        <w:p>
          <w:pPr>
            <w:pStyle w:val="Contents3"/>
            <w:tabs>
              <w:tab w:val="clear" w:pos="8459"/>
              <w:tab w:val="right" w:pos="9026" w:leader="dot"/>
            </w:tabs>
            <w:rPr/>
          </w:pPr>
          <w:hyperlink w:anchor="__RefHeading___Toc2800214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800216_1051229030">
            <w:r>
              <w:rPr>
                <w:webHidden/>
                <w:rStyle w:val="IndexLink"/>
                <w:rtl w:val="true"/>
              </w:rPr>
              <w:t>ذكر كلمات القائلين بأنّه ليس للحاكم ولاية في التزويج أصلاً</w:t>
            </w:r>
            <w:r>
              <w:rPr>
                <w:rStyle w:val="IndexLink"/>
                <w:rtl w:val="true"/>
              </w:rPr>
              <w:tab/>
            </w:r>
            <w:r>
              <w:rPr>
                <w:rStyle w:val="IndexLink"/>
              </w:rPr>
              <w:t>67</w:t>
            </w:r>
          </w:hyperlink>
        </w:p>
        <w:p>
          <w:pPr>
            <w:pStyle w:val="Contents3"/>
            <w:tabs>
              <w:tab w:val="clear" w:pos="8459"/>
              <w:tab w:val="right" w:pos="9026" w:leader="dot"/>
            </w:tabs>
            <w:rPr/>
          </w:pPr>
          <w:hyperlink w:anchor="__RefHeading___Toc2800218_1051229030">
            <w:r>
              <w:rPr>
                <w:webHidden/>
                <w:rStyle w:val="IndexLink"/>
                <w:rtl w:val="true"/>
              </w:rPr>
              <w:t>استقصاء كلمات الفقهاء في المسألة</w:t>
            </w:r>
            <w:r>
              <w:rPr>
                <w:rStyle w:val="IndexLink"/>
                <w:rtl w:val="true"/>
              </w:rPr>
              <w:tab/>
            </w:r>
            <w:r>
              <w:rPr>
                <w:rStyle w:val="IndexLink"/>
              </w:rPr>
              <w:t>77</w:t>
            </w:r>
          </w:hyperlink>
        </w:p>
        <w:p>
          <w:pPr>
            <w:pStyle w:val="Contents3"/>
            <w:tabs>
              <w:tab w:val="clear" w:pos="8459"/>
              <w:tab w:val="right" w:pos="9026" w:leader="dot"/>
            </w:tabs>
            <w:rPr/>
          </w:pPr>
          <w:hyperlink w:anchor="__RefHeading___Toc2800220_1051229030">
            <w:r>
              <w:rPr>
                <w:webHidden/>
                <w:rStyle w:val="IndexLink"/>
                <w:rtl w:val="true"/>
              </w:rPr>
              <w:t>إيراد النصوص الواردة في الباب</w:t>
            </w:r>
            <w:r>
              <w:rPr>
                <w:rStyle w:val="IndexLink"/>
                <w:rtl w:val="true"/>
              </w:rPr>
              <w:tab/>
            </w:r>
            <w:r>
              <w:rPr>
                <w:rStyle w:val="IndexLink"/>
              </w:rPr>
              <w:t>82</w:t>
            </w:r>
          </w:hyperlink>
        </w:p>
        <w:p>
          <w:pPr>
            <w:pStyle w:val="Contents3"/>
            <w:tabs>
              <w:tab w:val="clear" w:pos="8459"/>
              <w:tab w:val="right" w:pos="9026" w:leader="dot"/>
            </w:tabs>
            <w:rPr/>
          </w:pPr>
          <w:hyperlink w:anchor="__RefHeading___Toc2800222_1051229030">
            <w:r>
              <w:rPr>
                <w:webHidden/>
                <w:rStyle w:val="IndexLink"/>
                <w:rtl w:val="true"/>
              </w:rPr>
              <w:t>المستفاد من النصوص المذكورة</w:t>
            </w:r>
            <w:r>
              <w:rPr>
                <w:rStyle w:val="IndexLink"/>
                <w:rtl w:val="true"/>
              </w:rPr>
              <w:tab/>
            </w:r>
            <w:r>
              <w:rPr>
                <w:rStyle w:val="IndexLink"/>
              </w:rPr>
              <w:t>84</w:t>
            </w:r>
          </w:hyperlink>
        </w:p>
        <w:p>
          <w:pPr>
            <w:pStyle w:val="Contents3"/>
            <w:tabs>
              <w:tab w:val="clear" w:pos="8459"/>
              <w:tab w:val="right" w:pos="9026" w:leader="dot"/>
            </w:tabs>
            <w:rPr/>
          </w:pPr>
          <w:hyperlink w:anchor="__RefHeading___Toc2800224_1051229030">
            <w:r>
              <w:rPr>
                <w:webHidden/>
                <w:rStyle w:val="IndexLink"/>
                <w:rtl w:val="true"/>
              </w:rPr>
              <w:t>ذكر كلمات العلماء في المسألة</w:t>
            </w:r>
            <w:r>
              <w:rPr>
                <w:rStyle w:val="IndexLink"/>
                <w:rtl w:val="true"/>
              </w:rPr>
              <w:tab/>
            </w:r>
            <w:r>
              <w:rPr>
                <w:rStyle w:val="IndexLink"/>
              </w:rPr>
              <w:t>85</w:t>
            </w:r>
          </w:hyperlink>
        </w:p>
        <w:p>
          <w:pPr>
            <w:pStyle w:val="Contents3"/>
            <w:tabs>
              <w:tab w:val="clear" w:pos="8459"/>
              <w:tab w:val="right" w:pos="9026" w:leader="dot"/>
            </w:tabs>
            <w:rPr/>
          </w:pPr>
          <w:hyperlink w:anchor="__RefHeading___Toc2800226_1051229030">
            <w:r>
              <w:rPr>
                <w:webHidden/>
                <w:rStyle w:val="IndexLink"/>
                <w:rtl w:val="true"/>
              </w:rPr>
              <w:t>كلمات العلماء في المسألة على أقسام</w:t>
            </w:r>
            <w:r>
              <w:rPr>
                <w:rStyle w:val="IndexLink"/>
                <w:rtl w:val="true"/>
              </w:rPr>
              <w:tab/>
            </w:r>
            <w:r>
              <w:rPr>
                <w:rStyle w:val="IndexLink"/>
              </w:rPr>
              <w:t>88</w:t>
            </w:r>
          </w:hyperlink>
        </w:p>
        <w:p>
          <w:pPr>
            <w:pStyle w:val="Contents2"/>
            <w:tabs>
              <w:tab w:val="clear" w:pos="8743"/>
              <w:tab w:val="right" w:pos="9026" w:leader="dot"/>
            </w:tabs>
            <w:rPr/>
          </w:pPr>
          <w:hyperlink w:anchor="__RefHeading___Toc2800228_1051229030">
            <w:r>
              <w:rPr>
                <w:webHidden/>
                <w:rStyle w:val="IndexLink"/>
                <w:rtl w:val="true"/>
              </w:rPr>
              <w:t>الظاهر استقلال البنت إذا بلغت تسع سنين في نكاحها وإن لم تتّصف بالرشد المعتبر في دفع المال</w:t>
            </w:r>
            <w:r>
              <w:rPr>
                <w:rStyle w:val="IndexLink"/>
                <w:rtl w:val="true"/>
              </w:rPr>
              <w:tab/>
            </w:r>
            <w:r>
              <w:rPr>
                <w:rStyle w:val="IndexLink"/>
              </w:rPr>
              <w:t>92</w:t>
            </w:r>
          </w:hyperlink>
        </w:p>
        <w:p>
          <w:pPr>
            <w:pStyle w:val="Contents2"/>
            <w:tabs>
              <w:tab w:val="clear" w:pos="8743"/>
              <w:tab w:val="right" w:pos="9026" w:leader="dot"/>
            </w:tabs>
            <w:rPr/>
          </w:pPr>
          <w:hyperlink w:anchor="__RefHeading___Toc2800230_1051229030">
            <w:r>
              <w:rPr>
                <w:webHidden/>
                <w:rStyle w:val="IndexLink"/>
                <w:rtl w:val="true"/>
              </w:rPr>
              <w:t>يجوز تزويج من أكمل تسع سنين من البنات الفاقدة للأب من غير افتقار على إذن أحد من الحكّام و غيرهم</w:t>
            </w:r>
            <w:r>
              <w:rPr>
                <w:rStyle w:val="IndexLink"/>
                <w:rtl w:val="true"/>
              </w:rPr>
              <w:tab/>
            </w:r>
            <w:r>
              <w:rPr>
                <w:rStyle w:val="IndexLink"/>
              </w:rPr>
              <w:t>98</w:t>
            </w:r>
          </w:hyperlink>
        </w:p>
        <w:p>
          <w:pPr>
            <w:pStyle w:val="Contents2"/>
            <w:tabs>
              <w:tab w:val="clear" w:pos="8743"/>
              <w:tab w:val="right" w:pos="9026" w:leader="dot"/>
            </w:tabs>
            <w:rPr/>
          </w:pPr>
          <w:hyperlink w:anchor="__RefHeading___Toc2800232_1051229030">
            <w:r>
              <w:rPr>
                <w:webHidden/>
                <w:rStyle w:val="IndexLink"/>
                <w:rtl w:val="true"/>
              </w:rPr>
              <w:t>ولاية الحاكم على البالغة السفيهة إذا لم تكن ذات أب و لا جدّ، ولم يكن هناك وصيّ أيضًا</w:t>
            </w:r>
            <w:r>
              <w:rPr>
                <w:rStyle w:val="IndexLink"/>
                <w:rtl w:val="true"/>
              </w:rPr>
              <w:tab/>
            </w:r>
            <w:r>
              <w:rPr>
                <w:rStyle w:val="IndexLink"/>
              </w:rPr>
              <w:t>109</w:t>
            </w:r>
          </w:hyperlink>
        </w:p>
        <w:p>
          <w:pPr>
            <w:pStyle w:val="Contents2"/>
            <w:tabs>
              <w:tab w:val="clear" w:pos="8743"/>
              <w:tab w:val="right" w:pos="9026" w:leader="dot"/>
            </w:tabs>
            <w:rPr/>
          </w:pPr>
          <w:hyperlink w:anchor="__RefHeading___Toc2800234_1051229030">
            <w:r>
              <w:rPr>
                <w:webHidden/>
                <w:rStyle w:val="IndexLink"/>
                <w:rtl w:val="true"/>
              </w:rPr>
              <w:t>تحقيق معنى السفاهة</w:t>
            </w:r>
            <w:r>
              <w:rPr>
                <w:rStyle w:val="IndexLink"/>
                <w:rtl w:val="true"/>
              </w:rPr>
              <w:tab/>
            </w:r>
            <w:r>
              <w:rPr>
                <w:rStyle w:val="IndexLink"/>
              </w:rPr>
              <w:t>110</w:t>
            </w:r>
          </w:hyperlink>
        </w:p>
        <w:p>
          <w:pPr>
            <w:pStyle w:val="Contents2"/>
            <w:tabs>
              <w:tab w:val="clear" w:pos="8743"/>
              <w:tab w:val="right" w:pos="9026" w:leader="dot"/>
            </w:tabs>
            <w:rPr/>
          </w:pPr>
          <w:hyperlink w:anchor="__RefHeading___Toc2800236_1051229030">
            <w:r>
              <w:rPr>
                <w:webHidden/>
                <w:rStyle w:val="IndexLink"/>
                <w:rtl w:val="true"/>
              </w:rPr>
              <w:t xml:space="preserve">الداعي للتفسير الّذي اخترناه للسفاهة أمور </w:t>
            </w:r>
            <w:r>
              <w:rPr>
                <w:rStyle w:val="IndexLink"/>
                <w:rtl w:val="true"/>
              </w:rPr>
              <w:t>:</w:t>
              <w:tab/>
            </w:r>
            <w:r>
              <w:rPr>
                <w:rStyle w:val="IndexLink"/>
              </w:rPr>
              <w:t>116</w:t>
            </w:r>
          </w:hyperlink>
        </w:p>
        <w:p>
          <w:pPr>
            <w:pStyle w:val="Contents3"/>
            <w:tabs>
              <w:tab w:val="clear" w:pos="8459"/>
              <w:tab w:val="right" w:pos="9026" w:leader="dot"/>
            </w:tabs>
            <w:rPr/>
          </w:pPr>
          <w:hyperlink w:anchor="__RefHeading___Toc2800238_105122903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800240_1051229030">
            <w:r>
              <w:rPr>
                <w:webHidden/>
                <w:rStyle w:val="IndexLink"/>
                <w:rtl w:val="true"/>
              </w:rPr>
              <w:t>الأمر الأوّل</w:t>
            </w:r>
            <w:r>
              <w:rPr>
                <w:rStyle w:val="IndexLink"/>
                <w:rtl w:val="true"/>
              </w:rPr>
              <w:tab/>
            </w:r>
            <w:r>
              <w:rPr>
                <w:rStyle w:val="IndexLink"/>
              </w:rPr>
              <w:t>116</w:t>
            </w:r>
          </w:hyperlink>
        </w:p>
        <w:p>
          <w:pPr>
            <w:pStyle w:val="Contents3"/>
            <w:tabs>
              <w:tab w:val="clear" w:pos="8459"/>
              <w:tab w:val="right" w:pos="9026" w:leader="dot"/>
            </w:tabs>
            <w:rPr/>
          </w:pPr>
          <w:hyperlink w:anchor="__RefHeading___Toc2800242_1051229030">
            <w:r>
              <w:rPr>
                <w:webHidden/>
                <w:rStyle w:val="IndexLink"/>
                <w:rtl w:val="true"/>
              </w:rPr>
              <w:t>الأمر الثاني</w:t>
            </w:r>
            <w:r>
              <w:rPr>
                <w:rStyle w:val="IndexLink"/>
                <w:rtl w:val="true"/>
              </w:rPr>
              <w:tab/>
            </w:r>
            <w:r>
              <w:rPr>
                <w:rStyle w:val="IndexLink"/>
              </w:rPr>
              <w:t>118</w:t>
            </w:r>
          </w:hyperlink>
        </w:p>
        <w:p>
          <w:pPr>
            <w:pStyle w:val="Contents3"/>
            <w:tabs>
              <w:tab w:val="clear" w:pos="8459"/>
              <w:tab w:val="right" w:pos="9026" w:leader="dot"/>
            </w:tabs>
            <w:rPr/>
          </w:pPr>
          <w:hyperlink w:anchor="__RefHeading___Toc2800244_1051229030">
            <w:r>
              <w:rPr>
                <w:webHidden/>
                <w:rStyle w:val="IndexLink"/>
                <w:rtl w:val="true"/>
              </w:rPr>
              <w:t>الأمر الثالث</w:t>
            </w:r>
            <w:r>
              <w:rPr>
                <w:rStyle w:val="IndexLink"/>
                <w:rtl w:val="true"/>
              </w:rPr>
              <w:tab/>
            </w:r>
            <w:r>
              <w:rPr>
                <w:rStyle w:val="IndexLink"/>
              </w:rPr>
              <w:t>119</w:t>
            </w:r>
          </w:hyperlink>
        </w:p>
        <w:p>
          <w:pPr>
            <w:pStyle w:val="Contents3"/>
            <w:tabs>
              <w:tab w:val="clear" w:pos="8459"/>
              <w:tab w:val="right" w:pos="9026" w:leader="dot"/>
            </w:tabs>
            <w:rPr/>
          </w:pPr>
          <w:hyperlink w:anchor="__RefHeading___Toc2800246_1051229030">
            <w:r>
              <w:rPr>
                <w:webHidden/>
                <w:rStyle w:val="IndexLink"/>
                <w:rtl w:val="true"/>
              </w:rPr>
              <w:t>الأمر الرابع</w:t>
            </w:r>
            <w:r>
              <w:rPr>
                <w:rStyle w:val="IndexLink"/>
                <w:rtl w:val="true"/>
              </w:rPr>
              <w:tab/>
            </w:r>
            <w:r>
              <w:rPr>
                <w:rStyle w:val="IndexLink"/>
              </w:rPr>
              <w:t>121</w:t>
            </w:r>
          </w:hyperlink>
        </w:p>
        <w:p>
          <w:pPr>
            <w:pStyle w:val="Contents3"/>
            <w:tabs>
              <w:tab w:val="clear" w:pos="8459"/>
              <w:tab w:val="right" w:pos="9026" w:leader="dot"/>
            </w:tabs>
            <w:rPr/>
          </w:pPr>
          <w:hyperlink w:anchor="__RefHeading___Toc2800248_1051229030">
            <w:r>
              <w:rPr>
                <w:webHidden/>
                <w:rStyle w:val="IndexLink"/>
                <w:rtl w:val="true"/>
              </w:rPr>
              <w:t>الأمر الخامس</w:t>
            </w:r>
            <w:r>
              <w:rPr>
                <w:rStyle w:val="IndexLink"/>
                <w:rtl w:val="true"/>
              </w:rPr>
              <w:tab/>
            </w:r>
            <w:r>
              <w:rPr>
                <w:rStyle w:val="IndexLink"/>
              </w:rPr>
              <w:t>128</w:t>
            </w:r>
          </w:hyperlink>
        </w:p>
        <w:p>
          <w:pPr>
            <w:pStyle w:val="Contents2"/>
            <w:tabs>
              <w:tab w:val="clear" w:pos="8743"/>
              <w:tab w:val="right" w:pos="9026" w:leader="dot"/>
            </w:tabs>
            <w:rPr/>
          </w:pPr>
          <w:hyperlink w:anchor="__RefHeading___Toc2800250_1051229030">
            <w:r>
              <w:rPr>
                <w:webHidden/>
                <w:rStyle w:val="IndexLink"/>
                <w:rtl w:val="true"/>
              </w:rPr>
              <w:t>أقسام اليتيمة البالغة تسع سنين</w:t>
            </w:r>
            <w:r>
              <w:rPr>
                <w:rStyle w:val="IndexLink"/>
                <w:rtl w:val="true"/>
              </w:rPr>
              <w:tab/>
            </w:r>
            <w:r>
              <w:rPr>
                <w:rStyle w:val="IndexLink"/>
              </w:rPr>
              <w:t>131</w:t>
            </w:r>
          </w:hyperlink>
        </w:p>
        <w:p>
          <w:pPr>
            <w:pStyle w:val="Contents2"/>
            <w:tabs>
              <w:tab w:val="clear" w:pos="8743"/>
              <w:tab w:val="right" w:pos="9026" w:leader="dot"/>
            </w:tabs>
            <w:rPr/>
          </w:pPr>
          <w:hyperlink w:anchor="__RefHeading___Toc2800252_1051229030">
            <w:r>
              <w:rPr>
                <w:webHidden/>
                <w:rStyle w:val="IndexLink"/>
                <w:rtl w:val="true"/>
              </w:rPr>
              <w:t>ولاية الوصيّ على الصغيرين</w:t>
            </w:r>
            <w:r>
              <w:rPr>
                <w:rStyle w:val="IndexLink"/>
                <w:rtl w:val="true"/>
              </w:rPr>
              <w:tab/>
            </w:r>
            <w:r>
              <w:rPr>
                <w:rStyle w:val="IndexLink"/>
              </w:rPr>
              <w:t>134</w:t>
            </w:r>
          </w:hyperlink>
        </w:p>
        <w:p>
          <w:pPr>
            <w:pStyle w:val="Contents3"/>
            <w:tabs>
              <w:tab w:val="clear" w:pos="8459"/>
              <w:tab w:val="right" w:pos="9026" w:leader="dot"/>
            </w:tabs>
            <w:rPr/>
          </w:pPr>
          <w:hyperlink w:anchor="__RefHeading___Toc2800254_105122903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800256_1051229030">
            <w:r>
              <w:rPr>
                <w:webHidden/>
                <w:rStyle w:val="IndexLink"/>
                <w:rtl w:val="true"/>
              </w:rPr>
              <w:t>المستند للقول الثالث</w:t>
            </w:r>
            <w:r>
              <w:rPr>
                <w:rStyle w:val="IndexLink"/>
                <w:rtl w:val="true"/>
              </w:rPr>
              <w:tab/>
            </w:r>
            <w:r>
              <w:rPr>
                <w:rStyle w:val="IndexLink"/>
              </w:rPr>
              <w:t>135</w:t>
            </w:r>
          </w:hyperlink>
        </w:p>
        <w:p>
          <w:pPr>
            <w:pStyle w:val="Contents3"/>
            <w:tabs>
              <w:tab w:val="clear" w:pos="8459"/>
              <w:tab w:val="right" w:pos="9026" w:leader="dot"/>
            </w:tabs>
            <w:rPr/>
          </w:pPr>
          <w:hyperlink w:anchor="__RefHeading___Toc2800258_1051229030">
            <w:r>
              <w:rPr>
                <w:webHidden/>
                <w:rStyle w:val="IndexLink"/>
                <w:rtl w:val="true"/>
              </w:rPr>
              <w:t>مختار المؤلّف قدس‌سره</w:t>
            </w:r>
            <w:r>
              <w:rPr>
                <w:rStyle w:val="IndexLink"/>
                <w:rtl w:val="true"/>
              </w:rPr>
              <w:tab/>
            </w:r>
            <w:r>
              <w:rPr>
                <w:rStyle w:val="IndexLink"/>
              </w:rPr>
              <w:t>137</w:t>
            </w:r>
          </w:hyperlink>
        </w:p>
        <w:p>
          <w:pPr>
            <w:pStyle w:val="Contents3"/>
            <w:tabs>
              <w:tab w:val="clear" w:pos="8459"/>
              <w:tab w:val="right" w:pos="9026" w:leader="dot"/>
            </w:tabs>
            <w:rPr/>
          </w:pPr>
          <w:hyperlink w:anchor="__RefHeading___Toc2800260_1051229030">
            <w:r>
              <w:rPr>
                <w:webHidden/>
                <w:rStyle w:val="IndexLink"/>
                <w:rtl w:val="true"/>
              </w:rPr>
              <w:t>وجه دلالة النصوص على المرام</w:t>
            </w:r>
            <w:r>
              <w:rPr>
                <w:rStyle w:val="IndexLink"/>
                <w:rtl w:val="true"/>
              </w:rPr>
              <w:tab/>
            </w:r>
            <w:r>
              <w:rPr>
                <w:rStyle w:val="IndexLink"/>
              </w:rPr>
              <w:t>137</w:t>
            </w:r>
          </w:hyperlink>
        </w:p>
        <w:p>
          <w:pPr>
            <w:pStyle w:val="Contents3"/>
            <w:tabs>
              <w:tab w:val="clear" w:pos="8459"/>
              <w:tab w:val="right" w:pos="9026" w:leader="dot"/>
            </w:tabs>
            <w:rPr/>
          </w:pPr>
          <w:hyperlink w:anchor="__RefHeading___Toc2800262_1051229030">
            <w:r>
              <w:rPr>
                <w:webHidden/>
                <w:rStyle w:val="IndexLink"/>
                <w:rtl w:val="true"/>
              </w:rPr>
              <w:t>الإشكال في الاستدلال بالنصوص المذكورة في المقام</w:t>
            </w:r>
            <w:r>
              <w:rPr>
                <w:rStyle w:val="IndexLink"/>
                <w:rtl w:val="true"/>
              </w:rPr>
              <w:tab/>
            </w:r>
            <w:r>
              <w:rPr>
                <w:rStyle w:val="IndexLink"/>
              </w:rPr>
              <w:t>138</w:t>
            </w:r>
          </w:hyperlink>
        </w:p>
        <w:p>
          <w:pPr>
            <w:pStyle w:val="Contents3"/>
            <w:tabs>
              <w:tab w:val="clear" w:pos="8459"/>
              <w:tab w:val="right" w:pos="9026" w:leader="dot"/>
            </w:tabs>
            <w:rPr/>
          </w:pPr>
          <w:hyperlink w:anchor="__RefHeading___Toc2800264_1051229030">
            <w:r>
              <w:rPr>
                <w:webHidden/>
                <w:rStyle w:val="IndexLink"/>
                <w:rtl w:val="true"/>
              </w:rPr>
              <w:t>ذكر إشكال آخر في المقام</w:t>
            </w:r>
            <w:r>
              <w:rPr>
                <w:rStyle w:val="IndexLink"/>
                <w:rtl w:val="true"/>
              </w:rPr>
              <w:tab/>
            </w:r>
            <w:r>
              <w:rPr>
                <w:rStyle w:val="IndexLink"/>
              </w:rPr>
              <w:t>140</w:t>
            </w:r>
          </w:hyperlink>
        </w:p>
        <w:p>
          <w:pPr>
            <w:pStyle w:val="Contents3"/>
            <w:tabs>
              <w:tab w:val="clear" w:pos="8459"/>
              <w:tab w:val="right" w:pos="9026" w:leader="dot"/>
            </w:tabs>
            <w:rPr/>
          </w:pPr>
          <w:hyperlink w:anchor="__RefHeading___Toc2800266_1051229030">
            <w:r>
              <w:rPr>
                <w:webHidden/>
                <w:rStyle w:val="IndexLink"/>
                <w:rtl w:val="true"/>
              </w:rPr>
              <w:t>الجواب عن الإشكال</w:t>
            </w:r>
            <w:r>
              <w:rPr>
                <w:rStyle w:val="IndexLink"/>
                <w:rtl w:val="true"/>
              </w:rPr>
              <w:tab/>
            </w:r>
            <w:r>
              <w:rPr>
                <w:rStyle w:val="IndexLink"/>
              </w:rPr>
              <w:t>141</w:t>
            </w:r>
          </w:hyperlink>
        </w:p>
        <w:p>
          <w:pPr>
            <w:pStyle w:val="Contents2"/>
            <w:tabs>
              <w:tab w:val="clear" w:pos="8743"/>
              <w:tab w:val="right" w:pos="9026" w:leader="dot"/>
            </w:tabs>
            <w:rPr/>
          </w:pPr>
          <w:hyperlink w:anchor="__RefHeading___Toc2800268_1051229030">
            <w:r>
              <w:rPr>
                <w:webHidden/>
                <w:rStyle w:val="IndexLink"/>
                <w:rtl w:val="true"/>
              </w:rPr>
              <w:t>فهرس مصادر التحقيق</w:t>
            </w:r>
            <w:r>
              <w:rPr>
                <w:rStyle w:val="IndexLink"/>
                <w:rtl w:val="true"/>
              </w:rPr>
              <w:tab/>
            </w:r>
            <w:r>
              <w:rPr>
                <w:rStyle w:val="IndexLink"/>
              </w:rPr>
              <w:t>146</w:t>
            </w:r>
          </w:hyperlink>
        </w:p>
        <w:p>
          <w:pPr>
            <w:pStyle w:val="Contents3"/>
            <w:tabs>
              <w:tab w:val="clear" w:pos="8459"/>
              <w:tab w:val="right" w:pos="9026" w:leader="dot"/>
            </w:tabs>
            <w:rPr/>
          </w:pPr>
          <w:hyperlink w:anchor="__RefHeading___Toc2800270_1051229030">
            <w:r>
              <w:rPr>
                <w:webHidden/>
                <w:rStyle w:val="IndexLink"/>
              </w:rPr>
              <w:t>1</w:t>
            </w:r>
            <w:r>
              <w:rPr>
                <w:rStyle w:val="IndexLink"/>
                <w:rtl w:val="true"/>
              </w:rPr>
              <w:t xml:space="preserve"> - </w:t>
            </w:r>
            <w:r>
              <w:rPr>
                <w:rStyle w:val="IndexLink"/>
                <w:rtl w:val="true"/>
              </w:rPr>
              <w:t>القرآن الكريم</w:t>
            </w:r>
            <w:r>
              <w:rPr>
                <w:rStyle w:val="IndexLink"/>
                <w:rtl w:val="true"/>
              </w:rPr>
              <w:tab/>
            </w:r>
            <w:r>
              <w:rPr>
                <w:rStyle w:val="IndexLink"/>
              </w:rPr>
              <w:t>146</w:t>
            </w:r>
          </w:hyperlink>
        </w:p>
        <w:p>
          <w:pPr>
            <w:pStyle w:val="Contents3"/>
            <w:tabs>
              <w:tab w:val="clear" w:pos="8459"/>
              <w:tab w:val="right" w:pos="9026" w:leader="dot"/>
            </w:tabs>
            <w:rPr/>
          </w:pPr>
          <w:hyperlink w:anchor="__RefHeading___Toc2800272_1051229030">
            <w:r>
              <w:rPr>
                <w:webHidden/>
                <w:rStyle w:val="IndexLink"/>
                <w:rtl w:val="true"/>
              </w:rPr>
              <w:t xml:space="preserve">« </w:t>
            </w:r>
            <w:r>
              <w:rPr>
                <w:rStyle w:val="IndexLink"/>
                <w:rtl w:val="true"/>
              </w:rPr>
              <w:t xml:space="preserve">أ </w:t>
            </w:r>
            <w:r>
              <w:rPr>
                <w:rStyle w:val="IndexLink"/>
                <w:rtl w:val="true"/>
              </w:rPr>
              <w:t>»</w:t>
              <w:tab/>
            </w:r>
            <w:r>
              <w:rPr>
                <w:rStyle w:val="IndexLink"/>
              </w:rPr>
              <w:t>146</w:t>
            </w:r>
          </w:hyperlink>
        </w:p>
        <w:p>
          <w:pPr>
            <w:pStyle w:val="Contents3"/>
            <w:tabs>
              <w:tab w:val="clear" w:pos="8459"/>
              <w:tab w:val="right" w:pos="9026" w:leader="dot"/>
            </w:tabs>
            <w:rPr/>
          </w:pPr>
          <w:hyperlink w:anchor="__RefHeading___Toc2800274_1051229030">
            <w:r>
              <w:rPr>
                <w:webHidden/>
                <w:rStyle w:val="IndexLink"/>
                <w:rtl w:val="true"/>
              </w:rPr>
              <w:t xml:space="preserve">« </w:t>
            </w:r>
            <w:r>
              <w:rPr>
                <w:rStyle w:val="IndexLink"/>
                <w:rtl w:val="true"/>
              </w:rPr>
              <w:t xml:space="preserve">ب </w:t>
            </w:r>
            <w:r>
              <w:rPr>
                <w:rStyle w:val="IndexLink"/>
                <w:rtl w:val="true"/>
              </w:rPr>
              <w:t>»</w:t>
              <w:tab/>
            </w:r>
            <w:r>
              <w:rPr>
                <w:rStyle w:val="IndexLink"/>
              </w:rPr>
              <w:t>146</w:t>
            </w:r>
          </w:hyperlink>
        </w:p>
        <w:p>
          <w:pPr>
            <w:pStyle w:val="Contents3"/>
            <w:tabs>
              <w:tab w:val="clear" w:pos="8459"/>
              <w:tab w:val="right" w:pos="9026" w:leader="dot"/>
            </w:tabs>
            <w:rPr/>
          </w:pPr>
          <w:hyperlink w:anchor="__RefHeading___Toc2800276_1051229030">
            <w:r>
              <w:rPr>
                <w:webHidden/>
                <w:rStyle w:val="IndexLink"/>
                <w:rtl w:val="true"/>
              </w:rPr>
              <w:t xml:space="preserve">« </w:t>
            </w:r>
            <w:r>
              <w:rPr>
                <w:rStyle w:val="IndexLink"/>
                <w:rtl w:val="true"/>
              </w:rPr>
              <w:t xml:space="preserve">ت </w:t>
            </w:r>
            <w:r>
              <w:rPr>
                <w:rStyle w:val="IndexLink"/>
                <w:rtl w:val="true"/>
              </w:rPr>
              <w:t>»</w:t>
              <w:tab/>
            </w:r>
            <w:r>
              <w:rPr>
                <w:rStyle w:val="IndexLink"/>
              </w:rPr>
              <w:t>146</w:t>
            </w:r>
          </w:hyperlink>
        </w:p>
        <w:p>
          <w:pPr>
            <w:pStyle w:val="Contents3"/>
            <w:tabs>
              <w:tab w:val="clear" w:pos="8459"/>
              <w:tab w:val="right" w:pos="9026" w:leader="dot"/>
            </w:tabs>
            <w:rPr/>
          </w:pPr>
          <w:hyperlink w:anchor="__RefHeading___Toc2800278_1051229030">
            <w:r>
              <w:rPr>
                <w:webHidden/>
                <w:rStyle w:val="IndexLink"/>
                <w:rtl w:val="true"/>
              </w:rPr>
              <w:t xml:space="preserve">« </w:t>
            </w:r>
            <w:r>
              <w:rPr>
                <w:rStyle w:val="IndexLink"/>
                <w:rtl w:val="true"/>
              </w:rPr>
              <w:t xml:space="preserve">ج </w:t>
            </w:r>
            <w:r>
              <w:rPr>
                <w:rStyle w:val="IndexLink"/>
                <w:rtl w:val="true"/>
              </w:rPr>
              <w:t>»</w:t>
              <w:tab/>
            </w:r>
            <w:r>
              <w:rPr>
                <w:rStyle w:val="IndexLink"/>
              </w:rPr>
              <w:t>148</w:t>
            </w:r>
          </w:hyperlink>
        </w:p>
        <w:p>
          <w:pPr>
            <w:pStyle w:val="Contents3"/>
            <w:tabs>
              <w:tab w:val="clear" w:pos="8459"/>
              <w:tab w:val="right" w:pos="9026" w:leader="dot"/>
            </w:tabs>
            <w:rPr/>
          </w:pPr>
          <w:hyperlink w:anchor="__RefHeading___Toc2800280_1051229030">
            <w:r>
              <w:rPr>
                <w:webHidden/>
                <w:rStyle w:val="IndexLink"/>
                <w:rtl w:val="true"/>
              </w:rPr>
              <w:t xml:space="preserve">« </w:t>
            </w:r>
            <w:r>
              <w:rPr>
                <w:rStyle w:val="IndexLink"/>
                <w:rtl w:val="true"/>
              </w:rPr>
              <w:t xml:space="preserve">ح </w:t>
            </w:r>
            <w:r>
              <w:rPr>
                <w:rStyle w:val="IndexLink"/>
                <w:rtl w:val="true"/>
              </w:rPr>
              <w:t>»</w:t>
              <w:tab/>
            </w:r>
            <w:r>
              <w:rPr>
                <w:rStyle w:val="IndexLink"/>
              </w:rPr>
              <w:t>148</w:t>
            </w:r>
          </w:hyperlink>
        </w:p>
        <w:p>
          <w:pPr>
            <w:pStyle w:val="Contents3"/>
            <w:tabs>
              <w:tab w:val="clear" w:pos="8459"/>
              <w:tab w:val="right" w:pos="9026" w:leader="dot"/>
            </w:tabs>
            <w:rPr/>
          </w:pPr>
          <w:hyperlink w:anchor="__RefHeading___Toc2800282_1051229030">
            <w:r>
              <w:rPr>
                <w:webHidden/>
                <w:rStyle w:val="IndexLink"/>
                <w:rtl w:val="true"/>
              </w:rPr>
              <w:t xml:space="preserve">« </w:t>
            </w:r>
            <w:r>
              <w:rPr>
                <w:rStyle w:val="IndexLink"/>
                <w:rtl w:val="true"/>
              </w:rPr>
              <w:t xml:space="preserve">خ </w:t>
            </w:r>
            <w:r>
              <w:rPr>
                <w:rStyle w:val="IndexLink"/>
                <w:rtl w:val="true"/>
              </w:rPr>
              <w:t>»</w:t>
              <w:tab/>
            </w:r>
            <w:r>
              <w:rPr>
                <w:rStyle w:val="IndexLink"/>
              </w:rPr>
              <w:t>148</w:t>
            </w:r>
          </w:hyperlink>
        </w:p>
        <w:p>
          <w:pPr>
            <w:pStyle w:val="Contents3"/>
            <w:tabs>
              <w:tab w:val="clear" w:pos="8459"/>
              <w:tab w:val="right" w:pos="9026" w:leader="dot"/>
            </w:tabs>
            <w:rPr/>
          </w:pPr>
          <w:hyperlink w:anchor="__RefHeading___Toc2800284_1051229030">
            <w:r>
              <w:rPr>
                <w:webHidden/>
                <w:rStyle w:val="IndexLink"/>
                <w:rtl w:val="true"/>
              </w:rPr>
              <w:t xml:space="preserve">« </w:t>
            </w:r>
            <w:r>
              <w:rPr>
                <w:rStyle w:val="IndexLink"/>
                <w:rtl w:val="true"/>
              </w:rPr>
              <w:t xml:space="preserve">ر </w:t>
            </w:r>
            <w:r>
              <w:rPr>
                <w:rStyle w:val="IndexLink"/>
                <w:rtl w:val="true"/>
              </w:rPr>
              <w:t>»</w:t>
              <w:tab/>
            </w:r>
            <w:r>
              <w:rPr>
                <w:rStyle w:val="IndexLink"/>
              </w:rPr>
              <w:t>149</w:t>
            </w:r>
          </w:hyperlink>
        </w:p>
        <w:p>
          <w:pPr>
            <w:pStyle w:val="Contents3"/>
            <w:tabs>
              <w:tab w:val="clear" w:pos="8459"/>
              <w:tab w:val="right" w:pos="9026" w:leader="dot"/>
            </w:tabs>
            <w:rPr/>
          </w:pPr>
          <w:hyperlink w:anchor="__RefHeading___Toc2800286_1051229030">
            <w:r>
              <w:rPr>
                <w:webHidden/>
                <w:rStyle w:val="IndexLink"/>
                <w:rtl w:val="true"/>
              </w:rPr>
              <w:t xml:space="preserve">« </w:t>
            </w:r>
            <w:r>
              <w:rPr>
                <w:rStyle w:val="IndexLink"/>
                <w:rtl w:val="true"/>
              </w:rPr>
              <w:t xml:space="preserve">س </w:t>
            </w:r>
            <w:r>
              <w:rPr>
                <w:rStyle w:val="IndexLink"/>
                <w:rtl w:val="true"/>
              </w:rPr>
              <w:t>»</w:t>
              <w:tab/>
            </w:r>
            <w:r>
              <w:rPr>
                <w:rStyle w:val="IndexLink"/>
              </w:rPr>
              <w:t>149</w:t>
            </w:r>
          </w:hyperlink>
        </w:p>
        <w:p>
          <w:pPr>
            <w:pStyle w:val="Contents3"/>
            <w:tabs>
              <w:tab w:val="clear" w:pos="8459"/>
              <w:tab w:val="right" w:pos="9026" w:leader="dot"/>
            </w:tabs>
            <w:rPr/>
          </w:pPr>
          <w:hyperlink w:anchor="__RefHeading___Toc2800288_1051229030">
            <w:r>
              <w:rPr>
                <w:webHidden/>
                <w:rStyle w:val="IndexLink"/>
                <w:rtl w:val="true"/>
              </w:rPr>
              <w:t xml:space="preserve">« </w:t>
            </w:r>
            <w:r>
              <w:rPr>
                <w:rStyle w:val="IndexLink"/>
                <w:rtl w:val="true"/>
              </w:rPr>
              <w:t xml:space="preserve">ش </w:t>
            </w:r>
            <w:r>
              <w:rPr>
                <w:rStyle w:val="IndexLink"/>
                <w:rtl w:val="true"/>
              </w:rPr>
              <w:t>»</w:t>
              <w:tab/>
            </w:r>
            <w:r>
              <w:rPr>
                <w:rStyle w:val="IndexLink"/>
              </w:rPr>
              <w:t>149</w:t>
            </w:r>
          </w:hyperlink>
        </w:p>
        <w:p>
          <w:pPr>
            <w:pStyle w:val="Contents3"/>
            <w:tabs>
              <w:tab w:val="clear" w:pos="8459"/>
              <w:tab w:val="right" w:pos="9026" w:leader="dot"/>
            </w:tabs>
            <w:rPr/>
          </w:pPr>
          <w:hyperlink w:anchor="__RefHeading___Toc2800290_1051229030">
            <w:r>
              <w:rPr>
                <w:webHidden/>
                <w:rStyle w:val="IndexLink"/>
                <w:rtl w:val="true"/>
              </w:rPr>
              <w:t xml:space="preserve">« </w:t>
            </w:r>
            <w:r>
              <w:rPr>
                <w:rStyle w:val="IndexLink"/>
                <w:rtl w:val="true"/>
              </w:rPr>
              <w:t xml:space="preserve">ص </w:t>
            </w:r>
            <w:r>
              <w:rPr>
                <w:rStyle w:val="IndexLink"/>
                <w:rtl w:val="true"/>
              </w:rPr>
              <w:t>»</w:t>
              <w:tab/>
            </w:r>
            <w:r>
              <w:rPr>
                <w:rStyle w:val="IndexLink"/>
              </w:rPr>
              <w:t>150</w:t>
            </w:r>
          </w:hyperlink>
        </w:p>
        <w:p>
          <w:pPr>
            <w:pStyle w:val="Contents3"/>
            <w:tabs>
              <w:tab w:val="clear" w:pos="8459"/>
              <w:tab w:val="right" w:pos="9026" w:leader="dot"/>
            </w:tabs>
            <w:rPr/>
          </w:pPr>
          <w:hyperlink w:anchor="__RefHeading___Toc2800292_1051229030">
            <w:r>
              <w:rPr>
                <w:webHidden/>
                <w:rStyle w:val="IndexLink"/>
                <w:rtl w:val="true"/>
              </w:rPr>
              <w:t xml:space="preserve">« </w:t>
            </w:r>
            <w:r>
              <w:rPr>
                <w:rStyle w:val="IndexLink"/>
                <w:rtl w:val="true"/>
              </w:rPr>
              <w:t xml:space="preserve">غ </w:t>
            </w:r>
            <w:r>
              <w:rPr>
                <w:rStyle w:val="IndexLink"/>
                <w:rtl w:val="true"/>
              </w:rPr>
              <w:t>»</w:t>
              <w:tab/>
            </w:r>
            <w:r>
              <w:rPr>
                <w:rStyle w:val="IndexLink"/>
              </w:rPr>
              <w:t>150</w:t>
            </w:r>
          </w:hyperlink>
        </w:p>
        <w:p>
          <w:pPr>
            <w:pStyle w:val="Contents3"/>
            <w:tabs>
              <w:tab w:val="clear" w:pos="8459"/>
              <w:tab w:val="right" w:pos="9026" w:leader="dot"/>
            </w:tabs>
            <w:rPr/>
          </w:pPr>
          <w:hyperlink w:anchor="__RefHeading___Toc2800294_1051229030">
            <w:r>
              <w:rPr>
                <w:webHidden/>
                <w:rStyle w:val="IndexLink"/>
                <w:rtl w:val="true"/>
              </w:rPr>
              <w:t xml:space="preserve">« </w:t>
            </w:r>
            <w:r>
              <w:rPr>
                <w:rStyle w:val="IndexLink"/>
                <w:rtl w:val="true"/>
              </w:rPr>
              <w:t xml:space="preserve">ف </w:t>
            </w:r>
            <w:r>
              <w:rPr>
                <w:rStyle w:val="IndexLink"/>
                <w:rtl w:val="true"/>
              </w:rPr>
              <w:t>»</w:t>
              <w:tab/>
            </w:r>
            <w:r>
              <w:rPr>
                <w:rStyle w:val="IndexLink"/>
              </w:rPr>
              <w:t>150</w:t>
            </w:r>
          </w:hyperlink>
        </w:p>
        <w:p>
          <w:pPr>
            <w:pStyle w:val="Contents3"/>
            <w:tabs>
              <w:tab w:val="clear" w:pos="8459"/>
              <w:tab w:val="right" w:pos="9026" w:leader="dot"/>
            </w:tabs>
            <w:rPr/>
          </w:pPr>
          <w:hyperlink w:anchor="__RefHeading___Toc2800296_1051229030">
            <w:r>
              <w:rPr>
                <w:webHidden/>
                <w:rStyle w:val="IndexLink"/>
                <w:rtl w:val="true"/>
              </w:rPr>
              <w:t xml:space="preserve">« </w:t>
            </w:r>
            <w:r>
              <w:rPr>
                <w:rStyle w:val="IndexLink"/>
                <w:rtl w:val="true"/>
              </w:rPr>
              <w:t xml:space="preserve">ق </w:t>
            </w:r>
            <w:r>
              <w:rPr>
                <w:rStyle w:val="IndexLink"/>
                <w:rtl w:val="true"/>
              </w:rPr>
              <w:t>»</w:t>
              <w:tab/>
            </w:r>
            <w:r>
              <w:rPr>
                <w:rStyle w:val="IndexLink"/>
              </w:rPr>
              <w:t>150</w:t>
            </w:r>
          </w:hyperlink>
        </w:p>
        <w:p>
          <w:pPr>
            <w:pStyle w:val="Contents3"/>
            <w:tabs>
              <w:tab w:val="clear" w:pos="8459"/>
              <w:tab w:val="right" w:pos="9026" w:leader="dot"/>
            </w:tabs>
            <w:rPr/>
          </w:pPr>
          <w:hyperlink w:anchor="__RefHeading___Toc2800298_1051229030">
            <w:r>
              <w:rPr>
                <w:webHidden/>
                <w:rStyle w:val="IndexLink"/>
                <w:rtl w:val="true"/>
              </w:rPr>
              <w:t xml:space="preserve">« </w:t>
            </w:r>
            <w:r>
              <w:rPr>
                <w:rStyle w:val="IndexLink"/>
                <w:rtl w:val="true"/>
              </w:rPr>
              <w:t xml:space="preserve">ك </w:t>
            </w:r>
            <w:r>
              <w:rPr>
                <w:rStyle w:val="IndexLink"/>
                <w:rtl w:val="true"/>
              </w:rPr>
              <w:t>»</w:t>
              <w:tab/>
            </w:r>
            <w:r>
              <w:rPr>
                <w:rStyle w:val="IndexLink"/>
              </w:rPr>
              <w:t>151</w:t>
            </w:r>
          </w:hyperlink>
        </w:p>
        <w:p>
          <w:pPr>
            <w:pStyle w:val="Contents3"/>
            <w:tabs>
              <w:tab w:val="clear" w:pos="8459"/>
              <w:tab w:val="right" w:pos="9026" w:leader="dot"/>
            </w:tabs>
            <w:rPr/>
          </w:pPr>
          <w:hyperlink w:anchor="__RefHeading___Toc2800300_1051229030">
            <w:r>
              <w:rPr>
                <w:webHidden/>
                <w:rStyle w:val="IndexLink"/>
                <w:rtl w:val="true"/>
              </w:rPr>
              <w:t xml:space="preserve">« </w:t>
            </w:r>
            <w:r>
              <w:rPr>
                <w:rStyle w:val="IndexLink"/>
                <w:rtl w:val="true"/>
              </w:rPr>
              <w:t xml:space="preserve">ل </w:t>
            </w:r>
            <w:r>
              <w:rPr>
                <w:rStyle w:val="IndexLink"/>
                <w:rtl w:val="true"/>
              </w:rPr>
              <w:t>»</w:t>
              <w:tab/>
            </w:r>
            <w:r>
              <w:rPr>
                <w:rStyle w:val="IndexLink"/>
              </w:rPr>
              <w:t>152</w:t>
            </w:r>
          </w:hyperlink>
        </w:p>
        <w:p>
          <w:pPr>
            <w:pStyle w:val="Contents3"/>
            <w:tabs>
              <w:tab w:val="clear" w:pos="8459"/>
              <w:tab w:val="right" w:pos="9026" w:leader="dot"/>
            </w:tabs>
            <w:rPr/>
          </w:pPr>
          <w:hyperlink w:anchor="__RefHeading___Toc2800302_1051229030">
            <w:r>
              <w:rPr>
                <w:webHidden/>
                <w:rStyle w:val="IndexLink"/>
                <w:rtl w:val="true"/>
              </w:rPr>
              <w:t xml:space="preserve">« </w:t>
            </w:r>
            <w:r>
              <w:rPr>
                <w:rStyle w:val="IndexLink"/>
                <w:rtl w:val="true"/>
              </w:rPr>
              <w:t xml:space="preserve">م </w:t>
            </w:r>
            <w:r>
              <w:rPr>
                <w:rStyle w:val="IndexLink"/>
                <w:rtl w:val="true"/>
              </w:rPr>
              <w:t>»</w:t>
              <w:tab/>
            </w:r>
            <w:r>
              <w:rPr>
                <w:rStyle w:val="IndexLink"/>
              </w:rPr>
              <w:t>152</w:t>
            </w:r>
          </w:hyperlink>
        </w:p>
        <w:p>
          <w:pPr>
            <w:pStyle w:val="Contents3"/>
            <w:tabs>
              <w:tab w:val="clear" w:pos="8459"/>
              <w:tab w:val="right" w:pos="9026" w:leader="dot"/>
            </w:tabs>
            <w:rPr/>
          </w:pPr>
          <w:hyperlink w:anchor="__RefHeading___Toc2800304_1051229030">
            <w:r>
              <w:rPr>
                <w:webHidden/>
                <w:rStyle w:val="IndexLink"/>
                <w:rtl w:val="true"/>
              </w:rPr>
              <w:t xml:space="preserve">« </w:t>
            </w:r>
            <w:r>
              <w:rPr>
                <w:rStyle w:val="IndexLink"/>
                <w:rtl w:val="true"/>
              </w:rPr>
              <w:t xml:space="preserve">ن </w:t>
            </w:r>
            <w:r>
              <w:rPr>
                <w:rStyle w:val="IndexLink"/>
                <w:rtl w:val="true"/>
              </w:rPr>
              <w:t>»</w:t>
              <w:tab/>
            </w:r>
            <w:r>
              <w:rPr>
                <w:rStyle w:val="IndexLink"/>
              </w:rPr>
              <w:t>153</w:t>
            </w:r>
          </w:hyperlink>
        </w:p>
        <w:p>
          <w:pPr>
            <w:pStyle w:val="Contents3"/>
            <w:tabs>
              <w:tab w:val="clear" w:pos="8459"/>
              <w:tab w:val="right" w:pos="9026" w:leader="dot"/>
            </w:tabs>
            <w:rPr/>
          </w:pPr>
          <w:hyperlink w:anchor="__RefHeading___Toc2800306_1051229030">
            <w:r>
              <w:rPr>
                <w:webHidden/>
                <w:rStyle w:val="IndexLink"/>
                <w:rtl w:val="true"/>
              </w:rPr>
              <w:t xml:space="preserve">« </w:t>
            </w:r>
            <w:r>
              <w:rPr>
                <w:rStyle w:val="IndexLink"/>
                <w:rtl w:val="true"/>
              </w:rPr>
              <w:t xml:space="preserve">و </w:t>
            </w:r>
            <w:r>
              <w:rPr>
                <w:rStyle w:val="IndexLink"/>
                <w:rtl w:val="true"/>
              </w:rPr>
              <w:t>»</w:t>
              <w:tab/>
            </w:r>
            <w:r>
              <w:rPr>
                <w:rStyle w:val="IndexLink"/>
              </w:rPr>
              <w:t>154</w:t>
            </w:r>
          </w:hyperlink>
        </w:p>
        <w:p>
          <w:pPr>
            <w:pStyle w:val="Contents2"/>
            <w:tabs>
              <w:tab w:val="clear" w:pos="8743"/>
              <w:tab w:val="right" w:pos="9026" w:leader="dot"/>
            </w:tabs>
            <w:rPr/>
          </w:pPr>
          <w:hyperlink w:anchor="__RefHeading___Toc2800308_1051229030">
            <w:r>
              <w:rPr>
                <w:webHidden/>
                <w:rStyle w:val="IndexLink"/>
                <w:rtl w:val="true"/>
              </w:rPr>
              <w:t>فهرس المحتويات</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2_72484"/>
      <w:bookmarkStart w:id="1" w:name="pg7542_72484"/>
      <w:bookmarkEnd w:id="1"/>
    </w:p>
    <w:p>
      <w:pPr>
        <w:pStyle w:val="Heading2"/>
        <w:numPr>
          <w:ilvl w:val="1"/>
          <w:numId w:val="1"/>
        </w:numPr>
        <w:rPr/>
      </w:pPr>
      <w:bookmarkStart w:id="2" w:name="pg7542_72484"/>
      <w:bookmarkStart w:id="3" w:name="__RefHeading___Toc280007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حاكم شرع بر بالغه غير رشيده</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محقّق و فقيه متتبّع حاج سيّد محمّد باقر شفتى قدس‌سره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شفتى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008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42_72491"/>
      <w:bookmarkStart w:id="8" w:name="pg7542_72491"/>
      <w:bookmarkEnd w:id="8"/>
    </w:p>
    <w:p>
      <w:pPr>
        <w:pStyle w:val="Heading2"/>
        <w:numPr>
          <w:ilvl w:val="1"/>
          <w:numId w:val="1"/>
        </w:numPr>
        <w:rPr/>
      </w:pPr>
      <w:bookmarkStart w:id="9" w:name="pg7542_72491"/>
      <w:bookmarkStart w:id="10" w:name="__RefHeading___Toc2800082_1051229030"/>
      <w:bookmarkStart w:id="11" w:name="_Toc3"/>
      <w:bookmarkEnd w:id="9"/>
      <w:bookmarkEnd w:id="10"/>
      <w:r>
        <w:rPr>
          <w:rtl w:val="true"/>
        </w:rPr>
        <w:t>مقدّمه</w:t>
      </w:r>
      <w:bookmarkEnd w:id="11"/>
    </w:p>
    <w:p>
      <w:pPr>
        <w:pStyle w:val="Heading3"/>
        <w:numPr>
          <w:ilvl w:val="2"/>
          <w:numId w:val="1"/>
        </w:numPr>
        <w:rPr/>
      </w:pPr>
      <w:bookmarkStart w:id="12" w:name="__RefHeading___Toc2800084_1051229030"/>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ascii="IRNazanin" w:hAnsi="IRNazanin" w:eastAsia="IRNazanin"/>
          <w:color w:val="111111"/>
          <w:sz w:val="28"/>
          <w:sz w:val="28"/>
          <w:szCs w:val="28"/>
          <w:rtl w:val="true"/>
          <w:lang w:bidi="fa-IR"/>
        </w:rPr>
        <w:t xml:space="preserve">فقيه متبحّر، عالم محقّق و متتبّع مرحوم آية اللّه العظمى حاج سيّد محمّد باقر شفتى، معروف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زعماى بزرگ و اساطين علمى شيعه است كه سال هاى سال، شهر اصفهان از بركات وجودى او بهره‌مند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زعامت دينى و اجراى حدود الهى، بذل و سخاوت حيرت آور، تأليف اثر پربار و كم نظير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كتاب و رساله فقهى، رجالى، حديثى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تربيت شاگردان فراوان، از برجستگى‌هاى خاصّ او بود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اصفهان آن روز به وجود نورانى فرزانگانى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العظمى حاج محمّد ابراهيم كلباسى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اشارات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دهها فقيه و عالم برجسته ديگر منوّر بود، ولى بار سنگين زعامت دينى بر دوش مرحوم سيّد حجّة الاسلام قرار داشت ؛ از اين رو پرسش‌هاى فراوان فقهى، اعتقادى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علما، طلاّب و مقلّدين مرحوم سيّد در محضر او مطرح مى‌گرديد، كه وى با تبحّر و روشن بينى خاصّ خود آنها را پاسخ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اينجا به حضور اهل دانش و تحقيق، شما تشنگان چشمه علم و فقاهت تقديم مى‌گردد، رساله‌اى است از آثار ارزشمند عالم ربّانى، فقيه نامدار اهل بيت عصمت عليهم‌السلام، حجّة الإسلام مطلق در شيعه، مرحوم آية اللّه العظمى حاج سيّد محمّد باقر موسوى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پاسخ به پرسشى فقهى نگاشته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سؤال و جواب از مجموعه ارزشمند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انتخاب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است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رساله فقهى، و نيز پرسش‌هاى فراوانى كه از طرف اقشار مختلف مردم از مرحوم حجّة الإسلام استفتاء شده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اجتهاد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وديعة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حيات مرحوم حجّة الإسلام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سنگى شده، ولى باقيمانده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قسمت چاپ شده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تاكنون به طبع نرسيده و همچنان مخطوط باقى مانده است </w:t>
      </w:r>
      <w:r>
        <w:rPr>
          <w:rFonts w:eastAsia="IRNazanin" w:cs="IRNazanin"/>
          <w:color w:val="111111"/>
          <w:sz w:val="28"/>
          <w:szCs w:val="28"/>
          <w:rtl w:val="true"/>
          <w:lang w:bidi="fa-IR"/>
        </w:rPr>
        <w:t xml:space="preserve">. </w:t>
      </w:r>
      <w:bookmarkStart w:id="14" w:name="pg7542_72495"/>
    </w:p>
    <w:p>
      <w:pPr>
        <w:pStyle w:val="Heading3"/>
        <w:numPr>
          <w:ilvl w:val="2"/>
          <w:numId w:val="1"/>
        </w:numPr>
        <w:rPr/>
      </w:pPr>
      <w:bookmarkStart w:id="15" w:name="__RefHeading___Toc2800086_1051229030"/>
      <w:bookmarkStart w:id="16" w:name="_Toc5"/>
      <w:bookmarkEnd w:id="14"/>
      <w:bookmarkEnd w:id="15"/>
      <w:r>
        <w:rPr>
          <w:rtl w:val="true"/>
        </w:rPr>
        <w:t>توضيحى پيرامون رساله حاضر</w:t>
      </w:r>
      <w:bookmarkEnd w:id="16"/>
    </w:p>
    <w:p>
      <w:pPr>
        <w:pStyle w:val="BookText"/>
        <w:rPr/>
      </w:pPr>
      <w:r>
        <w:rPr>
          <w:rFonts w:ascii="IRNazanin" w:hAnsi="IRNazanin" w:eastAsia="IRNazanin"/>
          <w:color w:val="111111"/>
          <w:sz w:val="28"/>
          <w:sz w:val="28"/>
          <w:szCs w:val="28"/>
          <w:rtl w:val="true"/>
          <w:lang w:bidi="fa-IR"/>
        </w:rPr>
        <w:t xml:space="preserve">اين رساله در جواب به سؤالى در موضوع ولايت حاكم شرع بر بالغه غير رشيده و حدود و احكام آن نگاشته شده، كه حجّة الإسلام شفتى قدس‌سرهدر پاسخ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دأب او بر آن است كه هر مسأله‌اى را با تحليل وبررسى جوانب مختلف آن پاسخ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به بيان فروعات مختلف مسأله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حجّة الإسلام در اين مسأله نيز با بيان گفته‌هاى بيش از ده نفر از فقهاى عظام و با استفاده از آيات و روايات مربوطه، استدلال و اجتهاد نموده و ولايت در اموال نسبت به حاكم شرع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جدّ و وصىّ، قبل از بلوغ و بعد از آن، و به شرطِ عدم رشدِ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درباره ولايت حاكمِ شرع در مسأله تزويج،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ولايت در تزويج نسبت به حكّام شرع در صورت مذكوره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صورت انتفاء والد و جدّ و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اصحاب اين است كه قبل از بلوغ، ولايت در تزويج نسبت به حكّام شرع ثابت نباشد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بعد از بلوغ، پس آنچه بعد از تصفّح در كلمات اصحاب ظاهر </w:t>
      </w:r>
    </w:p>
    <w:p>
      <w:pPr>
        <w:pStyle w:val="BookText"/>
        <w:rPr/>
      </w:pPr>
      <w:r>
        <w:rPr>
          <w:rFonts w:ascii="Amiri" w:hAnsi="Amiri" w:eastAsia="Amiri" w:cs="Amiri"/>
          <w:color w:val="111111"/>
          <w:sz w:val="28"/>
          <w:sz w:val="28"/>
          <w:szCs w:val="28"/>
          <w:rtl w:val="true"/>
          <w:lang w:bidi="ar-SA"/>
        </w:rPr>
        <w:t xml:space="preserve">مى‌شود،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محلّ خلاف است، نظر به اين كه ظاهر از جمله‌اى از كلمات قدماى اصحاب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در تزويج نسبت به حكّام شرع مطلقا ثابت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اميدوارم همان گونه كه ألطاف خداوند و روح عالى و بلند مرتبه جدّ بزرگوارم مرحوم سيّد حجّة الإسلام، تاكنون يار و ياور ما بوده و توفيق تحقيق وتنظيم و نشر بعضى از آثار ايشان را نصيب نموده، إن شاء اللّه در آينده نه چندان دور بتوانيم بقيّه مسائل و رسائل فقهى و اصولى ايشان را با تحقيقى جامع واسلوبى زيبا و شايسته تقديم مشتاقان علم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شرح حالِ مفصّلى از مؤلّف بزرگوار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مصلح الدين مهدوى، نگاشته شده و در دو جلد به چاپ رسيده ؛ لذا ما در اينجا به شرح حال مختصرى از مؤلّف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 صلّى اللّه على محمّد وآله الطاهرين، والسلام على عباد اللّه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و كتابخانه مسجد سيّد اصفهان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شفتى </w:t>
      </w:r>
      <w:bookmarkStart w:id="17" w:name="pg7542_72499"/>
    </w:p>
    <w:p>
      <w:pPr>
        <w:pStyle w:val="Heading2"/>
        <w:numPr>
          <w:ilvl w:val="1"/>
          <w:numId w:val="1"/>
        </w:numPr>
        <w:rPr/>
      </w:pPr>
      <w:bookmarkStart w:id="18" w:name="__RefHeading___Toc2800088_1051229030"/>
      <w:bookmarkStart w:id="19" w:name="_Toc6"/>
      <w:bookmarkEnd w:id="17"/>
      <w:bookmarkEnd w:id="18"/>
      <w:r>
        <w:rPr>
          <w:rtl w:val="true"/>
        </w:rPr>
        <w:t>زندگى نامه مؤلّف</w:t>
      </w:r>
      <w:bookmarkEnd w:id="19"/>
    </w:p>
    <w:p>
      <w:pPr>
        <w:pStyle w:val="Heading3"/>
        <w:numPr>
          <w:ilvl w:val="2"/>
          <w:numId w:val="1"/>
        </w:numPr>
        <w:rPr/>
      </w:pPr>
      <w:bookmarkStart w:id="20" w:name="__RefHeading___Toc2800090_1051229030"/>
      <w:bookmarkStart w:id="21" w:name="_Toc7"/>
      <w:bookmarkEnd w:id="20"/>
      <w:r>
        <w:rPr>
          <w:rtl w:val="true"/>
        </w:rPr>
        <w:t>نام</w:t>
      </w:r>
      <w:bookmarkEnd w:id="21"/>
    </w:p>
    <w:p>
      <w:pPr>
        <w:pStyle w:val="BookText"/>
        <w:rPr/>
      </w:pPr>
      <w:r>
        <w:rPr>
          <w:rFonts w:ascii="Amiri" w:hAnsi="Amiri" w:eastAsia="Amiri" w:cs="Amiri"/>
          <w:color w:val="111111"/>
          <w:sz w:val="28"/>
          <w:sz w:val="28"/>
          <w:szCs w:val="28"/>
          <w:rtl w:val="true"/>
          <w:lang w:bidi="ar-SA"/>
        </w:rPr>
        <w:t xml:space="preserve">عالم و فقيه كامل، محقّق، علاّمه، جامعِ معقول و منقول، مجتهدِ خبير و بصير مرحوم حجّة الإسلام حاج سيّد محمّد باقر موسوى شفتى اصفهانى، از فحول علماى شيعه و مفاخر فقها و مجتهدين اماميّه در سده سيزدهم هجرى است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800092_1051229030"/>
      <w:bookmarkStart w:id="23" w:name="_Toc8"/>
      <w:bookmarkEnd w:id="22"/>
      <w:r>
        <w:rPr>
          <w:rtl w:val="true"/>
        </w:rPr>
        <w:t>شهرت</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و لقب مرحوم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ايشان در بين دانشمندان شيعه نخستين كسى است كه به اين لقب مشهور و معروف شده، البته در قرن سيزدهم چند نفر از ديگر بزرگان هم به اين لقب ناميده شده‌اند، ولى هيچ كدام اهميّت و شهرت و مقام مرحوم سيّد شفتى را نداشته‌اند </w:t>
      </w:r>
      <w:r>
        <w:rPr>
          <w:rFonts w:eastAsia="IRNazanin" w:cs="IRNazanin"/>
          <w:color w:val="111111"/>
          <w:sz w:val="28"/>
          <w:szCs w:val="28"/>
          <w:rtl w:val="true"/>
          <w:lang w:bidi="fa-IR"/>
        </w:rPr>
        <w:t xml:space="preserve">. </w:t>
      </w:r>
      <w:bookmarkStart w:id="24" w:name="pg7542_72501"/>
    </w:p>
    <w:p>
      <w:pPr>
        <w:pStyle w:val="Heading3"/>
        <w:numPr>
          <w:ilvl w:val="2"/>
          <w:numId w:val="1"/>
        </w:numPr>
        <w:rPr/>
      </w:pPr>
      <w:bookmarkStart w:id="25" w:name="__RefHeading___Toc2800094_1051229030"/>
      <w:bookmarkStart w:id="26" w:name="_Toc9"/>
      <w:bookmarkEnd w:id="24"/>
      <w:bookmarkEnd w:id="25"/>
      <w:r>
        <w:rPr>
          <w:rtl w:val="true"/>
        </w:rPr>
        <w:t>از نگاه ديگران</w:t>
      </w:r>
      <w:bookmarkEnd w:id="26"/>
    </w:p>
    <w:p>
      <w:pPr>
        <w:pStyle w:val="Heading4"/>
        <w:numPr>
          <w:ilvl w:val="3"/>
          <w:numId w:val="1"/>
        </w:numPr>
        <w:rPr/>
      </w:pPr>
      <w:bookmarkStart w:id="27" w:name="__RefHeading___Toc2800096_105122903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درباره شخصيّتِ علمى و اجتماعى فقيه و مرجع بزرگ مرحوم علاّمه حاج سيّد محمّد باقر شفتى، افراد بسيارى ايراد سخن و اظهار عقيده نموده‌اند ؛ عدّه بسيارى به مدح و ستايش وى پرداخته، و بزرگى، علم، زهد، تقوا، فضائل اخلاقى، و خدمات اجتماعى وى را ستوده‌اند ؛ و عدّه اندكى نيز بر وى و برخى از كارهاى او، خرده گرفته و دهان به انتقاد و اعتراض گشوده‌اند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ستايش گرانِ سيّد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به بيش از صد نفر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قالب نظم و نثر، و به دو زبان فارسى و عربى، زبان به مدح و ستايشِ وى باز نموده‌اند، كه گزارش و پرداختن به تمامى آن گفته‌ها، خود به نگارش كتابى جداگانه مى‌انجامد، ولى در اينجا براى نمونه تنها به نقل گفتار بعضى از آنها، بسنده مى‌كنيم </w:t>
      </w:r>
      <w:r>
        <w:rPr>
          <w:rFonts w:eastAsia="IRNazanin" w:cs="IRNazanin"/>
          <w:color w:val="111111"/>
          <w:sz w:val="28"/>
          <w:szCs w:val="28"/>
          <w:rtl w:val="true"/>
          <w:lang w:bidi="fa-IR"/>
        </w:rPr>
        <w:t>.</w:t>
      </w:r>
    </w:p>
    <w:p>
      <w:pPr>
        <w:pStyle w:val="Heading4"/>
        <w:numPr>
          <w:ilvl w:val="3"/>
          <w:numId w:val="1"/>
        </w:numPr>
        <w:rPr/>
      </w:pPr>
      <w:bookmarkStart w:id="29" w:name="__RefHeading___Toc2800098_1051229030"/>
      <w:bookmarkStart w:id="30" w:name="_Toc11"/>
      <w:bookmarkEnd w:id="29"/>
      <w:r>
        <w:rPr/>
        <w:t>1</w:t>
      </w:r>
      <w:r>
        <w:rPr>
          <w:rtl w:val="true"/>
        </w:rPr>
        <w:t xml:space="preserve"> - </w:t>
      </w:r>
      <w:r>
        <w:rPr>
          <w:rtl w:val="true"/>
        </w:rPr>
        <w:t>حكيم ملاّ على نورى قدس‌سره</w:t>
      </w:r>
      <w:bookmarkEnd w:id="30"/>
    </w:p>
    <w:p>
      <w:pPr>
        <w:pStyle w:val="BookText"/>
        <w:rPr/>
      </w:pPr>
      <w:r>
        <w:rPr>
          <w:rFonts w:ascii="Amiri" w:hAnsi="Amiri" w:eastAsia="Amiri" w:cs="Amiri"/>
          <w:color w:val="111111"/>
          <w:sz w:val="28"/>
          <w:sz w:val="28"/>
          <w:szCs w:val="28"/>
          <w:rtl w:val="true"/>
          <w:lang w:bidi="ar-SA"/>
        </w:rPr>
        <w:t xml:space="preserve">وى در تاييد نظر مرحوم حجّة الإسلام شفتى درباره مسأله‌اى فقهى، او را با اين اوصاف ستوده است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w:t>
      </w:r>
      <w:bookmarkStart w:id="31" w:name="pg7542_72503"/>
    </w:p>
    <w:p>
      <w:pPr>
        <w:pStyle w:val="BookText"/>
        <w:rPr/>
      </w:pPr>
      <w:bookmarkEnd w:id="31"/>
      <w:r>
        <w:rPr>
          <w:rFonts w:ascii="Amiri" w:hAnsi="Amiri" w:eastAsia="Amiri" w:cs="Amiri"/>
          <w:color w:val="111111"/>
          <w:sz w:val="28"/>
          <w:sz w:val="28"/>
          <w:szCs w:val="28"/>
          <w:rtl w:val="true"/>
          <w:lang w:bidi="ar-SA"/>
        </w:rPr>
        <w:t xml:space="preserve">الفريد الدهريّ، والوحيد العصريّ، مطاع، واجب الإتباع، معظّم، مجموعة المناقب و المفاخر، آقا 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 فضائله الإنسيّة و شمائله القدسيّة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2800100_1051229030"/>
      <w:bookmarkStart w:id="33" w:name="_Toc12"/>
      <w:bookmarkEnd w:id="32"/>
      <w:r>
        <w:rPr/>
        <w:t>2</w:t>
      </w:r>
      <w:r>
        <w:rPr>
          <w:rtl w:val="true"/>
        </w:rPr>
        <w:t xml:space="preserve"> - </w:t>
      </w:r>
      <w:r>
        <w:rPr>
          <w:rtl w:val="true"/>
        </w:rPr>
        <w:t>مرحوم آية اللّه حاج محمّد ابراهيم كرباسى</w:t>
      </w:r>
      <w:bookmarkEnd w:id="33"/>
    </w:p>
    <w:p>
      <w:pPr>
        <w:pStyle w:val="BookText"/>
        <w:rPr/>
      </w:pPr>
      <w:r>
        <w:rPr>
          <w:rFonts w:ascii="IRNazanin" w:hAnsi="IRNazanin" w:eastAsia="IRNazanin"/>
          <w:color w:val="111111"/>
          <w:sz w:val="28"/>
          <w:sz w:val="28"/>
          <w:szCs w:val="28"/>
          <w:rtl w:val="true"/>
          <w:lang w:bidi="fa-IR"/>
        </w:rPr>
        <w:t xml:space="preserve">ايشان از بزرگان انديشمندان و فقهاى نامى اصفهان است، كه در علم و زهد و تقوا و دورى از امور دنيوى معروف و مشهور، و داستان‌هاى احتياطِ او در امور شرعيّه، بر سرِ زبان‌ها است و در متن كتاب‌هاى بسيارى ثبت شده، تا آنجا كه مرحوم ميرزا محمّد تنكابنى در شرح زندگانى وى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كرباسى را اعتقاد آن بود كه اجتهاد در نهايت سختى است، و آنان كه مدّعى اجتهادند، اكثر مجتهد نيستند ؛ و اگر كسى ادّعاى اجتهاد و مرافعه مى‌نمود، حاجى او را تفسيق مى‌كرد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ويژگى‌ها، سخن ايشان درباره سيّد حجّة الإسلام خواندنى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صلى‌الله‌عليه‌و‌آله در مدينه بود و مردم اصفهان قاضى </w:t>
      </w:r>
      <w:bookmarkStart w:id="34" w:name="pg7542_72505"/>
    </w:p>
    <w:p>
      <w:pPr>
        <w:pStyle w:val="BookText"/>
        <w:rPr/>
      </w:pPr>
      <w:bookmarkEnd w:id="34"/>
      <w:r>
        <w:rPr>
          <w:rFonts w:ascii="Amiri" w:hAnsi="Amiri" w:eastAsia="Amiri" w:cs="Amiri"/>
          <w:color w:val="111111"/>
          <w:sz w:val="28"/>
          <w:sz w:val="28"/>
          <w:szCs w:val="28"/>
          <w:rtl w:val="true"/>
          <w:lang w:bidi="ar-SA"/>
        </w:rPr>
        <w:t xml:space="preserve">مى‌خواستند، آن حضرت آقا سيّد محمّد باقر را به قضاوت نصب مى‌نمود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800102_1051229030"/>
      <w:bookmarkStart w:id="36" w:name="_Toc13"/>
      <w:bookmarkEnd w:id="35"/>
      <w:r>
        <w:rPr/>
        <w:t>3</w:t>
      </w:r>
      <w:r>
        <w:rPr>
          <w:rtl w:val="true"/>
        </w:rPr>
        <w:t xml:space="preserve"> - </w:t>
      </w:r>
      <w:r>
        <w:rPr>
          <w:rtl w:val="true"/>
        </w:rPr>
        <w:t>علاّمه حاج سيّد محمّد باقر خوانسارى قدس‌سره</w:t>
      </w:r>
      <w:bookmarkEnd w:id="36"/>
    </w:p>
    <w:p>
      <w:pPr>
        <w:pStyle w:val="BookText"/>
        <w:rPr/>
      </w:pPr>
      <w:r>
        <w:rPr>
          <w:rFonts w:ascii="IRNazanin" w:hAnsi="IRNazanin" w:eastAsia="IRNazanin"/>
          <w:color w:val="111111"/>
          <w:sz w:val="28"/>
          <w:sz w:val="28"/>
          <w:szCs w:val="28"/>
          <w:rtl w:val="true"/>
          <w:lang w:bidi="fa-IR"/>
        </w:rPr>
        <w:t xml:space="preserve">ايشان كه سال‌ها در مجلسِ درسِ حجّة الإسلام شفتى قدس‌سره شركت مى‌كرده، و با وى بسيار معاشر و صميمى بوده، در وصفِ آن بزرگوار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دين دار به تمام معنا بود، چنانچه تمامى متديّنان و حافظان و خزينه داران دين، در برابر ديانت او تسليم بودند ؛ بلكه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همه مردم تنها جزئى از ايمان حقيقى وى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اثبات حقايق علمى، و براهين عقلى و نقلى، كسى همتاى او نبوده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800104_1051229030"/>
      <w:bookmarkStart w:id="38" w:name="_Toc14"/>
      <w:bookmarkEnd w:id="37"/>
      <w:r>
        <w:rPr/>
        <w:t>4</w:t>
      </w:r>
      <w:r>
        <w:rPr>
          <w:rtl w:val="true"/>
        </w:rPr>
        <w:t xml:space="preserve"> - </w:t>
      </w:r>
      <w:r>
        <w:rPr>
          <w:rtl w:val="true"/>
        </w:rPr>
        <w:t>محدّث خبير مرحوم حاج شيخ عبّاس قمّى</w:t>
      </w:r>
      <w:bookmarkEnd w:id="38"/>
    </w:p>
    <w:p>
      <w:pPr>
        <w:pStyle w:val="BookText"/>
        <w:rPr/>
      </w:pPr>
      <w:r>
        <w:rPr>
          <w:rFonts w:ascii="IRNazanin" w:hAnsi="IRNazanin" w:eastAsia="IRNazanin"/>
          <w:color w:val="111111"/>
          <w:sz w:val="28"/>
          <w:sz w:val="28"/>
          <w:szCs w:val="28"/>
          <w:rtl w:val="true"/>
          <w:lang w:bidi="fa-IR"/>
        </w:rPr>
        <w:t xml:space="preserve">ايشان مرحوم حجّة الإسلام را اين گونه توصيف مى‌كند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اطلاق مى‌شود نزد شيعه بر سَيّدِ أجل، وحيد الأيّام، </w:t>
      </w:r>
      <w:bookmarkStart w:id="39" w:name="pg7542_72507"/>
    </w:p>
    <w:p>
      <w:pPr>
        <w:pStyle w:val="BookText"/>
        <w:rPr/>
      </w:pPr>
      <w:bookmarkEnd w:id="39"/>
      <w:r>
        <w:rPr>
          <w:rFonts w:ascii="Amiri" w:hAnsi="Amiri" w:eastAsia="Amiri" w:cs="Amiri"/>
          <w:color w:val="111111"/>
          <w:sz w:val="28"/>
          <w:sz w:val="28"/>
          <w:szCs w:val="28"/>
          <w:rtl w:val="true"/>
          <w:lang w:bidi="ar-SA"/>
        </w:rPr>
        <w:t xml:space="preserve">و مقتدى الأنام، سيّد العلماء العظام، سيّد محمّد باقر بن محمّد نقى موسوى شفتى اصفهانى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جلالت شأنش زياده از آن است كه ذكر شود ؛ در عبادات ومناجات ونوافل و اوراد، حكايات بسيار از آن جناب نقل شده، و فوايدى كه از آن بزرگوار به فقرا و سادات و طلاّب علوم مى‌رسيده، زياده از آن است كه ذكر شود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800106_1051229030"/>
      <w:bookmarkStart w:id="41" w:name="_Toc15"/>
      <w:bookmarkEnd w:id="40"/>
      <w:r>
        <w:rPr>
          <w:rtl w:val="true"/>
        </w:rPr>
        <w:t>نسب</w:t>
      </w:r>
      <w:bookmarkEnd w:id="41"/>
    </w:p>
    <w:p>
      <w:pPr>
        <w:pStyle w:val="BookText"/>
        <w:rPr/>
      </w:pPr>
      <w:r>
        <w:rPr>
          <w:rFonts w:ascii="IRNazanin" w:hAnsi="IRNazanin" w:eastAsia="IRNazanin"/>
          <w:color w:val="111111"/>
          <w:sz w:val="28"/>
          <w:sz w:val="28"/>
          <w:szCs w:val="28"/>
          <w:rtl w:val="true"/>
          <w:lang w:bidi="fa-IR"/>
        </w:rPr>
        <w:t xml:space="preserve">نسب شريف آن بزرگوار بنا بر آنچه خود در مقدّمه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 بيست و دو واسطه به امام هفتم حضرت موسى بن جعفر عليهماالسلام مى‌رسد، كه بدين ترتيب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باقر فرزند محمّد 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محمّد زكى، فرزند محمّد تقى، فرزند شاه قاسم، فرزند مير اشرف، فرزند شاه قاسم، فرزند شاه هدايت، فرزند امير هاشم، فرزند سلطان سيّد على قاضى، فرزند سيّد على، فرزند محمّد، فرزند على، فرزند محمّد، فرزند موسى، فرزند جعفر، فرزند اسماعيل، فرزند احمد، فرزند محمّدِ مجدور، فرزند احمد مجدور، فرزند محمّد أعرابى، فرزند </w:t>
      </w:r>
      <w:bookmarkStart w:id="42" w:name="pg7542_72509"/>
    </w:p>
    <w:p>
      <w:pPr>
        <w:pStyle w:val="BookText"/>
        <w:rPr/>
      </w:pPr>
      <w:bookmarkEnd w:id="42"/>
      <w:r>
        <w:rPr>
          <w:rFonts w:ascii="Amiri" w:hAnsi="Amiri" w:eastAsia="Amiri" w:cs="Amiri"/>
          <w:color w:val="111111"/>
          <w:sz w:val="28"/>
          <w:sz w:val="28"/>
          <w:szCs w:val="28"/>
          <w:rtl w:val="true"/>
          <w:lang w:bidi="ar-SA"/>
        </w:rPr>
        <w:t xml:space="preserve">أبوالقاسم أعرابى، فرزند حمزه، فرزند امامِ هفتم حضرت موسى بن جعفر عليهماالسلام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800108_1051229030"/>
      <w:bookmarkStart w:id="44" w:name="_Toc16"/>
      <w:bookmarkEnd w:id="43"/>
      <w:r>
        <w:rPr>
          <w:rtl w:val="true"/>
        </w:rPr>
        <w:t>نياكان</w:t>
      </w:r>
      <w:bookmarkEnd w:id="44"/>
    </w:p>
    <w:p>
      <w:pPr>
        <w:pStyle w:val="BookText"/>
        <w:rPr/>
      </w:pPr>
      <w:r>
        <w:rPr>
          <w:rFonts w:ascii="IRNazanin" w:hAnsi="IRNazanin" w:eastAsia="IRNazanin"/>
          <w:color w:val="111111"/>
          <w:sz w:val="28"/>
          <w:sz w:val="28"/>
          <w:szCs w:val="28"/>
          <w:rtl w:val="true"/>
          <w:lang w:bidi="fa-IR"/>
        </w:rPr>
        <w:t xml:space="preserve">نياكان حجّة الإسلام شفتى قدس‌سره بيشتر از دانشمندان محلّ خود بوده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نام يكى از آنها، نشانه مقام و موقعيّت اجتماعى اوست، كه نشان مى‌دهد در حدود قرن دهم و آغاز حكومت و سلطنت پادشاهان صفوى مى‌زيسته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حجّة الإسلام، مرحوم حاج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روستاهاى زنجان، زندگى مى‌كرده و پيشوايى مردم آن سامان را عهده 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زندگانى او هيچ گونه اطّلاعى در دست نيست، جز آن كه شايد قبل از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شفت وفات يافته </w:t>
      </w:r>
      <w:r>
        <w:rPr>
          <w:rStyle w:val="FootnoteAnchor"/>
          <w:rtl w:val="true"/>
        </w:rPr>
        <w:footnoteReference w:id="8"/>
      </w:r>
      <w:r>
        <w:rPr>
          <w:rFonts w:ascii="IRNazanin" w:hAnsi="IRNazanin" w:eastAsia="IRNazanin"/>
          <w:color w:val="111111"/>
          <w:sz w:val="28"/>
          <w:sz w:val="28"/>
          <w:szCs w:val="28"/>
          <w:rtl w:val="true"/>
          <w:lang w:bidi="fa-IR"/>
        </w:rPr>
        <w:t xml:space="preserve">؛ و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دانشمندى جز سيّد حجّة الإسلام داشته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زكى، كه بزرگتر از حجّة الإسلام بوده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5" w:name="pg7542_72511"/>
    </w:p>
    <w:p>
      <w:pPr>
        <w:pStyle w:val="Heading3"/>
        <w:numPr>
          <w:ilvl w:val="2"/>
          <w:numId w:val="1"/>
        </w:numPr>
        <w:rPr/>
      </w:pPr>
      <w:bookmarkStart w:id="46" w:name="__RefHeading___Toc2800110_1051229030"/>
      <w:bookmarkStart w:id="47" w:name="_Toc17"/>
      <w:bookmarkEnd w:id="45"/>
      <w:bookmarkEnd w:id="46"/>
      <w:r>
        <w:rPr>
          <w:rtl w:val="true"/>
        </w:rPr>
        <w:t>تولّد</w:t>
      </w:r>
      <w:bookmarkEnd w:id="47"/>
    </w:p>
    <w:p>
      <w:pPr>
        <w:pStyle w:val="BookText"/>
        <w:rPr/>
      </w:pPr>
      <w:r>
        <w:rPr>
          <w:rFonts w:ascii="IRNazanin" w:hAnsi="IRNazanin" w:eastAsia="IRNazanin"/>
          <w:color w:val="111111"/>
          <w:sz w:val="28"/>
          <w:sz w:val="28"/>
          <w:szCs w:val="28"/>
          <w:rtl w:val="true"/>
          <w:lang w:bidi="fa-IR"/>
        </w:rPr>
        <w:t xml:space="preserve">مرحوم سيّد حجّة الاسلام، ضمنِ جواب مسأله‌اى شرعى كه از ايشان استفتاء شده،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سوانح ايّام در سال فوت كريم خان، يا سال بعد از آن، خودم در سنّ چهارده يا كمتر، مدّتى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دستجرده از توابع طارم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 به گفته تاريخ نويسان كه اتّفاق دارند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كريم 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رخ داده </w:t>
      </w:r>
      <w:r>
        <w:rPr>
          <w:rStyle w:val="FootnoteAnchor"/>
          <w:rtl w:val="true"/>
        </w:rPr>
        <w:footnoteReference w:id="11"/>
      </w:r>
      <w:r>
        <w:rPr>
          <w:rFonts w:ascii="IRNazanin" w:hAnsi="IRNazanin" w:eastAsia="IRNazanin"/>
          <w:color w:val="111111"/>
          <w:sz w:val="28"/>
          <w:sz w:val="28"/>
          <w:szCs w:val="28"/>
          <w:rtl w:val="true"/>
          <w:lang w:bidi="fa-IR"/>
        </w:rPr>
        <w:t xml:space="preserve">، پس سال تولّد سيّد حجّة الإسلام، بايد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افتاده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مرحوم علاّمه حاج سيّد محمّد باقر خوانسارى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سيّد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تاريخ اشاره نموده،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حجّة الإسلام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يا نزديك به آن، در سنّ شانزده يا هفده سالگى به عتبات عاليات مشرّف گرديده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8" w:name="pg7542_72513"/>
    </w:p>
    <w:p>
      <w:pPr>
        <w:pStyle w:val="Heading3"/>
        <w:numPr>
          <w:ilvl w:val="2"/>
          <w:numId w:val="1"/>
        </w:numPr>
        <w:rPr/>
      </w:pPr>
      <w:bookmarkStart w:id="49" w:name="__RefHeading___Toc2800112_1051229030"/>
      <w:bookmarkStart w:id="50" w:name="_Toc18"/>
      <w:bookmarkEnd w:id="48"/>
      <w:bookmarkEnd w:id="49"/>
      <w:r>
        <w:rPr>
          <w:rtl w:val="true"/>
        </w:rPr>
        <w:t>زادگاه</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فقيه و عالم فرزانه در يكى از روستاهاى طارم علياى زنجان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چَرْزَه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كه در حدود پنجاه كيلومترى شهر زنجان، و شصت كيلومترى شهر شفت واقع است، در يك خانواده متوسّطِ اصيل و روحانى چشم به جهان گشود، و تا سنّ نزديك به هفت سالگى در همين روستا اقامت گزيد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1" w:name="pg7542_72515"/>
    </w:p>
    <w:p>
      <w:pPr>
        <w:pStyle w:val="BookText"/>
        <w:rPr/>
      </w:pPr>
      <w:bookmarkEnd w:id="51"/>
      <w:r>
        <w:rPr>
          <w:rFonts w:ascii="IRNazanin" w:hAnsi="IRNazanin" w:eastAsia="IRNazanin"/>
          <w:color w:val="111111"/>
          <w:sz w:val="28"/>
          <w:sz w:val="28"/>
          <w:szCs w:val="28"/>
          <w:rtl w:val="true"/>
          <w:lang w:bidi="fa-IR"/>
        </w:rPr>
        <w:t xml:space="preserve">وى سپس به اتّفاق پدر و مادر و خانواده خويش به شفت، كه در جنوب غربى شهر رشت واقع است، مهاجرت نمود ؛ علّت اين مهاجرت معلوم نيست، ولى شايد بنا به دعوت مردم شفت از مرحوم آقا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سرپرستى امور دينى و امامت جماعت و پيشوايى،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حجّة الاسلام در شفت تا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اقامت نمود، و در اين مدّت توانست مقدّمات علوم حوزه از صرف و نحو، و ديگر علوم مقدّماتى را نزد پدر عالم و فاضل خويش و استادان آن سامان، به خوبى فرا گيرد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800114_1051229030"/>
      <w:bookmarkStart w:id="53" w:name="_Toc19"/>
      <w:bookmarkEnd w:id="52"/>
      <w:r>
        <w:rPr>
          <w:rtl w:val="true"/>
        </w:rPr>
        <w:t>دوران تحصيل</w:t>
      </w:r>
      <w:bookmarkEnd w:id="53"/>
    </w:p>
    <w:p>
      <w:pPr>
        <w:pStyle w:val="BookText"/>
        <w:rPr/>
      </w:pPr>
      <w:r>
        <w:rPr>
          <w:rFonts w:ascii="IRNazanin" w:hAnsi="IRNazanin" w:eastAsia="IRNazanin"/>
          <w:color w:val="111111"/>
          <w:sz w:val="28"/>
          <w:sz w:val="28"/>
          <w:szCs w:val="28"/>
          <w:rtl w:val="true"/>
          <w:lang w:bidi="fa-IR"/>
        </w:rPr>
        <w:t xml:space="preserve">سيّد حجّة الاسلام پس از فرا گرفتن مقدّمات علوم،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سنّ شانزده يا هفده سالگى، جهت ادامه تحصيل و تكميل علوم خويش، رهسپار عتبات عاليات در عراق مى‌گردد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 توقّف ايشان در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نجف، و كاظمين، هشت سال به طول مى‌انجامد ؛ مدّت يك سال در شهر مقدّس كربلا به درس اساتيدِ طراز اول و مجتهدين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وحيد بهبهانى، و مرحوم حاج سيّد </w:t>
      </w:r>
    </w:p>
    <w:p>
      <w:pPr>
        <w:pStyle w:val="BookText"/>
        <w:rPr/>
      </w:pPr>
      <w:r>
        <w:rPr>
          <w:rFonts w:ascii="IRNazanin" w:hAnsi="IRNazanin" w:eastAsia="IRNazanin"/>
          <w:color w:val="111111"/>
          <w:sz w:val="28"/>
          <w:sz w:val="28"/>
          <w:szCs w:val="28"/>
          <w:rtl w:val="true"/>
          <w:lang w:bidi="fa-IR"/>
        </w:rPr>
        <w:t xml:space="preserve">على 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پس از آن رهسپار شهر مقدّس و عالم پرورِ نجف مى‌گردد، و نزد استادانى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و مرحوم كاشف الغطاء، به كسب علم و دانش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علّت ابتلاء به بيمارى استسقاء، براى معالجه به شهر مقدّس كاظمين مهاجرت نموده، و در طول مدّت مداوا، در سنّ بيست و پنج سالگى يا كمتر، نخستين اثر تأليفى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شرحى است بسيار علمى و تحقيقى و مفصّل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جلال الدين سيوطى، را به پايان مى‌رساند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همين شهر مقدّس از محضر پر فيض علاّمه آقا سيّد محسن أعرجى، بهره‌مند مى‌گردد و در نزد ايشان بحث قضاء و شهادات را مى‌خواند و در همين راستا، دوّمين اثرِ علمى خود را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رشته تحرير در مى‌آورد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حجّة الإسلام پس از هشت سال تحصيل در شهرهاى مقدّس عراق،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9"/>
      </w:r>
      <w:r>
        <w:rPr>
          <w:rFonts w:ascii="IRNazanin" w:hAnsi="IRNazanin" w:eastAsia="IRNazanin"/>
          <w:color w:val="111111"/>
          <w:sz w:val="28"/>
          <w:sz w:val="28"/>
          <w:szCs w:val="28"/>
          <w:rtl w:val="true"/>
          <w:lang w:bidi="fa-IR"/>
        </w:rPr>
        <w:t xml:space="preserve">به ايران باز مى‌گردد، و ابتدا مدّت شش ماه در شهر مقدّس </w:t>
      </w:r>
      <w:bookmarkStart w:id="54" w:name="pg7542_72519"/>
    </w:p>
    <w:p>
      <w:pPr>
        <w:pStyle w:val="BookText"/>
        <w:rPr/>
      </w:pPr>
      <w:bookmarkEnd w:id="54"/>
      <w:r>
        <w:rPr>
          <w:rFonts w:ascii="IRNazanin" w:hAnsi="IRNazanin" w:eastAsia="IRNazanin"/>
          <w:color w:val="111111"/>
          <w:sz w:val="28"/>
          <w:sz w:val="28"/>
          <w:szCs w:val="28"/>
          <w:rtl w:val="true"/>
          <w:lang w:bidi="fa-IR"/>
        </w:rPr>
        <w:t xml:space="preserve">قم توقّف كرده، و در اين مدّت كوتاه از محضر مرحوم ميرزاى قمّى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علماء و مجتهدين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بهره‌هاى فراوان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راهى كاشان مى‌شود، و زمانى كوتاه به درس مرحوم ملاّ مهدى نراقى قدس‌سره حاضر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پس از گذراندن مراحل دشوار تحصيلى و نيل به مقامات عالى علم و اجتهاد، با كوله بارى از دانش و معرفت و تقوا،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0"/>
      </w:r>
      <w:r>
        <w:rPr>
          <w:rFonts w:ascii="IRNazanin" w:hAnsi="IRNazanin" w:eastAsia="IRNazanin"/>
          <w:color w:val="111111"/>
          <w:sz w:val="28"/>
          <w:sz w:val="28"/>
          <w:szCs w:val="28"/>
          <w:rtl w:val="true"/>
          <w:lang w:bidi="fa-IR"/>
        </w:rPr>
        <w:t xml:space="preserve">قدم به شهر اصفهان گذاشته، و بالاخره پس از مدّتى تصميم مى‌گيرد كه در همين شهر سكونت كند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800116_1051229030"/>
      <w:bookmarkStart w:id="56" w:name="_Toc20"/>
      <w:bookmarkEnd w:id="55"/>
      <w:r>
        <w:rPr>
          <w:rtl w:val="true"/>
        </w:rPr>
        <w:t>استادان</w:t>
      </w:r>
      <w:bookmarkEnd w:id="56"/>
    </w:p>
    <w:p>
      <w:pPr>
        <w:pStyle w:val="Heading4"/>
        <w:numPr>
          <w:ilvl w:val="3"/>
          <w:numId w:val="1"/>
        </w:numPr>
        <w:rPr/>
      </w:pPr>
      <w:bookmarkStart w:id="57" w:name="__RefHeading___Toc2800118_1051229030"/>
      <w:bookmarkStart w:id="58" w:name="_Toc21"/>
      <w:bookmarkEnd w:id="57"/>
      <w:r>
        <w:rPr>
          <w:rtl w:val="true"/>
        </w:rPr>
        <w:t>اشاره</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حجّة الإسلام شفتى قدس‌سره در كربلا، نجف، كاظمين، و سپس در قم و كاشان، عبارتند از </w:t>
      </w:r>
      <w:r>
        <w:rPr>
          <w:rFonts w:eastAsia="IRNazanin" w:cs="IRNazanin"/>
          <w:color w:val="111111"/>
          <w:sz w:val="28"/>
          <w:szCs w:val="28"/>
          <w:rtl w:val="true"/>
          <w:lang w:bidi="fa-IR"/>
        </w:rPr>
        <w:t xml:space="preserve">: </w:t>
      </w:r>
      <w:bookmarkStart w:id="59" w:name="pg7542_72521"/>
    </w:p>
    <w:p>
      <w:pPr>
        <w:pStyle w:val="Heading4"/>
        <w:numPr>
          <w:ilvl w:val="3"/>
          <w:numId w:val="1"/>
        </w:numPr>
        <w:rPr/>
      </w:pPr>
      <w:bookmarkStart w:id="60" w:name="__RefHeading___Toc2800120_1051229030"/>
      <w:bookmarkStart w:id="61" w:name="_Toc22"/>
      <w:bookmarkEnd w:id="59"/>
      <w:bookmarkEnd w:id="60"/>
      <w:r>
        <w:rPr/>
        <w:t>1</w:t>
      </w:r>
      <w:r>
        <w:rPr>
          <w:rtl w:val="true"/>
        </w:rPr>
        <w:t xml:space="preserve"> - </w:t>
      </w:r>
      <w:r>
        <w:rPr>
          <w:rtl w:val="true"/>
        </w:rPr>
        <w:t>مرحوم حاج ميرزا ابوالقاسم گيلانى قمّى</w:t>
      </w:r>
      <w:bookmarkEnd w:id="61"/>
    </w:p>
    <w:p>
      <w:pPr>
        <w:pStyle w:val="BookText"/>
        <w:rPr/>
      </w:pPr>
      <w:r>
        <w:rPr>
          <w:rFonts w:ascii="IRNazanin" w:hAnsi="IRNazanin" w:eastAsia="IRNazanin"/>
          <w:color w:val="111111"/>
          <w:sz w:val="28"/>
          <w:sz w:val="28"/>
          <w:szCs w:val="28"/>
          <w:rtl w:val="true"/>
          <w:lang w:bidi="fa-IR"/>
        </w:rPr>
        <w:t xml:space="preserve">مدّت زمان تحصيل سيّد حجّة الإسلام نزد مرحوم ميرزاى قمّى شش ماه، و در شهر مقدّس قم بوده، ولى در همين مدّت كوتاه مرحوم حجّة الإسلام بهره‌هاى فراوانى از محضر ميرزاى قمّى مى‌برد، چنانچه به 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اظهار داشته،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اين مدّت كم، به اندازه تمام مدّت تحصيلم در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كامل حاصل گشت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800122_1051229030"/>
      <w:bookmarkStart w:id="63" w:name="_Toc23"/>
      <w:bookmarkEnd w:id="62"/>
      <w:r>
        <w:rPr/>
        <w:t>2</w:t>
      </w:r>
      <w:r>
        <w:rPr>
          <w:rtl w:val="true"/>
        </w:rPr>
        <w:t xml:space="preserve"> - </w:t>
      </w:r>
      <w:r>
        <w:rPr>
          <w:rtl w:val="true"/>
        </w:rPr>
        <w:t>علاّمه آقا محمّد باقر بهبهانى قدس‌سره</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حجّة الإسلام در ابتداى تحصيل، نزد مرحوم وحيد بهبهانى، علم اصول فقه را فرا مى‌گيرد ؛ چنانچه خود سيّد در بعضى از اجازه نامه‌هايى كه براى شاگردانش مرقوم فرموده، به اين مطلب تصريح كرده،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تحصيل، نزد مرحوم آقا محمّد باقر بهبهانى، كتاب ارزشمندِ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4" w:name="pg7542_72522"/>
    </w:p>
    <w:p>
      <w:pPr>
        <w:pStyle w:val="Heading4"/>
        <w:numPr>
          <w:ilvl w:val="3"/>
          <w:numId w:val="1"/>
        </w:numPr>
        <w:rPr/>
      </w:pPr>
      <w:bookmarkStart w:id="65" w:name="__RefHeading___Toc2800124_1051229030"/>
      <w:bookmarkStart w:id="66" w:name="_Toc24"/>
      <w:bookmarkEnd w:id="64"/>
      <w:bookmarkEnd w:id="65"/>
      <w:r>
        <w:rPr/>
        <w:t>3</w:t>
      </w:r>
      <w:r>
        <w:rPr>
          <w:rtl w:val="true"/>
        </w:rPr>
        <w:t xml:space="preserve"> - </w:t>
      </w:r>
      <w:r>
        <w:rPr>
          <w:rtl w:val="true"/>
        </w:rPr>
        <w:t xml:space="preserve">علاّمه حاج شيخ جعفر نجفى رحمه‌الله </w:t>
      </w:r>
      <w:r>
        <w:rPr>
          <w:rtl w:val="true"/>
        </w:rPr>
        <w:t xml:space="preserve">( </w:t>
      </w:r>
      <w:r>
        <w:rPr>
          <w:rtl w:val="true"/>
        </w:rPr>
        <w:t xml:space="preserve">معروف به </w:t>
      </w:r>
      <w:r>
        <w:rPr>
          <w:rtl w:val="true"/>
        </w:rPr>
        <w:t xml:space="preserve">: </w:t>
      </w:r>
      <w:r>
        <w:rPr>
          <w:rtl w:val="true"/>
        </w:rPr>
        <w:t xml:space="preserve">كاشف الغطاء </w:t>
      </w:r>
      <w:r>
        <w:rPr>
          <w:rtl w:val="true"/>
        </w:rPr>
        <w:t>)</w:t>
      </w:r>
      <w:bookmarkEnd w:id="66"/>
    </w:p>
    <w:p>
      <w:pPr>
        <w:pStyle w:val="BookText"/>
        <w:rPr/>
      </w:pPr>
      <w:r>
        <w:rPr>
          <w:rFonts w:ascii="IRNazanin" w:hAnsi="IRNazanin" w:eastAsia="IRNazanin"/>
          <w:color w:val="111111"/>
          <w:sz w:val="28"/>
          <w:sz w:val="28"/>
          <w:szCs w:val="28"/>
          <w:rtl w:val="true"/>
          <w:lang w:bidi="fa-IR"/>
        </w:rPr>
        <w:t xml:space="preserve">مرحوم حجّة الإسلام از محضر مرحوم كاشف الغطاء در نجف اشرف بسيار استفاده مى‌برد، و موفّق به كسب اجازه از وى نيز مى‌گردد </w:t>
      </w:r>
      <w:r>
        <w:rPr>
          <w:rFonts w:eastAsia="IRNazanin" w:cs="IRNazanin"/>
          <w:color w:val="111111"/>
          <w:sz w:val="28"/>
          <w:szCs w:val="28"/>
          <w:rtl w:val="true"/>
          <w:lang w:bidi="fa-IR"/>
        </w:rPr>
        <w:t>.</w:t>
      </w:r>
    </w:p>
    <w:p>
      <w:pPr>
        <w:pStyle w:val="Heading4"/>
        <w:numPr>
          <w:ilvl w:val="3"/>
          <w:numId w:val="1"/>
        </w:numPr>
        <w:rPr/>
      </w:pPr>
      <w:bookmarkStart w:id="67" w:name="__RefHeading___Toc2800126_1051229030"/>
      <w:bookmarkStart w:id="68" w:name="_Toc25"/>
      <w:bookmarkEnd w:id="67"/>
      <w:r>
        <w:rPr/>
        <w:t>4</w:t>
      </w:r>
      <w:r>
        <w:rPr>
          <w:rtl w:val="true"/>
        </w:rPr>
        <w:t xml:space="preserve"> - </w:t>
      </w:r>
      <w:r>
        <w:rPr>
          <w:rtl w:val="true"/>
        </w:rPr>
        <w:t>آخوند ملاّ على نورى مازندرانى رحمه‌الله</w:t>
      </w:r>
      <w:bookmarkEnd w:id="68"/>
    </w:p>
    <w:p>
      <w:pPr>
        <w:pStyle w:val="BookText"/>
        <w:rPr/>
      </w:pPr>
      <w:r>
        <w:rPr>
          <w:rFonts w:ascii="IRNazanin" w:hAnsi="IRNazanin" w:eastAsia="IRNazanin"/>
          <w:color w:val="111111"/>
          <w:sz w:val="28"/>
          <w:sz w:val="28"/>
          <w:szCs w:val="28"/>
          <w:rtl w:val="true"/>
          <w:lang w:bidi="fa-IR"/>
        </w:rPr>
        <w:t xml:space="preserve">وى با ميرزاى قمّى كمال صداقت و ارادت داشته، و در اصفهان به حاجى كرباسى و سيّد حجّة الإسلام ارادت مى‌ورزيده، و پس از فوت ميرزاى قمّى، از سيّد حجّة الإسلام تقليد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ماه 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اصفهان وفات مى‌كند، و مرحوم حجّة الإسلام شفتى بر او نماز مى‌خواند و سپس بدن او به نجف اشرف منتقل، و در عتبه مقدّسه رواق مطهّر، به خاك سپرده مى‌شود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نگاران اشاره‌اى به شاگردى مرحوم حجّة الإسلام نزد آخوند ملاّ على نورى نكرده‌اند، تنها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 حاجى كرباسى در سوابق ايّام در خدمت آخوند درس خوانده بودند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69" w:name="pg7542_72524"/>
    </w:p>
    <w:p>
      <w:pPr>
        <w:pStyle w:val="Heading4"/>
        <w:numPr>
          <w:ilvl w:val="3"/>
          <w:numId w:val="1"/>
        </w:numPr>
        <w:rPr/>
      </w:pPr>
      <w:bookmarkStart w:id="70" w:name="__RefHeading___Toc2800128_1051229030"/>
      <w:bookmarkStart w:id="71" w:name="_Toc26"/>
      <w:bookmarkEnd w:id="69"/>
      <w:bookmarkEnd w:id="70"/>
      <w:r>
        <w:rPr/>
        <w:t>5</w:t>
      </w:r>
      <w:r>
        <w:rPr>
          <w:rtl w:val="true"/>
        </w:rPr>
        <w:t xml:space="preserve"> - </w:t>
      </w:r>
      <w:r>
        <w:rPr>
          <w:rtl w:val="true"/>
        </w:rPr>
        <w:t>علاّمه حاج سيّد على طباطبائى قدس‌سره</w:t>
      </w:r>
      <w:bookmarkEnd w:id="71"/>
    </w:p>
    <w:p>
      <w:pPr>
        <w:pStyle w:val="BookText"/>
        <w:rPr/>
      </w:pPr>
      <w:r>
        <w:rPr>
          <w:rFonts w:ascii="Amiri" w:hAnsi="Amiri" w:eastAsia="Amiri" w:cs="Amiri"/>
          <w:color w:val="111111"/>
          <w:sz w:val="28"/>
          <w:sz w:val="28"/>
          <w:szCs w:val="28"/>
          <w:rtl w:val="true"/>
          <w:lang w:bidi="ar-SA"/>
        </w:rPr>
        <w:t xml:space="preserve">سيّد حجّة الإسلام در كربلا به درس اين عالم فقيه حاضر شده و از وى بهره فراوان مى‌برد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800130_1051229030"/>
      <w:bookmarkStart w:id="73" w:name="_Toc27"/>
      <w:bookmarkEnd w:id="72"/>
      <w:r>
        <w:rPr/>
        <w:t>6</w:t>
      </w:r>
      <w:r>
        <w:rPr>
          <w:rtl w:val="true"/>
        </w:rPr>
        <w:t xml:space="preserve"> - </w:t>
      </w:r>
      <w:r>
        <w:rPr>
          <w:rtl w:val="true"/>
        </w:rPr>
        <w:t>آية اللّه حاج سيّد محسن اعرجى كاظمينى رحمه‌الله</w:t>
      </w:r>
      <w:bookmarkEnd w:id="73"/>
    </w:p>
    <w:p>
      <w:pPr>
        <w:pStyle w:val="BookText"/>
        <w:rPr/>
      </w:pPr>
      <w:r>
        <w:rPr>
          <w:rFonts w:ascii="IRNazanin" w:hAnsi="IRNazanin" w:eastAsia="IRNazanin"/>
          <w:color w:val="111111"/>
          <w:sz w:val="28"/>
          <w:sz w:val="28"/>
          <w:szCs w:val="28"/>
          <w:rtl w:val="true"/>
          <w:lang w:bidi="fa-IR"/>
        </w:rPr>
        <w:t xml:space="preserve">مرحوم حجّة الإسلام در شهر مقدّس كاظمين، نزد اين عالم فاضل و فقيه زاهد،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 و كتابى هم در اين موضوع، در شهر مقدّس كاظمين مى‌نگارد، كه علاّمه حاج شيخ آقا بزرگ تهرانى قدس‌سره در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مرحوم آقا سيّد حسن صدر كاظمينى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تقريرات درس استادش مرحوم آقا سيّد محسن اعرجى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800132_1051229030"/>
      <w:bookmarkStart w:id="75" w:name="_Toc28"/>
      <w:bookmarkEnd w:id="74"/>
      <w:r>
        <w:rPr/>
        <w:t>7</w:t>
      </w:r>
      <w:r>
        <w:rPr>
          <w:rtl w:val="true"/>
        </w:rPr>
        <w:t xml:space="preserve"> - </w:t>
      </w:r>
      <w:r>
        <w:rPr>
          <w:rtl w:val="true"/>
        </w:rPr>
        <w:t>علاّمه مجاهد آقا سيّد محمّد طباطبائى قدس‌سره</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تراجم و رجال اشاره‌اى به شاگردى مرحوم سيّد حجّة الإسلام نزد سيّد مجاهد، و يا اجازه داشتن ايشان از وى نشده است، تنها مرحوم حاج سيّد </w:t>
      </w:r>
      <w:bookmarkStart w:id="76" w:name="pg7542_72526"/>
    </w:p>
    <w:p>
      <w:pPr>
        <w:pStyle w:val="BookText"/>
        <w:rPr/>
      </w:pPr>
      <w:bookmarkEnd w:id="76"/>
      <w:r>
        <w:rPr>
          <w:rFonts w:ascii="IRNazanin" w:hAnsi="IRNazanin" w:eastAsia="IRNazanin"/>
          <w:color w:val="111111"/>
          <w:sz w:val="28"/>
          <w:sz w:val="28"/>
          <w:szCs w:val="28"/>
          <w:rtl w:val="true"/>
          <w:lang w:bidi="fa-IR"/>
        </w:rPr>
        <w:t xml:space="preserve">محمّد شفيع جاپلقى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شاگردان سيّد حجّة الإسلام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حجّة الإسلام، نامِ استادان ايشان را آورده و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السيّد الأستاد آقا سيّد محمّد أيضًا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800134_1051229030"/>
      <w:bookmarkStart w:id="78" w:name="_Toc29"/>
      <w:bookmarkEnd w:id="77"/>
      <w:r>
        <w:rPr/>
        <w:t>8</w:t>
      </w:r>
      <w:r>
        <w:rPr>
          <w:rtl w:val="true"/>
        </w:rPr>
        <w:t xml:space="preserve"> - </w:t>
      </w:r>
      <w:r>
        <w:rPr>
          <w:rtl w:val="true"/>
        </w:rPr>
        <w:t xml:space="preserve">علاّمه حاج سيّد محمّد مهدى طباطبائى قدس‌سره </w:t>
      </w:r>
      <w:r>
        <w:rPr>
          <w:rtl w:val="true"/>
        </w:rPr>
        <w:t xml:space="preserve">( </w:t>
      </w:r>
      <w:r>
        <w:rPr>
          <w:rtl w:val="true"/>
        </w:rPr>
        <w:t xml:space="preserve">سيّد بحرالعلوم </w:t>
      </w:r>
      <w:r>
        <w:rPr>
          <w:rtl w:val="true"/>
        </w:rPr>
        <w:t>)</w:t>
      </w:r>
      <w:bookmarkEnd w:id="78"/>
    </w:p>
    <w:p>
      <w:pPr>
        <w:pStyle w:val="BookText"/>
        <w:rPr/>
      </w:pPr>
      <w:r>
        <w:rPr>
          <w:rFonts w:ascii="Amiri" w:hAnsi="Amiri" w:eastAsia="Amiri" w:cs="Amiri"/>
          <w:color w:val="111111"/>
          <w:sz w:val="28"/>
          <w:sz w:val="28"/>
          <w:szCs w:val="28"/>
          <w:rtl w:val="true"/>
          <w:lang w:bidi="ar-SA"/>
        </w:rPr>
        <w:t xml:space="preserve">مرحوم حجّة الإسلام شفتى در نجف اشرف به درس مرحوم سيّد بحرالعلوم حاضر مى‌شود، و مدّت زيادى از محضر او استفاده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اجازاتش به شاگردى خود نزد سيّد بحرالعلوم تصريح كرده و او را چنين ستوده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العلماء المحدّثين، و عمدة الفضلاء المتبحّرين، أعلم علماء الزمان، مربّي علماء الأعيان، سلطان العلماء العاملين، برهان أهل الحقّ واليقين، ناموس شريعة جدّه سيّد المرسلين، سيّدنا و أستادنا السيّد محمّد مهدي الطباطبائيّ النجفيّ مسكنًا و مدفنًا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79" w:name="pg7542_72528"/>
    </w:p>
    <w:p>
      <w:pPr>
        <w:pStyle w:val="Heading4"/>
        <w:numPr>
          <w:ilvl w:val="3"/>
          <w:numId w:val="1"/>
        </w:numPr>
        <w:rPr/>
      </w:pPr>
      <w:bookmarkStart w:id="80" w:name="__RefHeading___Toc2800136_1051229030"/>
      <w:bookmarkStart w:id="81" w:name="_Toc30"/>
      <w:bookmarkEnd w:id="79"/>
      <w:bookmarkEnd w:id="80"/>
      <w:r>
        <w:rPr/>
        <w:t>9</w:t>
      </w:r>
      <w:r>
        <w:rPr>
          <w:rtl w:val="true"/>
        </w:rPr>
        <w:t xml:space="preserve"> - </w:t>
      </w:r>
      <w:r>
        <w:rPr>
          <w:rtl w:val="true"/>
        </w:rPr>
        <w:t>مرحوم ملاّ محمّد مهدى نراقى</w:t>
      </w:r>
      <w:bookmarkEnd w:id="81"/>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حجّة الإسلام شفتى در كاشان به درس مرحوم ملاّ محمّد مهدى نراقى حاضر شد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800138_1051229030"/>
      <w:bookmarkStart w:id="83" w:name="_Toc31"/>
      <w:bookmarkEnd w:id="82"/>
      <w:r>
        <w:rPr>
          <w:rtl w:val="true"/>
        </w:rPr>
        <w:t>مشايخ اجازه</w:t>
      </w:r>
      <w:bookmarkEnd w:id="83"/>
    </w:p>
    <w:p>
      <w:pPr>
        <w:pStyle w:val="Heading4"/>
        <w:numPr>
          <w:ilvl w:val="3"/>
          <w:numId w:val="1"/>
        </w:numPr>
        <w:rPr/>
      </w:pPr>
      <w:bookmarkStart w:id="84" w:name="__RefHeading___Toc2800140_105122903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كه به كسب كمال مى‌پرداختم، انگيزه‌اى براى گرفتن اجازه از اساتيدِ خود نداشتم، و مانند بعضى كه خواهان رياست بودند، در اين انديشه شب را به روز نمى‌آوردم، با آنكه روش برخورد استادان با من به گونه‌اى بود كه انتظار داشتند از آنان كسب اجازه نمايم، و آنها نيز بى‌درنگ و به محض اظهارِ من، خواسته مرا اجابت مى‌كردند ؛ به همين مناسبت از اجازه روايتِ مروّج بهبهانى، و ساير دانشمندان زمانِ او محروم ماندم، اى كاش چنان بى‌نيازى را در خود احساس نمى‌كردم، و اين رويّه را سيره خود قرار نداده بودم، تا امروز </w:t>
      </w:r>
      <w:bookmarkStart w:id="86" w:name="pg7542_72530"/>
    </w:p>
    <w:p>
      <w:pPr>
        <w:pStyle w:val="BookText"/>
        <w:rPr/>
      </w:pPr>
      <w:bookmarkEnd w:id="86"/>
      <w:r>
        <w:rPr>
          <w:rFonts w:ascii="IRNazanin" w:hAnsi="IRNazanin" w:eastAsia="IRNazanin"/>
          <w:color w:val="111111"/>
          <w:sz w:val="28"/>
          <w:sz w:val="28"/>
          <w:szCs w:val="28"/>
          <w:rtl w:val="true"/>
          <w:lang w:bidi="fa-IR"/>
        </w:rPr>
        <w:t xml:space="preserve">اينگونه محروميّت نصيب من نمى‌شد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حجّة الإسلام شفتى قدس‌سره از شش تن از مجتهدان بزرگ زمانِ خويش اجازه دريافت كرد، كه عبارتند از </w:t>
      </w:r>
      <w:r>
        <w:rPr>
          <w:rFonts w:eastAsia="IRNazanin" w:cs="IRNazanin"/>
          <w:color w:val="111111"/>
          <w:sz w:val="28"/>
          <w:szCs w:val="28"/>
          <w:rtl w:val="true"/>
          <w:lang w:bidi="fa-IR"/>
        </w:rPr>
        <w:t>:</w:t>
      </w:r>
    </w:p>
    <w:p>
      <w:pPr>
        <w:pStyle w:val="Heading4"/>
        <w:numPr>
          <w:ilvl w:val="3"/>
          <w:numId w:val="1"/>
        </w:numPr>
        <w:rPr/>
      </w:pPr>
      <w:bookmarkStart w:id="87" w:name="__RefHeading___Toc2800142_1051229030"/>
      <w:bookmarkStart w:id="88" w:name="_Toc33"/>
      <w:bookmarkEnd w:id="87"/>
      <w:r>
        <w:rPr/>
        <w:t>1</w:t>
      </w:r>
      <w:r>
        <w:rPr>
          <w:rtl w:val="true"/>
        </w:rPr>
        <w:t xml:space="preserve"> - </w:t>
      </w:r>
      <w:r>
        <w:rPr>
          <w:rtl w:val="true"/>
        </w:rPr>
        <w:t>مرحوم حاج ميرزا ابوالقاسم قمّى گيلانى</w:t>
      </w:r>
      <w:bookmarkEnd w:id="88"/>
    </w:p>
    <w:p>
      <w:pPr>
        <w:pStyle w:val="BookText"/>
        <w:rPr/>
      </w:pPr>
      <w:r>
        <w:rPr>
          <w:rFonts w:ascii="IRNazanin" w:hAnsi="IRNazanin" w:eastAsia="IRNazanin"/>
          <w:color w:val="111111"/>
          <w:sz w:val="28"/>
          <w:sz w:val="28"/>
          <w:szCs w:val="28"/>
          <w:rtl w:val="true"/>
          <w:lang w:bidi="fa-IR"/>
        </w:rPr>
        <w:t xml:space="preserve">مرحوم محقّق قمّى در اجازه‌اى كه در چندين صفحه تنظيم شده، و نگارش آن شب عيد فطر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پايان يافته، علاوه بر اجازه نقل روايت، گواهى بر اجتهاد، نبوغ علمى، و زهد و تقواى حجّة الإسلام نيز داده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800144_1051229030"/>
      <w:bookmarkStart w:id="90" w:name="_Toc34"/>
      <w:bookmarkEnd w:id="89"/>
      <w:r>
        <w:rPr/>
        <w:t>2</w:t>
      </w:r>
      <w:r>
        <w:rPr>
          <w:rtl w:val="true"/>
        </w:rPr>
        <w:t xml:space="preserve"> - </w:t>
      </w:r>
      <w:r>
        <w:rPr>
          <w:rtl w:val="true"/>
        </w:rPr>
        <w:t>مرحوم سيّد محمّد مهدى موسوى شهرستانى</w:t>
      </w:r>
      <w:bookmarkEnd w:id="90"/>
    </w:p>
    <w:p>
      <w:pPr>
        <w:pStyle w:val="BookText"/>
        <w:rPr/>
      </w:pPr>
      <w:r>
        <w:rPr>
          <w:rFonts w:ascii="Amiri" w:hAnsi="Amiri" w:eastAsia="Amiri" w:cs="Amiri"/>
          <w:color w:val="111111"/>
          <w:sz w:val="28"/>
          <w:sz w:val="28"/>
          <w:szCs w:val="28"/>
          <w:rtl w:val="true"/>
          <w:lang w:bidi="ar-SA"/>
        </w:rPr>
        <w:t xml:space="preserve">مرحوم شهرستانى در اجازه يك صفحه‌اى خود به سيّد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تاريخِ اواخر رمضان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به اين اوصاف ستوده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الفاضل الجليل الكامل، مولانا الأكرم الأمجد، الولد الروحانيّ السيّد محمّد باقر بن السيّد محمّد نقي الشفتيّ الجيلانيّ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91" w:name="pg7542_72532"/>
    </w:p>
    <w:p>
      <w:pPr>
        <w:pStyle w:val="Heading4"/>
        <w:numPr>
          <w:ilvl w:val="3"/>
          <w:numId w:val="1"/>
        </w:numPr>
        <w:rPr/>
      </w:pPr>
      <w:bookmarkStart w:id="92" w:name="__RefHeading___Toc2800146_1051229030"/>
      <w:bookmarkStart w:id="93" w:name="_Toc35"/>
      <w:bookmarkEnd w:id="91"/>
      <w:bookmarkEnd w:id="92"/>
      <w:r>
        <w:rPr/>
        <w:t>3</w:t>
      </w:r>
      <w:r>
        <w:rPr>
          <w:rtl w:val="true"/>
        </w:rPr>
        <w:t xml:space="preserve"> - </w:t>
      </w:r>
      <w:r>
        <w:rPr>
          <w:rtl w:val="true"/>
        </w:rPr>
        <w:t xml:space="preserve">مرحوم آية اللّه شيخ جعفر نجفى </w:t>
      </w:r>
      <w:r>
        <w:rPr>
          <w:rtl w:val="true"/>
        </w:rPr>
        <w:t xml:space="preserve">( </w:t>
      </w:r>
      <w:r>
        <w:rPr>
          <w:rtl w:val="true"/>
        </w:rPr>
        <w:t xml:space="preserve">كاشف الغطاء </w:t>
      </w:r>
      <w:r>
        <w:rPr>
          <w:rtl w:val="true"/>
        </w:rPr>
        <w:t>)</w:t>
      </w:r>
      <w:bookmarkEnd w:id="93"/>
    </w:p>
    <w:p>
      <w:pPr>
        <w:pStyle w:val="BookText"/>
        <w:rPr/>
      </w:pPr>
      <w:r>
        <w:rPr>
          <w:rFonts w:ascii="Amiri" w:hAnsi="Amiri" w:eastAsia="Amiri" w:cs="Amiri"/>
          <w:color w:val="111111"/>
          <w:sz w:val="28"/>
          <w:sz w:val="28"/>
          <w:szCs w:val="28"/>
          <w:rtl w:val="true"/>
          <w:lang w:bidi="ar-SA"/>
        </w:rPr>
        <w:t xml:space="preserve">حجّة الإسلام شفتى قدس‌سره در اجازه‌اى كه براى سيّد قوام الدين قزوينى مرقوم فرموده، مرحوم نجفى را از مشايخ خود شمرده و در وصف او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الزاخر والبدر الباهر، الجامع للمحاسن والمفاخر، العالم العامل والفاضل الكامل، شيخنا المعظّم المكرم، ملاذ العرب والعجم، معدن الفضائل الجليلة، ناهج المناهج السويّة، بالغ المقاصد العليّة، مهذّب الأحكام الإلهيّة، ناشر المآثر الجعفريّة، باسط المحسّنات الدينيّة، شيخنا و عمادنا الشيخ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و أفاض على مضجعه المراحم الربّانيّة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2800148_1051229030"/>
      <w:bookmarkStart w:id="95" w:name="_Toc36"/>
      <w:bookmarkEnd w:id="94"/>
      <w:r>
        <w:rPr/>
        <w:t>4</w:t>
      </w:r>
      <w:r>
        <w:rPr>
          <w:rtl w:val="true"/>
        </w:rPr>
        <w:t xml:space="preserve"> - </w:t>
      </w:r>
      <w:r>
        <w:rPr>
          <w:rtl w:val="true"/>
        </w:rPr>
        <w:t>مرحوم أمير سيّد على طباطبائى حائرى</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از مشايخ اجازه مرحوم سيّد حجّة الإسلام بوده، و سيّد در اجازات خود، وى را با اين اوصاف ستوده </w:t>
      </w:r>
      <w:r>
        <w:rPr>
          <w:rFonts w:eastAsia="Amiri" w:cs="Amiri" w:ascii="Amiri" w:hAnsi="Amiri"/>
          <w:color w:val="111111"/>
          <w:sz w:val="28"/>
          <w:szCs w:val="28"/>
          <w:rtl w:val="true"/>
          <w:lang w:bidi="ar-SA"/>
        </w:rPr>
        <w:t xml:space="preserve">: </w:t>
      </w:r>
      <w:bookmarkStart w:id="96" w:name="pg7542_72534"/>
    </w:p>
    <w:p>
      <w:pPr>
        <w:pStyle w:val="BookText"/>
        <w:rPr/>
      </w:pPr>
      <w:bookmarkEnd w:id="96"/>
      <w:r>
        <w:rPr>
          <w:rFonts w:ascii="Amiri" w:hAnsi="Amiri" w:eastAsia="Amiri" w:cs="Amiri"/>
          <w:color w:val="111111"/>
          <w:sz w:val="28"/>
          <w:sz w:val="28"/>
          <w:szCs w:val="28"/>
          <w:rtl w:val="true"/>
          <w:lang w:bidi="ar-SA"/>
        </w:rPr>
        <w:t xml:space="preserve">شمس فلك الإفادة والإفاضة، بدر سماء المجد و العزّ و السعادة، محيي قواعد الشريعة الغرّاء، مقنّن قوانين الإجتهاد في الملّة البيضاء، فخر المجتهدين، ملاذ العلماء العاملين، ملجأ الفقهاء الكاملين، سيّدنا و أستاذنا العليّ العالي الأمير السيّد علي الطباطبائيّ الحائريّ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800150_1051229030"/>
      <w:bookmarkStart w:id="98" w:name="_Toc37"/>
      <w:bookmarkEnd w:id="97"/>
      <w:r>
        <w:rPr/>
        <w:t>5</w:t>
      </w:r>
      <w:r>
        <w:rPr>
          <w:rtl w:val="true"/>
        </w:rPr>
        <w:t xml:space="preserve"> - </w:t>
      </w:r>
      <w:r>
        <w:rPr>
          <w:rtl w:val="true"/>
        </w:rPr>
        <w:t>مرحوم سيّد محسن أعرجى بغدادى</w:t>
      </w:r>
      <w:bookmarkEnd w:id="98"/>
    </w:p>
    <w:p>
      <w:pPr>
        <w:pStyle w:val="BookText"/>
        <w:rPr/>
      </w:pPr>
      <w:r>
        <w:rPr>
          <w:rFonts w:ascii="IRNazanin" w:hAnsi="IRNazanin" w:eastAsia="IRNazanin"/>
          <w:color w:val="111111"/>
          <w:sz w:val="28"/>
          <w:sz w:val="28"/>
          <w:szCs w:val="28"/>
          <w:rtl w:val="true"/>
          <w:lang w:bidi="fa-IR"/>
        </w:rPr>
        <w:t xml:space="preserve">مرحوم حجّة الإسلام در اجازاتش، از وى چنين ياد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التقي النقي الوفي الورع العابد العالم الزكي، قدوة العباد والزهّاد والنسّاك، مولانا العماد السيّد الجليل السعيد النبيل سيّدنا السيّد محسن البغداديّ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800152_1051229030"/>
      <w:bookmarkStart w:id="100" w:name="_Toc38"/>
      <w:bookmarkEnd w:id="99"/>
      <w:r>
        <w:rPr/>
        <w:t>6</w:t>
      </w:r>
      <w:r>
        <w:rPr>
          <w:rtl w:val="true"/>
        </w:rPr>
        <w:t xml:space="preserve"> - </w:t>
      </w:r>
      <w:r>
        <w:rPr>
          <w:rtl w:val="true"/>
        </w:rPr>
        <w:t>مرحوم شيخ سليمان عاملى كاظمينى</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شفتى در اجازه‌اى كه براى سيّد قوام الدين قزوينى نوشته، او را از مشايخ خود شمرده و از وى چنين ياد مى‌كند </w:t>
      </w:r>
      <w:r>
        <w:rPr>
          <w:rFonts w:eastAsia="IRNazanin" w:cs="IRNazanin"/>
          <w:color w:val="111111"/>
          <w:sz w:val="28"/>
          <w:szCs w:val="28"/>
          <w:rtl w:val="true"/>
          <w:lang w:bidi="fa-IR"/>
        </w:rPr>
        <w:t xml:space="preserve">: </w:t>
      </w:r>
      <w:bookmarkStart w:id="101" w:name="pg7542_72536"/>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العالم العامل الكامل شيخنا المعظّم المكرّم الشيخ سليمان بن الشيخ المعتوق العاملي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800154_1051229030"/>
      <w:bookmarkStart w:id="103" w:name="_Toc39"/>
      <w:bookmarkEnd w:id="102"/>
      <w:r>
        <w:rPr>
          <w:rtl w:val="true"/>
        </w:rPr>
        <w:t>ويژگى‌هاى اخلاقى</w:t>
      </w:r>
      <w:bookmarkEnd w:id="103"/>
    </w:p>
    <w:p>
      <w:pPr>
        <w:pStyle w:val="BookText"/>
        <w:rPr/>
      </w:pPr>
      <w:r>
        <w:rPr>
          <w:rFonts w:ascii="IRNazanin" w:hAnsi="IRNazanin" w:eastAsia="IRNazanin"/>
          <w:color w:val="111111"/>
          <w:sz w:val="28"/>
          <w:sz w:val="28"/>
          <w:szCs w:val="28"/>
          <w:rtl w:val="true"/>
          <w:lang w:bidi="fa-IR"/>
        </w:rPr>
        <w:t xml:space="preserve">مرحوم علاّمه خوانسارى، از شاگردان مرحوم حجّة الإسلام، درباره خصوصيّات اخلاقى و رفتارى استاد خويش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نرمى و ملايمت آن قدر اخلاقش لطيف و ملايم بود كه من اخلاق او را هميشه به اخلاق جدّ بزرگوارش حضرت محمّد صلى‌الله‌عليه‌و‌آله تشبيه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 و بردبارى او را حليم‌ترين افراد در مقام فرو بردن خشم و غيظِ خود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صبر و تحمّل به گونه‌اى بود كه بيشتر از همه بر نفس خويش تسلّط داشت، و مانند كوهى مقابل اندوه‌ها و مشكلات پا بر جا بود، و هرگز تزلزل و ضعف در وجود او راه پيدا نمى‌كرد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صفاى نفس و وسعت نظر به گونه‌اى بود كه اگر بسيارى از اشخاص و يا بستگان و برادران او در مقام قطع ارتباط با او بودند، او هميشه در برقرارى روابط با آنها و احسان به آنها كوشا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توجّه و رعايت آداب عرفى و حسن معاشرت، يگانه روزگاربود، و همه در برابر بزرگوارى و خوش رفتارى او خاضع بودند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04" w:name="pg7542_72538"/>
    </w:p>
    <w:p>
      <w:pPr>
        <w:pStyle w:val="Heading3"/>
        <w:numPr>
          <w:ilvl w:val="2"/>
          <w:numId w:val="1"/>
        </w:numPr>
        <w:rPr/>
      </w:pPr>
      <w:bookmarkStart w:id="105" w:name="__RefHeading___Toc2800156_1051229030"/>
      <w:bookmarkStart w:id="106" w:name="_Toc40"/>
      <w:bookmarkEnd w:id="104"/>
      <w:bookmarkEnd w:id="105"/>
      <w:r>
        <w:rPr>
          <w:rtl w:val="true"/>
        </w:rPr>
        <w:t>سخاوت</w:t>
      </w:r>
      <w:bookmarkEnd w:id="106"/>
    </w:p>
    <w:p>
      <w:pPr>
        <w:pStyle w:val="BookText"/>
        <w:rPr/>
      </w:pPr>
      <w:r>
        <w:rPr>
          <w:rFonts w:ascii="IRNazanin" w:hAnsi="IRNazanin" w:eastAsia="IRNazanin"/>
          <w:color w:val="111111"/>
          <w:sz w:val="28"/>
          <w:sz w:val="28"/>
          <w:szCs w:val="28"/>
          <w:rtl w:val="true"/>
          <w:lang w:bidi="fa-IR"/>
        </w:rPr>
        <w:t xml:space="preserve">سخن از سخاوت مرحوم حجّة الإسلام و بخشش‌هاى بسيار او، تنها به اين مختصر تمام نمى‌شود، بلكه نياز به تاليف كتابى جداگانه دارد، ولى براى نمونه در اينجا به سخن چند تن از بزرگان درباره كرم و بخشش سيّد حجّة الإسلام، و نيز نمونه‌اى از بخشش‌هاى وى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علاّمه حاج سيّد محمّد باقر خوانسارى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 الإسلام در جود و بخشش به پايه‌اى بود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در گرو احسانِ او بوده، و او از علم و مال و مقام نسبت به هيچ يك از نيازمندان دريغ نمى‌داشت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ميرزا محمّد على مدرّس مى‌نويسد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فوائدى كه از وى به سادات و فقرا و طلاّب علوم دينيّه عائد مى‌گرديد، خارج از حدِّ احصا مى‌باشد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07" w:name="pg7542_72540"/>
    </w:p>
    <w:p>
      <w:pPr>
        <w:pStyle w:val="Heading3"/>
        <w:numPr>
          <w:ilvl w:val="2"/>
          <w:numId w:val="1"/>
        </w:numPr>
        <w:rPr/>
      </w:pPr>
      <w:bookmarkStart w:id="108" w:name="__RefHeading___Toc2800158_1051229030"/>
      <w:bookmarkStart w:id="109" w:name="_Toc41"/>
      <w:bookmarkEnd w:id="107"/>
      <w:bookmarkEnd w:id="108"/>
      <w:r>
        <w:rPr>
          <w:rtl w:val="true"/>
        </w:rPr>
        <w:t>عبادت</w:t>
      </w:r>
      <w:bookmarkEnd w:id="109"/>
    </w:p>
    <w:p>
      <w:pPr>
        <w:pStyle w:val="BookText"/>
        <w:rPr/>
      </w:pPr>
      <w:r>
        <w:rPr>
          <w:rFonts w:ascii="IRNazanin" w:hAnsi="IRNazanin" w:eastAsia="IRNazanin"/>
          <w:color w:val="111111"/>
          <w:sz w:val="28"/>
          <w:sz w:val="28"/>
          <w:szCs w:val="28"/>
          <w:rtl w:val="true"/>
          <w:lang w:bidi="fa-IR"/>
        </w:rPr>
        <w:t xml:space="preserve">عبادت حجّة الإسلام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بود كه از نصف شب تا به صبح به گريه و زارى و تضرّع اشتغال داشته و در صحن كتابخانه‌اش مانند ديوانگان مى‌گرديد و دعا مى‌خواند، و تا صبح بر سر و سينه‌اش مى‌زد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اواخر زندگانى آن قدر گريسته بود و ناله و بى‌قرارى كرده بود كه او را باد فتق عارض شده بود، و اطبّا هر چه معالجه كردند، مفيد واقع نشد، تا اينكه او را از گريه منع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تو حرام است، پس هر زمان كه به مسجد مى‌رفت، ذاكرين تا او نشسته بود بر بالاى منبر نمى‌رفتند، مگر زمانى كه از مسجد بيرون مى‌آمد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سيّد حسن صدر كاظمى از پدر خود نقل مى‌كند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گوشه‌هاى چشم حجّة الإسلام از اثر كثرت گريه كردن در مقام تهجّد مجروح شده بود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800160_1051229030"/>
      <w:bookmarkStart w:id="111" w:name="_Toc42"/>
      <w:bookmarkEnd w:id="110"/>
      <w:r>
        <w:rPr>
          <w:rtl w:val="true"/>
        </w:rPr>
        <w:t>شاگردان</w:t>
      </w:r>
      <w:bookmarkEnd w:id="11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ثمرات مجلس درس حجّة الإسلام شفتى، مى‌توان به تربيت و تعليم </w:t>
      </w:r>
      <w:bookmarkStart w:id="112" w:name="pg7542_72542"/>
    </w:p>
    <w:p>
      <w:pPr>
        <w:pStyle w:val="BookText"/>
        <w:rPr/>
      </w:pPr>
      <w:bookmarkEnd w:id="112"/>
      <w:r>
        <w:rPr>
          <w:rFonts w:ascii="IRNazanin" w:hAnsi="IRNazanin" w:eastAsia="IRNazanin"/>
          <w:color w:val="111111"/>
          <w:sz w:val="28"/>
          <w:sz w:val="28"/>
          <w:szCs w:val="28"/>
          <w:rtl w:val="true"/>
          <w:lang w:bidi="fa-IR"/>
        </w:rPr>
        <w:t xml:space="preserve">شاگردانى اشاره كرد كه هر يك مرجعِ عصر خويش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نامدار مرحوم سيّد مصلح الدين مهدوى، در كتاب ارزشمندِ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شرح زندگانى سيّد حجّة الإسلام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زندگانى يكصد و چهل وهشت نفر از شاگردان سيّد حجّة الإسلام را آورده است</w:t>
      </w:r>
      <w:r>
        <w:rPr>
          <w:rFonts w:eastAsia="IRNazanin" w:cs="IRNazanin"/>
          <w:color w:val="111111"/>
          <w:sz w:val="28"/>
          <w:szCs w:val="28"/>
          <w:rtl w:val="true"/>
          <w:lang w:bidi="fa-IR"/>
        </w:rPr>
        <w:t>.</w:t>
      </w:r>
    </w:p>
    <w:p>
      <w:pPr>
        <w:pStyle w:val="Heading3"/>
        <w:numPr>
          <w:ilvl w:val="2"/>
          <w:numId w:val="1"/>
        </w:numPr>
        <w:rPr/>
      </w:pPr>
      <w:bookmarkStart w:id="113" w:name="__RefHeading___Toc2800162_1051229030"/>
      <w:bookmarkStart w:id="114" w:name="_Toc43"/>
      <w:bookmarkEnd w:id="113"/>
      <w:r>
        <w:rPr>
          <w:rtl w:val="true"/>
        </w:rPr>
        <w:t>داورى</w:t>
      </w:r>
      <w:bookmarkEnd w:id="114"/>
    </w:p>
    <w:p>
      <w:pPr>
        <w:pStyle w:val="BookText"/>
        <w:rPr/>
      </w:pPr>
      <w:r>
        <w:rPr>
          <w:rFonts w:ascii="IRNazanin" w:hAnsi="IRNazanin" w:eastAsia="IRNazanin"/>
          <w:color w:val="111111"/>
          <w:sz w:val="28"/>
          <w:sz w:val="28"/>
          <w:szCs w:val="28"/>
          <w:rtl w:val="true"/>
          <w:lang w:bidi="fa-IR"/>
        </w:rPr>
        <w:t xml:space="preserve">سيّد حجّة الاسلام، چنان چه معاصر او مرحوم وفا زوّاره‌اى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مآثر الباقريّة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تشريف فرماى مَدْرَسِ مقدّس مى‌شوند ، روز دوشنبه را به مرافعه ، و روز چهارشنبه را به شنيدن اشعار شعرا اختصاص مى‌دادند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الإسلام شفتى قدس‌سره در امور قضايى، از فراست عجيبى برخوردار بود ؛ به گونه‌اى كه حيله‌ها، تزويرها، و سند سازى‌هاى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زمان‌ها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وى كارگر نمى‌افتاد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محمّد تنكابنى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115" w:name="pg7542_72544"/>
    </w:p>
    <w:p>
      <w:pPr>
        <w:pStyle w:val="BookText"/>
        <w:rPr/>
      </w:pPr>
      <w:bookmarkEnd w:id="115"/>
      <w:r>
        <w:rPr>
          <w:rFonts w:ascii="IRNazanin" w:hAnsi="IRNazanin" w:eastAsia="IRNazanin"/>
          <w:color w:val="111111"/>
          <w:sz w:val="28"/>
          <w:sz w:val="28"/>
          <w:szCs w:val="28"/>
          <w:rtl w:val="true"/>
          <w:lang w:bidi="fa-IR"/>
        </w:rPr>
        <w:t xml:space="preserve">قضاوت وى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ايشان در نهايتِ اتقان و استوارى بود، و در حكم دادن بسيار دقّت مى‌فرمود، و مرافعات را طول مى‌داد، و گاهى اتّفاق مى‌افتاد كه يك مرافعه و نزاع ميانِ دو نفر را مدّت يك سال، يا كمتر و يا بيشتر، به تأخير مى‌انداخت، و تا يقين به حقيقتِ موضوعى حاصل نمى‌كرد، حكم صادر نمى‌فرمود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امرِ قضاوت فراست و زيركى عجيب داشت ؛ چنانكه فقها در كتابِ قضاوت، فراست را يكى از صفاتِ قاضى شمرده‌اند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800164_1051229030"/>
      <w:bookmarkStart w:id="117" w:name="_Toc44"/>
      <w:bookmarkEnd w:id="116"/>
      <w:r>
        <w:rPr>
          <w:rtl w:val="true"/>
        </w:rPr>
        <w:t>اجراى حدود الهى</w:t>
      </w:r>
      <w:bookmarkEnd w:id="117"/>
    </w:p>
    <w:p>
      <w:pPr>
        <w:pStyle w:val="BookText"/>
        <w:rPr/>
      </w:pPr>
      <w:r>
        <w:rPr>
          <w:rFonts w:ascii="Amiri" w:hAnsi="Amiri" w:eastAsia="Amiri" w:cs="Amiri"/>
          <w:color w:val="111111"/>
          <w:sz w:val="28"/>
          <w:sz w:val="28"/>
          <w:szCs w:val="28"/>
          <w:rtl w:val="true"/>
          <w:lang w:bidi="ar-SA"/>
        </w:rPr>
        <w:t xml:space="preserve">مير سيّد على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 اجراى حدود توسط مرحوم حجّة الإسلام شفتى، مى‌نويسد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مسأله اجراى حدود او بوده است، كه مهمترين عبادات خود آن را مى‌دانسته، حتّى وقتى جهت استسقاء جمعيّت از شهر به منزل او رفته بودند، كه به اتّفاق بروند در مسجد مصلاّى تخت فولاد، سيّد مردم را به بهانه‌اى متفرّق مى‌كند و يك نفر سارق كه در آن وقت </w:t>
      </w:r>
      <w:bookmarkStart w:id="118" w:name="pg7542_72546"/>
    </w:p>
    <w:p>
      <w:pPr>
        <w:pStyle w:val="BookText"/>
        <w:rPr/>
      </w:pPr>
      <w:bookmarkEnd w:id="118"/>
      <w:r>
        <w:rPr>
          <w:rFonts w:ascii="Amiri" w:hAnsi="Amiri" w:eastAsia="Amiri" w:cs="Amiri"/>
          <w:color w:val="111111"/>
          <w:sz w:val="28"/>
          <w:sz w:val="28"/>
          <w:szCs w:val="28"/>
          <w:rtl w:val="true"/>
          <w:lang w:bidi="ar-SA"/>
        </w:rPr>
        <w:t xml:space="preserve">محكوم به بريده شدن دست بوده است، حاضر مى‌سازد و با قلم و مركّب حدّ بريدن را روى دستِ سارق معيّن كرده، به مباشر اين قبيل امور خود حكم مى‌كند تا مى‌بُرَد ؛ اتّفاقًا در آن نزديكى هم باران مى‌آيد و موافق مى‌شود با عقيده سيّد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حدود باعث نزول رحمت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لازم به ذكر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 شرعى به دست خودِ مرحوم حجّة الإسلام، تنها يك يا دو مرتبه گزارش شده، و بقيّه موارد را مباشرين و عاملانِ سيّد به عهده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حكايت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حجّة الإسلام پس از اجراى حدّ، به پيروى از جدّ بزرگوارِ خود مولى الموحّدين حضرت أميرالمؤمنين على عليه‌السلام، بر جنازه و پيكرِ كشته شدگان، نماز مى‌خواند، و در حالِ نماز به راز و نياز با معبودِ خويش پرداخته، از براى آنها طلبِ عفو و بخشش مى‌نمود، و گاه هم در بينِ نماز از شدّت گريه غش مى‌كرد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800166_1051229030"/>
      <w:bookmarkStart w:id="120" w:name="_Toc45"/>
      <w:bookmarkEnd w:id="119"/>
      <w:r>
        <w:rPr>
          <w:rtl w:val="true"/>
        </w:rPr>
        <w:t>سفر به مكّه</w:t>
      </w:r>
      <w:bookmarkEnd w:id="1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فرموده خودِ حجّة الإسلام قدس‌سره 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ايشان در سال </w:t>
      </w:r>
      <w:bookmarkStart w:id="121" w:name="pg7542_72548"/>
    </w:p>
    <w:p>
      <w:pPr>
        <w:pStyle w:val="BookText"/>
        <w:rPr/>
      </w:pPr>
      <w:bookmarkEnd w:id="121"/>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از راه دريا مشرّف به مكّه معظّمه شده </w:t>
      </w:r>
      <w:r>
        <w:rPr>
          <w:rStyle w:val="FootnoteAnchor"/>
          <w:rtl w:val="true"/>
        </w:rPr>
        <w:footnoteReference w:id="47"/>
      </w:r>
      <w:r>
        <w:rPr>
          <w:rFonts w:ascii="IRNazanin" w:hAnsi="IRNazanin" w:eastAsia="IRNazanin"/>
          <w:color w:val="111111"/>
          <w:sz w:val="28"/>
          <w:sz w:val="28"/>
          <w:szCs w:val="28"/>
          <w:rtl w:val="true"/>
          <w:lang w:bidi="fa-IR"/>
        </w:rPr>
        <w:t xml:space="preserve">، و پس از زيارتِ حرمين شريفين، به زيارت اعتاب مقدّسه ائمّه عليهم‌السلام در عراق مشرّف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علماء و شعراى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زيارت حجّ ايشان معروف است كه دو هزار شيعه در ركابش به حجّ مشرّف شدند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سيّد حجّة الاسلام در اين سفرِ روحانى، خدمات شايسته‌اى انجام مى‌دهد، كه 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طواف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عرفات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ستاندن زمين‌هاى فدك و واگذارى آن به سادات مدينه</w:t>
      </w:r>
    </w:p>
    <w:p>
      <w:pPr>
        <w:pStyle w:val="Heading3"/>
        <w:numPr>
          <w:ilvl w:val="2"/>
          <w:numId w:val="1"/>
        </w:numPr>
        <w:rPr/>
      </w:pPr>
      <w:bookmarkStart w:id="122" w:name="__RefHeading___Toc2800168_1051229030"/>
      <w:bookmarkStart w:id="123" w:name="_Toc46"/>
      <w:bookmarkEnd w:id="122"/>
      <w:r>
        <w:rPr>
          <w:rtl w:val="true"/>
        </w:rPr>
        <w:t>آثار علمى</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شفتى قدس‌سره آثار ارزشمندِ قلمى بسيارى از خود به يادگار </w:t>
      </w:r>
      <w:bookmarkStart w:id="124" w:name="pg7542_72550"/>
    </w:p>
    <w:p>
      <w:pPr>
        <w:pStyle w:val="BookText"/>
        <w:rPr/>
      </w:pPr>
      <w:bookmarkEnd w:id="124"/>
      <w:r>
        <w:rPr>
          <w:rFonts w:ascii="IRNazanin" w:hAnsi="IRNazanin" w:eastAsia="IRNazanin"/>
          <w:color w:val="111111"/>
          <w:sz w:val="28"/>
          <w:sz w:val="28"/>
          <w:szCs w:val="28"/>
          <w:rtl w:val="true"/>
          <w:lang w:bidi="fa-IR"/>
        </w:rPr>
        <w:t xml:space="preserve">گذاشت، كه به بيش از هفتاد عنوان كتاب و رساله در موضوعات مختلف مى‌رسد، كه تاكنون مورد استفاده و بهره بردارى دانشمندان علوم دينى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تأليفات حجّة الإسلام شفتى قدس‌سره عبارتند از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800170_1051229030"/>
      <w:bookmarkStart w:id="126" w:name="_Toc47"/>
      <w:bookmarkEnd w:id="125"/>
      <w:r>
        <w:rPr>
          <w:rtl w:val="true"/>
        </w:rPr>
        <w:t>فقه</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في شَرحِ شَرَائِع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شب و فضيلت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و شهادات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حجّ</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اشتراط القبض في الوقف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اراضى خراجيه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غُساله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القِدْرية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از مجتهد ميّت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بر رساله تعيين سلام سوّم در نافله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مقبوليّت قولِ زن در عدم وجود مانع براى ازدواج</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شك و سهو در نماز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جواز هبه ولى مدّت را در ازدواج موقّت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جوابِ بعضى از مسائل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كيفيّت زيارت عاشورا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حرمت محارمِ موطوء بر واطى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حكم عقد بر خواهر زوجه مطلّقه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ثبوت زنا و لواط به اقرار نزد حاكم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ولايت حاكم بر بالغه غير رشيده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نمازِ استيجارى </w:t>
      </w:r>
      <w:bookmarkStart w:id="127" w:name="pg7542_72554"/>
    </w:p>
    <w:p>
      <w:pPr>
        <w:pStyle w:val="BookText"/>
        <w:rPr/>
      </w:pPr>
      <w:bookmarkEnd w:id="127"/>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تعيين آية الكرسى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 عرق جُنب از حرام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حكم نماز در پوست دبّاغى شده مرده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جمعه</w:t>
      </w:r>
    </w:p>
    <w:p>
      <w:pPr>
        <w:pStyle w:val="Heading3"/>
        <w:numPr>
          <w:ilvl w:val="2"/>
          <w:numId w:val="1"/>
        </w:numPr>
        <w:rPr/>
      </w:pPr>
      <w:bookmarkStart w:id="128" w:name="__RefHeading___Toc2800172_1051229030"/>
      <w:bookmarkStart w:id="129" w:name="_Toc48"/>
      <w:bookmarkEnd w:id="128"/>
      <w:r>
        <w:rPr>
          <w:rtl w:val="true"/>
        </w:rPr>
        <w:t>أصول فقه</w:t>
      </w:r>
      <w:bookmarkEnd w:id="12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اصول معالم الدين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تهذيب الوصول</w:t>
      </w:r>
    </w:p>
    <w:p>
      <w:pPr>
        <w:pStyle w:val="Heading3"/>
        <w:numPr>
          <w:ilvl w:val="2"/>
          <w:numId w:val="1"/>
        </w:numPr>
        <w:rPr/>
      </w:pPr>
      <w:bookmarkStart w:id="130" w:name="__RefHeading___Toc2800174_1051229030"/>
      <w:bookmarkStart w:id="131" w:name="_Toc49"/>
      <w:bookmarkEnd w:id="130"/>
      <w:r>
        <w:rPr>
          <w:rtl w:val="true"/>
        </w:rPr>
        <w:t>حديث</w:t>
      </w:r>
      <w:bookmarkEnd w:id="13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فروع كافى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وافى </w:t>
      </w:r>
      <w:bookmarkStart w:id="132" w:name="pg7542_72556"/>
    </w:p>
    <w:p>
      <w:pPr>
        <w:pStyle w:val="Heading3"/>
        <w:numPr>
          <w:ilvl w:val="2"/>
          <w:numId w:val="1"/>
        </w:numPr>
        <w:rPr/>
      </w:pPr>
      <w:bookmarkStart w:id="133" w:name="__RefHeading___Toc2800176_1051229030"/>
      <w:bookmarkStart w:id="134" w:name="_Toc50"/>
      <w:bookmarkEnd w:id="132"/>
      <w:bookmarkEnd w:id="133"/>
      <w:r>
        <w:rPr>
          <w:rtl w:val="true"/>
        </w:rPr>
        <w:t>رجال</w:t>
      </w:r>
      <w:bookmarkEnd w:id="134"/>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أبان بن عثمان، و اصحاب اجماع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إبراهيم بن هاشم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أبو بصير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خالد برقى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عيسى قمّى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إسحاق بن عمّار ساباطى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حسين بن خالد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حماد بن عيسى جهنى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سهل بن زياد آدمى رازى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حكمِ رواياتِ شهاب بن عبد ربّه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عبدالحميد بن سالم عطار، و فرزندش محمّد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عمر بن يزيد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تحقيق و بررسى احوال محمّد بن إسماعيل </w:t>
      </w:r>
      <w:bookmarkStart w:id="135" w:name="pg7542_72558"/>
    </w:p>
    <w:p>
      <w:pPr>
        <w:pStyle w:val="BookText"/>
        <w:rPr/>
      </w:pPr>
      <w:bookmarkEnd w:id="135"/>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محمّد بن أحمد، كه از عمركى روايت مى‌كند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خالد برقى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سنان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الفضيل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عيسى يقطينى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بررسى احوال اشخاص ملقّب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اتّحاد معاوية بن شريح، با معاوية بن ميسره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بيان مقصود 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اسانيد كافى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رجال شيخ طوسى</w:t>
      </w:r>
    </w:p>
    <w:p>
      <w:pPr>
        <w:pStyle w:val="Heading3"/>
        <w:numPr>
          <w:ilvl w:val="2"/>
          <w:numId w:val="1"/>
        </w:numPr>
        <w:rPr/>
      </w:pPr>
      <w:bookmarkStart w:id="136" w:name="__RefHeading___Toc2800178_1051229030"/>
      <w:bookmarkStart w:id="137" w:name="_Toc51"/>
      <w:bookmarkEnd w:id="136"/>
      <w:r>
        <w:rPr>
          <w:rtl w:val="true"/>
        </w:rPr>
        <w:t>كلام</w:t>
      </w:r>
      <w:bookmarkEnd w:id="13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دين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و جواب درباره شيخيّه </w:t>
      </w:r>
      <w:bookmarkStart w:id="138" w:name="pg7542_72560"/>
    </w:p>
    <w:p>
      <w:pPr>
        <w:pStyle w:val="Heading3"/>
        <w:numPr>
          <w:ilvl w:val="2"/>
          <w:numId w:val="1"/>
        </w:numPr>
        <w:rPr/>
      </w:pPr>
      <w:bookmarkStart w:id="139" w:name="__RefHeading___Toc2800180_1051229030"/>
      <w:bookmarkStart w:id="140" w:name="_Toc52"/>
      <w:bookmarkEnd w:id="138"/>
      <w:bookmarkEnd w:id="139"/>
      <w:r>
        <w:rPr>
          <w:rtl w:val="true"/>
        </w:rPr>
        <w:t>نحو</w:t>
      </w:r>
      <w:bookmarkEnd w:id="14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Heading3"/>
        <w:numPr>
          <w:ilvl w:val="2"/>
          <w:numId w:val="1"/>
        </w:numPr>
        <w:rPr/>
      </w:pPr>
      <w:bookmarkStart w:id="141" w:name="__RefHeading___Toc2800182_1051229030"/>
      <w:bookmarkStart w:id="142" w:name="_Toc53"/>
      <w:bookmarkEnd w:id="141"/>
      <w:r>
        <w:rPr>
          <w:rtl w:val="true"/>
        </w:rPr>
        <w:t>ساخت مسجدى بزرگ</w:t>
      </w:r>
      <w:bookmarkEnd w:id="142"/>
    </w:p>
    <w:p>
      <w:pPr>
        <w:pStyle w:val="BookText"/>
        <w:rPr/>
      </w:pPr>
      <w:r>
        <w:rPr>
          <w:rFonts w:ascii="IRNazanin" w:hAnsi="IRNazanin" w:eastAsia="IRNazanin"/>
          <w:color w:val="111111"/>
          <w:sz w:val="28"/>
          <w:sz w:val="28"/>
          <w:szCs w:val="28"/>
          <w:rtl w:val="true"/>
          <w:lang w:bidi="fa-IR"/>
        </w:rPr>
        <w:t xml:space="preserve">يكى از آثار خير و خدمات مرحوم حجّة الإسلام شفتى، بناى تاريخى و بسيار بزرگ و زيباى مسجد سيّد اصفهان مى‌باشد، كه نويسندگان به مناسبت از عظمت و شكوهِ آن ياد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ميرزا حسن خان جابرى انصارى، درباره مسجد سيّد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بناى جامع بيدآباد، بر علوّ همّتش فرياد مى‌زند، زيرا مساجد بزرگ را شاهان متعدّد ساخته‌اند، و اين مسجد را آن پادشاهِ علماء به تنهايى كفالت فرمود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800184_1051229030"/>
      <w:bookmarkStart w:id="144" w:name="_Toc54"/>
      <w:bookmarkEnd w:id="143"/>
      <w:r>
        <w:rPr>
          <w:rtl w:val="true"/>
        </w:rPr>
        <w:t>فرزندان</w:t>
      </w:r>
      <w:bookmarkEnd w:id="144"/>
    </w:p>
    <w:p>
      <w:pPr>
        <w:pStyle w:val="Heading4"/>
        <w:numPr>
          <w:ilvl w:val="3"/>
          <w:numId w:val="1"/>
        </w:numPr>
        <w:rPr/>
      </w:pPr>
      <w:bookmarkStart w:id="145" w:name="__RefHeading___Toc2800186_1051229030"/>
      <w:bookmarkStart w:id="146" w:name="_Toc55"/>
      <w:bookmarkEnd w:id="145"/>
      <w:r>
        <w:rPr>
          <w:rtl w:val="true"/>
        </w:rPr>
        <w:t>اشاره</w:t>
      </w:r>
      <w:bookmarkEnd w:id="1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شفتى داراى هشت پسر و چند دختر بوده، كه دو تن از </w:t>
      </w:r>
      <w:bookmarkStart w:id="147" w:name="pg7542_72562"/>
    </w:p>
    <w:p>
      <w:pPr>
        <w:pStyle w:val="BookText"/>
        <w:rPr/>
      </w:pPr>
      <w:bookmarkEnd w:id="147"/>
      <w:r>
        <w:rPr>
          <w:rFonts w:ascii="Amiri" w:hAnsi="Amiri" w:eastAsia="Amiri" w:cs="Amiri"/>
          <w:color w:val="111111"/>
          <w:sz w:val="28"/>
          <w:sz w:val="28"/>
          <w:szCs w:val="28"/>
          <w:rtl w:val="true"/>
          <w:lang w:bidi="ar-SA"/>
        </w:rPr>
        <w:t xml:space="preserve">فرزندان او به نام‌هاى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سيّد هاشم و آقا سيّد ابوالقاسم، در ايّام حياتِ وى از دنيا رخت بر مى‌بندند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فرزند ديگر سيّد عبارتند از </w:t>
      </w:r>
      <w:r>
        <w:rPr>
          <w:rFonts w:eastAsia="IRNazanin" w:cs="IRNazanin"/>
          <w:color w:val="111111"/>
          <w:sz w:val="28"/>
          <w:szCs w:val="28"/>
          <w:rtl w:val="true"/>
          <w:lang w:bidi="fa-IR"/>
        </w:rPr>
        <w:t>:</w:t>
      </w:r>
    </w:p>
    <w:p>
      <w:pPr>
        <w:pStyle w:val="Heading4"/>
        <w:numPr>
          <w:ilvl w:val="3"/>
          <w:numId w:val="1"/>
        </w:numPr>
        <w:rPr/>
      </w:pPr>
      <w:bookmarkStart w:id="148" w:name="__RefHeading___Toc2800188_1051229030"/>
      <w:bookmarkStart w:id="149" w:name="_Toc56"/>
      <w:bookmarkEnd w:id="148"/>
      <w:r>
        <w:rPr/>
        <w:t>1</w:t>
      </w:r>
      <w:r>
        <w:rPr>
          <w:rtl w:val="true"/>
        </w:rPr>
        <w:t xml:space="preserve"> - </w:t>
      </w:r>
      <w:r>
        <w:rPr>
          <w:rtl w:val="true"/>
        </w:rPr>
        <w:t>مرحوم علاّمه حاج سيّد أسد اللّه</w:t>
      </w:r>
      <w:bookmarkEnd w:id="149"/>
    </w:p>
    <w:p>
      <w:pPr>
        <w:pStyle w:val="BookText"/>
        <w:rPr/>
      </w:pPr>
      <w:r>
        <w:rPr>
          <w:rFonts w:ascii="IRNazanin" w:hAnsi="IRNazanin" w:eastAsia="IRNazanin"/>
          <w:color w:val="111111"/>
          <w:sz w:val="28"/>
          <w:sz w:val="28"/>
          <w:szCs w:val="28"/>
          <w:rtl w:val="true"/>
          <w:lang w:bidi="fa-IR"/>
        </w:rPr>
        <w:t>شرح زندگانى اين عالم فقيه و محقّق عالى قدر، در اينجا و به چند كلمه خلاصه نمى‌شود، بلكه شايسته است در اين زمينه كتابى جداگانه نگاشته شود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شمّه‌اى از زندگى نامه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ششم از هشت فرزندِ حجّة الإسلام، و اعلم اولاد ايشان بوده، ولادتش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سال‌ها در نجف اشرف از محضر مرحوم حاج شيخ محمّد حسن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 موفّق به كسب اجازه از وى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الإسلام اين بزرگوار را بسيار دوست مى‌داشته و مردم را به متابعت و تجليل او امر مى‌فرموده ، و او را از جهت قوّت نظر و قدرت استنباط بر فخر المحقّقين فرزند علاّمه حلّى، ترجيح مى‌داده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مرحوم حاج سيّد اسد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وتصنيفات بسيارى به جا مانده، كه در اينجا به نام تعدادى از آنها اشاره مى‌كنيم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 امامت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حاج سيّد مهدى رجائى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توسّط انتشارات كتابخانه مسجد سيّد اصفهان، به چاپ 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درباره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ميّت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نخبه مرحوم حاج محمّد ابراهيم كرباسى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رجاليّه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فقهيّه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شرائع الإسلام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خمر و عصير </w:t>
      </w:r>
      <w:r>
        <w:rPr>
          <w:rStyle w:val="FootnoteAnchor"/>
          <w:rtl w:val="true"/>
        </w:rPr>
        <w:footnoteReference w:id="5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استصحاب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الصحاح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اين اثرِ ارزشمند در يك جلد،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توسّط انتشارات كتابخانه مسجد سيّد اصفهان، به چاپ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بر تحفة الأبرار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حاج سيّد اسداللّه سرانجام در شبِ يك شنبه، آخرِ ماه جمادي الثانية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وفات يافته ؛ بدن آن بزرگوار را پس از انتقال به نجف اشرف، در اتاقِ سمت راستِ وارده شونده به صحن مطهّر حضرت أميرالمؤمنين علىّ عليه‌السلام از درب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مقابل قبر مرحوم علاّمه حاج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مى‌سپارند </w:t>
      </w:r>
      <w:r>
        <w:rPr>
          <w:rFonts w:eastAsia="IRNazanin" w:cs="IRNazanin"/>
          <w:color w:val="111111"/>
          <w:sz w:val="28"/>
          <w:szCs w:val="28"/>
          <w:rtl w:val="true"/>
          <w:lang w:bidi="fa-IR"/>
        </w:rPr>
        <w:t xml:space="preserve">. </w:t>
      </w:r>
      <w:bookmarkStart w:id="150" w:name="pg7542_72568"/>
    </w:p>
    <w:p>
      <w:pPr>
        <w:pStyle w:val="Heading4"/>
        <w:numPr>
          <w:ilvl w:val="3"/>
          <w:numId w:val="1"/>
        </w:numPr>
        <w:rPr/>
      </w:pPr>
      <w:bookmarkStart w:id="151" w:name="__RefHeading___Toc2800190_1051229030"/>
      <w:bookmarkStart w:id="152" w:name="_Toc57"/>
      <w:bookmarkEnd w:id="150"/>
      <w:bookmarkEnd w:id="151"/>
      <w:r>
        <w:rPr/>
        <w:t>2</w:t>
      </w:r>
      <w:r>
        <w:rPr>
          <w:rtl w:val="true"/>
        </w:rPr>
        <w:t xml:space="preserve"> - </w:t>
      </w:r>
      <w:r>
        <w:rPr>
          <w:rtl w:val="true"/>
        </w:rPr>
        <w:t>مير محمّد مهدى</w:t>
      </w:r>
      <w:bookmarkEnd w:id="152"/>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 ارسى رو به مسجد كه قدرى بلند بسته است، قبر مير محمّد مهدى پسر بزرگ مرحوم حجّة الإسلام ، كه از اهل علم و فضل بوده ، مى‌باشد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800192_1051229030"/>
      <w:bookmarkStart w:id="154" w:name="_Toc58"/>
      <w:bookmarkEnd w:id="153"/>
      <w:r>
        <w:rPr/>
        <w:t>3</w:t>
      </w:r>
      <w:r>
        <w:rPr>
          <w:rtl w:val="true"/>
        </w:rPr>
        <w:t xml:space="preserve"> - </w:t>
      </w:r>
      <w:r>
        <w:rPr>
          <w:rtl w:val="true"/>
        </w:rPr>
        <w:t>آقا سيّد مؤمن</w:t>
      </w:r>
      <w:bookmarkEnd w:id="154"/>
    </w:p>
    <w:p>
      <w:pPr>
        <w:pStyle w:val="BookText"/>
        <w:rPr/>
      </w:pPr>
      <w:r>
        <w:rPr>
          <w:rFonts w:ascii="IRNazanin" w:hAnsi="IRNazanin" w:eastAsia="IRNazanin"/>
          <w:color w:val="111111"/>
          <w:sz w:val="28"/>
          <w:sz w:val="28"/>
          <w:szCs w:val="28"/>
          <w:rtl w:val="true"/>
          <w:lang w:bidi="fa-IR"/>
        </w:rPr>
        <w:t xml:space="preserve">در تذكرة القبور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علم و فضل بوده و بعد از مرحوم حاج سيّد اسداللّه مرجع رياست بيدآباد و امام مسجد و پناه خلق به او مى‌رسد ؛ او تدريس هم داشته، و بعد از مرحوم حاج سيّد اسداللّه اعلم و افقه از ديگر فرزندان سيّد حجّة الإسلام بوده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شاگردان مرحوم علاّمه حاج شيخ مرتضى انصارى قدس‌سره بوده و از تأليفاتش كتابى است در فقه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را عالمانه و با </w:t>
      </w:r>
      <w:bookmarkStart w:id="155" w:name="pg7542_72570"/>
    </w:p>
    <w:p>
      <w:pPr>
        <w:pStyle w:val="BookText"/>
        <w:rPr/>
      </w:pPr>
      <w:bookmarkEnd w:id="155"/>
      <w:r>
        <w:rPr>
          <w:rFonts w:ascii="IRNazanin" w:hAnsi="IRNazanin" w:eastAsia="IRNazanin"/>
          <w:color w:val="111111"/>
          <w:sz w:val="28"/>
          <w:sz w:val="28"/>
          <w:szCs w:val="28"/>
          <w:rtl w:val="true"/>
          <w:lang w:bidi="fa-IR"/>
        </w:rPr>
        <w:t xml:space="preserve">استدلال و بسيار مبسوط نوشته و در آن تنها به احكام نماز پرداخته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سرانجام در دوّم ماه 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 قبرِ وى طرف پائين پاى پدرش مرحوم حجّة الإسلام است، قدرى رو به جلو، و سنگ نشانى كمى بالاتر قرار گرفته است </w:t>
      </w:r>
      <w:r>
        <w:rPr>
          <w:rFonts w:eastAsia="IRNazanin" w:cs="IRNazanin"/>
          <w:color w:val="111111"/>
          <w:sz w:val="28"/>
          <w:szCs w:val="28"/>
          <w:rtl w:val="true"/>
          <w:lang w:bidi="fa-IR"/>
        </w:rPr>
        <w:t>.</w:t>
      </w:r>
    </w:p>
    <w:p>
      <w:pPr>
        <w:pStyle w:val="Heading4"/>
        <w:numPr>
          <w:ilvl w:val="3"/>
          <w:numId w:val="1"/>
        </w:numPr>
        <w:rPr/>
      </w:pPr>
      <w:bookmarkStart w:id="156" w:name="__RefHeading___Toc2800194_1051229030"/>
      <w:bookmarkStart w:id="157" w:name="_Toc59"/>
      <w:bookmarkEnd w:id="156"/>
      <w:r>
        <w:rPr/>
        <w:t>4</w:t>
      </w:r>
      <w:r>
        <w:rPr>
          <w:rtl w:val="true"/>
        </w:rPr>
        <w:t xml:space="preserve"> - </w:t>
      </w:r>
      <w:r>
        <w:rPr>
          <w:rtl w:val="true"/>
        </w:rPr>
        <w:t>حاج سيّد محمّد على</w:t>
      </w:r>
      <w:bookmarkEnd w:id="157"/>
    </w:p>
    <w:p>
      <w:pPr>
        <w:pStyle w:val="BookText"/>
        <w:rPr/>
      </w:pPr>
      <w:r>
        <w:rPr>
          <w:rFonts w:ascii="IRNazanin" w:hAnsi="IRNazanin" w:eastAsia="IRNazanin"/>
          <w:color w:val="111111"/>
          <w:sz w:val="28"/>
          <w:sz w:val="28"/>
          <w:szCs w:val="28"/>
          <w:rtl w:val="true"/>
          <w:lang w:bidi="fa-IR"/>
        </w:rPr>
        <w:t xml:space="preserve">تولّد وى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چنانچه فرزندش مرحوم سيّد محمّد مهدى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او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شعبانِ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در حالى كه پنجاه و پنج سال داشت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را در كنارِ برادرش مرحوم مير محمّد مهدى، در مقبره مرحوم حجّة الاسلام به خاك مى‌سپارند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علم و فضل بوده و صبح در مسجد سيّد به اقامه جماعت مى‌پرداخته، و نقل عبادت و تقوى از او مى‌شود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كتابخانه آيت اللّه مرعشى نجفى در قم، مجموعه‌اى به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مى‌باشد، كه شامل چهار رساله از تأليفات مرحوم حاج سيّد محمّد على بدين شرح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العبد مال المولى و جنايته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المكان المغصوب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اين مجموعه اجازه نامه مرحوم آية اللّه حاج شيخ محمّد حسن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حاج سيّد محمّد على، آمده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58" w:name="pg7542_72574"/>
    </w:p>
    <w:p>
      <w:pPr>
        <w:pStyle w:val="Heading4"/>
        <w:numPr>
          <w:ilvl w:val="3"/>
          <w:numId w:val="1"/>
        </w:numPr>
        <w:rPr/>
      </w:pPr>
      <w:bookmarkStart w:id="159" w:name="__RefHeading___Toc2800196_1051229030"/>
      <w:bookmarkStart w:id="160" w:name="_Toc60"/>
      <w:bookmarkEnd w:id="158"/>
      <w:bookmarkEnd w:id="159"/>
      <w:r>
        <w:rPr/>
        <w:t>5</w:t>
      </w:r>
      <w:r>
        <w:rPr>
          <w:rtl w:val="true"/>
        </w:rPr>
        <w:t xml:space="preserve"> - </w:t>
      </w:r>
      <w:r>
        <w:rPr>
          <w:rtl w:val="true"/>
        </w:rPr>
        <w:t>حاج سيّد محمّد جعفر</w:t>
      </w:r>
      <w:bookmarkEnd w:id="160"/>
    </w:p>
    <w:p>
      <w:pPr>
        <w:pStyle w:val="BookText"/>
        <w:rPr/>
      </w:pPr>
      <w:r>
        <w:rPr>
          <w:rFonts w:ascii="IRNazanin" w:hAnsi="IRNazanin" w:eastAsia="IRNazanin"/>
          <w:color w:val="111111"/>
          <w:sz w:val="28"/>
          <w:sz w:val="28"/>
          <w:szCs w:val="28"/>
          <w:rtl w:val="true"/>
          <w:lang w:bidi="fa-IR"/>
        </w:rPr>
        <w:t xml:space="preserve">وى از رؤساى انديشمند در محلّه بيدآباد اصفهان بوده، كه پس از فوتِ برادرِ عالمِ خود مرحوم آقا سيّد مؤمن، رياست و عنوان كلّى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مسجد سيّد تعميرات اساسى انجام داده و قسمت عمده كاشيكارى مسجد در زمان توليت ايشان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الفكر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رساله‌ها از تأليفات وى شمرده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امر و نهى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القطع والظنّ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روز عاشوراء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مسافرت عتبات، در كربلا وفات يافته، در نجف اشرف در كنار برادرِ خود مرحوم علاّمه حاج سيّد اسد اللّه، مدفون گرديد </w:t>
      </w:r>
      <w:r>
        <w:rPr>
          <w:rFonts w:eastAsia="IRNazanin" w:cs="IRNazanin"/>
          <w:color w:val="111111"/>
          <w:sz w:val="28"/>
          <w:szCs w:val="28"/>
          <w:rtl w:val="true"/>
          <w:lang w:bidi="fa-IR"/>
        </w:rPr>
        <w:t>.</w:t>
      </w:r>
    </w:p>
    <w:p>
      <w:pPr>
        <w:pStyle w:val="Heading4"/>
        <w:numPr>
          <w:ilvl w:val="3"/>
          <w:numId w:val="1"/>
        </w:numPr>
        <w:rPr/>
      </w:pPr>
      <w:bookmarkStart w:id="161" w:name="__RefHeading___Toc2800198_1051229030"/>
      <w:bookmarkStart w:id="162" w:name="_Toc61"/>
      <w:bookmarkEnd w:id="161"/>
      <w:r>
        <w:rPr/>
        <w:t>6</w:t>
      </w:r>
      <w:r>
        <w:rPr>
          <w:rtl w:val="true"/>
        </w:rPr>
        <w:t xml:space="preserve"> - </w:t>
      </w:r>
      <w:r>
        <w:rPr>
          <w:rtl w:val="true"/>
        </w:rPr>
        <w:t>آقا سيّد زين العابدين</w:t>
      </w:r>
      <w:bookmarkEnd w:id="162"/>
    </w:p>
    <w:p>
      <w:pPr>
        <w:pStyle w:val="BookText"/>
        <w:rPr/>
      </w:pPr>
      <w:r>
        <w:rPr>
          <w:rFonts w:ascii="IRNazanin" w:hAnsi="IRNazanin" w:eastAsia="IRNazanin"/>
          <w:color w:val="111111"/>
          <w:sz w:val="28"/>
          <w:sz w:val="28"/>
          <w:szCs w:val="28"/>
          <w:rtl w:val="true"/>
          <w:lang w:bidi="fa-IR"/>
        </w:rPr>
        <w:t xml:space="preserve">عالم و فاضل بوده، و در شورش مردم اصفهان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كه مردمِ بى‌پناه به او پناه بردند، از دستگاه حكومت ظلم‌ها كشيده و ستم‌ها ديده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تهرانى رحمه‌الله درباره او مى‌نويسد </w:t>
      </w:r>
      <w:r>
        <w:rPr>
          <w:rFonts w:eastAsia="Amiri" w:cs="Amiri" w:ascii="Amiri" w:hAnsi="Amiri"/>
          <w:color w:val="111111"/>
          <w:sz w:val="28"/>
          <w:szCs w:val="28"/>
          <w:rtl w:val="true"/>
          <w:lang w:bidi="ar-SA"/>
        </w:rPr>
        <w:t xml:space="preserve">: </w:t>
      </w:r>
      <w:bookmarkStart w:id="163" w:name="pg7542_72576"/>
    </w:p>
    <w:p>
      <w:pPr>
        <w:pStyle w:val="BookText"/>
        <w:rPr/>
      </w:pPr>
      <w:bookmarkEnd w:id="163"/>
      <w:r>
        <w:rPr>
          <w:rFonts w:ascii="Amiri" w:hAnsi="Amiri" w:eastAsia="Amiri" w:cs="Amiri"/>
          <w:color w:val="111111"/>
          <w:sz w:val="28"/>
          <w:sz w:val="28"/>
          <w:szCs w:val="28"/>
          <w:rtl w:val="true"/>
          <w:lang w:bidi="ar-SA"/>
        </w:rPr>
        <w:t xml:space="preserve">از اهل فضل و علم و كمال و شهرت و وجاهت و اعتبار بوده و قبل از برادرش حاج سيّد اسداللّه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يافته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وى جلو قبر سيّد حجّة الاسلام، رو به دم ارسى قرار دارد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800200_1051229030"/>
      <w:bookmarkStart w:id="165" w:name="_Toc62"/>
      <w:bookmarkEnd w:id="164"/>
      <w:r>
        <w:rPr>
          <w:rtl w:val="true"/>
        </w:rPr>
        <w:t>درگذشت</w:t>
      </w:r>
      <w:bookmarkEnd w:id="165"/>
    </w:p>
    <w:p>
      <w:pPr>
        <w:pStyle w:val="BookText"/>
        <w:rPr/>
      </w:pPr>
      <w:r>
        <w:rPr>
          <w:rFonts w:ascii="IRNazanin" w:hAnsi="IRNazanin" w:eastAsia="IRNazanin"/>
          <w:color w:val="111111"/>
          <w:sz w:val="28"/>
          <w:sz w:val="28"/>
          <w:szCs w:val="28"/>
          <w:rtl w:val="true"/>
          <w:lang w:bidi="fa-IR"/>
        </w:rPr>
        <w:t xml:space="preserve">سرانجام حجّة الاسلام پس از هشتاد و اندى سال عمر پر ثمر و پر خير و بركت، در بعد از ظهر روز يكشنبه، دوّم ماه ربيع الثاني </w:t>
      </w:r>
      <w:r>
        <w:rPr>
          <w:rStyle w:val="FootnoteAnchor"/>
          <w:rtl w:val="true"/>
        </w:rPr>
        <w:footnoteReference w:id="69"/>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مصادف با دوم فروردين ماه سال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بر اثر بيمارى استسقاء، در اصفهان ديده از جهان فرو بست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على اكبر خوانسارى، سيّد حجّة الإسلام را غسل داده و از آن پس دست‌هاى مبارك آن جناب را بوسيده و كفن نمود </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عالم و بزرگوارش مرحوم حاج سيّد اسداللّه، بر بدنِ پدر نماز گزارده، و سپس بدن آن بزرگوار را در روز چهارشنبه در مقبره‌اى كه خود قبلاً در كنار مسجد خويش مهيّا ساخته بود، به خاك سپردند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حاكم شرع بر بالغه غير رشيده</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محقّق و فقيه متتبّع</w:t>
      </w:r>
    </w:p>
    <w:p>
      <w:pPr>
        <w:pStyle w:val="BookText"/>
        <w:rPr/>
      </w:pPr>
      <w:r>
        <w:rPr>
          <w:rFonts w:ascii="Amiri" w:hAnsi="Amiri" w:eastAsia="Amiri" w:cs="Amiri"/>
          <w:color w:val="111111"/>
          <w:sz w:val="28"/>
          <w:sz w:val="28"/>
          <w:szCs w:val="28"/>
          <w:rtl w:val="true"/>
          <w:lang w:bidi="ar-SA"/>
        </w:rPr>
        <w:t>حاج سيّد محمّد باقر شفتى قدس‌سره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شفتى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542_72586"/>
      <w:bookmarkStart w:id="167" w:name="pg7542_72586"/>
      <w:bookmarkEnd w:id="167"/>
    </w:p>
    <w:p>
      <w:pPr>
        <w:pStyle w:val="Heading2"/>
        <w:numPr>
          <w:ilvl w:val="1"/>
          <w:numId w:val="1"/>
        </w:numPr>
        <w:rPr/>
      </w:pPr>
      <w:bookmarkStart w:id="168" w:name="pg7542_72586"/>
      <w:bookmarkStart w:id="169" w:name="__RefHeading___Toc2800202_1051229030"/>
      <w:bookmarkStart w:id="170" w:name="_Toc63"/>
      <w:bookmarkEnd w:id="168"/>
      <w:bookmarkEnd w:id="169"/>
      <w:r>
        <w:rPr>
          <w:rtl w:val="true"/>
        </w:rPr>
        <w:t>سؤال</w:t>
      </w:r>
      <w:bookmarkEnd w:id="1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در صورت فقد پدر و جدّ، آيا حاكم شرع را ولىّ بالغه غير رشيده مى‌دانند، يا نه ؟</w:t>
      </w:r>
    </w:p>
    <w:p>
      <w:pPr>
        <w:pStyle w:val="BookText"/>
        <w:rPr/>
      </w:pPr>
      <w:r>
        <w:rPr>
          <w:rFonts w:ascii="Amiri" w:hAnsi="Amiri" w:eastAsia="Amiri" w:cs="Amiri"/>
          <w:color w:val="111111"/>
          <w:sz w:val="28"/>
          <w:sz w:val="28"/>
          <w:szCs w:val="28"/>
          <w:rtl w:val="true"/>
          <w:lang w:bidi="ar-SA"/>
        </w:rPr>
        <w:t>و در صورت ثبوت، ولايت حاكم ولايت اجبارى است، يا موقوف به إذن بالغه غير رشيده هم هست ؟</w:t>
      </w:r>
    </w:p>
    <w:p>
      <w:pPr>
        <w:pStyle w:val="Heading2"/>
        <w:numPr>
          <w:ilvl w:val="1"/>
          <w:numId w:val="1"/>
        </w:numPr>
        <w:rPr/>
      </w:pPr>
      <w:bookmarkStart w:id="171" w:name="__RefHeading___Toc2800204_1051229030"/>
      <w:bookmarkStart w:id="172" w:name="_Toc64"/>
      <w:bookmarkEnd w:id="171"/>
      <w:r>
        <w:rPr>
          <w:rtl w:val="true"/>
        </w:rPr>
        <w:t>جواب</w:t>
      </w:r>
      <w:bookmarkEnd w:id="1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اجمالى دارد، تحقيق حال در جواب اين سؤال محتاج است به تفصيل مقال، پس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سؤال از ولايت، يا ولايت در اموال است يا تزويج </w:t>
      </w:r>
      <w:r>
        <w:rPr>
          <w:rFonts w:eastAsia="IRNazanin" w:cs="IRNazanin"/>
          <w:color w:val="111111"/>
          <w:sz w:val="28"/>
          <w:szCs w:val="28"/>
          <w:rtl w:val="true"/>
          <w:lang w:bidi="fa-IR"/>
        </w:rPr>
        <w:t xml:space="preserve">. </w:t>
      </w:r>
      <w:bookmarkStart w:id="173" w:name="pg7542_72588"/>
    </w:p>
    <w:p>
      <w:pPr>
        <w:pStyle w:val="Heading2"/>
        <w:numPr>
          <w:ilvl w:val="1"/>
          <w:numId w:val="1"/>
        </w:numPr>
        <w:rPr/>
      </w:pPr>
      <w:bookmarkStart w:id="174" w:name="__RefHeading___Toc2800206_1051229030"/>
      <w:bookmarkStart w:id="175" w:name="_Toc65"/>
      <w:bookmarkEnd w:id="173"/>
      <w:bookmarkEnd w:id="174"/>
      <w:r>
        <w:rPr>
          <w:rtl w:val="true"/>
        </w:rPr>
        <w:t>ولايت حاكم شرع در اموال</w:t>
      </w:r>
      <w:bookmarkEnd w:id="175"/>
    </w:p>
    <w:p>
      <w:pPr>
        <w:pStyle w:val="Heading3"/>
        <w:numPr>
          <w:ilvl w:val="2"/>
          <w:numId w:val="1"/>
        </w:numPr>
        <w:rPr/>
      </w:pPr>
      <w:bookmarkStart w:id="176" w:name="__RefHeading___Toc2800208_1051229030"/>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و اگر مقصود ولايت در اموال است، تشكيكى در اين نيست كه در صورت فقدِ والد و جدّ و وصىّ، ولايت در اموالِ صغار ثابت است نسبت به حاكم شرع ؛ و همچنين بعد از بلوغ به حدّ بلوغ، لكن به شرط عدم ظهور اتّصاف به وصف رشد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مجمع عليه ما بين فقهاست، و مدلول عليه به كتاب و سنّت است ؛ 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الطائفة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علامات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 فحدّه في الذكور خمسة عشر سنة و في الإناث تسع سنين، و روي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أنّ الصبيّ لايدفع إليه ماله حتّى يبلغ، فإذا بلغ و أونس منه الرشد، فإنّه يسلّم إليه ماله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إيناس الرشد منه أن يكون مصلحًا لماله، عدلاً في دينه، فأمّا إذا كان مصلحًا لماله غير عدلٍ في دينه، أو كان عدلاً في دينه غير مصلح لماله، </w:t>
      </w:r>
    </w:p>
    <w:p>
      <w:pPr>
        <w:pStyle w:val="BookText"/>
        <w:rPr/>
      </w:pPr>
      <w:r>
        <w:rPr>
          <w:rFonts w:ascii="Amiri" w:hAnsi="Amiri" w:eastAsia="Amiri" w:cs="Amiri"/>
          <w:color w:val="111111"/>
          <w:sz w:val="28"/>
          <w:sz w:val="28"/>
          <w:szCs w:val="28"/>
          <w:rtl w:val="true"/>
          <w:lang w:bidi="ar-SA"/>
        </w:rPr>
        <w:t xml:space="preserve">فإنّه لايدفع إليه ماله، و متى كان غير رشيد لايفكّ حجره و إن بلغ و صار شيخًا، و وقت الاختبار يجب أن يكون قبل البلوغ حتّى إذا بلغ، إمّا أن يسلِّم إليه ماله، أو يحجر عليه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الاختبار بعد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أحوط،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على أنّه يكون قبله ؛ و لأنّه لو كان الاختبار بعد البلوغ أدّى إلى الحجر على البالغ الرشيد إلى أن يعرف حاله، و ذلك لايجوز، فإذا ثبت ذلك فنحن نبيّن كيفيّة اختباره فيما بعد ؛</w:t>
      </w:r>
    </w:p>
    <w:p>
      <w:pPr>
        <w:pStyle w:val="BookText"/>
        <w:rPr/>
      </w:pPr>
      <w:r>
        <w:rPr>
          <w:rFonts w:ascii="Amiri" w:hAnsi="Amiri" w:eastAsia="Amiri" w:cs="Amiri"/>
          <w:color w:val="111111"/>
          <w:sz w:val="28"/>
          <w:sz w:val="28"/>
          <w:szCs w:val="28"/>
          <w:rtl w:val="true"/>
          <w:lang w:bidi="ar-SA"/>
        </w:rPr>
        <w:t xml:space="preserve">و جملته أنّ الأيتام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 و إناث، فالذكور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يبتذلون </w:t>
      </w:r>
      <w:r>
        <w:rPr>
          <w:rStyle w:val="FootnoteAnchor"/>
          <w:rtl w:val="true"/>
        </w:rPr>
        <w:footnoteReference w:id="71"/>
      </w:r>
      <w:r>
        <w:rPr>
          <w:rFonts w:ascii="Amiri" w:hAnsi="Amiri" w:eastAsia="Amiri" w:cs="Amiri"/>
          <w:color w:val="111111"/>
          <w:sz w:val="28"/>
          <w:sz w:val="28"/>
          <w:szCs w:val="28"/>
          <w:rtl w:val="true"/>
          <w:lang w:bidi="ar-SA"/>
        </w:rPr>
        <w:t xml:space="preserve">في الأسواق و يخالطون الناس بالبيع و الشراء ؛ و ضربٌ يصانون عن الأسواق، فالّذين يخالطون الناس و يبتذلون في الأسواق فإنّه يعرف اختبارهم بأن يأمره الوليّ أن يذهب إلى السوق ويساوم في السلع و يقاول فيها و لا يعقد العقد، فإن رآه يحسن ذلك ولايغبن فيه علم أنّه رشيد، و إلاّ لم يفكّ عنه الحجر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اليتيم ممّن يصان عن الأسواق، مثل أولاد الرؤساء و الاُمراء فإنّ اختبارهم أصعب، فيدفع إليهم الوليّ نفقة شهرٍ يختبرهم بها، فينظر، فإن دفعوا إلى أكرتهم و غلمانهم و عمّالهم و معامليهم حقوقهم من غير </w:t>
      </w:r>
    </w:p>
    <w:p>
      <w:pPr>
        <w:pStyle w:val="BookText"/>
        <w:rPr/>
      </w:pPr>
      <w:r>
        <w:rPr>
          <w:rFonts w:ascii="Amiri" w:hAnsi="Amiri" w:eastAsia="Amiri" w:cs="Amiri"/>
          <w:color w:val="111111"/>
          <w:sz w:val="28"/>
          <w:sz w:val="28"/>
          <w:szCs w:val="28"/>
          <w:rtl w:val="true"/>
          <w:lang w:bidi="ar-SA"/>
        </w:rPr>
        <w:t xml:space="preserve">تبذير، و أقسطوا في النفقة على أنفسهم في مطاعمهم و مشاربهم ومكاسبهم سلّم إليهم المال، و إن وجدهم بخلاف ذلك لم يسلّم إليهم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الإناث، فإنّه يصعب اختبارهنّ ؛ لأنّهنّ لايطّلع عليهنّ أحد ولايظهرن لأحد، فيدفع إليهنّ شيئًا من المال و يجعل نساء ثقات، يشرفن عليهنّ، فإن غزلن واستغزلن ونسجن و استنسجن و لم يبذرن، سلّم المال إليهنّ، و إن كنّ بخلاف ذلك لم يسلّم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بلغت المرأة و هي رشيدة دفع إليها مالها و جاز لها أن تتصرّف فيه، سواء كان لها زوج، أو لم يكن، فإن كان لها زوج جاز لها أن تتصرّف في مالها بغير إذن زوجها، و يستحبّ لها أن لاتتصرّف إلاّ بإذنه و ليس بواجب ؛ انتهى كلام المبسوط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الخلاف بعد أن حكم بأنّه لايفكّ حجر الصبيّ إلاّ ببلوغ السنّ والرشد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مصلحًا لماله عدلاً في دينه، فإذا كان مصلحًا لماله غير عدل في دينه، أو كان عدلاً في دينه غير مصلح لماله، فلا يدفع إليه ماله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لايخفى أنّ مقتضى ما ذكره اعتبار العدالة في الرشد، و لا يخفى ما فيه ؛ </w:t>
      </w:r>
    </w:p>
    <w:p>
      <w:pPr>
        <w:pStyle w:val="BookText"/>
        <w:rPr/>
      </w:pPr>
      <w:r>
        <w:rPr>
          <w:rFonts w:ascii="Amiri" w:hAnsi="Amiri" w:eastAsia="Amiri" w:cs="Amiri"/>
          <w:color w:val="111111"/>
          <w:sz w:val="28"/>
          <w:sz w:val="28"/>
          <w:szCs w:val="28"/>
          <w:rtl w:val="true"/>
          <w:lang w:bidi="ar-SA"/>
        </w:rPr>
        <w:t xml:space="preserve">فالقدر المعتبر هو الإصلاح و ملكة حفظ المال، و هو الظاهر ممّا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يخالطون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أنّه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المعنى المدلول بهذه العبارة الكافي في صدق الرشد غير متوقّف على العدالة، كما لايخفى على ذي خبرة و 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اليتيم ممّن يصان من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إليهم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المدلول عليه بالكلامين المذكورين و إن لم ينفكّ عن الرشد، لكنّ الظاهر انتفاء الحاجة إلى تحقّق المعنى المذكور بالفعل، بل الظاهر كفاية الحال الموصلة إلى المعنى المذكور و إن لم يتحقّق بالفعل، كما قد يتحدّث من قرائن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رحمه‌الله في التذكرة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الرشد، فقال الشيخ رحمه‌الله هو أن يكون مصلحًا لماله، عدلاً في دينه، فإذا كان مصلحًا لماله غير عدل في دينه، أو كان عدلاً في دينه غير مصلح لماله، فإنّه لايدفع إليه ؛ و به قال الشافعي و الحسن البصري وابن المنذر،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والفاسق موصوفٌ بالغيّ، لا بالرشد </w:t>
      </w:r>
      <w:r>
        <w:rPr>
          <w:rFonts w:eastAsia="Amiri" w:cs="Amiri" w:ascii="Amiri" w:hAnsi="Amiri"/>
          <w:color w:val="111111"/>
          <w:sz w:val="28"/>
          <w:szCs w:val="28"/>
          <w:rtl w:val="true"/>
          <w:lang w:bidi="ar-SA"/>
        </w:rPr>
        <w:t xml:space="preserve">. </w:t>
      </w:r>
      <w:bookmarkStart w:id="178" w:name="pg7542_72596"/>
    </w:p>
    <w:p>
      <w:pPr>
        <w:pStyle w:val="BookText"/>
        <w:rPr/>
      </w:pPr>
      <w:bookmarkEnd w:id="178"/>
      <w:r>
        <w:rPr>
          <w:rFonts w:ascii="Amiri" w:hAnsi="Amiri" w:eastAsia="Amiri" w:cs="Amiri"/>
          <w:color w:val="111111"/>
          <w:sz w:val="28"/>
          <w:sz w:val="28"/>
          <w:szCs w:val="28"/>
          <w:rtl w:val="true"/>
          <w:lang w:bidi="ar-SA"/>
        </w:rPr>
        <w:t xml:space="preserve">و روي عن ابن عبّاس أنّه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يبلغ ذا وقارٍ و حلم و عقل، و مثله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الفاسق غير رشيد، فلو ارتكب شيئًا من المحرّمات ممّا يسقط به العدالة كان غير رشيد ؛ و كذا لو كان مبذّرًا لماله و تصرّفه في الملاذّ النفيسة والثياب الرقيقة </w:t>
      </w:r>
      <w:r>
        <w:rPr>
          <w:rStyle w:val="FootnoteAnchor"/>
          <w:rtl w:val="true"/>
        </w:rPr>
        <w:footnoteReference w:id="75"/>
      </w:r>
      <w:r>
        <w:rPr>
          <w:rFonts w:ascii="Amiri" w:hAnsi="Amiri" w:eastAsia="Amiri" w:cs="Amiri"/>
          <w:color w:val="111111"/>
          <w:sz w:val="28"/>
          <w:sz w:val="28"/>
          <w:szCs w:val="28"/>
          <w:rtl w:val="true"/>
          <w:lang w:bidi="ar-SA"/>
        </w:rPr>
        <w:t xml:space="preserve">والمركوبات الجليلة الّتي لاتليق بحاله كان سفيهًا و لم يكن رشيدًا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أكثر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الصلاح في المال خاصّة، سواء كان صالحًا في دينه، أو لا ؛ و هو قول مالك و أبي حنيفة و أحمد، و هو المعتمد عندي، انتهى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800210_1051229030"/>
      <w:bookmarkStart w:id="180" w:name="_Toc67"/>
      <w:bookmarkEnd w:id="179"/>
      <w:r>
        <w:rPr>
          <w:rtl w:val="true"/>
        </w:rPr>
        <w:t>تفسير الرشد</w:t>
      </w:r>
      <w:bookmarkEnd w:id="180"/>
    </w:p>
    <w:p>
      <w:pPr>
        <w:pStyle w:val="BookText"/>
        <w:rPr/>
      </w:pPr>
      <w:r>
        <w:rPr>
          <w:rFonts w:ascii="Amiri" w:hAnsi="Amiri" w:eastAsia="Amiri" w:cs="Amiri"/>
          <w:color w:val="111111"/>
          <w:sz w:val="28"/>
          <w:sz w:val="28"/>
          <w:szCs w:val="28"/>
          <w:rtl w:val="true"/>
          <w:lang w:bidi="ar-SA"/>
        </w:rPr>
        <w:t xml:space="preserve">تنقيح الحال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الرشد قد يطلق و يراد به خلاف الغيّ ؛ و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الرُّشْدُ مِنَ الْغَىِّ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قال في الصحاح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الغيّ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يطلق و يراد به الإصلاح في المال و حفظه المقتضي لقوّة العقل ؛ و الظاهر أنّ المراد من الرشد الّذي جعل في الآية الشريفة موقوفًا عليه لدفع المال هو هذا المعنى، كما هو المستفاد من جملةٍ من النصوص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انقطاع يتم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و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الصبيّ والمحجور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وصيّة التهذيب، عن صفوان بن يحيى، عن عيص بن القاسم،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اليتيمة، متى يدفع إليها مالها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لاتفسد و لا تضيع ؛ فسألته إن كانت قد زوّجت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فقد انقطع ملك الوصيّ عنها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مرويّ في أواخر كتاب الوصيّة من الكافي، لكن سند الفقيه والتهذيب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الباب المذكور من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w:t>
      </w:r>
      <w:r>
        <w:rPr>
          <w:rStyle w:val="FootnoteAnchor"/>
          <w:rtl w:val="true"/>
        </w:rPr>
        <w:footnoteReference w:id="80"/>
      </w:r>
      <w:r>
        <w:rPr>
          <w:rFonts w:ascii="IRNazanin" w:hAnsi="IRNazanin" w:eastAsia="IRNazanin"/>
          <w:color w:val="111111"/>
          <w:sz w:val="28"/>
          <w:sz w:val="28"/>
          <w:szCs w:val="28"/>
          <w:rtl w:val="true"/>
          <w:lang w:bidi="fa-IR"/>
        </w:rPr>
        <w:t xml:space="preserve">الرشد حفظ المال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المذكور، عن ابن أبي عمير، عن مثنّى بن راشد، عن أبي بصير،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يتيم قد قرأ القرآن و ليس بعقله بأس، و له مال على يدي رجل، فأراد الّذي عنده المال أن يعمل به حتّى يحتلم و يدفع إليه ماله </w:t>
      </w:r>
      <w:r>
        <w:rPr>
          <w:rStyle w:val="FootnoteAnchor"/>
          <w:rtl w:val="true"/>
        </w:rPr>
        <w:footnoteReference w:id="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احتلم و لم يكن له عقل لم يدفع إليه شيء، أبدًا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مرويّ في أواخر كتاب الوصيّة من الكافي أيضًا بسند اشتمل على إرسال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أواخر كتاب الوصيّة من الكافي، و الباب المذكور من الفقيه، و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الصبي و المحجور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وصيّة التهذيب، عن منصور بن حازم، عن هشام،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إنقطاع يتم اليتيم الاحتلام و هو أشدّه، و إن احتلم و لم يؤنس منه رشد و كان سفيهًا أو ضعيفًا فليمسك عنه وليّه ماله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رواه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على الإفلاس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أيضًا باسناده إلى الأصبغ بن نباته، عن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أن يحجر على الغلام المفسد </w:t>
      </w:r>
    </w:p>
    <w:p>
      <w:pPr>
        <w:pStyle w:val="BookText"/>
        <w:rPr/>
      </w:pPr>
      <w:r>
        <w:rPr>
          <w:rFonts w:ascii="Amiri" w:hAnsi="Amiri" w:eastAsia="Amiri" w:cs="Amiri"/>
          <w:color w:val="111111"/>
          <w:sz w:val="28"/>
          <w:sz w:val="28"/>
          <w:szCs w:val="28"/>
          <w:rtl w:val="true"/>
          <w:lang w:bidi="ar-SA"/>
        </w:rPr>
        <w:t xml:space="preserve">حتّى يعقل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مجملاً اعتبار ظهور رشد بعد از بلوغ در جواز دفع اموال ايتام به ايشان، محلّ وفاق ما بين فقهاست و وجه آن معلوم شد، لكن كلام در تفسير رشد است، ظاهر اين است كه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ملكه اصلاح مال و حفظ و ضبط آن است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اختبار هرگاه مشخّص شد كه بعد از بلوغ متّصف به اين صفت مى‌باشد، جايز است دفع اموال ايشان به ايشان، بلكه لازم و متعيّن است، مگر در صورتى كه خود آنها راضى به تأخير شوند </w:t>
      </w:r>
      <w:r>
        <w:rPr>
          <w:rFonts w:eastAsia="IRNazanin" w:cs="IRNazanin"/>
          <w:color w:val="111111"/>
          <w:sz w:val="28"/>
          <w:szCs w:val="28"/>
          <w:rtl w:val="true"/>
          <w:lang w:bidi="fa-IR"/>
        </w:rPr>
        <w:t xml:space="preserve">. </w:t>
      </w:r>
      <w:bookmarkStart w:id="181" w:name="pg7542_72604"/>
    </w:p>
    <w:p>
      <w:pPr>
        <w:pStyle w:val="Heading2"/>
        <w:numPr>
          <w:ilvl w:val="1"/>
          <w:numId w:val="1"/>
        </w:numPr>
        <w:rPr/>
      </w:pPr>
      <w:bookmarkStart w:id="182" w:name="__RefHeading___Toc2800212_1051229030"/>
      <w:bookmarkStart w:id="183" w:name="_Toc68"/>
      <w:bookmarkEnd w:id="181"/>
      <w:bookmarkEnd w:id="182"/>
      <w:r>
        <w:rPr>
          <w:rtl w:val="true"/>
        </w:rPr>
        <w:t>ولايت حاكم شرع در تزويج</w:t>
      </w:r>
      <w:bookmarkEnd w:id="183"/>
    </w:p>
    <w:p>
      <w:pPr>
        <w:pStyle w:val="Heading3"/>
        <w:numPr>
          <w:ilvl w:val="2"/>
          <w:numId w:val="1"/>
        </w:numPr>
        <w:rPr/>
      </w:pPr>
      <w:bookmarkStart w:id="184" w:name="__RefHeading___Toc2800214_105122903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و أمّا ولايت در تزويج نسبت به حكّام شرع در صورت مذكوره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صورت انتفاء والد و جدّ و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اصحاب اين است كه قبل از بلوغ، ولايت در تزويج نسبت به حكّام شرع ثابت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بعد از بلوغ، پس آنچه بعد از تصفّح در كلمات اصحاب ظاهر مى‌شود،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محلّ خلاف است، نظر به اين كه ظاهر از جمله‌اى از كلمات قدماى اصحاب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در تزويج نسبت به حكّام شرع مطلقًا ثابت نيست </w:t>
      </w:r>
      <w:r>
        <w:rPr>
          <w:rFonts w:eastAsia="IRNazanin" w:cs="IRNazanin"/>
          <w:color w:val="111111"/>
          <w:sz w:val="28"/>
          <w:szCs w:val="28"/>
          <w:rtl w:val="true"/>
          <w:lang w:bidi="fa-IR"/>
        </w:rPr>
        <w:t>:</w:t>
      </w:r>
    </w:p>
    <w:p>
      <w:pPr>
        <w:pStyle w:val="Heading3"/>
        <w:numPr>
          <w:ilvl w:val="2"/>
          <w:numId w:val="1"/>
        </w:numPr>
        <w:rPr/>
      </w:pPr>
      <w:bookmarkStart w:id="186" w:name="__RefHeading___Toc2800216_1051229030"/>
      <w:bookmarkStart w:id="187" w:name="_Toc70"/>
      <w:bookmarkEnd w:id="186"/>
      <w:r>
        <w:rPr>
          <w:rtl w:val="true"/>
        </w:rPr>
        <w:t>ذكر كلمات القائلين بأنّه ليس للحاكم ولاية في التزويج أصلاً</w:t>
      </w:r>
      <w:bookmarkEnd w:id="1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الصدوق، قال في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ولاية لأحدٍ على المرأة إلاّ لأبيها ما لم تتزوّج و كانت بكرًا، فإذا كانت ثيّبًا فلا يجوز عليها تزويج أبيها إلاّ بأمرها، فإذا كان لها أب و جدّ فللجدّ عليها ولاية مادام أبوها حيًّا، لأنّه يملك ولده و ما ملك، فإذا مات الأب لم يزوّجها الجدّ إلاّ بإذنها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ابن حمزة، قال 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إليه العقد على النساء، الّذي بيده عقدة النكاح،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كانت بالغة رشيدة، و على قول بعض الأصحاب باشتراط الثيبوبة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 و الجدّ مع وجود الأب إذا كانت طفلاً أو بالغة غير رشيدة، و يجوز لهما العفو عن بعض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وكيل المرأة إذا كانت مالكة أمرها، انتهى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هذا الكلام عدم ثبوت الولاية في العقد للحكّام أصلاً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قال في المبسوط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له الإجبار على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والجدّ مع وجود الأَب و إن علا، وليس لغيرهما ذلك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له الإجبار على النكاح الأب، والجدّ مع وجود الأب وإن علا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بيده عقدة النكاح عندنا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الّذي هو الأب، أو الجدّ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أو الجدّ مع وجود الأب الأدنى، أو الأخ إذا جعلت الاُخت أمرها إليها، أو من وكّلته في أمرها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في التبيان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ولاية لأحدٍ عندنا إلاّ الأب، أو الجدّ على البكر غير البالغ ؛ و أمّا مَن عداهما فلا ولاية له إلاّ بتوليةٍ منهما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الصلاح، قال في الكافي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نكاح الغبطة و هو نكاح الدوام، فمن شرط صحّته الولاية و عقد الوليّ له بلفظٍ مخصوص يقتضي الإيجاب و قبول المعقود له أو النائب </w:t>
      </w:r>
    </w:p>
    <w:p>
      <w:pPr>
        <w:pStyle w:val="BookText"/>
        <w:rPr/>
      </w:pPr>
      <w:r>
        <w:rPr>
          <w:rFonts w:ascii="Amiri" w:hAnsi="Amiri" w:eastAsia="Amiri" w:cs="Amiri"/>
          <w:color w:val="111111"/>
          <w:sz w:val="28"/>
          <w:sz w:val="28"/>
          <w:szCs w:val="28"/>
          <w:rtl w:val="true"/>
          <w:lang w:bidi="ar-SA"/>
        </w:rPr>
        <w:t xml:space="preserve">عنه والولاية المختصّة بأب المعقود عليها و جدّها له في حياته، فإذا حضرا فالجدّ أولى، و يصحّ لكلّ منهما أن يعقد من دون إذن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كانت صغيرة جاز عقدهما عليها، و لا خيار لها بعد البلوغ، و إن عقد عليها غيرهما كان العقد موقوفًا على بلوغها و إمضائها، و إن كانت بالغًا لم يجز لهما العقد عليها إلاّ بإذنها، فإن عقدا بغير إذنها خالفا السنّة و كان عليها القبول و لها الفسخ، فإن أبت العقد بطل و لايجوز لها العقد على نفسها بغير إذنها، فإن عقدت خالفت السنّة فكان العقد موقوفًا على إمضائهما، انتهى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الحكم باختصاص الولاية في العقد بالأب و الجدّ يقتضي انتفائها في غيرهما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زهرة، قال في الغنية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شرطه أن يكون صادرًا ممّن له ولاية، والولاية الّتي يجوز معها تزويج الصغيرة غير البالغ، سواء كانت بكرًا أو قد ذهبت بكارتها بتزويج أو غيره، و لايكون لها بعد البلوغ خيار بلا خلاف بين أصحابنا، وتزويج البكر البالغ من غير إذنها، على خلافٍ بينهم في ذلك مختصّة بأبيها </w:t>
      </w:r>
    </w:p>
    <w:p>
      <w:pPr>
        <w:pStyle w:val="BookText"/>
        <w:rPr/>
      </w:pPr>
      <w:r>
        <w:rPr>
          <w:rFonts w:ascii="Amiri" w:hAnsi="Amiri" w:eastAsia="Amiri" w:cs="Amiri"/>
          <w:color w:val="111111"/>
          <w:sz w:val="28"/>
          <w:sz w:val="28"/>
          <w:szCs w:val="28"/>
          <w:rtl w:val="true"/>
          <w:lang w:bidi="ar-SA"/>
        </w:rPr>
        <w:t xml:space="preserve">و جدّها له في حياته ؛ و إن لم يكن الأب حيًّا فلا ولاية للجدّ، و من يختاره الجدّ أولى ممّن يختاره الأب، و ليس لأحدهما فسخ العقد الّذي سبق الآخر إليه و إن كان بغير إذنه، و الأولى بالأب استيذان الجدّ بدليل إجماع الطائفة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لا ولاية لغير الأب و الجدّ على البكر، و لا ولاية لهما و لا لغيرهما على البنت البالغ الرشيدة، إلاّ أن تضع نفسها مع غير كفو، فيكون لأبيها أو جدّها 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والكفاءة يثبت عندنا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 إمكان القيام بالنفقة بدليل الإجماع المشار إليه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الظاهر ممّا حكاه العلاّمة في التحرير عن شيخ الطائفة أيضًا،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إنْ كانت صغيرة أو مجنونة كانت الولاية في نكاحها لكلّ واحد من الأب، والجدّ للأب وإن علا، سواء كانت بكرًا، أو ذهبت بكارتها بوط‌ء أو غيره، فإن فقدا معًا كانت ولاية المجنونة إلى الحاكم، يزوّجها مع اعتبار المصلحة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بالحاكم هنا الإمام، أو من يأمره الإمام خاصّة، ولا ولاية له على الصغيرة، و لو فقد الحاكم انتفت الولاية عنها أيضًا ؛ وإن </w:t>
      </w:r>
    </w:p>
    <w:p>
      <w:pPr>
        <w:pStyle w:val="BookText"/>
        <w:rPr/>
      </w:pPr>
      <w:r>
        <w:rPr>
          <w:rFonts w:ascii="Amiri" w:hAnsi="Amiri" w:eastAsia="Amiri" w:cs="Amiri"/>
          <w:color w:val="111111"/>
          <w:sz w:val="28"/>
          <w:sz w:val="28"/>
          <w:szCs w:val="28"/>
          <w:rtl w:val="true"/>
          <w:lang w:bidi="ar-SA"/>
        </w:rPr>
        <w:t xml:space="preserve">كانت بالغة رشيدة </w:t>
      </w:r>
      <w:r>
        <w:rPr>
          <w:rStyle w:val="FootnoteAnchor"/>
          <w:rtl w:val="true"/>
        </w:rPr>
        <w:footnoteReference w:id="9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الظهور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ممّن يأمره الإمام غير الحاكم ؛ و لمّا كان الكلام المذكور دالاًّ على انحصار الولاية على المجنونة عند فقد الأب و الجدّ في الإمام ومن يأمره الإمام اقتضى انتفاء الولاية عليها للحاكم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حكايته عن شيخ الطائفة من غير إشارة إلى ردّه، يؤمي إلى اعتقاده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عزاه إلى شيخ الطائفة و إن كان مدلولاً عليه بما ذكره في المبسوط في أوّل الأمر، لكن كلامه بعده بقليل نصّ على خلافه كما ستقف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قال في السرائر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من يتولّى العقد على النساء ؛ عندنا أنّه لا ولاية على النساء الصغار الّلاتي لم يبلغن تسع سنين إلاّ للأب، و الجدّ من قبل الأب، إلاّ أنّ لولاية الجدّ رجحانًا و أولويّة هنا بغير خلاف بين أصحابنا، إلاّ من شيخنا أبي جعفر في نهايته </w:t>
      </w:r>
      <w:r>
        <w:rPr>
          <w:rStyle w:val="FootnoteAnchor"/>
          <w:rtl w:val="true"/>
        </w:rPr>
        <w:footnoteReference w:id="97"/>
      </w:r>
      <w:r>
        <w:rPr>
          <w:rFonts w:ascii="Amiri" w:hAnsi="Amiri" w:eastAsia="Amiri" w:cs="Amiri"/>
          <w:color w:val="111111"/>
          <w:sz w:val="28"/>
          <w:sz w:val="28"/>
          <w:szCs w:val="28"/>
          <w:rtl w:val="true"/>
          <w:lang w:bidi="ar-SA"/>
        </w:rPr>
        <w:t xml:space="preserve">، فإنّه يجعل ولاية الجدّ مرتبطة بحياة الأب 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 ولايته بعد الأب ثابتة باقية في مالها و غيره، والأصل بقاؤها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و تقتضيه </w:t>
      </w:r>
      <w:r>
        <w:rPr>
          <w:rStyle w:val="FootnoteAnchor"/>
          <w:rtl w:val="true"/>
        </w:rPr>
        <w:footnoteReference w:id="99"/>
      </w:r>
      <w:r>
        <w:rPr>
          <w:rFonts w:ascii="Amiri" w:hAnsi="Amiri" w:eastAsia="Amiri" w:cs="Amiri"/>
          <w:color w:val="111111"/>
          <w:sz w:val="28"/>
          <w:sz w:val="28"/>
          <w:szCs w:val="28"/>
          <w:rtl w:val="true"/>
          <w:lang w:bidi="ar-SA"/>
        </w:rPr>
        <w:t xml:space="preserve">اُصول المذهب و يشهد بصحّته النظر والاعتبار والأدلّة القاهرة والآثار أنّ الأب أو الجدّ من قبله مع حياته أو موته إذا عقدا على غير البالغ فلهما أن يعفوا عمّا يستحقّه من نصف المهر بعد الطلاق، إذا رأيا ذلك مصلحة لها و تكون المرأة وقت عفوهما غير بالغ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يحيى بن سعيد، قال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والجدّ و من أوصى إليه و من ولّته أمرها و هي رشيدة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عليك أنّ مقتضى الكلمات المذكورة انتفاء ولاية التزويج للحاكم مطلقًا ولو بلغت غير رشيدة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 الطائفة في المبسوط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بلغت الحرّة رشيدة ملكت كلّ عقد من النكاح و البيع و غير ذلك، و 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بكرًا لايجوز لها العقد على نفسها إلاّ </w:t>
      </w:r>
    </w:p>
    <w:p>
      <w:pPr>
        <w:pStyle w:val="BookText"/>
        <w:rPr/>
      </w:pPr>
      <w:r>
        <w:rPr>
          <w:rFonts w:ascii="Amiri" w:hAnsi="Amiri" w:eastAsia="Amiri" w:cs="Amiri"/>
          <w:color w:val="111111"/>
          <w:sz w:val="28"/>
          <w:sz w:val="28"/>
          <w:szCs w:val="28"/>
          <w:rtl w:val="true"/>
          <w:lang w:bidi="ar-SA"/>
        </w:rPr>
        <w:t xml:space="preserve">بإذن أبيها، و في المخالفين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نكاحٌ إلاّ بوليّ ؛ و فيه خلاف، و إذا تزوّج من ذكرناه بغير وليّ كان العقد صحيحًا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عاقلة و مجنونة، فإن كانت مجنونة نظرت، فإن كان لها أب أو جدّ كان لهما تزويجها، صغيرة كانت أو كبيرة، بكرًا كانت أو ثيّبًا، فإن لم يكن لها أب و لا جدّ و لها أخ أو ابن أخٍ أو عمّ أو مولى نعمة فليس له إجبارها بحالٍ، صغيرة كانت أو كبيرةً، بكرًا كانت أو ثيّبًا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للحاكم تزويجها، و عند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تزويجها إن كانت كبيرة، بكرًا كانت أو ثيّبًا ؛ و عندنا يجوز ذلك للإمام الّذي يلى عليها، أو من يأمره الإمام بذلك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عاقلة نظرت، فإن كان لها أب أو جدّ أجبرها إن كانت بكرًا، صغيرة كانت أو كبيرة، و إن كانت ثيّبًا كبيرة لم يكن لهما ذلك ؛ وإن كانت ثيّبًا صغيرة كان لهما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من قال ليس لهما ذلك على حالٍ ؛ و إن كان لها أخ أو ابن أخٍ أو عمٍّ أو ابن عمٍّ أو مولى نعمة لم يكن تزويجها صغيرة بحالٍ، و إن كانت كبيرة كان له تزويجها بأمرها بكرًا كانت أو ثيّبًا، و الحاكم في هذا كالأخ و العمّ، سواء في جميع ما قلنا، إلاّ في المجنونة الكبيرة، فإنّ له أن يزوّجها، و ليس للأخ و العمّ ذلك، فهذا </w:t>
      </w:r>
    </w:p>
    <w:p>
      <w:pPr>
        <w:pStyle w:val="BookText"/>
        <w:rPr/>
      </w:pPr>
      <w:r>
        <w:rPr>
          <w:rFonts w:ascii="Amiri" w:hAnsi="Amiri" w:eastAsia="Amiri" w:cs="Amiri"/>
          <w:color w:val="111111"/>
          <w:sz w:val="28"/>
          <w:sz w:val="28"/>
          <w:szCs w:val="28"/>
          <w:rtl w:val="true"/>
          <w:lang w:bidi="ar-SA"/>
        </w:rPr>
        <w:t xml:space="preserve">ترتيب النساء على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ترتيب الأولياء على النساء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 جدّ أو أخ و ابن أخ و عمّ و ابن عمّ و مولى نعمة، أو حاكم، فإن كان أب أو جدّ و كانت مجنونة أجبرها، صغيرة كانت أو كبيرة، ثيّبًا كانت أو بكرًا، و إن كانت عاقلة أجبرها إن كانت بكرًا صغيرة كانت أو كبيرة، و إن كانت ثيّبًا لم يجبرها صغيرةً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عندنا أنّ له إجبارها إذا كانت صغيرة و له تزويجها بإذنها إذا كانت كبيرة، فإن كان لها أخ و ابن أخٍ و عمّ و ابن عمٍّ و مولى نعمة لم يجبرها أحد منهم، صغيرةً كانت أو كبيرة، بكرًا كانت أو ثيّبًا، عاقلة كانت أو مجنونة، و الحاكم يجبرها إذا كانت مجنونة، صغيرةً كانت أو كبيرة، و إن كانت عاقلة فهو كالعمّ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المبسوط ؛ و لا يخفى ما في هذا الكلام من المنافاة، لأنّه قال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ولايجوز للحاكم تزويجها، و عند المخالف تزويجها للحاكم إن كانت كبيرة، بكرًا كانت أو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والحاكم في هذه كالأخ و العمّ، سواء في جميع ما قلنا، إلاّ في المجنونة الكبيرة، فإنّ له أن يزوجّها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الحاكم يجبرها</w:t>
      </w:r>
    </w:p>
    <w:p>
      <w:pPr>
        <w:pStyle w:val="BookText"/>
        <w:rPr/>
      </w:pPr>
      <w:r>
        <w:rPr>
          <w:rFonts w:ascii="Amiri" w:hAnsi="Amiri" w:eastAsia="Amiri" w:cs="Amiri"/>
          <w:color w:val="111111"/>
          <w:sz w:val="28"/>
          <w:sz w:val="28"/>
          <w:szCs w:val="28"/>
          <w:rtl w:val="true"/>
          <w:lang w:bidi="ar-SA"/>
        </w:rPr>
        <w:t xml:space="preserve">إذا كانت مجنونة، صغيرة كانت أو كبيرة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 المنافاة يمكن بأحد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الحاكم في الموضعين الأخيرين هو الإمام، أو مَن يأمره الإمام بذلك،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عندنا يجوز ذلك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 يكون المراد من الحاكم في الأوّل هو الفقيه الجامع لشرائط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الحاكم في المواضع الثلاثة هو هذا المعنى، و يكون ذلك من باب تغيّر الرأي و تبدّل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المذكور من العلاّمة في التحرير مبنيّ على الأوّل، لِبُعد التغيير في الرأي مع اتّصال الكلامين ؛ و يؤيّده نسبة ثبوت الولاية للحاكم في</w:t>
      </w:r>
    </w:p>
    <w:p>
      <w:pPr>
        <w:pStyle w:val="BookText"/>
        <w:rPr/>
      </w:pPr>
      <w:r>
        <w:rPr>
          <w:rFonts w:ascii="Amiri" w:hAnsi="Amiri" w:eastAsia="Amiri" w:cs="Amiri"/>
          <w:color w:val="111111"/>
          <w:sz w:val="28"/>
          <w:sz w:val="28"/>
          <w:szCs w:val="28"/>
          <w:rtl w:val="true"/>
          <w:lang w:bidi="ar-SA"/>
        </w:rPr>
        <w:t xml:space="preserve">الأوّل إلى المخالف و تذييله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عندنا يجوز ذلك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كلمات هؤلاء الأعاظم المذكورة دلالة على ثبوت الولاية للحاكم في التزويج أصلاً، إلاّ ما علمت من كلام شيخ الطائفة في المبسوط من التصريح بثبوت الولاية في التزويج للحاكم، لكن قد عرفت حقيقة الحال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ذكره الفاضل ابن البرّاج في مهذّبه في أوّل كلامه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 جدّ، و أخ، و عمّ، و ابن عمّ، و مولى نعمة أو حاكم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الأولياء وأردت ترتيب الأولياء على النساء كان هذا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 جدّا، و أخا، و عمّا، وابن عمّ، و مولى نعمة و حاكمًا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7542_72625"/>
    </w:p>
    <w:p>
      <w:pPr>
        <w:pStyle w:val="BookText"/>
        <w:rPr/>
      </w:pPr>
      <w:bookmarkEnd w:id="188"/>
      <w:r>
        <w:rPr>
          <w:rFonts w:ascii="Amiri" w:hAnsi="Amiri" w:eastAsia="Amiri" w:cs="Amiri"/>
          <w:color w:val="111111"/>
          <w:sz w:val="28"/>
          <w:sz w:val="28"/>
          <w:szCs w:val="28"/>
          <w:rtl w:val="true"/>
          <w:lang w:bidi="ar-SA"/>
        </w:rPr>
        <w:t xml:space="preserve">ثمّ تعرّض لتفصيل المسألة، لكن لم يذكر ما يعلم منه أنّ ولاية الحاكم في أيّ مقام، فيمكن أن يكون الأمر فيه كالأخ والعمّ وابن العمّ ؛ هذا على النسخة الّتي عندي، و إمكان الغلط فيها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انّه لم يظهر من كلماتهم المذكورة ما يدلّ على حكمهم بثبوت الولاية للحاكم في التزويج أصلاً، لكن صرّح بذلك شيخ الطائفة في المبسوط فيما بعد 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أنّ الولاية للأب والجدّ لا غير، فإن عضلاها كانت هي وليّة نفسها لوليّ أمرها من شاءت إذا كانت رشيدة، و إن كانت صغيرة فلا عضل في أمرها بلا خلاف ؛ و لا ولاية للسلطان على امرأة عندنا إلاّ إذا كانت غير رشيدة، أو مولّى عليها، أو مغلوبًا على عقلها، و لا يكون لها مناسب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800218_1051229030"/>
      <w:bookmarkStart w:id="190" w:name="_Toc71"/>
      <w:bookmarkEnd w:id="189"/>
      <w:r>
        <w:rPr>
          <w:rtl w:val="true"/>
        </w:rPr>
        <w:t>استقصاء كلمات الفقهاء في المسألة</w:t>
      </w:r>
      <w:bookmarkEnd w:id="190"/>
    </w:p>
    <w:p>
      <w:pPr>
        <w:pStyle w:val="BookText"/>
        <w:rPr/>
      </w:pPr>
      <w:r>
        <w:rPr>
          <w:rFonts w:ascii="Amiri" w:hAnsi="Amiri" w:eastAsia="Amiri" w:cs="Amiri"/>
          <w:color w:val="111111"/>
          <w:sz w:val="28"/>
          <w:sz w:val="28"/>
          <w:szCs w:val="28"/>
          <w:rtl w:val="true"/>
          <w:lang w:bidi="ar-SA"/>
        </w:rPr>
        <w:t xml:space="preserve">لكن لتفرّق كلماتهم ضبط أمرها المتأخّرون مع اختلافهم في التعبير، فها أنا أستقصى كلماتهم لتحقيق الحال في المسألة، فأقول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للحاكم ولاية في النكاح على من لم يبلغ، و لا على بالغ رشيد، ويثبت ولايته على من بلغ غير رشيد، أو تجدّد فساد عقله إذا كان النكاح صلاحًا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ولاية للوصيّ، و إن نصّ له الموصي على النكاح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للوصيّ أن يزّوج من بلغ فاسد العقل إذا كان به ضرورة إلى النكاح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يزوّج الوصيّ إلاّ من بلغ فاسد العقل مع اعتبار المصلحة، و كذا الحاكم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تثبت ولاية الوصيّ على الصغيرين و إن نصّ الموصي على الإنكاح، على رأي ؛ و يثبت ولايته على من بلغ فاسد العقل مع الحاجة، و حكم الحاكم حكم الوصيّ في انتفاء ولايته على الصغيرين، و ثبوتها على المجنونين مع الحاجة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الحاكم يختصّ في النكاح على البالغ فاسد العقل، أو من تجدّد جنونه بعد بلوغه، ذكرًا كان أو أنثى مع الغبطة ؛ و لا ولاية له على الصغيرين و لا على الرشيدين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ولاية في النكاح إلاّ على ناقص بصغر، أو جنون، أو سفه، أو رقّ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بالسلطان هنا الإمام العادل، أو من يأذن له الإمام ؛ و يدخل فيه الفقيه المأمون القائم بشرائط الاقتداء و الحكم ؛ و ليس له ولاية عامّة، فليس له ولاية على الصغيرين، و لا على من بلغ رشيدًا،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تثبت ولايته على من بلغ غير رشيد، أو تجدّد فساد عقله إذا كان النكاح صلاحًا له، لأصالة انتفاء الولاية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ثبوت ولايته على من ذكرناه، فلأنّه وليّه في ماله إجماعًا، فيكون وليّه في النكاح، لأنّه من جملة المصالح ؛ و لرواية عبداللّه بن سنان الصحيحة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هو وليّ أمرها، ولا نعلم خلافًا بين العلماء في أنّ للسلطان ولاية على تزويج فاسد العقل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التبصرة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الولاية للأب و إن علا، و الوصيّ، و الحاكم، فالأب على الصغيرين والمجنونين، و لا خيار لهما بعد زوال الوصفين، و البالغ الرشيد لا ولاية عليه ذكرًا كان أو أنثى ؛ و الحاكم والوصيّ على المجنون، ذكرًا كان أو أنثى مع المصلحة، و يقف عقد غيرهم على الإجازة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للأب و الجدّ له مطلقًا ولاية النكاح على الصغيرين، و إن كانت الأُنثى ثيّبًا، و البالغين مع الجنون لا بدونه في النكاحين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للحاكم و للوصيّ على البالغ المجنون 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فولاية القرابة على الصغيرة، أو المجنونة، أو البالغة سفيهة، و كذا الذكر، لا على الرشيدة في الأصحّ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الحاكم و الوصيّ يزوّجان مَن بلغ فاسد العقل مع كون النكاح صلاحًا له، و خلوّه من الأب و الجدّ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الروضة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سفيهًا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كنز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الحاكم، و هي تختصّ بمن بلغ فاسد العقل، ليس له ولىّ، أو فسد عقله أو رأيه بعد بلوغه و رشده، و يراعى في كلّ ذلك مصلحة المولّى عليه في النكاح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للحاكم الولاية على البالغ الرشيد، بلا فرق بين الذكر والأنثى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ثبوت الولاية للأب و الجدّ أو للحاكم في السفه المتّصل بالصغر قولان، أمّا في الطارى‌ء بعد البلوغ و الرشد فالمشهور أنَّها للحاكم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الولاية للحاكم على من تجدّد فساد عقله بشرط الغبطة، و في ثبوتها له على من بلغ فاسد العقل وجهان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91" w:name="pg7542_72635"/>
    </w:p>
    <w:p>
      <w:pPr>
        <w:pStyle w:val="Heading3"/>
        <w:numPr>
          <w:ilvl w:val="2"/>
          <w:numId w:val="1"/>
        </w:numPr>
        <w:rPr/>
      </w:pPr>
      <w:bookmarkStart w:id="192" w:name="__RefHeading___Toc2800220_1051229030"/>
      <w:bookmarkStart w:id="193" w:name="_Toc72"/>
      <w:bookmarkEnd w:id="191"/>
      <w:bookmarkEnd w:id="192"/>
      <w:r>
        <w:rPr>
          <w:rtl w:val="true"/>
        </w:rPr>
        <w:t>إيراد النصوص الواردة في الباب</w:t>
      </w:r>
      <w:bookmarkEnd w:id="193"/>
    </w:p>
    <w:p>
      <w:pPr>
        <w:pStyle w:val="BookText"/>
        <w:rPr/>
      </w:pPr>
      <w:r>
        <w:rPr>
          <w:rFonts w:ascii="Amiri" w:hAnsi="Amiri" w:eastAsia="Amiri" w:cs="Amiri"/>
          <w:color w:val="111111"/>
          <w:sz w:val="28"/>
          <w:sz w:val="28"/>
          <w:szCs w:val="28"/>
          <w:rtl w:val="true"/>
          <w:lang w:bidi="ar-SA"/>
        </w:rPr>
        <w:t xml:space="preserve">تنقيح المقام يستدعي إيراد النصوص الواردة في الباب، ثمّ العود إلى تحقيق المقام،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الغلام والجارية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 الكافي، وباب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ابن محبوب، عن أبي أيّوب الخزّاز، عن يزيد الكناسي،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إذا بلغت تسع سنين ذهب عنها اليتم و زوّجت و أقيمت الحدود التامّة عليها و لها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السند من يتأمّل في شأنه إلاّ الراوي المذكور، و قد حكى العلاّمة في الإيضاح عن محمّد بن معد الموسويّ أنّه حكى عن الدارقطني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من شيوخ الشيعة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السند إلى ابن محبوب في الكتابين صحيح، و هو من أصحاب الإجماع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الكافي، عن ابن أبي عمير، عن رجل،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ابنة كم لاتستصبى، ابنة ستّ أو سبع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ابنة تسع </w:t>
      </w:r>
    </w:p>
    <w:p>
      <w:pPr>
        <w:pStyle w:val="BookText"/>
        <w:rPr/>
      </w:pPr>
      <w:r>
        <w:rPr>
          <w:rFonts w:ascii="Amiri" w:hAnsi="Amiri" w:eastAsia="Amiri" w:cs="Amiri"/>
          <w:color w:val="111111"/>
          <w:sz w:val="28"/>
          <w:sz w:val="28"/>
          <w:szCs w:val="28"/>
          <w:rtl w:val="true"/>
          <w:lang w:bidi="ar-SA"/>
        </w:rPr>
        <w:t xml:space="preserve">لا تستصبى، و أجمعوا كلَّهم على أنّ ابنة تسعلاتستصبى، إلاّ أن يكون في عقلها ضعف، و إلاّ فإذا هي بلغت </w:t>
      </w:r>
      <w:r>
        <w:rPr>
          <w:rStyle w:val="FootnoteAnchor"/>
          <w:rtl w:val="true"/>
        </w:rPr>
        <w:footnoteReference w:id="118"/>
      </w:r>
      <w:r>
        <w:rPr>
          <w:rFonts w:ascii="IRNazanin" w:hAnsi="IRNazanin" w:eastAsia="IRNazanin"/>
          <w:color w:val="111111"/>
          <w:sz w:val="28"/>
          <w:sz w:val="28"/>
          <w:szCs w:val="28"/>
          <w:rtl w:val="true"/>
          <w:lang w:bidi="fa-IR"/>
        </w:rPr>
        <w:t xml:space="preserve">تسعًا فقد بلغت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يمكن أن يكون من كلام ابن أبي عمير، أو ثقة الإسلام ؛ واحتمال كونه من كلامه عليه‌السلام و إن كان قائمًا، لكنّه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ابنة تسع لاتستصبى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إكمال ستّ سنين أو سبع سنين لايكفي في الحكم بخروجها عن الصباوة، بل إذا أكملت تسع سنين لاتعدّ 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التهذيب، عن صفوان بن يحيى، عن إبراهيم بن محمّد الأشعريّ، عن إبراهيم بن محمّد الخثعميّ،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يتمتّع منها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تكون صبيّة تخدع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فكم الحدّ الّذي إذا بلغته لم تخدع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عشر سنين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الفقيه أيضًا </w:t>
      </w:r>
      <w:r>
        <w:rPr>
          <w:rStyle w:val="FootnoteAnchor"/>
          <w:rtl w:val="true"/>
        </w:rPr>
        <w:footnoteReference w:id="121"/>
      </w:r>
      <w:r>
        <w:rPr>
          <w:rFonts w:ascii="Amiri" w:hAnsi="Amiri" w:eastAsia="Amiri" w:cs="Amiri"/>
          <w:color w:val="111111"/>
          <w:sz w:val="28"/>
          <w:sz w:val="28"/>
          <w:szCs w:val="28"/>
          <w:rtl w:val="true"/>
          <w:lang w:bidi="ar-SA"/>
        </w:rPr>
        <w:t xml:space="preserve">، لكن سند التهذيب أقوى، إذ ليس فيه من يتأمّل فيه إلاّ إبراهيم بن محمّد الخثعميّ، لكونه مهملاً غير مذكور في الرجال، لكنّ السند إلى صفوان بن يحيى صحيح، و هو من أصحاب الإجماع </w:t>
      </w:r>
      <w:r>
        <w:rPr>
          <w:rFonts w:eastAsia="Amiri" w:cs="Amiri" w:ascii="Amiri" w:hAnsi="Amiri"/>
          <w:color w:val="111111"/>
          <w:sz w:val="28"/>
          <w:szCs w:val="28"/>
          <w:rtl w:val="true"/>
          <w:lang w:bidi="ar-SA"/>
        </w:rPr>
        <w:t xml:space="preserve">. </w:t>
      </w:r>
      <w:bookmarkStart w:id="194" w:name="pg7542_72639"/>
    </w:p>
    <w:p>
      <w:pPr>
        <w:pStyle w:val="BookText"/>
        <w:rPr/>
      </w:pPr>
      <w:bookmarkEnd w:id="194"/>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الزيادات من فقه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محمّد بن هاشم، عن أبي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البكر بنت تسع سنين فليست مخدوعة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800222_1051229030"/>
      <w:bookmarkStart w:id="196" w:name="_Toc73"/>
      <w:bookmarkEnd w:id="195"/>
      <w:r>
        <w:rPr>
          <w:rtl w:val="true"/>
        </w:rPr>
        <w:t>المستفاد من النصوص المذكورة</w:t>
      </w:r>
      <w:bookmarkEnd w:id="196"/>
    </w:p>
    <w:p>
      <w:pPr>
        <w:pStyle w:val="BookText"/>
        <w:rPr/>
      </w:pPr>
      <w:r>
        <w:rPr>
          <w:rFonts w:ascii="Amiri" w:hAnsi="Amiri" w:eastAsia="Amiri" w:cs="Amiri"/>
          <w:color w:val="111111"/>
          <w:sz w:val="28"/>
          <w:sz w:val="28"/>
          <w:szCs w:val="28"/>
          <w:rtl w:val="true"/>
          <w:lang w:bidi="ar-SA"/>
        </w:rPr>
        <w:t xml:space="preserve">و لا يخفى عليك أنّ المستفاد من النصوص المذكورة أنّ البنت إذا أكملت تسع سنين ذهب عنها اليتم، فيسوغ لها التزويج، فالمستفاد منها قاعدة،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بنت إذا أكملت تسع سنين ذهب عنها اليتم و جاز لها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الغالب في البنات البالغة تسع سنين عدم اتّصافهنّ بالرشد المعتبر في دفع أموالهنّ إليهنّ، فينبغي هناك الحكم بجواز تزويجهنّ و عدم جواز دفع أموالهنّ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يتّفق في البالغة تسع سنين الترقّي عمّا عليه الغالب، فيكون متّصفة بالرشد المعتبر في دفع المال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يتّفق التنزّل عمّا عليه غالب أفراد البالغة الحدّ المذكور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يحكم بجواز التزويج و عدم جواز دفع المال، كما أنّه يحكم في الثاني بجواز الأمرين، و في الثالث بعدم جواز شيء منهما، لوضوح حمل الألفاظ </w:t>
      </w:r>
      <w:bookmarkStart w:id="197" w:name="pg7542_72641"/>
    </w:p>
    <w:p>
      <w:pPr>
        <w:pStyle w:val="BookText"/>
        <w:rPr/>
      </w:pPr>
      <w:bookmarkEnd w:id="197"/>
      <w:r>
        <w:rPr>
          <w:rFonts w:ascii="Amiri" w:hAnsi="Amiri" w:eastAsia="Amiri" w:cs="Amiri"/>
          <w:color w:val="111111"/>
          <w:sz w:val="28"/>
          <w:sz w:val="28"/>
          <w:szCs w:val="28"/>
          <w:rtl w:val="true"/>
          <w:lang w:bidi="ar-SA"/>
        </w:rPr>
        <w:t xml:space="preserve">الواردة في الكتاب والسنّة على ما هو المعهود والغالب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هو المدلول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إذ المراد من بلوغ النكاح هو إكمال تسع سنين في الإناث، و خمس عشر سنة في الذكور، إطلاقًا للمسبّب على السبب، و تسميةً للسبب باسم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مدلول الآية الشريفة أنّ البلوغ بحدّ النكاح قد يجتمع مع الرشد والمناط في دفع المال، و قد ينفكّ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بمعونة الشرط و مفهومه صريحةٌ في أنّ الرشد المعتبر في دفع المال إلى اليتيم غير معتبر في نكاحه كما لايخفى، فالآية الشريفة مؤكِّدة للإطلاق في النصوص المذكورة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800224_1051229030"/>
      <w:bookmarkStart w:id="199" w:name="_Toc74"/>
      <w:bookmarkEnd w:id="198"/>
      <w:r>
        <w:rPr>
          <w:rtl w:val="true"/>
        </w:rPr>
        <w:t>ذكر كلمات العلماء في المسألة</w:t>
      </w:r>
      <w:bookmarkEnd w:id="199"/>
    </w:p>
    <w:p>
      <w:pPr>
        <w:pStyle w:val="BookText"/>
        <w:rPr/>
      </w:pPr>
      <w:r>
        <w:rPr>
          <w:rFonts w:ascii="Amiri" w:hAnsi="Amiri" w:eastAsia="Amiri" w:cs="Amiri"/>
          <w:color w:val="111111"/>
          <w:sz w:val="28"/>
          <w:sz w:val="28"/>
          <w:szCs w:val="28"/>
          <w:rtl w:val="true"/>
          <w:lang w:bidi="ar-SA"/>
        </w:rPr>
        <w:t xml:space="preserve">و لذا ترى جماعة من عظماء الأصحاب عبّروا بما اقتضاه ظاهر الكتاب و ما ذكر من الأخبار ؛ قال شيخنا الصدوق رحمه‌الله في المقنع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تتزوّج امرأة حتّى تبلغ تسع سنين، فإن تزوّجتها قبل أن تبلغ تسع </w:t>
      </w:r>
    </w:p>
    <w:p>
      <w:pPr>
        <w:pStyle w:val="BookText"/>
        <w:rPr/>
      </w:pPr>
      <w:r>
        <w:rPr>
          <w:rFonts w:ascii="Amiri" w:hAnsi="Amiri" w:eastAsia="Amiri" w:cs="Amiri"/>
          <w:color w:val="111111"/>
          <w:sz w:val="28"/>
          <w:sz w:val="28"/>
          <w:szCs w:val="28"/>
          <w:rtl w:val="true"/>
          <w:lang w:bidi="ar-SA"/>
        </w:rPr>
        <w:t xml:space="preserve">سنين فأصابها عيب فأنت ضامن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البالغة تعقد على نفسها النكاح إن شاءت ذلك، و إن شاءت وكلت من يعقد عليها ؛ و ذوات الآباء من الأبكار ينبغي لهنّ أن لايعقدن على أنفسهنّ إلاّ بإذن آبائهنّ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أن يتزوّج الرجل متعة بكرًا، ليس لها أب من غير وليّ و يدخل بها، فإن كانت البكر بين أبويها، و كانت دون البالغ، لم يجز العقد عليها إلاّ بإذن أبيها ؛ و إن كانت بالغًا و قد بلغت حدّ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 سنين إلى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العقد عليها من غير إذن أبيها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 الجارية الّتي يجوز لها العقد على نفسها، أو يجوز لها أن تولّي من يعقد عليها، تسع سنين فصاعدًا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البكر البالغ إذا لم يكن لها أب، جاز لها أن تعقد على نفسها أيّ نكاح شاءت من غير وليّ، و لها أن تولّي من شاءت العقد عليها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لايصّح نكاح الثيّب إلاّ بإذنها، و إذنها نطقها بلا خلاف ؛ و أمّا البكر وإن كان لها وليّ له الإجبار مثل الأب و الجدّ، فلا يفتقر نكاحها إلى إذنها ولا إلى نطقها، فإن لم يكن له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و ابن الأخ و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إذنها، والأحوط أن يراعي نطقها، و هو الأقوى عند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سكوتها لعموم الخبر و هو قوىّ إذا كان ولى تحلّ له جاز أن يزوّجها من نفسه بإذنها، و عند قوم لايجوز، و فيه خلاف، متى أراد أن يزوّجها من غيره و كانت كبيرة جاز بإذنها بلا خلاف، و إن كانت صغيرة لم يكن له تزويجها من أحد بلا خلاف أيضًا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الوليّ الّذي هو الأب أو الجدّ غائبًا مفقودًا لا يعرف خبره، أو يعرف خبره، فهو على ولايته، و ليس لأحد تزويج بنته الصغيرة، فإذا </w:t>
      </w:r>
      <w:bookmarkStart w:id="200" w:name="pg7542_72647"/>
    </w:p>
    <w:p>
      <w:pPr>
        <w:pStyle w:val="BookText"/>
        <w:rPr/>
      </w:pPr>
      <w:bookmarkEnd w:id="200"/>
      <w:r>
        <w:rPr>
          <w:rFonts w:ascii="Amiri" w:hAnsi="Amiri" w:eastAsia="Amiri" w:cs="Amiri"/>
          <w:color w:val="111111"/>
          <w:sz w:val="28"/>
          <w:sz w:val="28"/>
          <w:szCs w:val="28"/>
          <w:rtl w:val="true"/>
          <w:lang w:bidi="ar-SA"/>
        </w:rPr>
        <w:t xml:space="preserve">بلغت كان لها أن تزوّج نفسها، أو توكل من يزوّجها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عدا من ذكرناه يصّح نكاحه إلاّ ما سنبيّنه، فمن ذلك أن تعقد المرأة على نفسها، أو من توكله إذا كانت بالغة ثيّبًا، فأمّا الصغار فيعقد لهنّ آبائهنّ، و لا خيار لهنّ بعد البلوغ، و كذلك إن عقد عليهنّ أجدادهنّ بشرط وجود الأب، فإن عقد عليهنّ غيرهنّ ذكرناه، من الأخ أو العمّ أو الخال، كان موقوفًا على رضاهنّ عند البلوغ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800226_1051229030"/>
      <w:bookmarkStart w:id="202" w:name="_Toc75"/>
      <w:bookmarkEnd w:id="201"/>
      <w:r>
        <w:rPr>
          <w:rtl w:val="true"/>
        </w:rPr>
        <w:t>كلمات العلماء في المسألة على أقسام</w:t>
      </w:r>
      <w:bookmarkEnd w:id="202"/>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كلماتهم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بالبلوغ و عدمه، و قد 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الرشد أيضًا ؛ قال في الوسيلة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بيده عقدة النكاح على النساء </w:t>
      </w:r>
      <w:r>
        <w:rPr>
          <w:rStyle w:val="FootnoteAnchor"/>
          <w:rtl w:val="true"/>
        </w:rPr>
        <w:footnoteReference w:id="132"/>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كانت بالغة رشيدة، و الأب، و الجدّ مع وجود الأب إذا كانت طفلاً، أو بالغة غير </w:t>
      </w:r>
    </w:p>
    <w:p>
      <w:pPr>
        <w:pStyle w:val="BookText"/>
        <w:rPr/>
      </w:pPr>
      <w:r>
        <w:rPr>
          <w:rFonts w:ascii="Amiri" w:hAnsi="Amiri" w:eastAsia="Amiri" w:cs="Amiri"/>
          <w:color w:val="111111"/>
          <w:sz w:val="28"/>
          <w:sz w:val="28"/>
          <w:szCs w:val="28"/>
          <w:rtl w:val="true"/>
          <w:lang w:bidi="ar-SA"/>
        </w:rPr>
        <w:t xml:space="preserve">رشيدة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والحرّة بالغة و طفل، و البالغة رشيدة و غير رشيدة، فإذا بلغت الحرّة رشيدة ملكت جميع العقود و زالت الولاية عنها على قول المرتضى ؛ و لم تزل إذا كانت بكرًا على قول الشيخ أبي جعفر و من وافقه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بلوغ المرأة يعرف بالحيض، أو بلوغها تسع سنين فصاعدٍا، و رشدها بوضعها الأشياء مواضعها ممّا يتعلّق بالمرأة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الجارية الّتي يجوز لها العقد على نفسها، أو يجوز لها أن توليّ من يعقد عليها بلوغ </w:t>
      </w:r>
      <w:r>
        <w:rPr>
          <w:rStyle w:val="FootnoteAnchor"/>
          <w:rtl w:val="true"/>
        </w:rPr>
        <w:footnoteReference w:id="134"/>
      </w:r>
      <w:r>
        <w:rPr>
          <w:rFonts w:ascii="Amiri" w:hAnsi="Amiri" w:eastAsia="Amiri" w:cs="Amiri"/>
          <w:color w:val="111111"/>
          <w:sz w:val="28"/>
          <w:sz w:val="28"/>
          <w:szCs w:val="28"/>
          <w:rtl w:val="true"/>
          <w:lang w:bidi="ar-SA"/>
        </w:rPr>
        <w:t xml:space="preserve">تسع سنين فصاعدًا مع الرشد والسلامة من زوال العقل، فإذا بلغت </w:t>
      </w:r>
      <w:r>
        <w:rPr>
          <w:rStyle w:val="FootnoteAnchor"/>
          <w:rtl w:val="true"/>
        </w:rPr>
        <w:footnoteReference w:id="135"/>
      </w:r>
      <w:r>
        <w:rPr>
          <w:rFonts w:ascii="Amiri" w:hAnsi="Amiri" w:eastAsia="Amiri" w:cs="Amiri"/>
          <w:color w:val="111111"/>
          <w:sz w:val="28"/>
          <w:sz w:val="28"/>
          <w:szCs w:val="28"/>
          <w:rtl w:val="true"/>
          <w:lang w:bidi="ar-SA"/>
        </w:rPr>
        <w:t xml:space="preserve">إلى ذلك الحدّ و هي مجنونة أو زائلة العقل، فإنّ ولاية الأب غير زائلة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فيه عن شيخنا المفيد أنّه قال في كتابه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النساء في النكاح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والمرأة إذا كانت كاملة العقل، سديدة الرأي، كانت أولى بنفسها في العقد عليها للأزواج من غيرها، كما أنّها أولى بالعقد على نفسها في البيع والابتياع و التمليكات والهبات والوقوف و الصدقات و غير ذلك من وجوه التصرّفات، غير أنّها إذا كانت بكرًا و لها أب أو جدّ لأب، فمن السنّة أن يتولّي العقد عليها أبوها أو جدّها لأبيها إن لم يكن لها أب بعد أن يستأذنها في ذلك، فتأذن فيه و ترضى به ؛ و لو عقدت على نفسها بغير إذن أبيها لكان العقد ماضيًا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عليك أنّ المستفاد من العبارات الأولى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البالغة تسع سنين يجوز لها أن تعقد على نفسها من غير افتقار إلى إذن أحد، لوضوح أنّ مع إذن الوليّ يتحقّق العقد ولو قبل بلوغ التسع كما لا يخفى، فحيث اعتبروا إكمال التسع يعلم أنّ مرادهم على وجه 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يشترطوا وضعًا في ذلك يظهر أنّ مرادهم الاكتفاء في ذلك بالحالة الّتي يكون عليها أغلب البنات الّتي أكملت تسع سنين ؛ و من المعلوم أنّ الغالب فيها انتفاء الرشد المعتبر في دفع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العبارات الثانية،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الوسيلة، والمستفاد منها أنّ البالغة الغير</w:t>
      </w:r>
    </w:p>
    <w:p>
      <w:pPr>
        <w:pStyle w:val="BookText"/>
        <w:rPr/>
      </w:pPr>
      <w:r>
        <w:rPr>
          <w:rFonts w:ascii="Amiri" w:hAnsi="Amiri" w:eastAsia="Amiri" w:cs="Amiri"/>
          <w:color w:val="111111"/>
          <w:sz w:val="28"/>
          <w:sz w:val="28"/>
          <w:szCs w:val="28"/>
          <w:rtl w:val="true"/>
          <w:lang w:bidi="ar-SA"/>
        </w:rPr>
        <w:t xml:space="preserve">الرشيدة يتولّي أمرها في التزويج أبوها، أو جدّها من جهة الأب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السرائر ؛ و المدلول عليه بها أنّ البالغة تسع سنين إذا كانت </w:t>
      </w:r>
    </w:p>
    <w:p>
      <w:pPr>
        <w:pStyle w:val="BookText"/>
        <w:rPr/>
      </w:pPr>
      <w:r>
        <w:rPr>
          <w:rFonts w:ascii="Amiri" w:hAnsi="Amiri" w:eastAsia="Amiri" w:cs="Amiri"/>
          <w:color w:val="111111"/>
          <w:sz w:val="28"/>
          <w:sz w:val="28"/>
          <w:szCs w:val="28"/>
          <w:rtl w:val="true"/>
          <w:lang w:bidi="ar-SA"/>
        </w:rPr>
        <w:t xml:space="preserve">مجنونة، أو زائلة العقل، يكون الولاية في العقد الثابتة لوالدها قبل أن يبلغ تسعًا محكومةً بالبقاء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دلالة في شيء منهما على ثبوت الولاية للحاكم، لا في تلك الصورة، و لا في غيرها،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على التزويج عليها قبل بلوغ التسع لمّا كانت ثابتة للأب مثلاً، حكمت بالبقاء بعده للاستصحاب، و ذلك لايجري في حقّ الحاكم، إذ بناؤهم على انتفاء الولاية في العقد للحاكم على الصغيرين مطلقًا و لو مع فقد الأب والجدّ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فيهما تبيّن الحال في العبارة المحكيّة عن شيخنا المفيد، إذ ليس المستفاد منها إلاّ استقلال المرأة في عقدها إذا كانت كاملة العقل، سديدة الرأي ؛ و مقتضاه انتفاء الاستقلال فيما إذا لم يكن كذلك، و لا يلزم منه ثبوت الولاية للحاكم حينئذٍ كما لايخفى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الّتي صرّح فيها بثبوت الولاية للحاكم، و قد استقصيناها، فليلاحظ </w:t>
      </w:r>
      <w:r>
        <w:rPr>
          <w:rFonts w:eastAsia="Amiri" w:cs="Amiri" w:ascii="Amiri" w:hAnsi="Amiri"/>
          <w:color w:val="111111"/>
          <w:sz w:val="28"/>
          <w:szCs w:val="28"/>
          <w:rtl w:val="true"/>
          <w:lang w:bidi="ar-SA"/>
        </w:rPr>
        <w:t xml:space="preserve">. </w:t>
      </w:r>
      <w:bookmarkStart w:id="203" w:name="pg7542_72655"/>
    </w:p>
    <w:p>
      <w:pPr>
        <w:pStyle w:val="Heading2"/>
        <w:numPr>
          <w:ilvl w:val="1"/>
          <w:numId w:val="1"/>
        </w:numPr>
        <w:rPr/>
      </w:pPr>
      <w:bookmarkStart w:id="204" w:name="__RefHeading___Toc2800228_1051229030"/>
      <w:bookmarkStart w:id="205" w:name="_Toc76"/>
      <w:bookmarkEnd w:id="203"/>
      <w:bookmarkEnd w:id="204"/>
      <w:r>
        <w:rPr>
          <w:rtl w:val="true"/>
        </w:rPr>
        <w:t>الظاهر استقلال البنت إذا بلغت تسع سنين في نكاحها وإن لم تتّصف بالرشد المعتبر في دفع المال</w:t>
      </w:r>
      <w:bookmarkEnd w:id="205"/>
    </w:p>
    <w:p>
      <w:pPr>
        <w:pStyle w:val="BookText"/>
        <w:rPr/>
      </w:pPr>
      <w:r>
        <w:rPr>
          <w:rFonts w:ascii="Amiri" w:hAnsi="Amiri" w:eastAsia="Amiri" w:cs="Amiri"/>
          <w:color w:val="111111"/>
          <w:sz w:val="28"/>
          <w:sz w:val="28"/>
          <w:szCs w:val="28"/>
          <w:rtl w:val="true"/>
          <w:lang w:bidi="ar-SA"/>
        </w:rPr>
        <w:t xml:space="preserve">إذا علمت ذلك فلنعُد إلى تحقيق المسألة،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استقلال البنت البالغة تسع سنين الفاقدة للأب والجدّ من طرف الأب في تزويجها إذا كانت على الحالة الّتي عليها أغلب البنات من العقل والرشد، و إن لم تتّصف بالرشد الّذي هو المعتبر في دفع المال،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وَابْتَلُوا الْيَتامى حَتّى إِذا بَلَغُوا الْنِّكاحَ فَإِنْ آنَسْتُمْ مِنْهُمْ</w:t>
      </w:r>
    </w:p>
    <w:p>
      <w:pPr>
        <w:pStyle w:val="BookText"/>
        <w:rPr/>
      </w:pPr>
      <w:r>
        <w:rPr>
          <w:rFonts w:ascii="Amiri" w:hAnsi="Amiri" w:eastAsia="Amiri" w:cs="Amiri"/>
          <w:color w:val="111111"/>
          <w:sz w:val="28"/>
          <w:sz w:val="28"/>
          <w:szCs w:val="28"/>
          <w:rtl w:val="true"/>
          <w:lang w:bidi="ar-SA"/>
        </w:rPr>
        <w:t xml:space="preserve">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سبحانه باختبار الأيتام لدفع أموالهم إليهم، و مقتضاه أن يكون الابتداء بالاختبار قبل بلوغهم،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بَلَغُوا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نبّهنا فيما سلف أنّ المراد من بلوغ النكاح هو البلوغ، و هو إكمال تسع سنين في الإناث، و خمس عشرة سنة في الذكور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إطلاق النكاح من باب تسمية السبب باسم المسبّب وإطلاق </w:t>
      </w:r>
    </w:p>
    <w:p>
      <w:pPr>
        <w:pStyle w:val="BookText"/>
        <w:rPr/>
      </w:pPr>
      <w:r>
        <w:rPr>
          <w:rFonts w:ascii="Amiri" w:hAnsi="Amiri" w:eastAsia="Amiri" w:cs="Amiri"/>
          <w:color w:val="111111"/>
          <w:sz w:val="28"/>
          <w:sz w:val="28"/>
          <w:szCs w:val="28"/>
          <w:rtl w:val="true"/>
          <w:lang w:bidi="ar-SA"/>
        </w:rPr>
        <w:t xml:space="preserve">المسبّب على السبب، فالآية الشريفة بعد ملاحظة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أنّ البالغين حدّ النكاح بعد الاختبار إن علم منهم الرشد يدفع إليهم أموالهم، و إن لم يعلم منهم الرشد فلا يدفع إليهم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جواز دفع الأموال و عدمه واردٌ على من بلغ حدّ النكاح، فالبلوغ حدّ النكاح متحقّق في القسمين، فاللازم منه أنّ الرشد المعتبر في دفع الأموال غير معتبر في النكاح، فيسوغ نكاحهم مع عدم اتّصافهم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يلزم ممّا ذكر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الرشد المعتبر في دفع الأموال غير معتبر في النكاح، و لايلزم منه استقلال البنت مثلاً في ذلك، لإمكان كونه باستصواب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الأيتام،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ابْتَلوُا الْيَتامى حَتّى إِذا بَلَغُوا الْنِّكاحَ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واستقلال من بلغ حدّ البلوغ في النكاح مع الاتّصاف بالرشد المعتبر في دفع الأموال حينئذٍ محلّ وفاق بين الأصحاب ؛ و إنّما الخلاف في البكر الرشيدة مع أبيها مثلاً، فحيث قد ثبت الاستقلال في أحد القسمين، يكون هو المراد في القسم الآخر،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المتّصف بالرشد المذكور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فقد الأب يكفي في صدق اليتيم، فيحتمل أن يكون ذلك مع الجدّ </w:t>
      </w:r>
    </w:p>
    <w:p>
      <w:pPr>
        <w:pStyle w:val="BookText"/>
        <w:rPr/>
      </w:pPr>
      <w:r>
        <w:rPr>
          <w:rFonts w:ascii="Amiri" w:hAnsi="Amiri" w:eastAsia="Amiri" w:cs="Amiri"/>
          <w:color w:val="111111"/>
          <w:sz w:val="28"/>
          <w:sz w:val="28"/>
          <w:szCs w:val="28"/>
          <w:rtl w:val="true"/>
          <w:lang w:bidi="ar-SA"/>
        </w:rPr>
        <w:t xml:space="preserve">من طرف الأب، فلا يكون الآية مقتضية للاستقلال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أمّا أوّلاً فلوضوح أنّ النكاح الّذي يصدر من الجدّ الأبي لايتوقّف على البلوغ حدّ البلوغ، لثبوت ولايته في التزويج على 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الظاهر من إرجاع الضمير إلى اليتامى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بَلَغُوا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ذلك البلوغ إلى النكاح على إذن الغير كما لايخفى، فظاهر الآية الشريفة استقلال البالغ حدّ البلوغ في نكاحه وإن لم يتّصف بالرشد المعتبر في دفع الأموال،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النصوص السالفة أيضًا، كالصحيح السالف عن ابن محبوب، عن أبي أيّوب الخزّاز، عن يزيد الكناسي،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إذا بلغت تسع سنين ذهب عنها اليتم و زوّجت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منه جواز تزويجها من غير توقّف على إذن أحد،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بلغت، لكونه منساقًا في مقام البيان ؛ و لكون العموم مفهومًا منه في المتفاهم العرفيّ، و هو أعمّ من كونها متّصفة بالرشد المعتبر</w:t>
      </w:r>
    </w:p>
    <w:p>
      <w:pPr>
        <w:pStyle w:val="BookText"/>
        <w:rPr/>
      </w:pPr>
      <w:r>
        <w:rPr>
          <w:rFonts w:ascii="Amiri" w:hAnsi="Amiri" w:eastAsia="Amiri" w:cs="Amiri"/>
          <w:color w:val="111111"/>
          <w:sz w:val="28"/>
          <w:sz w:val="28"/>
          <w:szCs w:val="28"/>
          <w:rtl w:val="true"/>
          <w:lang w:bidi="ar-SA"/>
        </w:rPr>
        <w:t xml:space="preserve">في دفع الأموال و غيره، سيّما بعد كون الغالب عدم الاتّصاف بذلك كما لايخفى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الحال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ابنة تسع لا تستصبى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ابنة كم لا تستصبى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الظاهر من السؤال أنّ مراد السائل تحديد </w:t>
      </w:r>
    </w:p>
    <w:p>
      <w:pPr>
        <w:pStyle w:val="BookText"/>
        <w:rPr/>
      </w:pPr>
      <w:r>
        <w:rPr>
          <w:rFonts w:ascii="Amiri" w:hAnsi="Amiri" w:eastAsia="Amiri" w:cs="Amiri"/>
          <w:color w:val="111111"/>
          <w:sz w:val="28"/>
          <w:sz w:val="28"/>
          <w:szCs w:val="28"/>
          <w:rtl w:val="true"/>
          <w:lang w:bidi="ar-SA"/>
        </w:rPr>
        <w:t xml:space="preserve">السنّ الّذي فيه يرتفع الأحكام الثابتة للصبيّة الّتي منها عدم جواز العقد عليها من غير إذن وليّ ؛ و أجاب عليه‌السلام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بلغت تسع سنين تخرج عن تلك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ترك عليه‌السلام التفصيل في ذلك يظهر أنّ المراد خروجها عن جميع تلك الأحكام،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نكاحها على إذن أحد ؛ و لمّا لم يعتبر في ذلك وصفًا مخصوصًا يظهر أنّ المراد بعنوان الإطلاق،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حيث سأله عن الجارية يتمتّع منها الرجل،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إلاّ أن تكون صبيّة تخدع،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p>
    <w:p>
      <w:pPr>
        <w:pStyle w:val="BookText"/>
        <w:rPr/>
      </w:pPr>
      <w:r>
        <w:rPr>
          <w:rFonts w:ascii="Amiri" w:hAnsi="Amiri" w:eastAsia="Amiri" w:cs="Amiri"/>
          <w:color w:val="111111"/>
          <w:sz w:val="28"/>
          <w:sz w:val="28"/>
          <w:szCs w:val="28"/>
          <w:rtl w:val="true"/>
          <w:lang w:bidi="ar-SA"/>
        </w:rPr>
        <w:t xml:space="preserve">فكم الحدّ الّذي إذا بلغته لم تخدع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تزوّجت البكر بنت تسع سنين فليست مخدوعة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النصوص المذكورة، استقلال البنت إذا بلغت تسع سنين في نكاحها وإن لم يتّصف بالرشد المعتبر في دفع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يرشد إليه أيضًا 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انقطاع يتم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عن صفوان بن يحيى، عن عيص بن القاسم،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اليتيمة متى يدفع إليها مالها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 لا تضيّع، فسألته إن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قد تزوّجت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فقد انقطع ملك الوصيّ عنها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نبّهنا فيما سلف على أنّه مرويّ في أواخر كتاب الوصيّة من الكافي أيضًا </w:t>
      </w:r>
      <w:r>
        <w:rPr>
          <w:rStyle w:val="FootnoteAnchor"/>
          <w:rtl w:val="true"/>
        </w:rPr>
        <w:footnoteReference w:id="144"/>
      </w:r>
      <w:r>
        <w:rPr>
          <w:rFonts w:ascii="Amiri" w:hAnsi="Amiri" w:eastAsia="Amiri" w:cs="Amiri"/>
          <w:color w:val="111111"/>
          <w:sz w:val="28"/>
          <w:sz w:val="28"/>
          <w:szCs w:val="28"/>
          <w:rtl w:val="true"/>
          <w:lang w:bidi="ar-SA"/>
        </w:rPr>
        <w:t xml:space="preserve">، لكن سند الفقيه أقوى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الإرشاد أنّه عليه‌السلام أفاد حدًّا في جواز دفع مال اليتيم إليه،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أنّها لا تفسد المال و لا تضيّعه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قد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من ذلك أنّه هل يجوز الاكتفاء في دفع المال إلى اليتيمة بتزويجها ؟</w:t>
      </w:r>
    </w:p>
    <w:p>
      <w:pPr>
        <w:pStyle w:val="BookText"/>
        <w:rPr/>
      </w:pPr>
      <w:r>
        <w:rPr>
          <w:rFonts w:ascii="IRNazanin" w:hAnsi="IRNazanin" w:eastAsia="IRNazanin"/>
          <w:color w:val="111111"/>
          <w:sz w:val="28"/>
          <w:sz w:val="28"/>
          <w:szCs w:val="28"/>
          <w:rtl w:val="true"/>
          <w:lang w:bidi="fa-IR"/>
        </w:rPr>
        <w:t>أجاب</w:t>
      </w:r>
    </w:p>
    <w:p>
      <w:pPr>
        <w:pStyle w:val="BookText"/>
        <w:rPr/>
      </w:pPr>
      <w:r>
        <w:rPr>
          <w:rFonts w:ascii="Amiri" w:hAnsi="Amiri" w:eastAsia="Amiri" w:cs="Amiri"/>
          <w:color w:val="111111"/>
          <w:sz w:val="28"/>
          <w:sz w:val="28"/>
          <w:szCs w:val="28"/>
          <w:rtl w:val="true"/>
          <w:lang w:bidi="ar-SA"/>
        </w:rPr>
        <w:t xml:space="preserve">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تزوّجت فقد انقطع ملك الوصيّ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المراد أنّ محض التزويج إنّما يوجب سلب ولاية الوصيّ على نفسها، و لا يكفي ذلك في سلب ولايته عن مالها، فلا يسوغ الاجتزاء في دفع المال بالتزويج، بل لابدّ من العلم بعدم إفسادها للمال، و عدم تضييعها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منه على ما ذكر أنّ ما يعتبر في دفع المال إلى اليتيم غير معتبر في تزويجه، فربّما يجوز التزويج ولا يجوز دفع المال إليه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أيضًا 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والشهود والخطبة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الفقيه، عن داود بن سرحان، عن أبي عبداللّه عليه‌السلام أنّه قال في رجل يريد أن يزوّج أخته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يؤامرها، فإن سكتت فهو إقرارها، و إن أبت لم يزوّجها، 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فلانًا، فليزوّجها ممّن ترضى، واليتيمة في حجر الرجل لا يزوّجها إلاّ ممّن </w:t>
      </w:r>
    </w:p>
    <w:p>
      <w:pPr>
        <w:pStyle w:val="BookText"/>
        <w:rPr/>
      </w:pPr>
      <w:r>
        <w:rPr>
          <w:rFonts w:ascii="IRNazanin" w:hAnsi="IRNazanin" w:eastAsia="IRNazanin"/>
          <w:color w:val="111111"/>
          <w:sz w:val="28"/>
          <w:sz w:val="28"/>
          <w:szCs w:val="28"/>
          <w:rtl w:val="true"/>
          <w:lang w:bidi="fa-IR"/>
        </w:rPr>
        <w:t xml:space="preserve">ترضى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مرويّ في الكافي أيضًا </w:t>
      </w:r>
      <w:r>
        <w:rPr>
          <w:rStyle w:val="FootnoteAnchor"/>
          <w:rtl w:val="true"/>
        </w:rPr>
        <w:footnoteReference w:id="147"/>
      </w:r>
      <w:r>
        <w:rPr>
          <w:rFonts w:ascii="Amiri" w:hAnsi="Amiri" w:eastAsia="Amiri" w:cs="Amiri"/>
          <w:color w:val="111111"/>
          <w:sz w:val="28"/>
          <w:sz w:val="28"/>
          <w:szCs w:val="28"/>
          <w:rtl w:val="true"/>
          <w:lang w:bidi="ar-SA"/>
        </w:rPr>
        <w:t xml:space="preserve">، لكن فى سنده سهل بن زياد، فسند الفقيه أقوى ؛ و ذيل الحديث على ما في الكافي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واليتيمة فى حجر الرجل لايزوّجها إلاّ برضاها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بما دلّ على حصر الناقض للنكاح في الأب، كالصحيح المرويّ في الكافي،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لاينقض النكاح إلاّ الأب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06" w:name="pg7542_72667"/>
    </w:p>
    <w:p>
      <w:pPr>
        <w:pStyle w:val="Heading2"/>
        <w:numPr>
          <w:ilvl w:val="1"/>
          <w:numId w:val="1"/>
        </w:numPr>
        <w:rPr/>
      </w:pPr>
      <w:bookmarkStart w:id="207" w:name="__RefHeading___Toc2800230_1051229030"/>
      <w:bookmarkStart w:id="208" w:name="_Toc77"/>
      <w:bookmarkEnd w:id="206"/>
      <w:bookmarkEnd w:id="207"/>
      <w:r>
        <w:rPr>
          <w:rtl w:val="true"/>
        </w:rPr>
        <w:t>يجوز تزويج من أكمل تسع سنين من البنات الفاقدة للأب من غير افتقار على إذن أحد من الحكّام و غيرهم</w:t>
      </w:r>
      <w:bookmarkEnd w:id="208"/>
    </w:p>
    <w:p>
      <w:pPr>
        <w:pStyle w:val="BookText"/>
        <w:rPr/>
      </w:pPr>
      <w:r>
        <w:rPr>
          <w:rFonts w:ascii="Amiri" w:hAnsi="Amiri" w:eastAsia="Amiri" w:cs="Amiri"/>
          <w:color w:val="111111"/>
          <w:sz w:val="28"/>
          <w:sz w:val="28"/>
          <w:szCs w:val="28"/>
          <w:rtl w:val="true"/>
          <w:lang w:bidi="ar-SA"/>
        </w:rPr>
        <w:t xml:space="preserve">إذا تحقّق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الآية الشريفة والنصوص المذكورة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 من أكمل تسع سنين من البنات الفاقدة للأب من غير افتقار على إذن أحد من الحكّام و غيرهم، فلابدّ من المصير إليه إلاّ عند وجود المعارض المقتضي لثبوت ولاية الحاكم ؛ و هو إمّا الإجماع، أو الكتاب والسنّة ؛ وانتفاء الأخيرين ظاهر، و كذا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مع أنّك قد عرفت أنّ جملة من عبارات قدماء الأصحاب مطابقة لما اقتضاه الآية الشريفة والإطلاق في النصوص المذكورة، بل لم نظفر على من صرّح بثبوت الولاية في التزويج فيما نحن فيه للحاكم ممّن تقدّم على المحقّق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المصرِّحين بذلك كلماتهم مختلفة، والمحقّق في الشرائع </w:t>
      </w:r>
      <w:r>
        <w:rPr>
          <w:rStyle w:val="FootnoteAnchor"/>
          <w:rtl w:val="true"/>
        </w:rPr>
        <w:footnoteReference w:id="149"/>
      </w:r>
      <w:r>
        <w:rPr>
          <w:rFonts w:ascii="Amiri" w:hAnsi="Amiri" w:eastAsia="Amiri" w:cs="Amiri"/>
          <w:color w:val="111111"/>
          <w:sz w:val="28"/>
          <w:sz w:val="28"/>
          <w:szCs w:val="28"/>
          <w:rtl w:val="true"/>
          <w:lang w:bidi="ar-SA"/>
        </w:rPr>
        <w:t xml:space="preserve">حكم أوّلاً بعدم ثبوت الولاية للحاكم على </w:t>
      </w:r>
    </w:p>
    <w:p>
      <w:pPr>
        <w:pStyle w:val="BookText"/>
        <w:rPr/>
      </w:pPr>
      <w:r>
        <w:rPr>
          <w:rFonts w:ascii="Amiri" w:hAnsi="Amiri" w:eastAsia="Amiri" w:cs="Amiri"/>
          <w:color w:val="111111"/>
          <w:sz w:val="28"/>
          <w:sz w:val="28"/>
          <w:szCs w:val="28"/>
          <w:rtl w:val="true"/>
          <w:lang w:bidi="ar-SA"/>
        </w:rPr>
        <w:t xml:space="preserve">بالغ رشيد، ثمّ حكم بثبوت الولاية علىبالغ غير رشيد، أو من تجدّد فساد عقله إذا كان النكاح صلاحًا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تجدّد فساد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فاسد العقل، كما صرّح بذلك عند بيان ثبوت الولاية للوصيّ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التصريح بذلك في خصوص الحاكم أيضًا في النافع </w:t>
      </w:r>
      <w:r>
        <w:rPr>
          <w:rStyle w:val="FootnoteAnchor"/>
          <w:rtl w:val="true"/>
        </w:rPr>
        <w:footnoteReference w:id="150"/>
      </w:r>
      <w:r>
        <w:rPr>
          <w:rFonts w:ascii="Amiri" w:hAnsi="Amiri" w:eastAsia="Amiri" w:cs="Amiri"/>
          <w:color w:val="111111"/>
          <w:sz w:val="28"/>
          <w:sz w:val="28"/>
          <w:szCs w:val="28"/>
          <w:rtl w:val="true"/>
          <w:lang w:bidi="ar-SA"/>
        </w:rPr>
        <w:t xml:space="preserve">المتأخّر عن الشرائع، فلاحظ عبارته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العلاّمة في القواعد والتذكرة، 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ولاية الحاكم تختصّ في النكاح على البالغ فاسد العقل، أو من تجدّد جنونه بعد بلوغه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تجدّد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منه من بلغ غير رشيد، كما لا 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والمصرَّح به في الإرشاد والتلخيص والتبصرة أنّ ولاية الحاكم في التزويج إنّما هي على المجنون ؛ و قد أوردنا عباراته في الكتب المذكورة فيما سلف قبل، فليلاحظ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الاختلاف في العبارات منهم دليلٌ على أن ليس مرادهم من الوصف الداعي لثبوت ولاية الحاكم في التزويج هو محض عدم الرشد المعتبر في دفع </w:t>
      </w:r>
    </w:p>
    <w:p>
      <w:pPr>
        <w:pStyle w:val="BookText"/>
        <w:rPr/>
      </w:pPr>
      <w:r>
        <w:rPr>
          <w:rFonts w:ascii="Amiri" w:hAnsi="Amiri" w:eastAsia="Amiri" w:cs="Amiri"/>
          <w:color w:val="111111"/>
          <w:sz w:val="28"/>
          <w:sz w:val="28"/>
          <w:szCs w:val="28"/>
          <w:rtl w:val="true"/>
          <w:lang w:bidi="ar-SA"/>
        </w:rPr>
        <w:t xml:space="preserve">المال، لوضوح أنّه لو كان مرادهم ذلك لعبّروا بما عبّر به المحقّق في الشرائع في الأوّل ؛ و حمل ما وجد في عباراتهم من فاسد العقل أو الجنون عليه غيرُ صحيح، لانتفاء الداعي عليه، سيّما بعد ما عرفت من تحقّق الداعي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أنّ المجنون هو القدر المتّفق عليه، فالقدر الّذي يمكن دعوى إطباقهم عليه بعد تسليمه إنّما هو ثبوت الولاية للحاكم على المجنون خاصّة، فدقّق النظر في العبارات السالفة حتّى يتّضح 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المصرِّحين بثبوت الولاية للحاكم في التزويج إطباقهم على أنّ محض الجنون أو فساد العقل غيرُ كافٍ في الحكم بثبوت الولاية للحاكم، بل لابدّ هناك من شرطٍ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كلماتهم في إفادة ذلك أيضًا، ففي الشرائع والنافع اكتفى في ذلك بكون النكاح صلاحًا له كما في التذكرة والتبصرة، مع أنّه اعتبر في الشرائع في ولاية الوصيّ الضرورة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للوصيّ أنّ يزوّج من بلغ فاسد العقل إذا كان به ضرورة إلى النكاح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 بين القيدين ظاهر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في الإرشاد الحاجة إلى النكاح </w:t>
      </w:r>
      <w:r>
        <w:rPr>
          <w:rStyle w:val="FootnoteAnchor"/>
          <w:rtl w:val="true"/>
        </w:rPr>
        <w:footnoteReference w:id="153"/>
      </w:r>
      <w:r>
        <w:rPr>
          <w:rFonts w:ascii="Amiri" w:hAnsi="Amiri" w:eastAsia="Amiri" w:cs="Amiri"/>
          <w:color w:val="111111"/>
          <w:sz w:val="28"/>
          <w:sz w:val="28"/>
          <w:szCs w:val="28"/>
          <w:rtl w:val="true"/>
          <w:lang w:bidi="ar-SA"/>
        </w:rPr>
        <w:t xml:space="preserve">، و هو أخصّ من اعتبار المصلحة، </w:t>
      </w:r>
    </w:p>
    <w:p>
      <w:pPr>
        <w:pStyle w:val="BookText"/>
        <w:rPr/>
      </w:pPr>
      <w:r>
        <w:rPr>
          <w:rFonts w:ascii="Amiri" w:hAnsi="Amiri" w:eastAsia="Amiri" w:cs="Amiri"/>
          <w:color w:val="111111"/>
          <w:sz w:val="28"/>
          <w:sz w:val="28"/>
          <w:szCs w:val="28"/>
          <w:rtl w:val="true"/>
          <w:lang w:bidi="ar-SA"/>
        </w:rPr>
        <w:t xml:space="preserve">فالقدر المتّفق عليه هو اعتبار الحاجة، كما إذا بلغ الصبيّ مجنونًا أو فاسد العقل، فإنّ مثل هذا الشخص يحتاج إلى من يخدمه، بل قد يحتاج إلى المعالجة، فيكون محتاجًا إلى زوجة </w:t>
      </w:r>
      <w:r>
        <w:rPr>
          <w:rStyle w:val="FootnoteAnchor"/>
          <w:rtl w:val="true"/>
        </w:rPr>
        <w:footnoteReference w:id="154"/>
      </w:r>
      <w:r>
        <w:rPr>
          <w:rFonts w:ascii="Amiri" w:hAnsi="Amiri" w:eastAsia="Amiri" w:cs="Amiri"/>
          <w:color w:val="111111"/>
          <w:sz w:val="28"/>
          <w:sz w:val="28"/>
          <w:szCs w:val="28"/>
          <w:rtl w:val="true"/>
          <w:lang w:bidi="ar-SA"/>
        </w:rPr>
        <w:t xml:space="preserve">؛ و أمّا الصبيّة فقد تكون الحاجة داعية إلى نكاحها، لانتفاء ما يصرف في مخارجها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الإشكال في الحكم بثبوت الولاية فيما إذا كانت مليّة، لكن اختيار التزويج لاحتمال أن لايتّفق لها مثل هذا الزوج لمثل هذه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هذا الاحتمال يعارضه احتمال اتّفاق من هو خير منه لها،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جميع ما ذكر تبيّن أنّ القول بثبوت الولاية للحاكم في محلّ الكلام ليس له مستندٌ يصحّ التعويل عليه، إلاّ إذا بلغت مجنونة و تكون الحاجة داعية إلى النكاح، إذ حينئذٍ يمكن دعوى الإجماع على ثبوت الولاية للحاكم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المجنون، فإن كان جنونه دائمًا سرمدًا لايفيق نظرت، فإن لم يكن به إلى النكاح حاجة لم يزوّجه، فإن كان به إليه حاجة مثل أن يراه يتبع النساء، و يحسن إليهنّ، أو تظهر فيه أمارات الشهوة، زوّجه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الاستدلال لإثبات المرام بالصحيح المرويّ في الكافي والفقيه، عن الفضيل بن يسار، و محمّد بن مسلم، و زرارة، و بريد بن معاوية، عن أبي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غير السفيهة و لا المولّى عليها إنّ تزويجها بغير وليّ جائز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السفيهة و لا المولّى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ملكت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أنّ المرأة الّتي لم تكن سفيهًا و لا المولّى عليها يجوز لها أن تزوّج نفسها بمن تريد من غير توقّف على الاستئذان من أحد، فالمستفاد منه عدم جواز تزويج السفيهة و لا المولّى عليها بغير 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المولّى عليها، فالظاهر أنّ المراد منها مثل الإماء، فالأمر فيها غير مفتقر إلى البيان، لوضوح أنّ تزويجها موكولٌ إلى مواليها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السفيهة،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الصحيح المذكور عدم جواز تزويجها بغير وليّ،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البالغة السفيهة إمّا ذات أب، أو جدّ لأب، أو لا، بل نصب أحدهما لها وصيًّا، أو لا هذا و لا ذاك ؛ والمستفاد من الصحيحة المذكورة عدم جواز تزويجها في شيء من الصور المذكورة بغير وليّ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الوليّ، و الظاهر أنّه في الصورة الأولى هو الأب، أو الجدّ له، لوضوح أنّ الولاية في التزويج و كذا في المال كانت ثابتة لهما قبل بلوغها، </w:t>
      </w:r>
    </w:p>
    <w:p>
      <w:pPr>
        <w:pStyle w:val="BookText"/>
        <w:rPr/>
      </w:pPr>
      <w:r>
        <w:rPr>
          <w:rFonts w:ascii="Amiri" w:hAnsi="Amiri" w:eastAsia="Amiri" w:cs="Amiri"/>
          <w:color w:val="111111"/>
          <w:sz w:val="28"/>
          <w:sz w:val="28"/>
          <w:szCs w:val="28"/>
          <w:rtl w:val="true"/>
          <w:lang w:bidi="ar-SA"/>
        </w:rPr>
        <w:t xml:space="preserve">فالاستصحاب يقتضي بقائها إلى أن يتحقّق الرافع، و لم يتحقّق فيما إذا بلغت سفيهة ؛ و في الصورة الثانيه هو الوصيّ، للقطع بثبوت الولاية لها في مالها قبل أن بلغت، فالوصيّ وليّ لها قبل بلوغها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تخصيصه عليه‌السلام عدم جواز تزويج السفيهة بغير وليّ يعلم جوازه مع وليّها،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 في الصورة المفروضة وليّها، فيسوغ تزويجها مع 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فظاهرة، للقطع بثبوت الولاية له قبل بلوغها، فهي محكومة بالبقاء إلى أن يتحقّق الرافع، و لم يتحقّق فيما إذا بلغت سفيهة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الكبرى فلما عرفت من أنّ تخصيص عدم الجواز في التزويج بغير وليّ يقتضي ثبوت الجواز معه، و هو مطلقٌ يعمّ ما نحن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يؤل إلى التمسّك باستصحاب ثبوت الولاية في المال، فيمكن المعارضة في ذلك باستصحاب عدم ثبوت الولاية في التزويج للوصيّ </w:t>
      </w:r>
      <w:r>
        <w:rPr>
          <w:rStyle w:val="FootnoteAnchor"/>
          <w:rtl w:val="true"/>
        </w:rPr>
        <w:footnoteReference w:id="157"/>
      </w:r>
      <w:r>
        <w:rPr>
          <w:rFonts w:ascii="Amiri" w:hAnsi="Amiri" w:eastAsia="Amiri" w:cs="Amiri"/>
          <w:color w:val="111111"/>
          <w:sz w:val="28"/>
          <w:sz w:val="28"/>
          <w:szCs w:val="28"/>
          <w:rtl w:val="true"/>
          <w:lang w:bidi="ar-SA"/>
        </w:rPr>
        <w:t xml:space="preserve">قبل بلوغها، فهو محكوم بالبقاء إلى أن يتحقّق الرافع، و هو غير معلوم فيما نحن فيه، فلا يمكن الحكم بثبوت الولاية للوصيّ بعد بلوغها و لو سفيهة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ذلك أمّا على القول بثبوت الولاية للوصيّ على الصغيرين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بناءً على القول بثبوت الولاية في التزويج للوصيّ فيما إذا نصّ </w:t>
      </w:r>
    </w:p>
    <w:p>
      <w:pPr>
        <w:pStyle w:val="BookText"/>
        <w:rPr/>
      </w:pPr>
      <w:r>
        <w:rPr>
          <w:rFonts w:ascii="Amiri" w:hAnsi="Amiri" w:eastAsia="Amiri" w:cs="Amiri"/>
          <w:color w:val="111111"/>
          <w:sz w:val="28"/>
          <w:sz w:val="28"/>
          <w:szCs w:val="28"/>
          <w:rtl w:val="true"/>
          <w:lang w:bidi="ar-SA"/>
        </w:rPr>
        <w:t xml:space="preserve">الموصي بذلك، كما هو مختار شيخ الطائفة في الخلاف والعلاّمة في المختلف و شيخنا الشهيد في غاية المراد، والمحقّق الثاني في جامع المقاصد، و شيخنا الشهيد الثاني في الروضة والمسالك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أوصى إلى غيره بأن يزوّج بنته الصغيرة صحّت الوصيّة و كان له تزويجها و يكون صحيحًا، سواء عيّن الزوج، أو لم يعيّن، وإن كانت كبيرة لم تصّح الوصيّة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القول بالإطلاق عن المبسوط و التقييد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ما قاله الشيخ في الخلاف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غاية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المختار مذهبه في المختلف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المقاصد مشيرًا إلى ثبوت الولاية في تلك الصورة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المختار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عرفت ذلك، فهل تثبت ولاية الوصيّ في النكاح بتعميم الوصيّة، أم لابدّ من التصريح بالوصيّة في النكاح ؟ يلوح من عبارة القائلين بالثبوت الثاني، حيث فرضوا المسألة فيما إذا أوصى إليه بأن يزوّج ولده الصغير ؛ و هذا هو الّذي ينبغي، لأنّ النكاح ليس من التصرّفات الّتي ينتقل الذهن إليها عند الإطلاق، فلا يكاد يعلم التفويض فيها من دون التصريح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 ولاية الوصيّ على الصغيرين مع المصلحة مطلقًا، أو مع تصريحه له في الوصيّة بالنكاح أقوال، اختار المصنّف هنا انتفاءها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الإرشاد اختار الجواز مع التنصيص، أو مطلقًا ؛ و قبله العلاّمة في المختلف، و هو حسن، لأنّ تصرّفات الوصيّ منوطة بالغبطة و قد تحقّق في نكاح الصغير، و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 انتهى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حكاه العلاّمة في المختلف </w:t>
      </w:r>
      <w:r>
        <w:rPr>
          <w:rStyle w:val="FootnoteAnchor"/>
          <w:rtl w:val="true"/>
        </w:rPr>
        <w:footnoteReference w:id="163"/>
      </w:r>
      <w:r>
        <w:rPr>
          <w:rFonts w:ascii="Amiri" w:hAnsi="Amiri" w:eastAsia="Amiri" w:cs="Amiri"/>
          <w:color w:val="111111"/>
          <w:sz w:val="28"/>
          <w:sz w:val="28"/>
          <w:szCs w:val="28"/>
          <w:rtl w:val="true"/>
          <w:lang w:bidi="ar-SA"/>
        </w:rPr>
        <w:t xml:space="preserve">عن المبسوط،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 الشيخ في المبسوط </w:t>
      </w:r>
      <w:r>
        <w:rPr>
          <w:rStyle w:val="FootnoteAnchor"/>
          <w:rtl w:val="true"/>
        </w:rPr>
        <w:footnoteReference w:id="164"/>
      </w:r>
      <w:r>
        <w:rPr>
          <w:rFonts w:ascii="Amiri" w:hAnsi="Amiri" w:eastAsia="Amiri" w:cs="Amiri"/>
          <w:color w:val="111111"/>
          <w:sz w:val="28"/>
          <w:sz w:val="28"/>
          <w:szCs w:val="28"/>
          <w:rtl w:val="true"/>
          <w:lang w:bidi="ar-SA"/>
        </w:rPr>
        <w:t xml:space="preserve">للوصيّ ولاية النكاح على الصغيرة ؛ و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إلى غيره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سلف، غيرُ مطابق لما في كتاب الوصيّة منه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التزويج فليس للوصيّ أن يزوّجه، لأنّه ليس من أهله، و ربّما اتهم، و كذلك ليس له أن يزوّج الصغيرة الّتي يلي عليها، لأنّ ولاية النكاح لاتستفاد بالوصيّة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فإن بلغ هذا الصغير نظرت، فإن بلغ رشيدًا، فإنّه يدفع إليه ماله و بطل ولاية الوصيّ ؛ وإن بلغ غير رشيد نظرت، فإن كان مجنونًا فالحكم فيه كالحكم في الصبيّ سواء، و إن كان غير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كان سفيهًا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غير رشيد في ماله، أو غير رشيد في دينه، فإنّه لاينفكّ الحجر عنه بالبلوغ بلا خلاف، و يكون ولاية الوصيّ على ما كانت في جميع الأشياء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التزويج، فإن كان لايحتاج إليه فإنّه لايزوّجه، وإن احتاج إليه من حيث أنّه يتبع النساء فإنّه يزوّجه حتّى لايزني و يحدّ، لأنّ التزويج أسهل من الحدّ عليه، و لا يزوّجه أكثر من واحدة، فإنّ فيها</w:t>
      </w:r>
    </w:p>
    <w:p>
      <w:pPr>
        <w:pStyle w:val="BookText"/>
        <w:rPr/>
      </w:pPr>
      <w:r>
        <w:rPr>
          <w:rFonts w:ascii="Amiri" w:hAnsi="Amiri" w:eastAsia="Amiri" w:cs="Amiri"/>
          <w:color w:val="111111"/>
          <w:sz w:val="28"/>
          <w:sz w:val="28"/>
          <w:szCs w:val="28"/>
          <w:rtl w:val="true"/>
          <w:lang w:bidi="ar-SA"/>
        </w:rPr>
        <w:t xml:space="preserve">الكفاية </w:t>
      </w:r>
      <w:r>
        <w:rPr>
          <w:rStyle w:val="FootnoteAnchor"/>
          <w:rtl w:val="true"/>
        </w:rPr>
        <w:footnoteReference w:id="166"/>
      </w:r>
      <w:r>
        <w:rPr>
          <w:rFonts w:ascii="Amiri" w:hAnsi="Amiri" w:eastAsia="Amiri" w:cs="Amiri"/>
          <w:color w:val="111111"/>
          <w:sz w:val="28"/>
          <w:sz w:val="28"/>
          <w:szCs w:val="28"/>
          <w:rtl w:val="true"/>
          <w:lang w:bidi="ar-SA"/>
        </w:rPr>
        <w:t xml:space="preserve">؛ انتهى كلام المبسوط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احتاج إليه من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المراد مَن بلغ غير رشيد، فمقتضاه ولاية الوصيّ في التزويج عليه وقت حاجته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على القول بعدم ثبوت الولاية للوصيّ في التزويج على الصغيرين مطلقًا و لو مع تنصيص الموصي بذلك،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الولاية الثابتة في المال قبل البلوغ محكومةٌ بالبقاء بالاستصحاب، كذلك انتفاء الولاية في التزويج قبله محكومٌ بالبقاء، فلا وجه للتمسّك بالاستصحاب في الحكم بثبوت الولاية في التزويج فيمن بلغ سفيهًا، فلا يمكن الحكم بثبوت الولاية في التزويج للوصيّ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في التزويج حينئذٍ إنّما هو للحاكم،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وليّ من لا وليّ له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لوضوح أنّه يصدق على تلك السفيهة أنّه لا وليّ لها في التزويج، لما عرفت أنّه مقتضى الاستصحاب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التمسّك في إثبات ولاية الوصيّ في التزويج حينئذٍ بالصحيح </w:t>
      </w:r>
    </w:p>
    <w:p>
      <w:pPr>
        <w:pStyle w:val="BookText"/>
        <w:rPr/>
      </w:pPr>
      <w:r>
        <w:rPr>
          <w:rFonts w:ascii="Amiri" w:hAnsi="Amiri" w:eastAsia="Amiri" w:cs="Amiri"/>
          <w:color w:val="111111"/>
          <w:sz w:val="28"/>
          <w:sz w:val="28"/>
          <w:szCs w:val="28"/>
          <w:rtl w:val="true"/>
          <w:lang w:bidi="ar-SA"/>
        </w:rPr>
        <w:t xml:space="preserve">المرويّ في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يجوز عقد الجدّ مع وجود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عبداللّه بن 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هو وليّ أمرها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في المال إنّما هو للوصيّ، فيصدق عليه أنّه وليّ أمرها، فمقتضى الصحيح أنّه وليّها في التزويج، فاستصحاب عدم الولاية لا التفات إليه بعد دلالة الصحيح عليها ؛ و ستقف على ما ينبغي الاطّلاع عليه </w:t>
      </w:r>
      <w:r>
        <w:rPr>
          <w:rFonts w:eastAsia="Amiri" w:cs="Amiri" w:ascii="Amiri" w:hAnsi="Amiri"/>
          <w:color w:val="111111"/>
          <w:sz w:val="28"/>
          <w:szCs w:val="28"/>
          <w:rtl w:val="true"/>
          <w:lang w:bidi="ar-SA"/>
        </w:rPr>
        <w:t xml:space="preserve">. </w:t>
      </w:r>
      <w:bookmarkStart w:id="209" w:name="pg7542_72689"/>
    </w:p>
    <w:p>
      <w:pPr>
        <w:pStyle w:val="Heading2"/>
        <w:numPr>
          <w:ilvl w:val="1"/>
          <w:numId w:val="1"/>
        </w:numPr>
        <w:rPr/>
      </w:pPr>
      <w:bookmarkStart w:id="210" w:name="__RefHeading___Toc2800232_1051229030"/>
      <w:bookmarkStart w:id="211" w:name="_Toc78"/>
      <w:bookmarkEnd w:id="209"/>
      <w:bookmarkEnd w:id="210"/>
      <w:r>
        <w:rPr>
          <w:rtl w:val="true"/>
        </w:rPr>
        <w:t>ولاية الحاكم على البالغة السفيهة إذا لم تكن ذات أب و لا جدّ، ولم يكن هناك وصيّ أيضًا</w:t>
      </w:r>
      <w:bookmarkEnd w:id="211"/>
    </w:p>
    <w:p>
      <w:pPr>
        <w:pStyle w:val="BookText"/>
        <w:rPr/>
      </w:pPr>
      <w:r>
        <w:rPr>
          <w:rFonts w:ascii="Amiri" w:hAnsi="Amiri" w:eastAsia="Amiri" w:cs="Amiri"/>
          <w:color w:val="111111"/>
          <w:sz w:val="28"/>
          <w:sz w:val="28"/>
          <w:szCs w:val="28"/>
          <w:rtl w:val="true"/>
          <w:lang w:bidi="ar-SA"/>
        </w:rPr>
        <w:t xml:space="preserve">بقي الكلام فيما إذا لم تكن البالغة السفيهة ذات أب و لا جدّ، ولم يكن هناك وصيّ أيضًا،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عليه بصحيحة الفضلاء المذكورة أنّ تزويجها لوليّها جائز،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وليَّها حينئذٍ هو الحاكم،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وليّ من لا وليّ له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فيجوز له تزويجها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صحيحة عبداللّه بن سنان المذكورة، للقطع بثبوت الولاية له في التصرّف في أموالها حينئذٍ، فيصدق عليه أنّه وليّ أمرها، فيكون وليّها في التزويج أيضًا للصحيحة المذكورة </w:t>
      </w:r>
      <w:r>
        <w:rPr>
          <w:rFonts w:eastAsia="Amiri" w:cs="Amiri" w:ascii="Amiri" w:hAnsi="Amiri"/>
          <w:color w:val="111111"/>
          <w:sz w:val="28"/>
          <w:szCs w:val="28"/>
          <w:rtl w:val="true"/>
          <w:lang w:bidi="ar-SA"/>
        </w:rPr>
        <w:t xml:space="preserve">. </w:t>
      </w:r>
      <w:bookmarkStart w:id="212" w:name="pg7542_72691"/>
    </w:p>
    <w:p>
      <w:pPr>
        <w:pStyle w:val="Heading2"/>
        <w:numPr>
          <w:ilvl w:val="1"/>
          <w:numId w:val="1"/>
        </w:numPr>
        <w:rPr/>
      </w:pPr>
      <w:bookmarkStart w:id="213" w:name="__RefHeading___Toc2800234_1051229030"/>
      <w:bookmarkStart w:id="214" w:name="_Toc79"/>
      <w:bookmarkEnd w:id="212"/>
      <w:bookmarkEnd w:id="213"/>
      <w:r>
        <w:rPr>
          <w:rtl w:val="true"/>
        </w:rPr>
        <w:t>تحقيق معنى السفاهة</w:t>
      </w:r>
      <w:bookmarkEnd w:id="214"/>
    </w:p>
    <w:p>
      <w:pPr>
        <w:pStyle w:val="BookText"/>
        <w:rPr/>
      </w:pPr>
      <w:r>
        <w:rPr>
          <w:rFonts w:ascii="Amiri" w:hAnsi="Amiri" w:eastAsia="Amiri" w:cs="Amiri"/>
          <w:color w:val="111111"/>
          <w:sz w:val="28"/>
          <w:sz w:val="28"/>
          <w:szCs w:val="28"/>
          <w:rtl w:val="true"/>
          <w:lang w:bidi="ar-SA"/>
        </w:rPr>
        <w:t xml:space="preserve">تنقيح المقام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إن كان متينًا </w:t>
      </w:r>
      <w:r>
        <w:rPr>
          <w:rStyle w:val="FootnoteAnchor"/>
          <w:rtl w:val="true"/>
        </w:rPr>
        <w:footnoteReference w:id="171"/>
      </w:r>
      <w:r>
        <w:rPr>
          <w:rFonts w:ascii="Amiri" w:hAnsi="Amiri" w:eastAsia="Amiri" w:cs="Amiri"/>
          <w:color w:val="111111"/>
          <w:sz w:val="28"/>
          <w:sz w:val="28"/>
          <w:szCs w:val="28"/>
          <w:rtl w:val="true"/>
          <w:lang w:bidi="ar-SA"/>
        </w:rPr>
        <w:t xml:space="preserve">، لكن تحقيق الحال يتوقّف على معرفة السفاهة الّتي هي المعتبرة في ثبوت الولاية في التزويج بمقتضى الصحيحة المذكورة،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في اللغة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العقل و خفّته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الهروي في الغريبين،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الَّذى عَلَيْه الْحَقُّ سَفِيهًا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الخفيف العقل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الحلم، 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و كسحاب و سحابة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خفّة الحلم، أو نقيضه، أو </w:t>
      </w:r>
    </w:p>
    <w:p>
      <w:pPr>
        <w:pStyle w:val="BookText"/>
        <w:rPr/>
      </w:pPr>
      <w:r>
        <w:rPr>
          <w:rFonts w:ascii="IRNazanin" w:hAnsi="IRNazanin" w:eastAsia="IRNazanin"/>
          <w:color w:val="111111"/>
          <w:sz w:val="28"/>
          <w:sz w:val="28"/>
          <w:szCs w:val="28"/>
          <w:rtl w:val="true"/>
          <w:lang w:bidi="fa-IR"/>
        </w:rPr>
        <w:t xml:space="preserve">الجهل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هو المتبادر منه في العرف، فالسفيه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العقل والميزان في كلّ صنف هو أغلب النفوس في ذلك الصنف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فالسفيه من الرجال هو الّذي يخفّ عقله بالإضافة إلى أغلب أفراد الرجال ؛ والسفيهة من النساء هي الّتي تخفّ عقلها بالنسبة إلى أغلب أفراد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والسفيه من الذكور الّذي أكمل خمس عشر سنة هو الّذي خفّ و قلّ عقله بالإضافة إلى أغلب أفراد هذا الصنف ؛ والسفيهة من الأنثى ممّن أكملت تسع سنين هي الّتي قلّ عقلها بالنسبة إلى أغلب أفراد هذا الصنف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أنّ البالغة تسع سنين على قسمين، قسمٌ يكون على ما فيه أغلب أفراد هذا الصنف من العقل و الفطانة ؛ والآخر ليس كذلك، بل قلّ عقله بالإضافة إلى أغلب أفراده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لا يقال له أنّه سفيهة، فلا ولاية للحاكم في تزويجها، بل هي مستقلّة في ذلك ؛ بخلاف الثاني، فإنّ له ولاية عليها، فيزوّجها عند الحاجة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والسفاهة المدلول عليها بصحيحة الفضلاء هي هذا المعنى ؛ و مرادهم بفساد العقل في هذا المقام هو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يعبّروا عنه بالسفه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ولاية الحاكم على مَن بلغ سفيهًا أو سفيهةً، احترازًا عن حمل السفيهة في هذا المقام على ما فسّروه به في مباحث الحجر،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يصرف أمواله في غير الأغراض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السفيه فهو الّذي يصرف أمواله في غير الأغراض الصحيحة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السفيه هو الّذي يصرف أمواله في غير الأغراض الصحيحة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لايكفي البلوغ في زوال الحجر بدون الرشد، فلا ينفذ تصرّف المجنون ولا السفيه، و هو الّذي يصرف أمواله في غير الأغراض الصحيحة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السفاهة المانعة عن دفع المال مغايرةٌ للسفاهة المانعة عن الاستقلال بالتزويج و الموجبة لثبوت الولاية للحاكم عليه، إذ السفاهة المانعة عن </w:t>
      </w:r>
    </w:p>
    <w:p>
      <w:pPr>
        <w:pStyle w:val="BookText"/>
        <w:rPr/>
      </w:pPr>
      <w:r>
        <w:rPr>
          <w:rFonts w:ascii="Amiri" w:hAnsi="Amiri" w:eastAsia="Amiri" w:cs="Amiri"/>
          <w:color w:val="111111"/>
          <w:sz w:val="28"/>
          <w:sz w:val="28"/>
          <w:szCs w:val="28"/>
          <w:rtl w:val="true"/>
          <w:lang w:bidi="ar-SA"/>
        </w:rPr>
        <w:t xml:space="preserve">دفع المال هي في مقابلة الرشد المفسَّر بحفظ المال و ضبطه و إصلاحه المعتبر في دفع المال، فإذا لم يكن له ملكة حفظ المال و ضبطه و إصلاحه لم يكن رشيدًا، فلا يدفع اليه المال،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إذ مقتضى المفهوم أنّه عند عدم استيناس الرشد لايدفع إليهم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عبّروا بمن لم يكن رشيدًا بالسفيه،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تُؤْتُوا الْسُّفَهاءَ أَمْوالَكُمُ الَّتى جَعَلَ اللّه‌ُ لَكُمْ قِيامًا وَارْزُقُوهُمْ فِيها وَ اكْسُوهُمْ وَ 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أطلقوا على غير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مَن لم يكن له ملكة حفظ المال وإصلاحه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السفيه تبعًا للآية الشريفة، و لم يكن المراد من السفه في مباحث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ثبوت ولاية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عدلوا عن إطلاق لفظ السفيه عليه، لئّلا يوقع في الغلط، بل عبّروا عنه بفساد العقل 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ما صدر من شيخنا الشهيد الثاني في الروضة حيث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عبارة اللمعة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على ما ينبغي ؛ و العبارة هكذا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والوصيّ يزوّجان من بلغ فاسد العقل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زاد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فاسد العقل أو سفيهًا، لوضوح شمول فساد العقل لذلك، إذ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سفيه و مجنون ؛ و فساد العقل شاملٌ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الداعي لهذه الزيادة حمل السفيه في صحيحة الفضلاء على ما فسَّروه به في مباحث الحجر،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ملكة حفظ المال و إصلاحه، أو من يصرف المال في غير الأغراض الصحيحة ؛ و هو غير صحيح، بل الظاهر أنّ المراد منه ما هو المتبادر منه في العرف والعادة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السفيه في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في مباحث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لما ذكر في أوّله ؛ والحديث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الّتي قد ملكت نفسها غير السفيهة و لا المولّى عليها إنّ تزويجها بغير وليّ جائز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بناءً على أنّ المراد من الّتي ملكت نفسها هي المالكة أمرها ممّا يتعلّق بها، فلا تكون إلاّ رشيدة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أمرها،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w:t>
      </w:r>
      <w:r>
        <w:rPr>
          <w:rStyle w:val="FootnoteAnchor"/>
          <w:rtl w:val="true"/>
        </w:rPr>
        <w:footnoteReference w:id="183"/>
      </w:r>
      <w:r>
        <w:rPr>
          <w:rFonts w:ascii="IRNazanin" w:hAnsi="IRNazanin" w:eastAsia="IRNazanin"/>
          <w:color w:val="111111"/>
          <w:sz w:val="28"/>
          <w:sz w:val="28"/>
          <w:szCs w:val="28"/>
          <w:rtl w:val="true"/>
          <w:lang w:bidi="fa-IR"/>
        </w:rPr>
        <w:t xml:space="preserve">لأحد على نفسها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أنّه عليه‌السلام فسّرها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السفيهة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فالمراد أنّ المرأة الّتي ملكت نفسها الّتي هي عبارة عن غير السفيهة و لا المولّى عليها، فإنّ تزويجها بغير وليّ جائز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نبّهنا على أنّ المراد بالمولّى عليها الإماء، و المراد بالسفيهة خفيفة العقل، بناءً على الميزان الّذي نبّهنا عليه، فالمراد أنّ المرأة إذا لم تكن خفيفة العقل ولامملوكة، فإنّها مستقلّة في أمر تزويجها، بخلاف السفيهة على المعنى المذكور، و هو راجعٌ إلى ما ذكروه من فساد العقل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ممّا ذكر أنّ السفيه على المعنى المعروف في مباحث الحجر أعمّ من السفيه المذكور في مباحث النكاح في مقام ثبوت الولاية عليه في التزويج ؛ والنسبة بينهما عمومٌ مطلق، فكلّ سفيهة في مباحث النكاح سفيهة في مباحث الحجر، و لا عكس ؛ إذ بعض السفيهة في مباحث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لم تكن لها ملكة حفظ المال و ضبطه و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بسفيهة في مباحث النكاح، فلم يكن للحاكم عليها ولاية في التزويج، بل النكاح الصادر منها محكومٌ بالصحّة واللزوم، وليس للحاكم نقضه و إبطاله </w:t>
      </w:r>
      <w:r>
        <w:rPr>
          <w:rFonts w:eastAsia="Amiri" w:cs="Amiri" w:ascii="Amiri" w:hAnsi="Amiri"/>
          <w:color w:val="111111"/>
          <w:sz w:val="28"/>
          <w:szCs w:val="28"/>
          <w:rtl w:val="true"/>
          <w:lang w:bidi="ar-SA"/>
        </w:rPr>
        <w:t xml:space="preserve">. </w:t>
      </w:r>
      <w:bookmarkStart w:id="215" w:name="pg7542_72702"/>
    </w:p>
    <w:p>
      <w:pPr>
        <w:pStyle w:val="Heading2"/>
        <w:numPr>
          <w:ilvl w:val="1"/>
          <w:numId w:val="1"/>
        </w:numPr>
        <w:rPr/>
      </w:pPr>
      <w:bookmarkStart w:id="216" w:name="__RefHeading___Toc2800236_1051229030"/>
      <w:bookmarkStart w:id="217" w:name="_Toc80"/>
      <w:bookmarkEnd w:id="215"/>
      <w:bookmarkEnd w:id="216"/>
      <w:r>
        <w:rPr>
          <w:rtl w:val="true"/>
        </w:rPr>
        <w:t xml:space="preserve">الداعي للتفسير الّذي اخترناه للسفاهة أمور </w:t>
      </w:r>
      <w:r>
        <w:rPr>
          <w:rtl w:val="true"/>
        </w:rPr>
        <w:t>:</w:t>
      </w:r>
      <w:bookmarkEnd w:id="217"/>
    </w:p>
    <w:p>
      <w:pPr>
        <w:pStyle w:val="Heading3"/>
        <w:numPr>
          <w:ilvl w:val="2"/>
          <w:numId w:val="1"/>
        </w:numPr>
        <w:rPr/>
      </w:pPr>
      <w:bookmarkStart w:id="218" w:name="__RefHeading___Toc2800238_1051229030"/>
      <w:bookmarkStart w:id="219" w:name="_Toc81"/>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 xml:space="preserve">بقي الكلام في الداعي لذلك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والتعميم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لذلك وإن ظهر ممّا سلف، لكنّا نتعرّض إليه ثانيًا تأكيدًا للمطلب و تنبيهًا لما</w:t>
      </w:r>
    </w:p>
    <w:p>
      <w:pPr>
        <w:pStyle w:val="BookText"/>
        <w:rPr/>
      </w:pPr>
      <w:r>
        <w:rPr>
          <w:rFonts w:ascii="Amiri" w:hAnsi="Amiri" w:eastAsia="Amiri" w:cs="Amiri"/>
          <w:color w:val="111111"/>
          <w:sz w:val="28"/>
          <w:sz w:val="28"/>
          <w:szCs w:val="28"/>
          <w:rtl w:val="true"/>
          <w:lang w:bidi="ar-SA"/>
        </w:rPr>
        <w:t xml:space="preserve">لم أنبّه عليه فيما سلف،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لذلك أمور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800240_1051229030"/>
      <w:bookmarkStart w:id="221" w:name="_Toc82"/>
      <w:bookmarkEnd w:id="220"/>
      <w:r>
        <w:rPr>
          <w:rtl w:val="true"/>
        </w:rPr>
        <w:t>الأمر الأوّل</w:t>
      </w:r>
      <w:bookmarkEnd w:id="22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بناءً على أنّ الصغيرة في حال صغرها لم يكن للحاكم عليها ولاية في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محكومٌ بالثبوت والبقاء إلى أن يتحقّق الرافع، و لم يتحقق إلاّ في السفيهة </w:t>
      </w:r>
      <w:r>
        <w:rPr>
          <w:rStyle w:val="FootnoteAnchor"/>
          <w:rtl w:val="true"/>
        </w:rPr>
        <w:footnoteReference w:id="184"/>
      </w:r>
      <w:r>
        <w:rPr>
          <w:rFonts w:ascii="Amiri" w:hAnsi="Amiri" w:eastAsia="Amiri" w:cs="Amiri"/>
          <w:color w:val="111111"/>
          <w:sz w:val="28"/>
          <w:sz w:val="28"/>
          <w:szCs w:val="28"/>
          <w:rtl w:val="true"/>
          <w:lang w:bidi="ar-SA"/>
        </w:rPr>
        <w:t xml:space="preserve">بمعنى خفيفة العقل، لا غيرها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تأمّل، أمّا أوَّلاً فلأنّه معارضٌ باستصحاب عدم استقلال البنت في </w:t>
      </w:r>
    </w:p>
    <w:p>
      <w:pPr>
        <w:pStyle w:val="BookText"/>
        <w:rPr/>
      </w:pPr>
      <w:r>
        <w:rPr>
          <w:rFonts w:ascii="Amiri" w:hAnsi="Amiri" w:eastAsia="Amiri" w:cs="Amiri"/>
          <w:color w:val="111111"/>
          <w:sz w:val="28"/>
          <w:sz w:val="28"/>
          <w:szCs w:val="28"/>
          <w:rtl w:val="true"/>
          <w:lang w:bidi="ar-SA"/>
        </w:rPr>
        <w:t xml:space="preserve">تزويجها للقطع بذلك في حال صغرها ؛ و هو محكومٌ بالبقاء والثبوت إلى أن يتحقّق الرافع، والقدر المسلّم تحقّق الرافع فيما إذا كانت رشيدة للإجماع،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فهو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الرافع لحكم الاستصحاب بالإضافة إلى الحاكم موجود ؛ و هو الصحيح المذكور،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هو وليّ أمرها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للقطع بأنّ أمرها في الصورة المفروضة هو الحاكم، إذ المفروض انتفاء الأب والجدّ والوصيّ، فوليّها في المال هو الحاكم، فيكون وليّها في النكاح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يكفي لدفع الاستصحاب المقتضي لعدم ثبوت الولاية للحاكم، بخلاف الاستصحاب من طرف البنت، لانتفاء المعارض له، فلا يكون مستقلّة في تزويجها في الصورة المفروضة ؛ و إنّما الولاية هناك للحاكم، و ستقف على الجواب عن ذلك </w:t>
      </w:r>
      <w:r>
        <w:rPr>
          <w:rFonts w:eastAsia="Amiri" w:cs="Amiri" w:ascii="Amiri" w:hAnsi="Amiri"/>
          <w:color w:val="111111"/>
          <w:sz w:val="28"/>
          <w:szCs w:val="28"/>
          <w:rtl w:val="true"/>
          <w:lang w:bidi="ar-SA"/>
        </w:rPr>
        <w:t xml:space="preserve">. </w:t>
      </w:r>
      <w:bookmarkStart w:id="222" w:name="pg7542_72706"/>
    </w:p>
    <w:p>
      <w:pPr>
        <w:pStyle w:val="Heading3"/>
        <w:numPr>
          <w:ilvl w:val="2"/>
          <w:numId w:val="1"/>
        </w:numPr>
        <w:rPr/>
      </w:pPr>
      <w:bookmarkStart w:id="223" w:name="__RefHeading___Toc2800242_1051229030"/>
      <w:bookmarkStart w:id="224" w:name="_Toc83"/>
      <w:bookmarkEnd w:id="222"/>
      <w:bookmarkEnd w:id="223"/>
      <w:r>
        <w:rPr>
          <w:rtl w:val="true"/>
        </w:rPr>
        <w:t>الأمر الثاني</w:t>
      </w:r>
      <w:bookmarkEnd w:id="224"/>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نبّهنا عليه من أنّ المستفاد منه أنّ البالغ حدّ النكاح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يتّصف بالرشد الموقوف عليه في دفع المال ؛ والثاني غير متّصف به، فلا يسوغ دفع المال إليه ؛ والبلوغ في النكاح المقتضي لصحّته متحقّقٌ في القسمين، فمقتضى الآية الشريفة استقلالهم فى ذلك، فلابدّ من القول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منه استقلالهم في ذلك ولو مع الاتّصاف بالسفاهة بالمعنى السالف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مخصَّص بغير تلك الصورة، لصحيحة الفضلاء والإجماع </w:t>
      </w:r>
      <w:r>
        <w:rPr>
          <w:rFonts w:eastAsia="Amiri" w:cs="Amiri" w:ascii="Amiri" w:hAnsi="Amiri"/>
          <w:color w:val="111111"/>
          <w:sz w:val="28"/>
          <w:szCs w:val="28"/>
          <w:rtl w:val="true"/>
          <w:lang w:bidi="ar-SA"/>
        </w:rPr>
        <w:t xml:space="preserve">. </w:t>
      </w:r>
      <w:bookmarkStart w:id="225" w:name="pg7542_72708"/>
    </w:p>
    <w:p>
      <w:pPr>
        <w:pStyle w:val="Heading3"/>
        <w:numPr>
          <w:ilvl w:val="2"/>
          <w:numId w:val="1"/>
        </w:numPr>
        <w:rPr/>
      </w:pPr>
      <w:bookmarkStart w:id="226" w:name="__RefHeading___Toc2800244_1051229030"/>
      <w:bookmarkStart w:id="227" w:name="_Toc84"/>
      <w:bookmarkEnd w:id="225"/>
      <w:bookmarkEnd w:id="226"/>
      <w:r>
        <w:rPr>
          <w:rtl w:val="true"/>
        </w:rPr>
        <w:t>الأمر الثالث</w:t>
      </w:r>
      <w:bookmarkEnd w:id="227"/>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المذكورة المرويّة في الكافي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غير السفيهة و لا المولّى عليها إنّ تزويجها بغير وليّ جائز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 السفيهة في اللغة والعرف هو خفيف العقل، فلابدّ من حمله عليه إلاّ عند الاقتران بالقرينة الصارفة،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الآية، لما نبّهنا عليه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منتفية في محلّ الكلام، فمقتضى الأصل في الاستعمال الحقيقة لزوم حمله على المعنى المتبادر المذكور، فمقتضاه أنّ المرأة الّتي لم تكن سفيهة و لا مملوكة يصحّ تزويجها من غير وليّ ؛ واللازم من ذلك استقلال البالغة تسع سنين فيما إذا لم يصدق عليها أنّها سفيهة في نكاحها، و هو المطلوب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منه وإن كان ذلك، لكنّه معارضٌ بقوله عليه‌السلام في الصحيح </w:t>
      </w:r>
    </w:p>
    <w:p>
      <w:pPr>
        <w:pStyle w:val="BookText"/>
        <w:rPr/>
      </w:pPr>
      <w:r>
        <w:rPr>
          <w:rFonts w:ascii="Amiri" w:hAnsi="Amiri" w:eastAsia="Amiri" w:cs="Amiri"/>
          <w:color w:val="111111"/>
          <w:sz w:val="28"/>
          <w:sz w:val="28"/>
          <w:szCs w:val="28"/>
          <w:rtl w:val="true"/>
          <w:lang w:bidi="ar-SA"/>
        </w:rPr>
        <w:t xml:space="preserve">السالف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بيده عقدة النكاح هو وليّ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أنّ وليّ أمرها في أموالها في الصورة المفروضة هو الحاكم، فيكون بيده نكاحها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الصحيحين تعارض العموم والخصوص مطلقًا، بناءً على أنّ المدلول عليه بصحيحة ابن سنان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نكاح المولّى عليها في المال موكولٌ إلى وليّها، سواء كانت سفيهة أو لا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الفضلاء دالّةٌ على أنّ ذلك مختصّ بصورة السفاهة ؛ و أمّا في غيرها فلا توقّف له على الوليّ، فهي دليلٌ على تخصيص صحيحة ابن سنان بما إذا كانت سفيهة، فلا إشكال </w:t>
      </w:r>
      <w:r>
        <w:rPr>
          <w:rFonts w:eastAsia="Amiri" w:cs="Amiri" w:ascii="Amiri" w:hAnsi="Amiri"/>
          <w:color w:val="111111"/>
          <w:sz w:val="28"/>
          <w:szCs w:val="28"/>
          <w:rtl w:val="true"/>
          <w:lang w:bidi="ar-SA"/>
        </w:rPr>
        <w:t xml:space="preserve">. </w:t>
      </w:r>
      <w:bookmarkStart w:id="228" w:name="pg7542_72712"/>
    </w:p>
    <w:p>
      <w:pPr>
        <w:pStyle w:val="Heading3"/>
        <w:numPr>
          <w:ilvl w:val="2"/>
          <w:numId w:val="1"/>
        </w:numPr>
        <w:rPr/>
      </w:pPr>
      <w:bookmarkStart w:id="229" w:name="__RefHeading___Toc2800246_1051229030"/>
      <w:bookmarkStart w:id="230" w:name="_Toc85"/>
      <w:bookmarkEnd w:id="228"/>
      <w:bookmarkEnd w:id="229"/>
      <w:r>
        <w:rPr>
          <w:rtl w:val="true"/>
        </w:rPr>
        <w:t>الأمر الرابع</w:t>
      </w:r>
      <w:bookmarkEnd w:id="230"/>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المعتبرة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والتهذيب، عن الحسن بن محبوب، عن أبي أيّوب الخزّاز، عن يزيد الكناسي،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إذا بلغت تسع سنين ذهب عنها اليتم، و زوّجت، و أقيم الحدود </w:t>
      </w:r>
      <w:r>
        <w:rPr>
          <w:rStyle w:val="FootnoteAnchor"/>
          <w:rtl w:val="true"/>
        </w:rPr>
        <w:footnoteReference w:id="189"/>
      </w:r>
      <w:r>
        <w:rPr>
          <w:rFonts w:ascii="Amiri" w:hAnsi="Amiri" w:eastAsia="Amiri" w:cs="Amiri"/>
          <w:color w:val="111111"/>
          <w:sz w:val="28"/>
          <w:sz w:val="28"/>
          <w:szCs w:val="28"/>
          <w:rtl w:val="true"/>
          <w:lang w:bidi="ar-SA"/>
        </w:rPr>
        <w:t xml:space="preserve">التامّة عليها و لها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والمعطوف على الجزاء في حكمه ؛ والظاهر من الشرط والجزاء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الشرط كافٍ في تحقّق الجزاء من غير توقّف له </w:t>
      </w:r>
    </w:p>
    <w:p>
      <w:pPr>
        <w:pStyle w:val="BookText"/>
        <w:rPr/>
      </w:pPr>
      <w:r>
        <w:rPr>
          <w:rFonts w:ascii="Amiri" w:hAnsi="Amiri" w:eastAsia="Amiri" w:cs="Amiri"/>
          <w:color w:val="111111"/>
          <w:sz w:val="28"/>
          <w:sz w:val="28"/>
          <w:szCs w:val="28"/>
          <w:rtl w:val="true"/>
          <w:lang w:bidi="ar-SA"/>
        </w:rPr>
        <w:t xml:space="preserve">على شيء، فالبلوغ </w:t>
      </w:r>
      <w:r>
        <w:rPr>
          <w:rStyle w:val="FootnoteAnchor"/>
          <w:rtl w:val="true"/>
        </w:rPr>
        <w:footnoteReference w:id="191"/>
      </w:r>
      <w:r>
        <w:rPr>
          <w:rFonts w:ascii="Amiri" w:hAnsi="Amiri" w:eastAsia="Amiri" w:cs="Amiri"/>
          <w:color w:val="111111"/>
          <w:sz w:val="28"/>
          <w:sz w:val="28"/>
          <w:szCs w:val="28"/>
          <w:rtl w:val="true"/>
          <w:lang w:bidi="ar-SA"/>
        </w:rPr>
        <w:t xml:space="preserve">تسع سنين في الجارية اليتيمة كافٍ في تزويجها نفسها من غير توقّف لهعلى شيء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قطعيّ الإرادة في البالغة تسع سنين إذا كانت رشيدة، فيكون كذلك أيضًا فيما إذا لم يكن رشيدة، لكونه مقتضى هذا الكلام، فعلى هذا لو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المبنيّ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في الدلالة أظهر، خرجت السفيهة بالنصّ والإجماع، فيبقى غيرها داخلاً تحت النصّ ؛ ومقتضاه استقلال البالغة تسعًا في تزويجها، فلا توقّف له على الإذن من الحاكم،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المرويّة في الفقيه، عن داود بن سرحان،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واليتيمة في حجر الرجل لايزوّجها إلاّ ممّن ترضى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برضاها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تسعًا فصاعدًا ؛ وإطلاق اليتيمة إنّما هو باعتبار ما كان،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آتُوا الْيَتامى أَمْوالَهُمْ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 قد صرّح عليه‌السلام بأنّ تزويجها لايجوز إلاّ برضاها، فتكون مستقلةً في ذلك، فلا ولاية للحاكم عليها، و هو المدّعى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 إن كان شاملاً للسفيهة أيضًا، لكن وجب حملها على غير السفيهة، </w:t>
      </w:r>
    </w:p>
    <w:p>
      <w:pPr>
        <w:pStyle w:val="BookText"/>
        <w:rPr/>
      </w:pPr>
      <w:r>
        <w:rPr>
          <w:rFonts w:ascii="Amiri" w:hAnsi="Amiri" w:eastAsia="Amiri" w:cs="Amiri"/>
          <w:color w:val="111111"/>
          <w:sz w:val="28"/>
          <w:sz w:val="28"/>
          <w:szCs w:val="28"/>
          <w:rtl w:val="true"/>
          <w:lang w:bidi="ar-SA"/>
        </w:rPr>
        <w:t xml:space="preserve">لصحيحة الفضلاء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عن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رجل مات و ترك أخوين وابنة والبنت صغيرة </w:t>
      </w:r>
      <w:r>
        <w:rPr>
          <w:rStyle w:val="FootnoteAnchor"/>
          <w:rtl w:val="true"/>
        </w:rPr>
        <w:footnoteReference w:id="195"/>
      </w:r>
      <w:r>
        <w:rPr>
          <w:rFonts w:ascii="Amiri" w:hAnsi="Amiri" w:eastAsia="Amiri" w:cs="Amiri"/>
          <w:color w:val="111111"/>
          <w:sz w:val="28"/>
          <w:sz w:val="28"/>
          <w:szCs w:val="28"/>
          <w:rtl w:val="true"/>
          <w:lang w:bidi="ar-SA"/>
        </w:rPr>
        <w:t xml:space="preserve">، فعمد أحد الأخوين الوصيّ، فزوّج الابنة من ابنه، ثمّ مات أبُ الابن المزوّج، فلمّا أن مات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لم يزوّج ابنه، فزوّج الجارية من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الراوية فيها</w:t>
      </w:r>
    </w:p>
    <w:p>
      <w:pPr>
        <w:pStyle w:val="BookText"/>
        <w:rPr/>
      </w:pPr>
      <w:r>
        <w:rPr>
          <w:rFonts w:ascii="Amiri" w:hAnsi="Amiri" w:eastAsia="Amiri" w:cs="Amiri"/>
          <w:color w:val="111111"/>
          <w:sz w:val="28"/>
          <w:sz w:val="28"/>
          <w:szCs w:val="28"/>
          <w:rtl w:val="true"/>
          <w:lang w:bidi="ar-SA"/>
        </w:rPr>
        <w:t xml:space="preserve">أنّها للزوج الأخير، و ذلك أنّها قد كانت أدركت حين زوّجها، و ليس لها أن تنقض ما عقدته بعد إدراكها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كان مضمرًا، لكنّ الظاهر أنّ المسئول هو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حكم بأنّها للزوج الأخير، و علّله بأنّها قد كانت أدركت حين زوّج الأخير إيّاها ؛ و ذلك إنّما يستقيم إذا كان المناط في تزويج الإناث نفس الإدراك الّذي عبارة عن البلوغ، كما لايخفى ؛ و يؤكّده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لها أن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لا يخفى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عن ابن أبي عمير، عن رجل،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ابنة كم لا تستصبى ؟ ابنة ستّ أو سبع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ابنة تسع لا تستصبى، وأجمعوا كلّهم على أنّ ابنة تسع لا تستصبى إلاّ أن يكون في </w:t>
      </w:r>
    </w:p>
    <w:p>
      <w:pPr>
        <w:pStyle w:val="BookText"/>
        <w:rPr/>
      </w:pPr>
      <w:r>
        <w:rPr>
          <w:rFonts w:ascii="Amiri" w:hAnsi="Amiri" w:eastAsia="Amiri" w:cs="Amiri"/>
          <w:color w:val="111111"/>
          <w:sz w:val="28"/>
          <w:sz w:val="28"/>
          <w:szCs w:val="28"/>
          <w:rtl w:val="true"/>
          <w:lang w:bidi="ar-SA"/>
        </w:rPr>
        <w:t xml:space="preserve">عقلها ضعف، و إلاّ فإذا هي بلغت تسعًا فقد بلغت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والبكر إذا كانت بين أبويها و كانت بالغة فلا بأس بالتمتّع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محمّد بن أحمد بن يحيى، عن العبّاس بن معروف، عن سعدان بن مسلم، عن رجل،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بتزويج البكر إذا رضيت من غير إذن أبويها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سنده من يقدح في الحديث إلاّ سعدان، و ما تراه فيه من الإرسال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المصرّح به في كلام شيخ الطائفة في الفهرست أنّ سعدان ذو أصل يروي عنه جماعة من الأجلّة،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سعدان بن مسلم العامريّ، اسمه عبدالرحمن، و سعدان لقبه، له أصل، أخبرنا به جماعة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عذافر، عنه، و عن صفوان بن يحيى،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به ابن أبي جيّد، عن ابن الوليد، عن الصفّار، عن العبّاس بن معروف و أبي طالب عبداللّه بن الصلت القمي، و أحمد بن إسحاق، كلّهم عنه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يخفى ما في هذا الطرد من الكلام من الدلالة على شدّة الاعتناء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سعدان بن مسلم، اسمه عبدالرحمن بن مسلم، أبوالحسن العامريّ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عن أبي عبداللّه و أبي الحسن عليهماالسلام، و عمّر عمرًا طويلاً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ذكره ؛ و ممّا ذكره يظهر الوجه في رواية أحمد بن إسحاق عنه، مع كونه من أصحاب الإمام مولانا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حكاية الإرسال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الطائفة و إن رواه في الموضع المذكور كما ذكر، لكن رواه في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عقد الأب على ابنته البالغة بغير إذنها أخطأ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محمّد بن عليّ بن محبوب، عن العبّاس، عن سعدان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بتزويج البكر إذا رضيت من غير إذن أبيها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علم من النجاشي أنّه من أصحاب مولانا الصادق عليه‌السلام، فلا بُعد في كون الرواية عنه تارةً مع الواسطة، و أخرى من غيرها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التهذيب، عن صفوان بن يحيى، عن إبراهيم بن </w:t>
      </w:r>
    </w:p>
    <w:p>
      <w:pPr>
        <w:pStyle w:val="BookText"/>
        <w:rPr/>
      </w:pPr>
      <w:r>
        <w:rPr>
          <w:rFonts w:ascii="Amiri" w:hAnsi="Amiri" w:eastAsia="Amiri" w:cs="Amiri"/>
          <w:color w:val="111111"/>
          <w:sz w:val="28"/>
          <w:sz w:val="28"/>
          <w:szCs w:val="28"/>
          <w:rtl w:val="true"/>
          <w:lang w:bidi="ar-SA"/>
        </w:rPr>
        <w:t xml:space="preserve">محمّد الأشعريّ، عن إبراهيم بن محمّد الخثعميّ،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يتمتّع منها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تكون صبيّة تخدع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فكم الحدّ الّذي إذا بلغته لم تخدع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عشر سنين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نبّهنا فيما سلف أنّه مرويّ في باب المتعة من نكاح الفقيه أيضًا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السالف من التهذيب، عن محمّد بن هاشم، عن أبي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البكر بنت تسع سنين فليست مخدوعة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العشر في الأوّل هو الدخول في السنة العاشرة، و من التسع هو إكمالها ؛ و معلومٌ أنّه بعد إكمال التسع يكون الدخول في العاشرة، فهما في المَآل يؤلان إلى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المخدوعيّة و عدمها إلى البنت إنّما يكون إذا كان المرجع في التزويج نفسها، فهما يدلاّن على جواز تزويجها فيما إذا أكملت تسع سنين من غير وليّ ؛ و معلومٌ أنّ البالغة تسع سنين في الغالب ليست جائزة للرشد المعتبر في دفع المال، و هو ظاهر، فمقتضاهما استقلالها في التزويج و عدم توقّفه على وليّ ولو مع انتفاء الاتّصاف بالرشد الموصوف، و هو المطلوب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فيهما و إن كان كما ذكر، لكن صحيحة عبداللّه بن سنان </w:t>
      </w:r>
    </w:p>
    <w:p>
      <w:pPr>
        <w:pStyle w:val="BookText"/>
        <w:rPr/>
      </w:pPr>
      <w:r>
        <w:rPr>
          <w:rFonts w:ascii="Amiri" w:hAnsi="Amiri" w:eastAsia="Amiri" w:cs="Amiri"/>
          <w:color w:val="111111"/>
          <w:sz w:val="28"/>
          <w:sz w:val="28"/>
          <w:szCs w:val="28"/>
          <w:rtl w:val="true"/>
          <w:lang w:bidi="ar-SA"/>
        </w:rPr>
        <w:t xml:space="preserve">المذكورة تقتضي حملها بما إذا اتّصفت المرأة بالرشد المعتبر في دفع المال، إذ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بيده عقدة النكاح وليّ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استقلالها في النكاح مع تحقّق الوليّ لها ؛ و معلومٌ أنّ أمر المال عند انتفاء الاتّصاف بالرشد إلى الوليّ،</w:t>
      </w:r>
    </w:p>
    <w:p>
      <w:pPr>
        <w:pStyle w:val="BookText"/>
        <w:rPr/>
      </w:pPr>
      <w:r>
        <w:rPr>
          <w:rFonts w:ascii="Amiri" w:hAnsi="Amiri" w:eastAsia="Amiri" w:cs="Amiri"/>
          <w:color w:val="111111"/>
          <w:sz w:val="28"/>
          <w:sz w:val="28"/>
          <w:szCs w:val="28"/>
          <w:rtl w:val="true"/>
          <w:lang w:bidi="ar-SA"/>
        </w:rPr>
        <w:t xml:space="preserve">فلا يمكن التعويل عليهما في الحكم باستقلال البالغة تسع سنين في تزويجها بعنوان الإطلاق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نبّهنا فيما سلف أنّ صحيحة عبداللّه بن سنان محمولةٌ على ما إذا اتّصفت بخفّة العقل لصحيحة الفضلاء السالفة، فدقّق النظر حتّى يتّضح عليك الحال </w:t>
      </w:r>
      <w:r>
        <w:rPr>
          <w:rFonts w:eastAsia="Amiri" w:cs="Amiri" w:ascii="Amiri" w:hAnsi="Amiri"/>
          <w:color w:val="111111"/>
          <w:sz w:val="28"/>
          <w:szCs w:val="28"/>
          <w:rtl w:val="true"/>
          <w:lang w:bidi="ar-SA"/>
        </w:rPr>
        <w:t xml:space="preserve">. </w:t>
      </w:r>
      <w:bookmarkStart w:id="231" w:name="pg7542_72726"/>
    </w:p>
    <w:p>
      <w:pPr>
        <w:pStyle w:val="Heading3"/>
        <w:numPr>
          <w:ilvl w:val="2"/>
          <w:numId w:val="1"/>
        </w:numPr>
        <w:rPr/>
      </w:pPr>
      <w:bookmarkStart w:id="232" w:name="__RefHeading___Toc2800248_1051229030"/>
      <w:bookmarkStart w:id="233" w:name="_Toc86"/>
      <w:bookmarkEnd w:id="231"/>
      <w:bookmarkEnd w:id="232"/>
      <w:r>
        <w:rPr>
          <w:rtl w:val="true"/>
        </w:rPr>
        <w:t>الأمر الخامس</w:t>
      </w:r>
      <w:bookmarkEnd w:id="233"/>
    </w:p>
    <w:p>
      <w:pPr>
        <w:pStyle w:val="BookText"/>
        <w:rPr/>
      </w:pP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التزويج بغير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الكافي،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لاينقض النكاح إلاّ الأب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مرويّ في التهذيب أيضًا </w:t>
      </w:r>
      <w:r>
        <w:rPr>
          <w:rStyle w:val="FootnoteAnchor"/>
          <w:rtl w:val="true"/>
        </w:rPr>
        <w:footnoteReference w:id="206"/>
      </w:r>
      <w:r>
        <w:rPr>
          <w:rFonts w:ascii="Amiri" w:hAnsi="Amiri" w:eastAsia="Amiri" w:cs="Amiri"/>
          <w:color w:val="111111"/>
          <w:sz w:val="28"/>
          <w:sz w:val="28"/>
          <w:szCs w:val="28"/>
          <w:rtl w:val="true"/>
          <w:lang w:bidi="ar-SA"/>
        </w:rPr>
        <w:t xml:space="preserve">، لكن سند الكافي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 المرويّ فى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متى تزوّجت البكر بغير إذن أبيها كان له أن يفسخ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النكاح إلاّ الأب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زوّجت البالغة تسع سنين الفاقدة للأب الغير المتّصفة بصفة الرشد المعتبر في دفع المال، و لا بالسفاهة في العرف والعادة بالمعنى السالف، من غير رجوع إلى حاكم،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غير الأب، فلا يسوغ له نقض </w:t>
      </w:r>
    </w:p>
    <w:p>
      <w:pPr>
        <w:pStyle w:val="BookText"/>
        <w:rPr/>
      </w:pPr>
      <w:r>
        <w:rPr>
          <w:rFonts w:ascii="Amiri" w:hAnsi="Amiri" w:eastAsia="Amiri" w:cs="Amiri"/>
          <w:color w:val="111111"/>
          <w:sz w:val="28"/>
          <w:sz w:val="28"/>
          <w:szCs w:val="28"/>
          <w:rtl w:val="true"/>
          <w:lang w:bidi="ar-SA"/>
        </w:rPr>
        <w:t xml:space="preserve">نكاحها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فبالفرض، و أمّا الكبرى فلقوله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النكاح إلاّ الأب، فاللاّزم منه عدم ثبوت الولاية للحاكم في الصورة المفروضة،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 النصوص يكشف أنّ استقلال الصغيرة بعد أن بلغت في تزويجها كان معهودًا و مسلّمًا بين الرواة بحيث لم يكن محتاجًا إلى السؤال، ففي الصحيح المرويّ في الكافي والتهذيب عن عبداللّه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عليه‌السلامعن الجارية الصغيرة يزوّجها أبوها، ألَها أمْرٌ إذا بلغت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لها مع أبيها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البكر إذا بلغت مبلغ النساء ألَها مع أبيها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لها مع أبيها أمر ما لم تكبر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في المقام شيء ينبغي التنبيه عليه،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النصوص المذكورة وإن كان كذلك، لكن ينبغي المصير إلى مقتضاها عند انتفاء المعارض، و أمّا معه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 فيما نحن فيه موجود، و هو ما رواه شيخ الطائفة في التهذيب باسناده عن عليّ بن إسماعيل الميثمي، عن فضالة بن أيّوب، عن موسى بن بكر،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مالكة أمرها تبيع و تشتري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وتعتق و تشهد و تعطي من مالها ما شاءت، فإنّ أمرها جائز، تزوّج إن شاءت بغير </w:t>
      </w:r>
    </w:p>
    <w:p>
      <w:pPr>
        <w:pStyle w:val="BookText"/>
        <w:rPr/>
      </w:pPr>
      <w:r>
        <w:rPr>
          <w:rFonts w:ascii="Amiri" w:hAnsi="Amiri" w:eastAsia="Amiri" w:cs="Amiri"/>
          <w:color w:val="111111"/>
          <w:sz w:val="28"/>
          <w:sz w:val="28"/>
          <w:szCs w:val="28"/>
          <w:rtl w:val="true"/>
          <w:lang w:bidi="ar-SA"/>
        </w:rPr>
        <w:t xml:space="preserve">إذن وليّها، و إن لم يكن كذلك فلا يجوز تزويجها إلاّ بأمر وليّها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كتاب الوصيّة منه، في الموثّق عن عبداللّه بن 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أبي و أنا حاضر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بَلَغَ أَشُدَّهُ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في ستّ عشر و سبع عشر سنة و نحوها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عليه ثلاث عشر سنة و نحوها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أتت عليه ثلاث عشرة سنة كتبت له الحسنات، و كتبت عليه السيّئات، و جاز أمره، اِلاّ أن يكون سفيهًا أو ضعيفًا،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السفيه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يشتري الدرهم بأضعافه،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الضعيف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شيخ الطائفة رواه باسناده إلى عليّ بن إسماعيل المذكور ؛ و طريقه إليه غير معلوم، إذ لم يذكره في المشيخة ولا في الفهرست ؛ مضافًا إلى أنّ في سنده موسى بن بكر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الإغماض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الظاهر، فيمكن دعوى إطباقهم على خلافه، لما عرفت من أنّ الرشد المعتبر في دفع أموال الأيتام إليهم هو ملكةحفظ المال و إصلاحه، و أمّا فعليّة البيع والشراء فلا، للقطع باختلاف الأشخاص </w:t>
      </w:r>
      <w:bookmarkStart w:id="234" w:name="pg7542_72732"/>
    </w:p>
    <w:p>
      <w:pPr>
        <w:pStyle w:val="BookText"/>
        <w:rPr/>
      </w:pPr>
      <w:bookmarkEnd w:id="234"/>
      <w:r>
        <w:rPr>
          <w:rFonts w:ascii="Amiri" w:hAnsi="Amiri" w:eastAsia="Amiri" w:cs="Amiri"/>
          <w:color w:val="111111"/>
          <w:sz w:val="28"/>
          <w:sz w:val="28"/>
          <w:szCs w:val="28"/>
          <w:rtl w:val="true"/>
          <w:lang w:bidi="ar-SA"/>
        </w:rPr>
        <w:t xml:space="preserve">في ذلك، فقد لايكون عارفة لطريقة البيع والشراء أصلاً، كالنجباء والعفائف المستورات، لكنّها رشيدة بالمعنى المذكور ؛ و مقتضى ذيل الحديث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كذلك فلا يجوز تزويجها إلاّ بأمر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التزويج و لو مع اتّصافها بالرشد المعتبر في دفع المال ؛ و هو ممّا لم يقل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الإغماض عنه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صالح لمعارضة ما قدّمناه من الآية الشريفة الصريحة في أنّه قد يتّفق بلوغ النكاح و لا يجوز دفع المال، والنصوص المعتبرة المستفيضة،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كذلك فلا يجوز تزويجها إلاّ بأمر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اتّصافها بوصف السفاهة بالمعنى المتقدّم، أو لا، فيحمل على الأوَّل لصحيحة الفضلاء السالفة </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2800250_1051229030"/>
      <w:bookmarkStart w:id="236" w:name="_Toc87"/>
      <w:bookmarkEnd w:id="235"/>
      <w:r>
        <w:rPr>
          <w:rtl w:val="true"/>
        </w:rPr>
        <w:t>أقسام اليتيمة البالغة تسع سنين</w:t>
      </w:r>
      <w:bookmarkEnd w:id="236"/>
    </w:p>
    <w:p>
      <w:pPr>
        <w:pStyle w:val="BookText"/>
        <w:rPr/>
      </w:pPr>
      <w:r>
        <w:rPr>
          <w:rFonts w:ascii="Amiri" w:hAnsi="Amiri" w:eastAsia="Amiri" w:cs="Amiri"/>
          <w:color w:val="111111"/>
          <w:sz w:val="28"/>
          <w:sz w:val="28"/>
          <w:szCs w:val="28"/>
          <w:rtl w:val="true"/>
          <w:lang w:bidi="ar-SA"/>
        </w:rPr>
        <w:t xml:space="preserve">والحاصل ممّا ذكر أنّ اليتيمة البالغة تسع سنين تكون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انفكّت عن الرشد المعتبر في دفع الأموال، و كذا عن السفاهة الموجبة لانحطاطها عن وصف الكمال ؛ و هو الأغلب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اتّفق لها الترقّي والصعود إلى درج الكمال، فقد تحقّق فيها الرشد المعتبر في دفع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اتّفق فيها الانحطاط إلى صفة النقصان، فاتّصفت بالسفاهة الموصلة لفساد العقل و ضعف الاستعداد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يحمل على الثاني ما اشتمل عليه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الغلام والجارية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 الكافي، و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الحدود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على الغلام أن يؤخذ بالحدود التامّة و تقام عليه و يؤخذ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عنه اليتم و أدرك،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حدّ يعرف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أو بلغ خمسة عشر سنة، أو أشعر، أو أنبت قبل ذلك، أقيمت عليه الحدود التامّة، و أخذ بها، و أخذت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فالجارية متى تجب عليها الحدود التامّة و تؤخذ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الجارية ليست مثل الغلام، إنّ الجارية إذا تزوّجت و دخل بها و لها تسع سنين ذهب عنها اليتم، و دفع إليها مالها، و جاز أمرها في الشراء والبيع، و أقيمت عليها الحدود التامّة، و أخذ بها لها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يحمل على الثالث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كذلك، فلا يجوز تزويجها إلاّ بأمر وليّها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 حكمه إلى الآية الشريفة والنصوص المعتبرة المستفيضة السالفة، و هو استقلالها في عقد نفسها </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منه تعريف السفاهة الّتي في مقابلة الرشد المعتبر في دفع الأموال، فالمراد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يشتري الدرهم بأضعافه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له ملكة حفظ المال و إصلاحه،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جاز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لظهوره في جواز جميع تصرّفاته، فلا تعارض بينه و بين ما ذكرناه كما لا يخفى </w:t>
      </w:r>
      <w:r>
        <w:rPr>
          <w:rFonts w:eastAsia="Amiri" w:cs="Amiri" w:ascii="Amiri" w:hAnsi="Amiri"/>
          <w:color w:val="111111"/>
          <w:sz w:val="28"/>
          <w:szCs w:val="28"/>
          <w:rtl w:val="true"/>
          <w:lang w:bidi="ar-SA"/>
        </w:rPr>
        <w:t xml:space="preserve">. </w:t>
      </w:r>
      <w:bookmarkStart w:id="237" w:name="pg7542_72738"/>
    </w:p>
    <w:p>
      <w:pPr>
        <w:pStyle w:val="Heading2"/>
        <w:numPr>
          <w:ilvl w:val="1"/>
          <w:numId w:val="1"/>
        </w:numPr>
        <w:rPr/>
      </w:pPr>
      <w:bookmarkStart w:id="238" w:name="__RefHeading___Toc2800252_1051229030"/>
      <w:bookmarkStart w:id="239" w:name="_Toc88"/>
      <w:bookmarkEnd w:id="237"/>
      <w:bookmarkEnd w:id="238"/>
      <w:r>
        <w:rPr>
          <w:rtl w:val="true"/>
        </w:rPr>
        <w:t>ولاية الوصيّ على الصغيرين</w:t>
      </w:r>
      <w:bookmarkEnd w:id="239"/>
    </w:p>
    <w:p>
      <w:pPr>
        <w:pStyle w:val="Heading3"/>
        <w:numPr>
          <w:ilvl w:val="2"/>
          <w:numId w:val="1"/>
        </w:numPr>
        <w:rPr/>
      </w:pPr>
      <w:bookmarkStart w:id="240" w:name="__RefHeading___Toc2800254_1051229030"/>
      <w:bookmarkStart w:id="241" w:name="_Toc89"/>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ثمّ ينبغي ختم الكلام بالتكلّم في ولاية الوصيّ على الصغيرين،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اختلاف الأصحاب في ذلك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الثبوت مطلقًا ؛ قد عرفت أنّه محكيّ عن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والعدم كذلك ؛ عزاه شيخنا الشهيد الثاني في المسالك والروضة إلى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والثبوت في صورة التصريح، و إلاّ فلا ؛ و هو مختار شيخ الطائفة في الخلاف، والمستفاد من عبارته السالفة من المبسوط، والعلاّمة في المختلف، و شيخنا الشهيد في غاية المراد، والمحقّق الثاني في جامع المقاصد، و شيخنا الشهيد الثاني في الروضة ؛ و قد سمعت عباراتهم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شيخنا يحيى بن سعيد يحتمل التقييد و الإطلاق، قال في الجامع </w:t>
      </w:r>
      <w:r>
        <w:rPr>
          <w:rFonts w:eastAsia="Amiri" w:cs="Amiri" w:ascii="Amiri" w:hAnsi="Amiri"/>
          <w:color w:val="111111"/>
          <w:sz w:val="28"/>
          <w:szCs w:val="28"/>
          <w:rtl w:val="true"/>
          <w:lang w:bidi="ar-SA"/>
        </w:rPr>
        <w:t xml:space="preserve">: </w:t>
      </w:r>
      <w:bookmarkStart w:id="242" w:name="pg7542_72740"/>
    </w:p>
    <w:p>
      <w:pPr>
        <w:pStyle w:val="BookText"/>
        <w:rPr/>
      </w:pPr>
      <w:bookmarkEnd w:id="242"/>
      <w:r>
        <w:rPr>
          <w:rFonts w:ascii="Amiri" w:hAnsi="Amiri" w:eastAsia="Amiri" w:cs="Amiri"/>
          <w:color w:val="111111"/>
          <w:sz w:val="28"/>
          <w:sz w:val="28"/>
          <w:szCs w:val="28"/>
          <w:rtl w:val="true"/>
          <w:lang w:bidi="ar-SA"/>
        </w:rPr>
        <w:t xml:space="preserve">والّذي بيده عقدة النكاح الأب، والجدّ، و من أوصى اليه، و من ولّته أمرها و هي رشيدة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800256_1051229030"/>
      <w:bookmarkStart w:id="244" w:name="_Toc90"/>
      <w:bookmarkEnd w:id="243"/>
      <w:r>
        <w:rPr>
          <w:rtl w:val="true"/>
        </w:rPr>
        <w:t>المستند للقول الثالث</w:t>
      </w:r>
      <w:bookmarkEnd w:id="244"/>
    </w:p>
    <w:p>
      <w:pPr>
        <w:pStyle w:val="BookText"/>
        <w:rPr/>
      </w:pPr>
      <w:r>
        <w:rPr>
          <w:rFonts w:ascii="Amiri" w:hAnsi="Amiri" w:eastAsia="Amiri" w:cs="Amiri"/>
          <w:color w:val="111111"/>
          <w:sz w:val="28"/>
          <w:sz w:val="28"/>
          <w:szCs w:val="28"/>
          <w:rtl w:val="true"/>
          <w:lang w:bidi="ar-SA"/>
        </w:rPr>
        <w:t xml:space="preserve">و المستند في ذلك النصوص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الّتي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عن الحلبي، عن أبي عبداللّه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الَّذى بِيَدِهِ عُقْدَةُ النِّكاحِ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أو الرجل يوصى إليه، والّذي يجوز أمره في مال المرأة فيبتاع لها و يتّجر، فإذا عفا فقد جاز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الّتي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والباب المذكور من الفقيه، عن أبي بصير، عن أبي عبداللّه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أو الأخ، أو الرجل يوصى إليه، والّذي يجوز أمره في مال المرأة فيبتاع لها فيتّجر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الكافي ؛ و يتّجر، 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عفا فقد جاز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البابين من الكتابين، عن سماعة، عن أبي عبداللّه عليه‌السلام مثله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المذكور من الكافي، عن الحلبي، عن أبي عبداللّه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يَعْفُوَ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والرجل يوصى إليه، و الرجل يجوز أمره في مال المرأة فيبيع لها ويشتري، فإذا عفا فقد جاز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يجوز عقد الجدّ مع وجود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أحمد بن محمّد بن عيسى، عن البرقي، أو غيره، عن صفوان، عن عبداللّه </w:t>
      </w:r>
      <w:r>
        <w:rPr>
          <w:rStyle w:val="FootnoteAnchor"/>
          <w:rtl w:val="true"/>
        </w:rPr>
        <w:footnoteReference w:id="219"/>
      </w:r>
      <w:r>
        <w:rPr>
          <w:rFonts w:ascii="Amiri" w:hAnsi="Amiri" w:eastAsia="Amiri" w:cs="Amiri"/>
          <w:color w:val="111111"/>
          <w:sz w:val="28"/>
          <w:sz w:val="28"/>
          <w:szCs w:val="28"/>
          <w:rtl w:val="true"/>
          <w:lang w:bidi="ar-SA"/>
        </w:rPr>
        <w:t xml:space="preserve">، عن أبي بصير،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w:t>
      </w:r>
    </w:p>
    <w:p>
      <w:pPr>
        <w:pStyle w:val="BookText"/>
        <w:rPr/>
      </w:pPr>
      <w:r>
        <w:rPr>
          <w:rFonts w:ascii="Amiri" w:hAnsi="Amiri" w:eastAsia="Amiri" w:cs="Amiri"/>
          <w:color w:val="111111"/>
          <w:sz w:val="28"/>
          <w:sz w:val="28"/>
          <w:szCs w:val="28"/>
          <w:rtl w:val="true"/>
          <w:lang w:bidi="ar-SA"/>
        </w:rPr>
        <w:t xml:space="preserve">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والرجل يوصى إليه، والّذي يجوز أمره في مال المرأة فيبتاع لها و يشترى، فأيُّ هؤلاء عفا فقد جاز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الموضع المذكور من التهذيب، عن عبداللّه بن </w:t>
      </w:r>
      <w:bookmarkStart w:id="245" w:name="pg7542_72744"/>
    </w:p>
    <w:p>
      <w:pPr>
        <w:pStyle w:val="BookText"/>
        <w:rPr/>
      </w:pPr>
      <w:bookmarkEnd w:id="245"/>
      <w:r>
        <w:rPr>
          <w:rFonts w:ascii="Amiri" w:hAnsi="Amiri" w:eastAsia="Amiri" w:cs="Amiri"/>
          <w:color w:val="111111"/>
          <w:sz w:val="28"/>
          <w:sz w:val="28"/>
          <w:szCs w:val="28"/>
          <w:rtl w:val="true"/>
          <w:lang w:bidi="ar-SA"/>
        </w:rPr>
        <w:t xml:space="preserve">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هو وليّ أمرها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أواخر كتاب النكاح من التهذيب عن أبي بصير،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الّذي بيده عقدة النكاح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والموصى إليه، والّذي يجوز أمره في مال المرأة من قرابتها، فيبيع لها و يشترى،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هؤلاء عفا فعفوه جائز في المهر إذا عفا عنه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هناك، عن محمّد بن مسلم، عن أبي جعفر عليه‌السلام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800258_1051229030"/>
      <w:bookmarkStart w:id="247" w:name="_Toc91"/>
      <w:bookmarkEnd w:id="246"/>
      <w:r>
        <w:rPr>
          <w:rtl w:val="true"/>
        </w:rPr>
        <w:t>مختار المؤلّف قدس‌سره</w:t>
      </w:r>
      <w:bookmarkEnd w:id="247"/>
    </w:p>
    <w:p>
      <w:pPr>
        <w:pStyle w:val="BookText"/>
        <w:rPr/>
      </w:pPr>
      <w:r>
        <w:rPr>
          <w:rFonts w:ascii="IRNazanin" w:hAnsi="IRNazanin" w:eastAsia="IRNazanin"/>
          <w:color w:val="111111"/>
          <w:sz w:val="28"/>
          <w:sz w:val="28"/>
          <w:szCs w:val="28"/>
          <w:rtl w:val="true"/>
          <w:lang w:bidi="fa-IR"/>
        </w:rPr>
        <w:t xml:space="preserve">فهذا القول هو المختار، وفاقًا لمن عرفته من عظماء الأصحاب </w:t>
      </w:r>
      <w:r>
        <w:rPr>
          <w:rFonts w:eastAsia="IRNazanin" w:cs="IRNazanin"/>
          <w:color w:val="111111"/>
          <w:sz w:val="28"/>
          <w:szCs w:val="28"/>
          <w:rtl w:val="true"/>
          <w:lang w:bidi="fa-IR"/>
        </w:rPr>
        <w:t>.</w:t>
      </w:r>
    </w:p>
    <w:p>
      <w:pPr>
        <w:pStyle w:val="Heading3"/>
        <w:numPr>
          <w:ilvl w:val="2"/>
          <w:numId w:val="1"/>
        </w:numPr>
        <w:rPr/>
      </w:pPr>
      <w:bookmarkStart w:id="248" w:name="__RefHeading___Toc2800260_1051229030"/>
      <w:bookmarkStart w:id="249" w:name="_Toc92"/>
      <w:bookmarkEnd w:id="248"/>
      <w:r>
        <w:rPr>
          <w:rtl w:val="true"/>
        </w:rPr>
        <w:t>وجه دلالة النصوص على المرام</w:t>
      </w:r>
      <w:bookmarkEnd w:id="2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دلالة النصوص المذكور على المرام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جعل مَن الّذي بيده عقدة النكاح الموصى إليه،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أوصى إليه من طرف الأب، والوصيّة من طرف الأب يكون على أقسام </w:t>
      </w:r>
      <w:r>
        <w:rPr>
          <w:rFonts w:eastAsia="Amiri" w:cs="Amiri" w:ascii="Amiri" w:hAnsi="Amiri"/>
          <w:color w:val="111111"/>
          <w:sz w:val="28"/>
          <w:szCs w:val="28"/>
          <w:rtl w:val="true"/>
          <w:lang w:bidi="ar-SA"/>
        </w:rPr>
        <w:t xml:space="preserve">: </w:t>
      </w:r>
      <w:bookmarkStart w:id="250" w:name="pg7542_72746"/>
    </w:p>
    <w:p>
      <w:pPr>
        <w:pStyle w:val="BookText"/>
        <w:rPr/>
      </w:pPr>
      <w:bookmarkEnd w:id="25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يوصي إلى الوصيّ في خصوص تزويج الصغيرين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يوصي بعنوان العموم بأن يقول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لي تسلّط على ما يتعلّق من الصغيرة مثلاً من أولادي، فقد فوّضته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في ثلثي و صغاري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المذكورة وإن كانت شاملة لكلّ من الصور الثلاث المذكورة، لكن القدر المتيقّن هو الصورة الأولى والثانية، فينبغي القول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القائل بالإطلاق غير معلوم، عدا ما يظهر من العلاّمة من النسبة إلى المبسوط ؛ و قد عرفت الحال في ذلك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800262_1051229030"/>
      <w:bookmarkStart w:id="252" w:name="_Toc93"/>
      <w:bookmarkEnd w:id="251"/>
      <w:r>
        <w:rPr>
          <w:rtl w:val="true"/>
        </w:rPr>
        <w:t>الإشكال في الاستدلال بالنصوص المذكورة في المقام</w:t>
      </w:r>
      <w:bookmarkEnd w:id="2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الإشكال في الاستدلال بالنصوص المذكورة في المقام، بيان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المراد منها تفسير عقدة النكاح المذكور في الآية الشريفة، و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 الَّذي بِيَدِهِ عُقْدَةُ النِّكاحِ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بالنصوص المذكورة في إثبات ولاية الوصيّ في تزويج الصغيرين غير صحيح، لما علمت من أنّها واردة في تفسير الآية الشريفة، و هي غير شاملة للصغيرين،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طَلَّقْتُمُوهُنَّ مِنْ قَبْلِ أَنْ تَمَسُوهُنَّ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لوضوح أنّ الطلاق لايكون إلاّ من المكلّف، فلا يشمل للصغير ؛ والضمير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طَلَّقْتُمُوهُنَّ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 إلى النساء في الآية السابقة على الآية الشريفة المتّصلة بها، و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تَمَسُّوهُنَّ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من المسّ هو الدخول، وهو إنّما يسوَّغ بعد أن أكملت تسع سنين، فلا يشمل الصغيرة أيضًا، فالمراد منها أنّ</w:t>
      </w:r>
    </w:p>
    <w:p>
      <w:pPr>
        <w:pStyle w:val="BookText"/>
        <w:rPr/>
      </w:pPr>
      <w:r>
        <w:rPr>
          <w:rFonts w:ascii="Amiri" w:hAnsi="Amiri" w:eastAsia="Amiri" w:cs="Amiri"/>
          <w:color w:val="111111"/>
          <w:sz w:val="28"/>
          <w:sz w:val="28"/>
          <w:szCs w:val="28"/>
          <w:rtl w:val="true"/>
          <w:lang w:bidi="ar-SA"/>
        </w:rPr>
        <w:t xml:space="preserve">من طلّق زوجته قبل الدخول بها و قد عيّن لها صداقًا، فالواجب عليه أن يعطيها نصف الصداق الّذي عيّنه لها، إلاّ أن صدر العفو من النساء، فلا يجب عليه شيء إن تحقّق العفو منهنّ لكلّ النصف، أو تمام النصف إن كان العفو لبعض النصف، أو صدر العفو من أولياء الزوجة البالغة ممّن يمكن العفو عنه منها، كما إذا كانت رشيدة، أم لا كما إذا كانت سفيهة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التقديرين لا يكون شاملة للصغيرين، فلا يصحّ التمسّك بالنصوص المذكورة الواردة في تفسيرها كما لايخفى </w:t>
      </w:r>
      <w:r>
        <w:rPr>
          <w:rFonts w:eastAsia="Amiri" w:cs="Amiri" w:ascii="Amiri" w:hAnsi="Amiri"/>
          <w:color w:val="111111"/>
          <w:sz w:val="28"/>
          <w:szCs w:val="28"/>
          <w:rtl w:val="true"/>
          <w:lang w:bidi="ar-SA"/>
        </w:rPr>
        <w:t xml:space="preserve">. </w:t>
      </w:r>
      <w:bookmarkStart w:id="253" w:name="pg7542_72750"/>
    </w:p>
    <w:p>
      <w:pPr>
        <w:pStyle w:val="Heading3"/>
        <w:numPr>
          <w:ilvl w:val="2"/>
          <w:numId w:val="1"/>
        </w:numPr>
        <w:rPr/>
      </w:pPr>
      <w:bookmarkStart w:id="254" w:name="__RefHeading___Toc2800264_1051229030"/>
      <w:bookmarkStart w:id="255" w:name="_Toc94"/>
      <w:bookmarkEnd w:id="253"/>
      <w:bookmarkEnd w:id="254"/>
      <w:r>
        <w:rPr>
          <w:rtl w:val="true"/>
        </w:rPr>
        <w:t>ذكر إشكال آخر في المقام</w:t>
      </w:r>
      <w:bookmarkEnd w:id="255"/>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إشكال آخر،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المدلول عليه بالآية الشريفة إنّما هو بعد الطلاق، فكيف يمكن صدور العفو من الوليّ للصغيرة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تصرّف الوليّ في الأمور المتعلّقة بالمولّى عليه منوطٌ بالغبطة والصلاح، فأيّ صلاح للعفو عن حقّها الثابت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حمل الآية الشريفة على ما إذا كان المراد مِن الّذي بيده عقدة النكاح هو وكيل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الإغماض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إن طلّقتم النساء قبل الدخول و قد عيّنتم لهنّ الصداق، وجب عليكم نصف ما عيّنتم لَهُنَّ من الصداق، إلاّ إذا صدر العفو منهنّ فيما إذا كانت قابلة للعفو، أو صدر العفو من الّذي بيده عقدة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محمولٌ على ما إذا كانت النساء ممّن يصلح العفو منهنّ ؛ والثاني فيما إذا لم تكن كذلك، و ذلك بمعونة النصوص الواردة في المقام هو الأب عند وجوده، والوصيّ عند عدمه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التقديرين يكون المطلّقة ممّن يصدق عليها أنّها من النساء ؛ و معلوم أنّه </w:t>
      </w:r>
      <w:bookmarkStart w:id="256" w:name="pg7542_72752"/>
    </w:p>
    <w:p>
      <w:pPr>
        <w:pStyle w:val="BookText"/>
        <w:rPr/>
      </w:pPr>
      <w:bookmarkEnd w:id="256"/>
      <w:r>
        <w:rPr>
          <w:rFonts w:ascii="Amiri" w:hAnsi="Amiri" w:eastAsia="Amiri" w:cs="Amiri"/>
          <w:color w:val="111111"/>
          <w:sz w:val="28"/>
          <w:sz w:val="28"/>
          <w:szCs w:val="28"/>
          <w:rtl w:val="true"/>
          <w:lang w:bidi="ar-SA"/>
        </w:rPr>
        <w:t xml:space="preserve">بعد البلوغ، فلابدّ من حملها فيما إذا بلغت سفيهة، و مقتضاه ثبوت الولاية للوصيّ في التزويج على </w:t>
      </w:r>
      <w:r>
        <w:rPr>
          <w:rStyle w:val="FootnoteAnchor"/>
          <w:rtl w:val="true"/>
        </w:rPr>
        <w:footnoteReference w:id="226"/>
      </w:r>
      <w:r>
        <w:rPr>
          <w:rFonts w:ascii="Amiri" w:hAnsi="Amiri" w:eastAsia="Amiri" w:cs="Amiri"/>
          <w:color w:val="111111"/>
          <w:sz w:val="28"/>
          <w:sz w:val="28"/>
          <w:szCs w:val="28"/>
          <w:rtl w:val="true"/>
          <w:lang w:bidi="ar-SA"/>
        </w:rPr>
        <w:t xml:space="preserve">البالغة سفيهة، و هو ما تقدّم التصريح منهم في كون ولاية الوصيّ مختصّة بمن بلغت سفيهة، فلا يفهم منه ثبوت الولاية للوصيّ على الصغيرين ؛ و لعلّه لذلك خصّوها بمن بلغت فاسدة العقل </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800266_1051229030"/>
      <w:bookmarkStart w:id="258" w:name="_Toc95"/>
      <w:bookmarkEnd w:id="257"/>
      <w:r>
        <w:rPr>
          <w:rtl w:val="true"/>
        </w:rPr>
        <w:t>الجواب عن الإشكال</w:t>
      </w:r>
      <w:bookmarkEnd w:id="258"/>
    </w:p>
    <w:p>
      <w:pPr>
        <w:pStyle w:val="BookText"/>
        <w:rPr/>
      </w:pPr>
      <w:r>
        <w:rPr>
          <w:rFonts w:ascii="Amiri" w:hAnsi="Amiri" w:eastAsia="Amiri" w:cs="Amiri"/>
          <w:color w:val="111111"/>
          <w:sz w:val="28"/>
          <w:sz w:val="28"/>
          <w:szCs w:val="28"/>
          <w:rtl w:val="true"/>
          <w:lang w:bidi="ar-SA"/>
        </w:rPr>
        <w:t xml:space="preserve">و يمكن الجواب عنه بأنّ العبرة بعموم اللفظ، لا بخصوص المحلّ، توضيح الحال في ذلك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عليه بالآية لزوم نصف الصداق إلاّ إذا صدر العفو من المطلّقة، أو ممّن بيده عقدة النكاح، و قد دلّت النصوص المسطورة أنّه الأب والوصيّ، فالمستفاد منها ثبوت الولاية للأب في النكاح بعنوان الإطلاق، و كذا الوصيّ خرج منه حال بلوغها و عقلها، فبقي غيره مندرجًا تحت العموم، فاللازم منه ثبوت الولاية للوصيّ على الصغيرة أيضًا كالأب، و هو المطلوب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يلزم ممّا ذكر بعد ملاحظة سياق الآية الشريفة أنّ العفو المذكور في الآية من الوصيّ إنّما يتحقّق فيما إذا كانت بلغت فاسدة العقل ؛ و أين ذلك من </w:t>
      </w:r>
    </w:p>
    <w:p>
      <w:pPr>
        <w:pStyle w:val="BookText"/>
        <w:rPr/>
      </w:pPr>
      <w:r>
        <w:rPr>
          <w:rFonts w:ascii="Amiri" w:hAnsi="Amiri" w:eastAsia="Amiri" w:cs="Amiri"/>
          <w:color w:val="111111"/>
          <w:sz w:val="28"/>
          <w:sz w:val="28"/>
          <w:szCs w:val="28"/>
          <w:rtl w:val="true"/>
          <w:lang w:bidi="ar-SA"/>
        </w:rPr>
        <w:t>اختصاص الولاية بتلك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النساء في الآية الشريفة هو الزوجات، فيعمّ الصغيرة أيضًا، فالمراد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طلّقتم الزوجات قبل الدخول بهنّ، و هو أعمّ من أن يكون قابلةً للدخول،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المدلول عليه بالآية الشريفة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طلّقتم زوجاتكم قبل الدخول بهنّ و قد عيّنتم لهنّ الصداق وجب عليكم لهنّ نصف الصداق، إلاّ إذا صدر العفو منهنّ فيما إذا كنّ من أهل العفو، أو صدر العفو ممّن في يده عقدة النكاح فيما</w:t>
      </w:r>
    </w:p>
    <w:p>
      <w:pPr>
        <w:pStyle w:val="BookText"/>
        <w:rPr/>
      </w:pPr>
      <w:r>
        <w:rPr>
          <w:rFonts w:ascii="Amiri" w:hAnsi="Amiri" w:eastAsia="Amiri" w:cs="Amiri"/>
          <w:color w:val="111111"/>
          <w:sz w:val="28"/>
          <w:sz w:val="28"/>
          <w:szCs w:val="28"/>
          <w:rtl w:val="true"/>
          <w:lang w:bidi="ar-SA"/>
        </w:rPr>
        <w:t xml:space="preserve">إذا لم يكن من أهل العفو، كما إذا كانت صغيرة أو سفيهة ؛ و قد دلّت النصوص المعتبرة السالفة أنّه الوصيّ عند انتفاء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المذكورة مع استفاضتها و صحّة سند أكثرها و إطباق المشايخ العظام على إيرادها في الكتب المعتبرة، دالّةٌ على ثبوت الولاية في التزويج للوصيّ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عمل بها جماعة من أعاظم الأصحاب، كشيخ الطائفة، و شيخنا يحيى بن سعيد، والعلاّمة، و شيخنا الشهيد، و المحقّق الثاني، و شيخنا الشهيد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وافپقهم في ذلك السيّد السند صاحب المدارك، قال في شرحه على النافع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ثبوت ولايته على الصغير والصغيرة و من بلغ فاسد العقل، لأَنّ الحاجة قد تدعوا في ذلك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القول بثبوت ولايته فهل تثبت بتعميم الوصيّة، أم لابدّ من التصريح بالوصيّة في النكاح ؟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لأنّ النكاح ليس من التصرّفات الّتي ينتقل الذهن إليها عند الإطلاق، فيتوقّف على التصريح به، 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لا ينبغي التأمّل في المسألة،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الولاية في صورة تنصيص الأب أو الجدّ بالإنكاح في مقام الوصيّة،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يزوّجها الوليّان غير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عن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رجل مات و ترك أخوين و ابنة والبنت صغيرة </w:t>
      </w:r>
      <w:r>
        <w:rPr>
          <w:rStyle w:val="FootnoteAnchor"/>
          <w:rtl w:val="true"/>
        </w:rPr>
        <w:footnoteReference w:id="227"/>
      </w:r>
      <w:r>
        <w:rPr>
          <w:rFonts w:ascii="Amiri" w:hAnsi="Amiri" w:eastAsia="Amiri" w:cs="Amiri"/>
          <w:color w:val="111111"/>
          <w:sz w:val="28"/>
          <w:sz w:val="28"/>
          <w:szCs w:val="28"/>
          <w:rtl w:val="true"/>
          <w:lang w:bidi="ar-SA"/>
        </w:rPr>
        <w:t xml:space="preserve">، فعمد أحد الأخوين الوصيّ، فزوّج الابنة من ابنه، ثمّ مات أبو الابن المزوّج، فلمّا أن مات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لم يزوّج ابنه، فزوّج الجارية من ابنه، فقيل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أحبّ إليك، الأوَّل أو الآخر ؟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الأخ الثاني مات و للأخ الأوَّل ابن أكبر من الإبن المزوّج،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أيّهما أحّب إليك، الزوج الأوّل، أو الزوج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 أنّها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للزوج الأخير، و ذلك أنّها قد كانت أدركت حين زوّجها، و ليس لها أن تنقض ما </w:t>
      </w:r>
    </w:p>
    <w:p>
      <w:pPr>
        <w:pStyle w:val="BookText"/>
        <w:rPr/>
      </w:pPr>
      <w:r>
        <w:rPr>
          <w:rFonts w:ascii="Amiri" w:hAnsi="Amiri" w:eastAsia="Amiri" w:cs="Amiri"/>
          <w:color w:val="111111"/>
          <w:sz w:val="28"/>
          <w:sz w:val="28"/>
          <w:szCs w:val="28"/>
          <w:rtl w:val="true"/>
          <w:lang w:bidi="ar-SA"/>
        </w:rPr>
        <w:t xml:space="preserve">عقدته بعد إدراكها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 إن اقتضى انتفاء ثبوت الولاية في التزويج للوصيّ على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المتأمّل في 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محمولٌ على ما إذا كانت الوصاية بعنوان الإطلاق، لوضوح عدم انصراف قول الموصي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وصيّي في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الولاية الإجباريّة في التزويج، كما لايخفى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ما عثرنا عليه من النسخ الخطّية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7542_72762"/>
      <w:bookmarkStart w:id="260" w:name="pg7542_72762"/>
      <w:bookmarkEnd w:id="260"/>
    </w:p>
    <w:p>
      <w:pPr>
        <w:pStyle w:val="Heading2"/>
        <w:numPr>
          <w:ilvl w:val="1"/>
          <w:numId w:val="1"/>
        </w:numPr>
        <w:rPr/>
      </w:pPr>
      <w:bookmarkStart w:id="261" w:name="pg7542_72762"/>
      <w:bookmarkStart w:id="262" w:name="__RefHeading___Toc2800268_1051229030"/>
      <w:bookmarkStart w:id="263" w:name="_Toc96"/>
      <w:bookmarkEnd w:id="261"/>
      <w:bookmarkEnd w:id="262"/>
      <w:r>
        <w:rPr>
          <w:rtl w:val="true"/>
        </w:rPr>
        <w:t>فهرس مصادر التحقيق</w:t>
      </w:r>
      <w:bookmarkEnd w:id="263"/>
    </w:p>
    <w:p>
      <w:pPr>
        <w:pStyle w:val="Heading3"/>
        <w:numPr>
          <w:ilvl w:val="2"/>
          <w:numId w:val="1"/>
        </w:numPr>
        <w:rPr/>
      </w:pPr>
      <w:bookmarkStart w:id="264" w:name="__RefHeading___Toc2800270_1051229030"/>
      <w:bookmarkStart w:id="265" w:name="_Toc97"/>
      <w:bookmarkEnd w:id="264"/>
      <w:r>
        <w:rPr/>
        <w:t>1</w:t>
      </w:r>
      <w:r>
        <w:rPr>
          <w:rtl w:val="true"/>
        </w:rPr>
        <w:t xml:space="preserve"> - </w:t>
      </w:r>
      <w:r>
        <w:rPr>
          <w:rtl w:val="true"/>
        </w:rPr>
        <w:t>القرآن الكريم</w:t>
      </w:r>
      <w:bookmarkEnd w:id="265"/>
    </w:p>
    <w:p>
      <w:pPr>
        <w:pStyle w:val="Heading3"/>
        <w:numPr>
          <w:ilvl w:val="2"/>
          <w:numId w:val="1"/>
        </w:numPr>
        <w:rPr/>
      </w:pPr>
      <w:bookmarkStart w:id="266" w:name="__RefHeading___Toc2800272_1051229030"/>
      <w:bookmarkStart w:id="267" w:name="_Toc98"/>
      <w:bookmarkEnd w:id="266"/>
      <w:r>
        <w:rPr>
          <w:rtl w:val="true"/>
        </w:rPr>
        <w:t xml:space="preserve">« </w:t>
      </w:r>
      <w:r>
        <w:rPr>
          <w:rtl w:val="true"/>
        </w:rPr>
        <w:t xml:space="preserve">أ </w:t>
      </w:r>
      <w:r>
        <w:rPr>
          <w:rtl w:val="true"/>
        </w:rPr>
        <w:t>»</w:t>
      </w:r>
      <w:bookmarkEnd w:id="2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800274_1051229030"/>
      <w:bookmarkStart w:id="269" w:name="_Toc99"/>
      <w:bookmarkEnd w:id="268"/>
      <w:r>
        <w:rPr>
          <w:rtl w:val="true"/>
        </w:rPr>
        <w:t xml:space="preserve">« </w:t>
      </w:r>
      <w:r>
        <w:rPr>
          <w:rtl w:val="true"/>
        </w:rPr>
        <w:t xml:space="preserve">ب </w:t>
      </w:r>
      <w:r>
        <w:rPr>
          <w:rtl w:val="true"/>
        </w:rPr>
        <w:t>»</w:t>
      </w:r>
      <w:bookmarkEnd w:id="2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800276_1051229030"/>
      <w:bookmarkStart w:id="271" w:name="_Toc100"/>
      <w:bookmarkEnd w:id="270"/>
      <w:r>
        <w:rPr>
          <w:rtl w:val="true"/>
        </w:rPr>
        <w:t xml:space="preserve">« </w:t>
      </w:r>
      <w:r>
        <w:rPr>
          <w:rtl w:val="true"/>
        </w:rPr>
        <w:t xml:space="preserve">ت </w:t>
      </w:r>
      <w:r>
        <w:rPr>
          <w:rtl w:val="true"/>
        </w:rPr>
        <w:t>»</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و الشيخ هادي اليوسفي ، نشر الفقيه،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حبيب قصير العاملي، مكتب الاعلام الاسلامي،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المرام في معرفة الأحكام ، للعلاّمة الحلّي الحسن بن يوسف بن المطهّر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 الدراسات الإسلاميّة، قم، مطبعة مكتب الإعلام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272" w:name="pg7542_72766"/>
    </w:p>
    <w:p>
      <w:pPr>
        <w:pStyle w:val="Heading3"/>
        <w:numPr>
          <w:ilvl w:val="2"/>
          <w:numId w:val="1"/>
        </w:numPr>
        <w:rPr/>
      </w:pPr>
      <w:bookmarkStart w:id="273" w:name="__RefHeading___Toc2800278_1051229030"/>
      <w:bookmarkStart w:id="274" w:name="_Toc101"/>
      <w:bookmarkEnd w:id="272"/>
      <w:bookmarkEnd w:id="273"/>
      <w:r>
        <w:rPr>
          <w:rtl w:val="true"/>
        </w:rPr>
        <w:t xml:space="preserve">« </w:t>
      </w:r>
      <w:r>
        <w:rPr>
          <w:rtl w:val="true"/>
        </w:rPr>
        <w:t xml:space="preserve">ج </w:t>
      </w:r>
      <w:r>
        <w:rPr>
          <w:rtl w:val="true"/>
        </w:rPr>
        <w:t>»</w:t>
      </w:r>
      <w:bookmarkEnd w:id="27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للمحقّق الثاني عليّ بن الحسين بن عبدالعالي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 تحقيق مؤسّسة آل البيت عليهم‌السلام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800280_1051229030"/>
      <w:bookmarkStart w:id="276" w:name="_Toc102"/>
      <w:bookmarkEnd w:id="275"/>
      <w:r>
        <w:rPr>
          <w:rtl w:val="true"/>
        </w:rPr>
        <w:t xml:space="preserve">« </w:t>
      </w:r>
      <w:r>
        <w:rPr>
          <w:rtl w:val="true"/>
        </w:rPr>
        <w:t xml:space="preserve">ح </w:t>
      </w:r>
      <w:r>
        <w:rPr>
          <w:rtl w:val="true"/>
        </w:rPr>
        <w:t>»</w:t>
      </w:r>
      <w:bookmarkEnd w:id="2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الحلية اللامعة للبهجة المرضيّة، للعلاّمة المحقّق الحاجّ السيّد محمّد باقر بن محمّد نقي الموسويّ الجيلانيّ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مكتبة مسجد السيّد بأصفهان، شب افروز، الطبعة الأولى،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الحسّون، منشورات الاحتجاج، تهران،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800282_1051229030"/>
      <w:bookmarkStart w:id="278" w:name="_Toc103"/>
      <w:bookmarkEnd w:id="277"/>
      <w:r>
        <w:rPr>
          <w:rtl w:val="true"/>
        </w:rPr>
        <w:t xml:space="preserve">« </w:t>
      </w:r>
      <w:r>
        <w:rPr>
          <w:rtl w:val="true"/>
        </w:rPr>
        <w:t xml:space="preserve">خ </w:t>
      </w:r>
      <w:r>
        <w:rPr>
          <w:rtl w:val="true"/>
        </w:rPr>
        <w:t>»</w:t>
      </w:r>
      <w:bookmarkEnd w:id="27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شيخ الطائفة محمّد بن الحسن المعروف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والسيّد جواد الشهرستاني و 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79" w:name="pg7542_72768"/>
    </w:p>
    <w:p>
      <w:pPr>
        <w:pStyle w:val="Heading3"/>
        <w:numPr>
          <w:ilvl w:val="2"/>
          <w:numId w:val="1"/>
        </w:numPr>
        <w:rPr/>
      </w:pPr>
      <w:bookmarkStart w:id="280" w:name="__RefHeading___Toc2800284_1051229030"/>
      <w:bookmarkStart w:id="281" w:name="_Toc104"/>
      <w:bookmarkEnd w:id="279"/>
      <w:bookmarkEnd w:id="280"/>
      <w:r>
        <w:rPr>
          <w:rtl w:val="true"/>
        </w:rPr>
        <w:t xml:space="preserve">« </w:t>
      </w:r>
      <w:r>
        <w:rPr>
          <w:rtl w:val="true"/>
        </w:rPr>
        <w:t xml:space="preserve">ر </w:t>
      </w:r>
      <w:r>
        <w:rPr>
          <w:rtl w:val="true"/>
        </w:rPr>
        <w:t>»</w:t>
      </w:r>
      <w:bookmarkEnd w:id="28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 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800286_1051229030"/>
      <w:bookmarkStart w:id="283" w:name="_Toc105"/>
      <w:bookmarkEnd w:id="282"/>
      <w:r>
        <w:rPr>
          <w:rtl w:val="true"/>
        </w:rPr>
        <w:t xml:space="preserve">« </w:t>
      </w:r>
      <w:r>
        <w:rPr>
          <w:rtl w:val="true"/>
        </w:rPr>
        <w:t xml:space="preserve">س </w:t>
      </w:r>
      <w:r>
        <w:rPr>
          <w:rtl w:val="true"/>
        </w:rPr>
        <w:t>»</w:t>
      </w:r>
      <w:bookmarkEnd w:id="28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منصور بن أحمد بن إدريس العجلي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800288_1051229030"/>
      <w:bookmarkStart w:id="285" w:name="_Toc106"/>
      <w:bookmarkEnd w:id="284"/>
      <w:r>
        <w:rPr>
          <w:rtl w:val="true"/>
        </w:rPr>
        <w:t xml:space="preserve">« </w:t>
      </w:r>
      <w:r>
        <w:rPr>
          <w:rtl w:val="true"/>
        </w:rPr>
        <w:t xml:space="preserve">ش </w:t>
      </w:r>
      <w:r>
        <w:rPr>
          <w:rtl w:val="true"/>
        </w:rPr>
        <w:t>»</w:t>
      </w:r>
      <w:bookmarkEnd w:id="28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السيّد صادق الشيرازي، انتشارات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86" w:name="pg7542_72770"/>
    </w:p>
    <w:p>
      <w:pPr>
        <w:pStyle w:val="Heading3"/>
        <w:numPr>
          <w:ilvl w:val="2"/>
          <w:numId w:val="1"/>
        </w:numPr>
        <w:rPr/>
      </w:pPr>
      <w:bookmarkStart w:id="287" w:name="__RefHeading___Toc2800290_1051229030"/>
      <w:bookmarkStart w:id="288" w:name="_Toc107"/>
      <w:bookmarkEnd w:id="286"/>
      <w:bookmarkEnd w:id="287"/>
      <w:r>
        <w:rPr>
          <w:rtl w:val="true"/>
        </w:rPr>
        <w:t xml:space="preserve">« </w:t>
      </w:r>
      <w:r>
        <w:rPr>
          <w:rtl w:val="true"/>
        </w:rPr>
        <w:t xml:space="preserve">ص </w:t>
      </w:r>
      <w:r>
        <w:rPr>
          <w:rtl w:val="true"/>
        </w:rPr>
        <w:t>»</w:t>
      </w:r>
      <w:bookmarkEnd w:id="28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800292_1051229030"/>
      <w:bookmarkStart w:id="290" w:name="_Toc108"/>
      <w:bookmarkEnd w:id="289"/>
      <w:r>
        <w:rPr>
          <w:rtl w:val="true"/>
        </w:rPr>
        <w:t xml:space="preserve">« </w:t>
      </w:r>
      <w:r>
        <w:rPr>
          <w:rtl w:val="true"/>
        </w:rPr>
        <w:t xml:space="preserve">غ </w:t>
      </w:r>
      <w:r>
        <w:rPr>
          <w:rtl w:val="true"/>
        </w:rPr>
        <w:t>»</w:t>
      </w:r>
      <w:bookmarkEnd w:id="29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المكارم السيّد حمزة بن عليّ بنزهرة الحسيني، المعروف بابن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لمؤسّسة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800294_1051229030"/>
      <w:bookmarkStart w:id="292" w:name="_Toc109"/>
      <w:bookmarkEnd w:id="291"/>
      <w:r>
        <w:rPr>
          <w:rtl w:val="true"/>
        </w:rPr>
        <w:t xml:space="preserve">« </w:t>
      </w:r>
      <w:r>
        <w:rPr>
          <w:rtl w:val="true"/>
        </w:rPr>
        <w:t xml:space="preserve">ف </w:t>
      </w:r>
      <w:r>
        <w:rPr>
          <w:rtl w:val="true"/>
        </w:rPr>
        <w:t>»</w:t>
      </w:r>
      <w:bookmarkEnd w:id="29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لشهاب الدّين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800296_1051229030"/>
      <w:bookmarkStart w:id="294" w:name="_Toc110"/>
      <w:bookmarkEnd w:id="293"/>
      <w:r>
        <w:rPr>
          <w:rtl w:val="true"/>
        </w:rPr>
        <w:t xml:space="preserve">« </w:t>
      </w:r>
      <w:r>
        <w:rPr>
          <w:rtl w:val="true"/>
        </w:rPr>
        <w:t xml:space="preserve">ق </w:t>
      </w:r>
      <w:r>
        <w:rPr>
          <w:rtl w:val="true"/>
        </w:rPr>
        <w:t>»</w:t>
      </w:r>
      <w:bookmarkEnd w:id="29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95" w:name="pg7542_72772"/>
    </w:p>
    <w:p>
      <w:pPr>
        <w:pStyle w:val="Heading3"/>
        <w:numPr>
          <w:ilvl w:val="2"/>
          <w:numId w:val="1"/>
        </w:numPr>
        <w:rPr/>
      </w:pPr>
      <w:bookmarkStart w:id="296" w:name="__RefHeading___Toc2800298_1051229030"/>
      <w:bookmarkStart w:id="297" w:name="_Toc111"/>
      <w:bookmarkEnd w:id="295"/>
      <w:bookmarkEnd w:id="296"/>
      <w:r>
        <w:rPr>
          <w:rtl w:val="true"/>
        </w:rPr>
        <w:t xml:space="preserve">« </w:t>
      </w:r>
      <w:r>
        <w:rPr>
          <w:rtl w:val="true"/>
        </w:rPr>
        <w:t xml:space="preserve">ك </w:t>
      </w:r>
      <w:r>
        <w:rPr>
          <w:rtl w:val="true"/>
        </w:rPr>
        <w:t>»</w:t>
      </w:r>
      <w:bookmarkEnd w:id="29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الشيخ رضا الأستادي، مكتبة أمير المؤمنين عليه‌السلام، إصفهان،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الغريبين غريبي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أحمد بن محمّد بن محمّدالهروي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محمّد الطناحي، نشر المجلس الأعلى للشئون الإسلاميّة، 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تحقيق الشيخ مرتضى الواعظي الأراكي، مؤسّسة النشر الإسلاميّ،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في فقه القرآن ، لجمال الدّين المقداد بن عبداللّه السيوري، المعروف بالفاضل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القاضي، نشر المجمع العالمي للتقريب بين المذاهب الإسلاميّة،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98" w:name="pg7542_72774"/>
    </w:p>
    <w:p>
      <w:pPr>
        <w:pStyle w:val="Heading3"/>
        <w:numPr>
          <w:ilvl w:val="2"/>
          <w:numId w:val="1"/>
        </w:numPr>
        <w:rPr/>
      </w:pPr>
      <w:bookmarkStart w:id="299" w:name="__RefHeading___Toc2800300_1051229030"/>
      <w:bookmarkStart w:id="300" w:name="_Toc112"/>
      <w:bookmarkEnd w:id="298"/>
      <w:bookmarkEnd w:id="299"/>
      <w:r>
        <w:rPr>
          <w:rtl w:val="true"/>
        </w:rPr>
        <w:t xml:space="preserve">« </w:t>
      </w:r>
      <w:r>
        <w:rPr>
          <w:rtl w:val="true"/>
        </w:rPr>
        <w:t xml:space="preserve">ل </w:t>
      </w:r>
      <w:r>
        <w:rPr>
          <w:rtl w:val="true"/>
        </w:rPr>
        <w:t>»</w:t>
      </w:r>
      <w:bookmarkEnd w:id="30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في فقه الإماميّة ، للشهيد الأوّل شمس الدّين محمّد بن مكّي</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عليّ الكوراني،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800302_1051229030"/>
      <w:bookmarkStart w:id="302" w:name="_Toc113"/>
      <w:bookmarkEnd w:id="301"/>
      <w:r>
        <w:rPr>
          <w:rtl w:val="true"/>
        </w:rPr>
        <w:t xml:space="preserve">« </w:t>
      </w:r>
      <w:r>
        <w:rPr>
          <w:rtl w:val="true"/>
        </w:rPr>
        <w:t xml:space="preserve">م </w:t>
      </w:r>
      <w:r>
        <w:rPr>
          <w:rtl w:val="true"/>
        </w:rPr>
        <w:t>»</w:t>
      </w:r>
      <w:bookmarkEnd w:id="302"/>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التقريب، 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لسلاّر بن عبدالعزيزالديلمي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الحسينيالأميني، نشر المعاونية الثقافية للمجمع العالمي،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03" w:name="pg7542_72776"/>
    </w:p>
    <w:p>
      <w:pPr>
        <w:pStyle w:val="BookText"/>
        <w:rPr/>
      </w:pPr>
      <w:bookmarkEnd w:id="303"/>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 للمولى محمّد محسن بن الشاه مرتضى المشهور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مجمع الذخائر الإسلامية،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التابعة لمؤسسة الإمام الهادي عليه‌السلام،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 للقاضي إبن البرّاج أبي القاسم عبدالعزيز بن نحرير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 السبحاني، نشر جامعة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800304_1051229030"/>
      <w:bookmarkStart w:id="305" w:name="_Toc114"/>
      <w:bookmarkEnd w:id="304"/>
      <w:r>
        <w:rPr>
          <w:rtl w:val="true"/>
        </w:rPr>
        <w:t xml:space="preserve">« </w:t>
      </w:r>
      <w:r>
        <w:rPr>
          <w:rtl w:val="true"/>
        </w:rPr>
        <w:t xml:space="preserve">ن </w:t>
      </w:r>
      <w:r>
        <w:rPr>
          <w:rtl w:val="true"/>
        </w:rPr>
        <w:t>»</w:t>
      </w:r>
      <w:bookmarkEnd w:id="3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لأبي السعادات مجد الدّين المبارك بن محمّد بن محمّد المعروف بابن أثير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ومحمود محمّد الطناحي، مؤسّسة إسماعيليان،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306" w:name="pg7542_72778"/>
    </w:p>
    <w:p>
      <w:pPr>
        <w:pStyle w:val="BookText"/>
        <w:rPr/>
      </w:pPr>
      <w:bookmarkEnd w:id="306"/>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شيخ الطائفة محمّد بن الحسن</w:t>
      </w:r>
    </w:p>
    <w:p>
      <w:pPr>
        <w:pStyle w:val="BookText"/>
        <w:rPr/>
      </w:pPr>
      <w:r>
        <w:rPr>
          <w:rFonts w:ascii="Amiri" w:hAnsi="Amiri" w:eastAsia="Amiri" w:cs="Amiri"/>
          <w:color w:val="111111"/>
          <w:sz w:val="28"/>
          <w:sz w:val="28"/>
          <w:szCs w:val="28"/>
          <w:rtl w:val="true"/>
          <w:lang w:bidi="ar-SA"/>
        </w:rPr>
        <w:t xml:space="preserve">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محمّد بن علي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الحاج آغا مجتبى العراقي، الشيخ علي پناه الاشتهاردي، آقا حسين اليزدي، نشر مؤسّسة النشر الإسلامي،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307" w:name="__RefHeading___Toc2800306_1051229030"/>
      <w:bookmarkStart w:id="308" w:name="_Toc115"/>
      <w:bookmarkEnd w:id="307"/>
      <w:r>
        <w:rPr>
          <w:rtl w:val="true"/>
        </w:rPr>
        <w:t xml:space="preserve">« </w:t>
      </w:r>
      <w:r>
        <w:rPr>
          <w:rtl w:val="true"/>
        </w:rPr>
        <w:t xml:space="preserve">و </w:t>
      </w:r>
      <w:r>
        <w:rPr>
          <w:rtl w:val="true"/>
        </w:rPr>
        <w:t>»</w:t>
      </w:r>
      <w:bookmarkEnd w:id="30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أبي جعفر محمّد بن علي الطوسي،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7542_72782"/>
      <w:bookmarkStart w:id="310" w:name="pg7542_72782"/>
      <w:bookmarkEnd w:id="310"/>
    </w:p>
    <w:p>
      <w:pPr>
        <w:pStyle w:val="Heading2"/>
        <w:numPr>
          <w:ilvl w:val="1"/>
          <w:numId w:val="1"/>
        </w:numPr>
        <w:rPr/>
      </w:pPr>
      <w:bookmarkStart w:id="311" w:name="pg7542_72782"/>
      <w:bookmarkStart w:id="312" w:name="__RefHeading___Toc2800308_1051229030"/>
      <w:bookmarkStart w:id="313" w:name="_Toc116"/>
      <w:bookmarkEnd w:id="311"/>
      <w:bookmarkEnd w:id="312"/>
      <w:r>
        <w:rPr>
          <w:rtl w:val="true"/>
        </w:rPr>
        <w:t>فهرس المحتويات</w:t>
      </w:r>
      <w:bookmarkEnd w:id="313"/>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توضيحى پيرامون رساله حاضر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زندگى نامه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نگاه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دوران 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استادان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مشايخ اجازه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ويژگى‌هاى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اجراى حدود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سفر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آثار علمى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ساخت مسجدى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ولايت حاكم شرع در اموال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تفسير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ولايت حاكم شرع در 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ذكر كلمات القائلين بأنّه ليس للحاكم ولاية في التزويج أصلاً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استقصاء كلمات الفقهاء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إيراد النصوص الواردة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المستفاد من النصوص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كلمات العلماء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 العلماء في المسألة على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الظاهر استقلال البنت إذا بلغت تسع سنين في نكاحها وإن لم تتّصف بالرشد</w:t>
      </w:r>
    </w:p>
    <w:p>
      <w:pPr>
        <w:pStyle w:val="BookText"/>
        <w:rPr/>
      </w:pPr>
      <w:r>
        <w:rPr>
          <w:rFonts w:ascii="Amiri" w:hAnsi="Amiri" w:eastAsia="Amiri" w:cs="Amiri"/>
          <w:color w:val="111111"/>
          <w:sz w:val="28"/>
          <w:sz w:val="28"/>
          <w:szCs w:val="28"/>
          <w:rtl w:val="true"/>
          <w:lang w:bidi="ar-SA"/>
        </w:rPr>
        <w:t xml:space="preserve">المعتبر في دفع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يجوز تزويج من أكمل تسع سنين من البنات الفاقدة للأب من غير افتقار على</w:t>
      </w:r>
    </w:p>
    <w:p>
      <w:pPr>
        <w:pStyle w:val="BookText"/>
        <w:rPr/>
      </w:pPr>
      <w:r>
        <w:rPr>
          <w:rFonts w:ascii="Amiri" w:hAnsi="Amiri" w:eastAsia="Amiri" w:cs="Amiri"/>
          <w:color w:val="111111"/>
          <w:sz w:val="28"/>
          <w:sz w:val="28"/>
          <w:szCs w:val="28"/>
          <w:rtl w:val="true"/>
          <w:lang w:bidi="ar-SA"/>
        </w:rPr>
        <w:t>إذن أحد من الحكّام و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ولاية الحاكم على البالغة السفيهة إذا لم تكن ذات أب و لا جدّ، ولم يكن هناك</w:t>
      </w:r>
    </w:p>
    <w:p>
      <w:pPr>
        <w:pStyle w:val="BookText"/>
        <w:rPr/>
      </w:pPr>
      <w:r>
        <w:rPr>
          <w:rFonts w:ascii="Amiri" w:hAnsi="Amiri" w:eastAsia="Amiri" w:cs="Amiri"/>
          <w:color w:val="111111"/>
          <w:sz w:val="28"/>
          <w:sz w:val="28"/>
          <w:szCs w:val="28"/>
          <w:rtl w:val="true"/>
          <w:lang w:bidi="ar-SA"/>
        </w:rPr>
        <w:t xml:space="preserve">وصيّ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تحقيق معنى السفاهة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الداعي للتفسير الّذي اخترناه للسفاهة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اليتيمة البالغة تسع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ولاية الوصيّ على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المستند للقول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مختار المؤلّف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وجه دلالة النصوص على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الإشكال في الاستدلال بالنصوص المذكورة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إشكال آخر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كاريزيه، تأليف حجّة الإسلام شفتى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نخست نسخه‌اى خطّى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حرّعاملى قدس‌سره، كه در كتابخانه جامع گوهرشاد نگهدارى مى‌شود، يادداشتى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زكى بن محمّد نقى موسوى، به چشم مى‌خورد به اين مضمون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در اصل از آن وى بوده و به برادرش سيّد محمّد باقر حجّة الاسلام رشتى، هديه كرده است، با مهر بيضى شكل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زكي الموسويّ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مهر بيضى شكل ديگرى نيز به چشم مى‌خورد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باقر بن محمّد نقي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مهر مرحوم حجّة الإسلام شفتى است فهرست نسخه‌هاى خطّى كتابخانه جامع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مرحوم آية اللّه حاج سيّد محمّد على روضاتى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سوم و 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البلدان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قريه‌اى است قديم النسق از قراى طارم واقع در ميان كوه،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سكنه دارد، كه به زبان فرس قديم تكلّم مى‌كنند، هوايش معتدل، زراعتش از آب رودخانه مشروب مى‌شود، و گردنه‌اى ناهموار و صعب العبور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فرهنگ جغرافيايى ايران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جزء دهستان طارم بالا بخش سيردان شهرستان زنجان كه در چهل و دو هزار گزى شمال باختر سيردان و ده هزار گزى راه مال رو عمومى واقع است، كوهستانى و سردسير است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سكنه دارد، آبش از چشمه، محصولش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غلات، فندق، گردو، عسل ؛ شغل اهالى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زراعت، مكارى، بافتن گليم، جاجيم، شال ؛ و راهش مال رو و صعب العبور است لغت نامه دهخدا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حجّة الإسلام اصلاً از قريه چرزه از قراى طارم كه در هفت فرسنگى طرف شمال زنجان و هم از مضافات آن است، بوده و چون در اوائل امر خود براى تحصيل به شفت رفته و اندكى توقّف نموده، بدان منسوب شده،، چنان كه حاج شيخ جواد طارمى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تصريح نموده وثقات اثبات نيز مرا چنين خبر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بنى اعمام وى هم از سادات حسينيه اينك در اين قريه موجوداند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خمس و مائتين بعد الألف من الهجرة المباركة 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مير عبدالباقي في أوايل ورودي في اصبهان في سنة سبع و مائتين بعد الألف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فرموده صاحب روضات قدس‌سره، سيّد حجّة الإسلام در حدود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مى‌گيرد اصفهان را وطن خويش قرار دهد و در آنجا سكونت اختيار كند ؛ عبارت ايشان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عزم على التوطن باصبهان في حدود ستّ أو سبع عشرة بعد مائتين و ألف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كاملِ اصل اين اجازه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صفحه‌اى، در ضميمه مجلّد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كتابخانه‌هاى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مختصر به خطّ شريف مرحوم شهرستانى، در آخر نسخه‌اى خطّى از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مركز احياء 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مآثر الباقريّة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ايشان در كتاب مناسك 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تقريبًا دو ساعت به غروب مانده روز هفتم شهر ذي الحجّة الحرام سنه هزار و دويست و سى و يك وارد مكّه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 و شعراى گيلان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اين كتاب‌ها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ماضى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الفوايد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جلد، با تحقيق حجّة الإسلام والمسلمين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في الإمام الثاني عشر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با تحقيق صاحب اين قلم، به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صاحب اين قلم، به سال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قدس‌سره مطالب آن را از اين كتاب‌ها انتخاب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الطرائف، تأليف سيّد بن طاوس ؛ شرح نهج البلاغه، تأليف ابن أبي الحديد معتزلى ؛ الصواعق المحرقة، تأليف ابن حجر هيتمى ؛ و صحيحين،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و 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كرمانشاه است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نجفى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ديگرى از شرح مزجى وى بر شرائع الإسلام، در كتابخانه مسجد اعظم قم نگهدارى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مسجد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خطّ مؤلّف قدس‌سره است و شرح مزجى مفصّلى بر فصل سوم كتاب الصلاة لمعه مى‌باشد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كه در چند صفحه مى‌باشد، به خطّ صاحب جواهر نيست، ولى مهر شريف وى در پايان اجازه به چشم مى‌خورد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نوشته‌ها ربيع الأوّل ثبت شده، و اين اشتباه ناشى از نوشته مرحوم علاّمه خوانسارى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حجّة الإسلام يقينًا در دوم ماه ربيع الأوّل نبوده، زيرا اجازه‌اى كه مرحوم حجّة الإسلام براى شخصى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برگ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به 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مجلس شوراى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يبذلون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إيناس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يعمل بمال اليتيم مضاربة، فأذن له الغلام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لايصلح أن يعمل به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يقتضيه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كان الأمر على ما ذكرناه في ترتيب النساء على</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إذا بلغت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بلغت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مرويّ في كتاب الأوصياء من التهذيب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فيها كفاية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أوردها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أوردها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مبيّنا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في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الغريبين،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كتاب الحجر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أقيمت عليها الحدود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فلبلوغ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أخوين والبنت والابنة صغيرة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أخذ لها بها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المغيرة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الابنة صغيرة و البنت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25772</Words>
  <Characters>94899</Characters>
  <CharactersWithSpaces>119676</CharactersWithSpaces>
  <Paragraphs>1485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2026-08-27T10:01:52Z</dcterms:created>
  <dc:creator>ghaemiyeh.com</dc:creator>
  <dc:description/>
  <dc:language>en-US</dc:language>
  <cp:lastModifiedBy/>
  <dcterms:modified xsi:type="dcterms:W3CDTF">2026-08-27T13:31:56Z</dcterms:modified>
  <cp:revision>1</cp:revision>
  <dc:subject/>
  <dc:title>سؤال و جواب درباره ولایت حاکم شرع بر بالغه غیر رشیده</dc:title>
</cp:coreProperties>
</file>

<file path=docProps/custom.xml><?xml version="1.0" encoding="utf-8"?>
<Properties xmlns="http://schemas.openxmlformats.org/officeDocument/2006/custom-properties" xmlns:vt="http://schemas.openxmlformats.org/officeDocument/2006/docPropsVTypes"/>
</file>