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صباح </w:t>
      </w:r>
      <w:r>
        <w:rPr>
          <w:rtl w:val="true"/>
        </w:rPr>
        <w:t xml:space="preserve">- </w:t>
      </w:r>
      <w:r>
        <w:rPr>
          <w:rtl w:val="true"/>
        </w:rPr>
        <w:t>فصلنامه پژوهشی پرسش ها و پاسخ های دینی</w:t>
      </w:r>
      <w:r>
        <w:rPr>
          <w:rtl w:val="true"/>
        </w:rPr>
        <w:t>-</w:t>
      </w:r>
      <w:r>
        <w:rPr>
          <w:rtl w:val="true"/>
        </w:rPr>
        <w:t>سال چهارم</w:t>
      </w:r>
      <w:r>
        <w:rPr>
          <w:rtl w:val="true"/>
        </w:rPr>
        <w:t xml:space="preserve">- </w:t>
      </w:r>
      <w:r>
        <w:rPr>
          <w:rtl w:val="true"/>
        </w:rPr>
        <w:t xml:space="preserve">شماره </w:t>
      </w:r>
      <w:r>
        <w:rPr/>
        <w:t>15</w:t>
      </w:r>
      <w:r>
        <w:rPr>
          <w:rtl w:val="true"/>
        </w:rPr>
        <w:t>-</w:t>
      </w:r>
      <w:r>
        <w:rPr/>
        <w:t>16</w:t>
      </w:r>
      <w:r>
        <w:rPr>
          <w:rtl w:val="true"/>
        </w:rPr>
        <w:t xml:space="preserve">- </w:t>
      </w:r>
      <w:r>
        <w:rPr>
          <w:rtl w:val="true"/>
        </w:rPr>
        <w:t xml:space="preserve">بهار و تابستان </w:t>
      </w:r>
      <w:r>
        <w:rPr/>
        <w:t>1384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680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26808_1051229030">
            <w:r>
              <w:rPr>
                <w:webHidden/>
                <w:rStyle w:val="IndexLink"/>
                <w:rtl w:val="true"/>
              </w:rPr>
              <w:t>سخن سردبير</w:t>
            </w:r>
            <w:r>
              <w:rPr>
                <w:rStyle w:val="IndexLink"/>
                <w:rtl w:val="true"/>
              </w:rPr>
              <w:tab/>
            </w:r>
            <w:r>
              <w:rPr>
                <w:rStyle w:val="IndexLink"/>
              </w:rPr>
              <w:t>6</w:t>
            </w:r>
          </w:hyperlink>
        </w:p>
        <w:p>
          <w:pPr>
            <w:pStyle w:val="Contents2"/>
            <w:tabs>
              <w:tab w:val="clear" w:pos="8743"/>
              <w:tab w:val="right" w:pos="9026" w:leader="dot"/>
            </w:tabs>
            <w:rPr/>
          </w:pPr>
          <w:hyperlink w:anchor="__RefHeading___Toc2626810_1051229030">
            <w:r>
              <w:rPr>
                <w:webHidden/>
                <w:rStyle w:val="IndexLink"/>
                <w:rtl w:val="true"/>
              </w:rPr>
              <w:t>قرآن و تفسير</w:t>
            </w:r>
            <w:r>
              <w:rPr>
                <w:rStyle w:val="IndexLink"/>
                <w:rtl w:val="true"/>
              </w:rPr>
              <w:tab/>
            </w:r>
            <w:r>
              <w:rPr>
                <w:rStyle w:val="IndexLink"/>
              </w:rPr>
              <w:t>8</w:t>
            </w:r>
          </w:hyperlink>
        </w:p>
        <w:p>
          <w:pPr>
            <w:pStyle w:val="Contents3"/>
            <w:tabs>
              <w:tab w:val="clear" w:pos="8459"/>
              <w:tab w:val="right" w:pos="9026" w:leader="dot"/>
            </w:tabs>
            <w:rPr/>
          </w:pPr>
          <w:hyperlink w:anchor="__RefHeading___Toc2626812_1051229030">
            <w:r>
              <w:rPr>
                <w:webHidden/>
                <w:rStyle w:val="IndexLink"/>
                <w:rtl w:val="true"/>
              </w:rPr>
              <w:t>پاسخ به پرسش هاى قرآنى از نگاه علامه كمالى دزفولى</w:t>
            </w:r>
            <w:r>
              <w:rPr>
                <w:rStyle w:val="IndexLink"/>
                <w:rtl w:val="true"/>
              </w:rPr>
              <w:t>(</w:t>
            </w:r>
            <w:r>
              <w:rPr>
                <w:rStyle w:val="IndexLink"/>
                <w:rtl w:val="true"/>
              </w:rPr>
              <w:t>رحمه الله</w:t>
            </w:r>
            <w:r>
              <w:rPr>
                <w:rStyle w:val="IndexLink"/>
                <w:rtl w:val="true"/>
              </w:rPr>
              <w:t>)</w:t>
              <w:tab/>
            </w:r>
            <w:r>
              <w:rPr>
                <w:rStyle w:val="IndexLink"/>
              </w:rPr>
              <w:t>8</w:t>
            </w:r>
          </w:hyperlink>
        </w:p>
        <w:p>
          <w:pPr>
            <w:pStyle w:val="Contents4"/>
            <w:tabs>
              <w:tab w:val="clear" w:pos="8176"/>
              <w:tab w:val="right" w:pos="9026" w:leader="dot"/>
            </w:tabs>
            <w:rPr/>
          </w:pPr>
          <w:hyperlink w:anchor="__RefHeading___Toc2626814_1051229030">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2626816_1051229030">
            <w:r>
              <w:rPr>
                <w:webHidden/>
                <w:rStyle w:val="IndexLink"/>
                <w:rtl w:val="true"/>
              </w:rPr>
              <w:t>زندگى نامه ى قرآن پژوه معاصر استاد فقيد سيدعلى كمالى دزفولى</w:t>
            </w:r>
            <w:r>
              <w:rPr>
                <w:rStyle w:val="IndexLink"/>
                <w:rtl w:val="true"/>
              </w:rPr>
              <w:tab/>
            </w:r>
            <w:r>
              <w:rPr>
                <w:rStyle w:val="IndexLink"/>
              </w:rPr>
              <w:t>10</w:t>
            </w:r>
          </w:hyperlink>
        </w:p>
        <w:p>
          <w:pPr>
            <w:pStyle w:val="Contents4"/>
            <w:tabs>
              <w:tab w:val="clear" w:pos="8176"/>
              <w:tab w:val="right" w:pos="9026" w:leader="dot"/>
            </w:tabs>
            <w:rPr/>
          </w:pPr>
          <w:hyperlink w:anchor="__RefHeading___Toc2626818_1051229030">
            <w:r>
              <w:rPr>
                <w:webHidden/>
                <w:rStyle w:val="IndexLink"/>
                <w:rtl w:val="true"/>
              </w:rPr>
              <w:t>آيا مصونيّت قرآن شريف از انواع تحريف، قابل اثبات است؟</w:t>
            </w:r>
            <w:r>
              <w:rPr>
                <w:rStyle w:val="IndexLink"/>
                <w:rtl w:val="true"/>
              </w:rPr>
              <w:tab/>
            </w:r>
            <w:r>
              <w:rPr>
                <w:rStyle w:val="IndexLink"/>
              </w:rPr>
              <w:t>13</w:t>
            </w:r>
          </w:hyperlink>
        </w:p>
        <w:p>
          <w:pPr>
            <w:pStyle w:val="Contents5"/>
            <w:tabs>
              <w:tab w:val="clear" w:pos="7892"/>
              <w:tab w:val="right" w:pos="9026" w:leader="dot"/>
            </w:tabs>
            <w:rPr/>
          </w:pPr>
          <w:hyperlink w:anchor="__RefHeading___Toc2626820_1051229030">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2626822_1051229030">
            <w:r>
              <w:rPr>
                <w:webHidden/>
                <w:rStyle w:val="IndexLink"/>
                <w:rtl w:val="true"/>
              </w:rPr>
              <w:t>صورت اول، تحريف به زياده</w:t>
            </w:r>
            <w:r>
              <w:rPr>
                <w:rStyle w:val="IndexLink"/>
                <w:rtl w:val="true"/>
              </w:rPr>
              <w:t>:</w:t>
              <w:tab/>
            </w:r>
            <w:r>
              <w:rPr>
                <w:rStyle w:val="IndexLink"/>
              </w:rPr>
              <w:t>13</w:t>
            </w:r>
          </w:hyperlink>
        </w:p>
        <w:p>
          <w:pPr>
            <w:pStyle w:val="Contents5"/>
            <w:tabs>
              <w:tab w:val="clear" w:pos="7892"/>
              <w:tab w:val="right" w:pos="9026" w:leader="dot"/>
            </w:tabs>
            <w:rPr/>
          </w:pPr>
          <w:hyperlink w:anchor="__RefHeading___Toc2626824_1051229030">
            <w:r>
              <w:rPr>
                <w:webHidden/>
                <w:rStyle w:val="IndexLink"/>
                <w:rtl w:val="true"/>
              </w:rPr>
              <w:t>صورت دوم، تحريف به تعويض</w:t>
            </w:r>
            <w:r>
              <w:rPr>
                <w:rStyle w:val="IndexLink"/>
                <w:rtl w:val="true"/>
              </w:rPr>
              <w:t>:</w:t>
              <w:tab/>
            </w:r>
            <w:r>
              <w:rPr>
                <w:rStyle w:val="IndexLink"/>
              </w:rPr>
              <w:t>14</w:t>
            </w:r>
          </w:hyperlink>
        </w:p>
        <w:p>
          <w:pPr>
            <w:pStyle w:val="Contents5"/>
            <w:tabs>
              <w:tab w:val="clear" w:pos="7892"/>
              <w:tab w:val="right" w:pos="9026" w:leader="dot"/>
            </w:tabs>
            <w:rPr/>
          </w:pPr>
          <w:hyperlink w:anchor="__RefHeading___Toc2626826_1051229030">
            <w:r>
              <w:rPr>
                <w:webHidden/>
                <w:rStyle w:val="IndexLink"/>
                <w:rtl w:val="true"/>
              </w:rPr>
              <w:t>دلائل عدم تحريف قرآن كريم</w:t>
            </w:r>
            <w:r>
              <w:rPr>
                <w:rStyle w:val="IndexLink"/>
                <w:rtl w:val="true"/>
              </w:rPr>
              <w:tab/>
            </w:r>
            <w:r>
              <w:rPr>
                <w:rStyle w:val="IndexLink"/>
              </w:rPr>
              <w:t>15</w:t>
            </w:r>
          </w:hyperlink>
        </w:p>
        <w:p>
          <w:pPr>
            <w:pStyle w:val="Contents3"/>
            <w:tabs>
              <w:tab w:val="clear" w:pos="8459"/>
              <w:tab w:val="right" w:pos="9026" w:leader="dot"/>
            </w:tabs>
            <w:rPr/>
          </w:pPr>
          <w:hyperlink w:anchor="__RefHeading___Toc2626828_1051229030">
            <w:r>
              <w:rPr>
                <w:webHidden/>
                <w:rStyle w:val="IndexLink"/>
                <w:rtl w:val="true"/>
              </w:rPr>
              <w:t xml:space="preserve">در فرهنگ قرآن </w:t>
            </w:r>
            <w:r>
              <w:rPr>
                <w:rStyle w:val="IndexLink"/>
                <w:rtl w:val="true"/>
              </w:rPr>
              <w:t>«</w:t>
            </w:r>
            <w:r>
              <w:rPr>
                <w:rStyle w:val="IndexLink"/>
                <w:rtl w:val="true"/>
              </w:rPr>
              <w:t>آزادى</w:t>
            </w:r>
            <w:r>
              <w:rPr>
                <w:rStyle w:val="IndexLink"/>
                <w:rtl w:val="true"/>
              </w:rPr>
              <w:t xml:space="preserve">» </w:t>
            </w:r>
            <w:r>
              <w:rPr>
                <w:rStyle w:val="IndexLink"/>
                <w:rtl w:val="true"/>
              </w:rPr>
              <w:t>چگونه قابل تبيين است، حدود و گستره ى آن را بيان نماييد؟</w:t>
            </w:r>
            <w:r>
              <w:rPr>
                <w:rStyle w:val="IndexLink"/>
                <w:rtl w:val="true"/>
              </w:rPr>
              <w:tab/>
            </w:r>
            <w:r>
              <w:rPr>
                <w:rStyle w:val="IndexLink"/>
              </w:rPr>
              <w:t>19</w:t>
            </w:r>
          </w:hyperlink>
        </w:p>
        <w:p>
          <w:pPr>
            <w:pStyle w:val="Contents3"/>
            <w:tabs>
              <w:tab w:val="clear" w:pos="8459"/>
              <w:tab w:val="right" w:pos="9026" w:leader="dot"/>
            </w:tabs>
            <w:rPr/>
          </w:pPr>
          <w:hyperlink w:anchor="__RefHeading___Toc2626830_1051229030">
            <w:r>
              <w:rPr>
                <w:webHidden/>
                <w:rStyle w:val="IndexLink"/>
                <w:rtl w:val="true"/>
              </w:rPr>
              <w:t>ديدگاه قرآن شريف درباره ى دموكراسى و آراء اكثريّت چيست؟</w:t>
            </w:r>
            <w:r>
              <w:rPr>
                <w:rStyle w:val="IndexLink"/>
                <w:rtl w:val="true"/>
              </w:rPr>
              <w:tab/>
            </w:r>
            <w:r>
              <w:rPr>
                <w:rStyle w:val="IndexLink"/>
              </w:rPr>
              <w:t>22</w:t>
            </w:r>
          </w:hyperlink>
        </w:p>
        <w:p>
          <w:pPr>
            <w:pStyle w:val="Contents2"/>
            <w:tabs>
              <w:tab w:val="clear" w:pos="8743"/>
              <w:tab w:val="right" w:pos="9026" w:leader="dot"/>
            </w:tabs>
            <w:rPr/>
          </w:pPr>
          <w:hyperlink w:anchor="__RefHeading___Toc2626832_1051229030">
            <w:r>
              <w:rPr>
                <w:webHidden/>
                <w:rStyle w:val="IndexLink"/>
                <w:rtl w:val="true"/>
              </w:rPr>
              <w:t>كلام</w:t>
            </w:r>
            <w:r>
              <w:rPr>
                <w:rStyle w:val="IndexLink"/>
                <w:rtl w:val="true"/>
              </w:rPr>
              <w:tab/>
            </w:r>
            <w:r>
              <w:rPr>
                <w:rStyle w:val="IndexLink"/>
              </w:rPr>
              <w:t>26</w:t>
            </w:r>
          </w:hyperlink>
        </w:p>
        <w:p>
          <w:pPr>
            <w:pStyle w:val="Contents3"/>
            <w:tabs>
              <w:tab w:val="clear" w:pos="8459"/>
              <w:tab w:val="right" w:pos="9026" w:leader="dot"/>
            </w:tabs>
            <w:rPr/>
          </w:pPr>
          <w:hyperlink w:anchor="__RefHeading___Toc2626834_1051229030">
            <w:r>
              <w:rPr>
                <w:webHidden/>
                <w:rStyle w:val="IndexLink"/>
                <w:rtl w:val="true"/>
              </w:rPr>
              <w:t>ارتباط دنيا و آخرت</w:t>
            </w:r>
            <w:r>
              <w:rPr>
                <w:rStyle w:val="IndexLink"/>
                <w:rtl w:val="true"/>
              </w:rPr>
              <w:tab/>
            </w:r>
            <w:r>
              <w:rPr>
                <w:rStyle w:val="IndexLink"/>
              </w:rPr>
              <w:t>26</w:t>
            </w:r>
          </w:hyperlink>
        </w:p>
        <w:p>
          <w:pPr>
            <w:pStyle w:val="Contents4"/>
            <w:tabs>
              <w:tab w:val="clear" w:pos="8176"/>
              <w:tab w:val="right" w:pos="9026" w:leader="dot"/>
            </w:tabs>
            <w:rPr/>
          </w:pPr>
          <w:hyperlink w:anchor="__RefHeading___Toc2626836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626838_1051229030">
            <w:r>
              <w:rPr>
                <w:webHidden/>
                <w:rStyle w:val="IndexLink"/>
                <w:rtl w:val="true"/>
              </w:rPr>
              <w:t xml:space="preserve">چه رابطه اى بين اعمال دنيوى انسان و نتايج اُخروى آن </w:t>
            </w:r>
            <w:r>
              <w:rPr>
                <w:rStyle w:val="IndexLink"/>
                <w:rtl w:val="true"/>
              </w:rPr>
              <w:t>(</w:t>
            </w:r>
            <w:r>
              <w:rPr>
                <w:rStyle w:val="IndexLink"/>
                <w:rtl w:val="true"/>
              </w:rPr>
              <w:t>ثواب و عقاب</w:t>
            </w:r>
            <w:r>
              <w:rPr>
                <w:rStyle w:val="IndexLink"/>
                <w:rtl w:val="true"/>
              </w:rPr>
              <w:t xml:space="preserve">) </w:t>
            </w:r>
            <w:r>
              <w:rPr>
                <w:rStyle w:val="IndexLink"/>
                <w:rtl w:val="true"/>
              </w:rPr>
              <w:t>وجود دارد؟محسن ميرزاپور</w:t>
            </w:r>
            <w:r>
              <w:rPr>
                <w:rStyle w:val="IndexLink"/>
                <w:rtl w:val="true"/>
              </w:rPr>
              <w:tab/>
            </w:r>
            <w:r>
              <w:rPr>
                <w:rStyle w:val="IndexLink"/>
              </w:rPr>
              <w:t>29</w:t>
            </w:r>
          </w:hyperlink>
        </w:p>
        <w:p>
          <w:pPr>
            <w:pStyle w:val="Contents5"/>
            <w:tabs>
              <w:tab w:val="clear" w:pos="7892"/>
              <w:tab w:val="right" w:pos="9026" w:leader="dot"/>
            </w:tabs>
            <w:rPr/>
          </w:pPr>
          <w:hyperlink w:anchor="__RefHeading___Toc2626840_105122903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626842_1051229030">
            <w:r>
              <w:rPr>
                <w:webHidden/>
                <w:rStyle w:val="IndexLink"/>
                <w:rtl w:val="true"/>
              </w:rPr>
              <w:t>انواع مجازات ها و كيفرها</w:t>
            </w:r>
            <w:r>
              <w:rPr>
                <w:rStyle w:val="IndexLink"/>
                <w:rtl w:val="true"/>
              </w:rPr>
              <w:tab/>
            </w:r>
            <w:r>
              <w:rPr>
                <w:rStyle w:val="IndexLink"/>
              </w:rPr>
              <w:t>30</w:t>
            </w:r>
          </w:hyperlink>
        </w:p>
        <w:p>
          <w:pPr>
            <w:pStyle w:val="Contents6"/>
            <w:tabs>
              <w:tab w:val="clear" w:pos="7609"/>
              <w:tab w:val="right" w:pos="9026" w:leader="dot"/>
            </w:tabs>
            <w:rPr/>
          </w:pPr>
          <w:hyperlink w:anchor="__RefHeading___Toc2626844_1051229030">
            <w:r>
              <w:rPr>
                <w:webHidden/>
                <w:rStyle w:val="IndexLink"/>
              </w:rPr>
              <w:t>1</w:t>
            </w:r>
            <w:r>
              <w:rPr>
                <w:rStyle w:val="IndexLink"/>
                <w:rtl w:val="true"/>
              </w:rPr>
              <w:t xml:space="preserve">. </w:t>
            </w:r>
            <w:r>
              <w:rPr>
                <w:rStyle w:val="IndexLink"/>
                <w:rtl w:val="true"/>
              </w:rPr>
              <w:t>مجازات قراردادى</w:t>
            </w:r>
            <w:r>
              <w:rPr>
                <w:rStyle w:val="IndexLink"/>
                <w:rtl w:val="true"/>
              </w:rPr>
              <w:t>:</w:t>
              <w:tab/>
            </w:r>
            <w:r>
              <w:rPr>
                <w:rStyle w:val="IndexLink"/>
              </w:rPr>
              <w:t>30</w:t>
            </w:r>
          </w:hyperlink>
        </w:p>
        <w:p>
          <w:pPr>
            <w:pStyle w:val="Contents6"/>
            <w:tabs>
              <w:tab w:val="clear" w:pos="7609"/>
              <w:tab w:val="right" w:pos="9026" w:leader="dot"/>
            </w:tabs>
            <w:rPr/>
          </w:pPr>
          <w:hyperlink w:anchor="__RefHeading___Toc2626846_1051229030">
            <w:r>
              <w:rPr>
                <w:webHidden/>
                <w:rStyle w:val="IndexLink"/>
              </w:rPr>
              <w:t>2</w:t>
            </w:r>
            <w:r>
              <w:rPr>
                <w:rStyle w:val="IndexLink"/>
                <w:rtl w:val="true"/>
              </w:rPr>
              <w:t xml:space="preserve">. </w:t>
            </w:r>
            <w:r>
              <w:rPr>
                <w:rStyle w:val="IndexLink"/>
                <w:rtl w:val="true"/>
              </w:rPr>
              <w:t>كيفر تكوينى دنيايى</w:t>
            </w:r>
            <w:r>
              <w:rPr>
                <w:rStyle w:val="IndexLink"/>
                <w:rtl w:val="true"/>
              </w:rPr>
              <w:t>:</w:t>
              <w:tab/>
            </w:r>
            <w:r>
              <w:rPr>
                <w:rStyle w:val="IndexLink"/>
              </w:rPr>
              <w:t>30</w:t>
            </w:r>
          </w:hyperlink>
        </w:p>
        <w:p>
          <w:pPr>
            <w:pStyle w:val="Contents6"/>
            <w:tabs>
              <w:tab w:val="clear" w:pos="7609"/>
              <w:tab w:val="right" w:pos="9026" w:leader="dot"/>
            </w:tabs>
            <w:rPr/>
          </w:pPr>
          <w:hyperlink w:anchor="__RefHeading___Toc2626848_1051229030">
            <w:r>
              <w:rPr>
                <w:webHidden/>
                <w:rStyle w:val="IndexLink"/>
              </w:rPr>
              <w:t>3</w:t>
            </w:r>
            <w:r>
              <w:rPr>
                <w:rStyle w:val="IndexLink"/>
                <w:rtl w:val="true"/>
              </w:rPr>
              <w:t xml:space="preserve">. </w:t>
            </w:r>
            <w:r>
              <w:rPr>
                <w:rStyle w:val="IndexLink"/>
                <w:rtl w:val="true"/>
              </w:rPr>
              <w:t>كيفر تكوينى اخروى</w:t>
            </w:r>
            <w:r>
              <w:rPr>
                <w:rStyle w:val="IndexLink"/>
                <w:rtl w:val="true"/>
              </w:rPr>
              <w:t>:</w:t>
              <w:tab/>
            </w:r>
            <w:r>
              <w:rPr>
                <w:rStyle w:val="IndexLink"/>
              </w:rPr>
              <w:t>31</w:t>
            </w:r>
          </w:hyperlink>
        </w:p>
        <w:p>
          <w:pPr>
            <w:pStyle w:val="Contents4"/>
            <w:tabs>
              <w:tab w:val="clear" w:pos="8176"/>
              <w:tab w:val="right" w:pos="9026" w:leader="dot"/>
            </w:tabs>
            <w:rPr/>
          </w:pPr>
          <w:hyperlink w:anchor="__RefHeading___Toc2626850_1051229030">
            <w:r>
              <w:rPr>
                <w:webHidden/>
                <w:rStyle w:val="IndexLink"/>
                <w:rtl w:val="true"/>
              </w:rPr>
              <w:t>اعمال محدود انسان در دنيا چگونه با نتايج نامحدود اُخروى سازگارى دارد؟محمد امين صادقى</w:t>
            </w:r>
            <w:r>
              <w:rPr>
                <w:rStyle w:val="IndexLink"/>
                <w:rtl w:val="true"/>
              </w:rPr>
              <w:tab/>
            </w:r>
            <w:r>
              <w:rPr>
                <w:rStyle w:val="IndexLink"/>
              </w:rPr>
              <w:t>36</w:t>
            </w:r>
          </w:hyperlink>
        </w:p>
        <w:p>
          <w:pPr>
            <w:pStyle w:val="Contents2"/>
            <w:tabs>
              <w:tab w:val="clear" w:pos="8743"/>
              <w:tab w:val="right" w:pos="9026" w:leader="dot"/>
            </w:tabs>
            <w:rPr/>
          </w:pPr>
          <w:hyperlink w:anchor="__RefHeading___Toc2626852_1051229030">
            <w:r>
              <w:rPr>
                <w:webHidden/>
                <w:rStyle w:val="IndexLink"/>
                <w:rtl w:val="true"/>
              </w:rPr>
              <w:t>مشاوره و تربيت</w:t>
            </w:r>
            <w:r>
              <w:rPr>
                <w:rStyle w:val="IndexLink"/>
                <w:rtl w:val="true"/>
              </w:rPr>
              <w:tab/>
            </w:r>
            <w:r>
              <w:rPr>
                <w:rStyle w:val="IndexLink"/>
              </w:rPr>
              <w:t>42</w:t>
            </w:r>
          </w:hyperlink>
        </w:p>
        <w:p>
          <w:pPr>
            <w:pStyle w:val="Contents3"/>
            <w:tabs>
              <w:tab w:val="clear" w:pos="8459"/>
              <w:tab w:val="right" w:pos="9026" w:leader="dot"/>
            </w:tabs>
            <w:rPr/>
          </w:pPr>
          <w:hyperlink w:anchor="__RefHeading___Toc2626854_1051229030">
            <w:r>
              <w:rPr>
                <w:webHidden/>
                <w:rStyle w:val="IndexLink"/>
                <w:rtl w:val="true"/>
              </w:rPr>
              <w:t>مُدگرايى</w:t>
            </w:r>
            <w:r>
              <w:rPr>
                <w:rStyle w:val="IndexLink"/>
                <w:rtl w:val="true"/>
              </w:rPr>
              <w:tab/>
            </w:r>
            <w:r>
              <w:rPr>
                <w:rStyle w:val="IndexLink"/>
              </w:rPr>
              <w:t>42</w:t>
            </w:r>
          </w:hyperlink>
        </w:p>
        <w:p>
          <w:pPr>
            <w:pStyle w:val="Contents4"/>
            <w:tabs>
              <w:tab w:val="clear" w:pos="8176"/>
              <w:tab w:val="right" w:pos="9026" w:leader="dot"/>
            </w:tabs>
            <w:rPr/>
          </w:pPr>
          <w:hyperlink w:anchor="__RefHeading___Toc2626856_105122903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626858_1051229030">
            <w:r>
              <w:rPr>
                <w:webHidden/>
                <w:rStyle w:val="IndexLink"/>
                <w:rtl w:val="true"/>
              </w:rPr>
              <w:t>علل گرايش به مدل هاى غربى چيست؟</w:t>
            </w:r>
            <w:r>
              <w:rPr>
                <w:rStyle w:val="IndexLink"/>
                <w:rtl w:val="true"/>
              </w:rPr>
              <w:tab/>
            </w:r>
            <w:r>
              <w:rPr>
                <w:rStyle w:val="IndexLink"/>
              </w:rPr>
              <w:t>45</w:t>
            </w:r>
          </w:hyperlink>
        </w:p>
        <w:p>
          <w:pPr>
            <w:pStyle w:val="Contents5"/>
            <w:tabs>
              <w:tab w:val="clear" w:pos="7892"/>
              <w:tab w:val="right" w:pos="9026" w:leader="dot"/>
            </w:tabs>
            <w:rPr/>
          </w:pPr>
          <w:hyperlink w:anchor="__RefHeading___Toc2626860_105122903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626862_1051229030">
            <w:r>
              <w:rPr>
                <w:webHidden/>
                <w:rStyle w:val="IndexLink"/>
                <w:rtl w:val="true"/>
              </w:rPr>
              <w:t>مد و مدل چيست؟</w:t>
            </w:r>
            <w:r>
              <w:rPr>
                <w:rStyle w:val="IndexLink"/>
                <w:rtl w:val="true"/>
              </w:rPr>
              <w:tab/>
            </w:r>
            <w:r>
              <w:rPr>
                <w:rStyle w:val="IndexLink"/>
              </w:rPr>
              <w:t>45</w:t>
            </w:r>
          </w:hyperlink>
        </w:p>
        <w:p>
          <w:pPr>
            <w:pStyle w:val="Contents5"/>
            <w:tabs>
              <w:tab w:val="clear" w:pos="7892"/>
              <w:tab w:val="right" w:pos="9026" w:leader="dot"/>
            </w:tabs>
            <w:rPr/>
          </w:pPr>
          <w:hyperlink w:anchor="__RefHeading___Toc2626864_1051229030">
            <w:r>
              <w:rPr>
                <w:webHidden/>
                <w:rStyle w:val="IndexLink"/>
                <w:rtl w:val="true"/>
              </w:rPr>
              <w:t>مد مثبت يا منفى؟</w:t>
            </w:r>
            <w:r>
              <w:rPr>
                <w:rStyle w:val="IndexLink"/>
                <w:rtl w:val="true"/>
              </w:rPr>
              <w:tab/>
            </w:r>
            <w:r>
              <w:rPr>
                <w:rStyle w:val="IndexLink"/>
              </w:rPr>
              <w:t>46</w:t>
            </w:r>
          </w:hyperlink>
        </w:p>
        <w:p>
          <w:pPr>
            <w:pStyle w:val="Contents5"/>
            <w:tabs>
              <w:tab w:val="clear" w:pos="7892"/>
              <w:tab w:val="right" w:pos="9026" w:leader="dot"/>
            </w:tabs>
            <w:rPr/>
          </w:pPr>
          <w:hyperlink w:anchor="__RefHeading___Toc2626866_1051229030">
            <w:r>
              <w:rPr>
                <w:webHidden/>
                <w:rStyle w:val="IndexLink"/>
                <w:rtl w:val="true"/>
              </w:rPr>
              <w:t>مد گرايى و غرب گرايى</w:t>
            </w:r>
            <w:r>
              <w:rPr>
                <w:rStyle w:val="IndexLink"/>
                <w:rtl w:val="true"/>
              </w:rPr>
              <w:tab/>
            </w:r>
            <w:r>
              <w:rPr>
                <w:rStyle w:val="IndexLink"/>
              </w:rPr>
              <w:t>46</w:t>
            </w:r>
          </w:hyperlink>
        </w:p>
        <w:p>
          <w:pPr>
            <w:pStyle w:val="Contents5"/>
            <w:tabs>
              <w:tab w:val="clear" w:pos="7892"/>
              <w:tab w:val="right" w:pos="9026" w:leader="dot"/>
            </w:tabs>
            <w:rPr/>
          </w:pPr>
          <w:hyperlink w:anchor="__RefHeading___Toc2626868_1051229030">
            <w:r>
              <w:rPr>
                <w:webHidden/>
                <w:rStyle w:val="IndexLink"/>
                <w:rtl w:val="true"/>
              </w:rPr>
              <w:t>علل گرايش به مدل هاى بيگانه</w:t>
            </w:r>
            <w:r>
              <w:rPr>
                <w:rStyle w:val="IndexLink"/>
                <w:rtl w:val="true"/>
              </w:rPr>
              <w:tab/>
            </w:r>
            <w:r>
              <w:rPr>
                <w:rStyle w:val="IndexLink"/>
              </w:rPr>
              <w:t>47</w:t>
            </w:r>
          </w:hyperlink>
        </w:p>
        <w:p>
          <w:pPr>
            <w:pStyle w:val="Contents5"/>
            <w:tabs>
              <w:tab w:val="clear" w:pos="7892"/>
              <w:tab w:val="right" w:pos="9026" w:leader="dot"/>
            </w:tabs>
            <w:rPr/>
          </w:pPr>
          <w:hyperlink w:anchor="__RefHeading___Toc2626870_1051229030">
            <w:r>
              <w:rPr>
                <w:webHidden/>
                <w:rStyle w:val="IndexLink"/>
                <w:rtl w:val="true"/>
              </w:rPr>
              <w:t>بررسى علل روان شناختى</w:t>
            </w:r>
            <w:r>
              <w:rPr>
                <w:rStyle w:val="IndexLink"/>
                <w:rtl w:val="true"/>
              </w:rPr>
              <w:tab/>
            </w:r>
            <w:r>
              <w:rPr>
                <w:rStyle w:val="IndexLink"/>
              </w:rPr>
              <w:t>47</w:t>
            </w:r>
          </w:hyperlink>
        </w:p>
        <w:p>
          <w:pPr>
            <w:pStyle w:val="Contents5"/>
            <w:tabs>
              <w:tab w:val="clear" w:pos="7892"/>
              <w:tab w:val="right" w:pos="9026" w:leader="dot"/>
            </w:tabs>
            <w:rPr/>
          </w:pPr>
          <w:hyperlink w:anchor="__RefHeading___Toc2626872_1051229030">
            <w:r>
              <w:rPr>
                <w:webHidden/>
                <w:rStyle w:val="IndexLink"/>
                <w:rtl w:val="true"/>
              </w:rPr>
              <w:t>علل اجتماعى مدگرايى</w:t>
            </w:r>
            <w:r>
              <w:rPr>
                <w:rStyle w:val="IndexLink"/>
                <w:rtl w:val="true"/>
              </w:rPr>
              <w:tab/>
            </w:r>
            <w:r>
              <w:rPr>
                <w:rStyle w:val="IndexLink"/>
              </w:rPr>
              <w:t>49</w:t>
            </w:r>
          </w:hyperlink>
        </w:p>
        <w:p>
          <w:pPr>
            <w:pStyle w:val="Contents4"/>
            <w:tabs>
              <w:tab w:val="clear" w:pos="8176"/>
              <w:tab w:val="right" w:pos="9026" w:leader="dot"/>
            </w:tabs>
            <w:rPr/>
          </w:pPr>
          <w:hyperlink w:anchor="__RefHeading___Toc2626874_1051229030">
            <w:r>
              <w:rPr>
                <w:webHidden/>
                <w:rStyle w:val="IndexLink"/>
                <w:rtl w:val="true"/>
              </w:rPr>
              <w:t>راهكارهاى جلوگيرى از گرايش به مدل هاى بيگانه چيست؟</w:t>
            </w:r>
            <w:r>
              <w:rPr>
                <w:rStyle w:val="IndexLink"/>
                <w:rtl w:val="true"/>
              </w:rPr>
              <w:tab/>
            </w:r>
            <w:r>
              <w:rPr>
                <w:rStyle w:val="IndexLink"/>
              </w:rPr>
              <w:t>52</w:t>
            </w:r>
          </w:hyperlink>
        </w:p>
        <w:p>
          <w:pPr>
            <w:pStyle w:val="Contents5"/>
            <w:tabs>
              <w:tab w:val="clear" w:pos="7892"/>
              <w:tab w:val="right" w:pos="9026" w:leader="dot"/>
            </w:tabs>
            <w:rPr/>
          </w:pPr>
          <w:hyperlink w:anchor="__RefHeading___Toc2626876_105122903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626878_1051229030">
            <w:r>
              <w:rPr>
                <w:webHidden/>
                <w:rStyle w:val="IndexLink"/>
                <w:rtl w:val="true"/>
              </w:rPr>
              <w:t>اصول راهبردى</w:t>
            </w:r>
            <w:r>
              <w:rPr>
                <w:rStyle w:val="IndexLink"/>
                <w:rtl w:val="true"/>
              </w:rPr>
              <w:tab/>
            </w:r>
            <w:r>
              <w:rPr>
                <w:rStyle w:val="IndexLink"/>
              </w:rPr>
              <w:t>52</w:t>
            </w:r>
          </w:hyperlink>
        </w:p>
        <w:p>
          <w:pPr>
            <w:pStyle w:val="Contents5"/>
            <w:tabs>
              <w:tab w:val="clear" w:pos="7892"/>
              <w:tab w:val="right" w:pos="9026" w:leader="dot"/>
            </w:tabs>
            <w:rPr/>
          </w:pPr>
          <w:hyperlink w:anchor="__RefHeading___Toc2626880_1051229030">
            <w:r>
              <w:rPr>
                <w:webHidden/>
                <w:rStyle w:val="IndexLink"/>
                <w:rtl w:val="true"/>
              </w:rPr>
              <w:t>انواع الگوسازى</w:t>
            </w:r>
            <w:r>
              <w:rPr>
                <w:rStyle w:val="IndexLink"/>
                <w:rtl w:val="true"/>
              </w:rPr>
              <w:tab/>
            </w:r>
            <w:r>
              <w:rPr>
                <w:rStyle w:val="IndexLink"/>
              </w:rPr>
              <w:t>53</w:t>
            </w:r>
          </w:hyperlink>
        </w:p>
        <w:p>
          <w:pPr>
            <w:pStyle w:val="Contents5"/>
            <w:tabs>
              <w:tab w:val="clear" w:pos="7892"/>
              <w:tab w:val="right" w:pos="9026" w:leader="dot"/>
            </w:tabs>
            <w:rPr/>
          </w:pPr>
          <w:hyperlink w:anchor="__RefHeading___Toc2626882_1051229030">
            <w:r>
              <w:rPr>
                <w:webHidden/>
                <w:rStyle w:val="IndexLink"/>
                <w:rtl w:val="true"/>
              </w:rPr>
              <w:t>فروع راهبردى</w:t>
            </w:r>
            <w:r>
              <w:rPr>
                <w:rStyle w:val="IndexLink"/>
                <w:rtl w:val="true"/>
              </w:rPr>
              <w:tab/>
            </w:r>
            <w:r>
              <w:rPr>
                <w:rStyle w:val="IndexLink"/>
              </w:rPr>
              <w:t>56</w:t>
            </w:r>
          </w:hyperlink>
        </w:p>
        <w:p>
          <w:pPr>
            <w:pStyle w:val="Contents5"/>
            <w:tabs>
              <w:tab w:val="clear" w:pos="7892"/>
              <w:tab w:val="right" w:pos="9026" w:leader="dot"/>
            </w:tabs>
            <w:rPr/>
          </w:pPr>
          <w:hyperlink w:anchor="__RefHeading___Toc2626884_1051229030">
            <w:r>
              <w:rPr>
                <w:webHidden/>
                <w:rStyle w:val="IndexLink"/>
                <w:rtl w:val="true"/>
              </w:rPr>
              <w:t>پيام</w:t>
            </w:r>
            <w:r>
              <w:rPr>
                <w:rStyle w:val="IndexLink"/>
                <w:rtl w:val="true"/>
              </w:rPr>
              <w:tab/>
            </w:r>
            <w:r>
              <w:rPr>
                <w:rStyle w:val="IndexLink"/>
              </w:rPr>
              <w:t>57</w:t>
            </w:r>
          </w:hyperlink>
        </w:p>
        <w:p>
          <w:pPr>
            <w:pStyle w:val="Contents2"/>
            <w:tabs>
              <w:tab w:val="clear" w:pos="8743"/>
              <w:tab w:val="right" w:pos="9026" w:leader="dot"/>
            </w:tabs>
            <w:rPr/>
          </w:pPr>
          <w:hyperlink w:anchor="__RefHeading___Toc2626886_1051229030">
            <w:r>
              <w:rPr>
                <w:webHidden/>
                <w:rStyle w:val="IndexLink"/>
                <w:rtl w:val="true"/>
              </w:rPr>
              <w:t>اديان و مذاهب</w:t>
            </w:r>
            <w:r>
              <w:rPr>
                <w:rStyle w:val="IndexLink"/>
                <w:rtl w:val="true"/>
              </w:rPr>
              <w:tab/>
            </w:r>
            <w:r>
              <w:rPr>
                <w:rStyle w:val="IndexLink"/>
              </w:rPr>
              <w:t>58</w:t>
            </w:r>
          </w:hyperlink>
        </w:p>
        <w:p>
          <w:pPr>
            <w:pStyle w:val="Contents3"/>
            <w:tabs>
              <w:tab w:val="clear" w:pos="8459"/>
              <w:tab w:val="right" w:pos="9026" w:leader="dot"/>
            </w:tabs>
            <w:rPr/>
          </w:pPr>
          <w:hyperlink w:anchor="__RefHeading___Toc2626888_1051229030">
            <w:r>
              <w:rPr>
                <w:webHidden/>
                <w:rStyle w:val="IndexLink"/>
                <w:rtl w:val="true"/>
              </w:rPr>
              <w:t>هندوئيسم</w:t>
            </w:r>
            <w:r>
              <w:rPr>
                <w:rStyle w:val="IndexLink"/>
                <w:rtl w:val="true"/>
              </w:rPr>
              <w:tab/>
            </w:r>
            <w:r>
              <w:rPr>
                <w:rStyle w:val="IndexLink"/>
              </w:rPr>
              <w:t>58</w:t>
            </w:r>
          </w:hyperlink>
        </w:p>
        <w:p>
          <w:pPr>
            <w:pStyle w:val="Contents4"/>
            <w:tabs>
              <w:tab w:val="clear" w:pos="8176"/>
              <w:tab w:val="right" w:pos="9026" w:leader="dot"/>
            </w:tabs>
            <w:rPr/>
          </w:pPr>
          <w:hyperlink w:anchor="__RefHeading___Toc2626890_105122903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626892_1051229030">
            <w:r>
              <w:rPr>
                <w:webHidden/>
                <w:rStyle w:val="IndexLink"/>
                <w:rtl w:val="true"/>
              </w:rPr>
              <w:t>چه نقدهاى كلى بر دين هندوئيسم وارد است؟رسول رضوى</w:t>
            </w:r>
            <w:r>
              <w:rPr>
                <w:rStyle w:val="IndexLink"/>
                <w:rtl w:val="true"/>
              </w:rPr>
              <w:tab/>
            </w:r>
            <w:r>
              <w:rPr>
                <w:rStyle w:val="IndexLink"/>
              </w:rPr>
              <w:t>61</w:t>
            </w:r>
          </w:hyperlink>
        </w:p>
        <w:p>
          <w:pPr>
            <w:pStyle w:val="Contents5"/>
            <w:tabs>
              <w:tab w:val="clear" w:pos="7892"/>
              <w:tab w:val="right" w:pos="9026" w:leader="dot"/>
            </w:tabs>
            <w:rPr/>
          </w:pPr>
          <w:hyperlink w:anchor="__RefHeading___Toc2626894_105122903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2626896_1051229030">
            <w:r>
              <w:rPr>
                <w:webHidden/>
                <w:rStyle w:val="IndexLink"/>
              </w:rPr>
              <w:t>1</w:t>
            </w:r>
            <w:r>
              <w:rPr>
                <w:rStyle w:val="IndexLink"/>
                <w:rtl w:val="true"/>
              </w:rPr>
              <w:t xml:space="preserve">. </w:t>
            </w:r>
            <w:r>
              <w:rPr>
                <w:rStyle w:val="IndexLink"/>
                <w:rtl w:val="true"/>
              </w:rPr>
              <w:t>عقيده به تعدد خدايان و ناتوانى از تبيين مبدأ عالم و انسان</w:t>
            </w:r>
            <w:r>
              <w:rPr>
                <w:rStyle w:val="IndexLink"/>
                <w:rtl w:val="true"/>
              </w:rPr>
              <w:t>.</w:t>
              <w:tab/>
            </w:r>
            <w:r>
              <w:rPr>
                <w:rStyle w:val="IndexLink"/>
              </w:rPr>
              <w:t>61</w:t>
            </w:r>
          </w:hyperlink>
        </w:p>
        <w:p>
          <w:pPr>
            <w:pStyle w:val="Contents5"/>
            <w:tabs>
              <w:tab w:val="clear" w:pos="7892"/>
              <w:tab w:val="right" w:pos="9026" w:leader="dot"/>
            </w:tabs>
            <w:rPr/>
          </w:pPr>
          <w:hyperlink w:anchor="__RefHeading___Toc2626898_1051229030">
            <w:r>
              <w:rPr>
                <w:webHidden/>
                <w:rStyle w:val="IndexLink"/>
              </w:rPr>
              <w:t>2</w:t>
            </w:r>
            <w:r>
              <w:rPr>
                <w:rStyle w:val="IndexLink"/>
                <w:rtl w:val="true"/>
              </w:rPr>
              <w:t xml:space="preserve">. </w:t>
            </w:r>
            <w:r>
              <w:rPr>
                <w:rStyle w:val="IndexLink"/>
                <w:rtl w:val="true"/>
              </w:rPr>
              <w:t>خرافاتى بودن و ناتوانى از ارائه ى برنامه ى زندگى</w:t>
            </w:r>
            <w:r>
              <w:rPr>
                <w:rStyle w:val="IndexLink"/>
                <w:rtl w:val="true"/>
              </w:rPr>
              <w:tab/>
            </w:r>
            <w:r>
              <w:rPr>
                <w:rStyle w:val="IndexLink"/>
              </w:rPr>
              <w:t>63</w:t>
            </w:r>
          </w:hyperlink>
        </w:p>
        <w:p>
          <w:pPr>
            <w:pStyle w:val="Contents5"/>
            <w:tabs>
              <w:tab w:val="clear" w:pos="7892"/>
              <w:tab w:val="right" w:pos="9026" w:leader="dot"/>
            </w:tabs>
            <w:rPr/>
          </w:pPr>
          <w:hyperlink w:anchor="__RefHeading___Toc2626900_1051229030">
            <w:r>
              <w:rPr>
                <w:webHidden/>
                <w:rStyle w:val="IndexLink"/>
              </w:rPr>
              <w:t>3</w:t>
            </w:r>
            <w:r>
              <w:rPr>
                <w:rStyle w:val="IndexLink"/>
                <w:rtl w:val="true"/>
              </w:rPr>
              <w:t xml:space="preserve">. </w:t>
            </w:r>
            <w:r>
              <w:rPr>
                <w:rStyle w:val="IndexLink"/>
                <w:rtl w:val="true"/>
              </w:rPr>
              <w:t>نژادپرستى و نظام طبقاتى</w:t>
            </w:r>
            <w:r>
              <w:rPr>
                <w:rStyle w:val="IndexLink"/>
                <w:rtl w:val="true"/>
              </w:rPr>
              <w:tab/>
            </w:r>
            <w:r>
              <w:rPr>
                <w:rStyle w:val="IndexLink"/>
              </w:rPr>
              <w:t>64</w:t>
            </w:r>
          </w:hyperlink>
        </w:p>
        <w:p>
          <w:pPr>
            <w:pStyle w:val="Contents5"/>
            <w:tabs>
              <w:tab w:val="clear" w:pos="7892"/>
              <w:tab w:val="right" w:pos="9026" w:leader="dot"/>
            </w:tabs>
            <w:rPr/>
          </w:pPr>
          <w:hyperlink w:anchor="__RefHeading___Toc2626902_1051229030">
            <w:r>
              <w:rPr>
                <w:webHidden/>
                <w:rStyle w:val="IndexLink"/>
              </w:rPr>
              <w:t>4</w:t>
            </w:r>
            <w:r>
              <w:rPr>
                <w:rStyle w:val="IndexLink"/>
                <w:rtl w:val="true"/>
              </w:rPr>
              <w:t xml:space="preserve">. </w:t>
            </w:r>
            <w:r>
              <w:rPr>
                <w:rStyle w:val="IndexLink"/>
                <w:rtl w:val="true"/>
              </w:rPr>
              <w:t>نظريه ى تناسخ و ناتوانى از تبيين سرانجام انسان</w:t>
            </w:r>
            <w:r>
              <w:rPr>
                <w:rStyle w:val="IndexLink"/>
                <w:rtl w:val="true"/>
              </w:rPr>
              <w:tab/>
            </w:r>
            <w:r>
              <w:rPr>
                <w:rStyle w:val="IndexLink"/>
              </w:rPr>
              <w:t>65</w:t>
            </w:r>
          </w:hyperlink>
        </w:p>
        <w:p>
          <w:pPr>
            <w:pStyle w:val="Contents4"/>
            <w:tabs>
              <w:tab w:val="clear" w:pos="8176"/>
              <w:tab w:val="right" w:pos="9026" w:leader="dot"/>
            </w:tabs>
            <w:rPr/>
          </w:pPr>
          <w:hyperlink w:anchor="__RefHeading___Toc2626904_1051229030">
            <w:r>
              <w:rPr>
                <w:webHidden/>
                <w:rStyle w:val="IndexLink"/>
                <w:rtl w:val="true"/>
              </w:rPr>
              <w:t>آيا آيين هندو مى تواند برنامه اى براى زندگى انسان ارائه دهد؟اسماعيل روشن تن</w:t>
            </w:r>
            <w:r>
              <w:rPr>
                <w:rStyle w:val="IndexLink"/>
                <w:rtl w:val="true"/>
              </w:rPr>
              <w:tab/>
            </w:r>
            <w:r>
              <w:rPr>
                <w:rStyle w:val="IndexLink"/>
              </w:rPr>
              <w:t>66</w:t>
            </w:r>
          </w:hyperlink>
        </w:p>
        <w:p>
          <w:pPr>
            <w:pStyle w:val="Contents2"/>
            <w:tabs>
              <w:tab w:val="clear" w:pos="8743"/>
              <w:tab w:val="right" w:pos="9026" w:leader="dot"/>
            </w:tabs>
            <w:rPr/>
          </w:pPr>
          <w:hyperlink w:anchor="__RefHeading___Toc2626906_1051229030">
            <w:r>
              <w:rPr>
                <w:webHidden/>
                <w:rStyle w:val="IndexLink"/>
                <w:rtl w:val="true"/>
              </w:rPr>
              <w:t>امامت و مهدويت</w:t>
            </w:r>
            <w:r>
              <w:rPr>
                <w:rStyle w:val="IndexLink"/>
                <w:rtl w:val="true"/>
              </w:rPr>
              <w:tab/>
            </w:r>
            <w:r>
              <w:rPr>
                <w:rStyle w:val="IndexLink"/>
              </w:rPr>
              <w:t>70</w:t>
            </w:r>
          </w:hyperlink>
        </w:p>
        <w:p>
          <w:pPr>
            <w:pStyle w:val="Contents3"/>
            <w:tabs>
              <w:tab w:val="clear" w:pos="8459"/>
              <w:tab w:val="right" w:pos="9026" w:leader="dot"/>
            </w:tabs>
            <w:rPr/>
          </w:pPr>
          <w:hyperlink w:anchor="__RefHeading___Toc2626908_1051229030">
            <w:r>
              <w:rPr>
                <w:webHidden/>
                <w:rStyle w:val="IndexLink"/>
                <w:rtl w:val="true"/>
              </w:rPr>
              <w:t>ظهور حضرت مهدى</w:t>
            </w:r>
            <w:r>
              <w:rPr>
                <w:rStyle w:val="IndexLink"/>
                <w:rtl w:val="true"/>
              </w:rPr>
              <w:t>(</w:t>
            </w:r>
            <w:r>
              <w:rPr>
                <w:rStyle w:val="IndexLink"/>
                <w:rtl w:val="true"/>
              </w:rPr>
              <w:t>عج</w:t>
            </w:r>
            <w:r>
              <w:rPr>
                <w:rStyle w:val="IndexLink"/>
                <w:rtl w:val="true"/>
              </w:rPr>
              <w:t>)</w:t>
              <w:tab/>
            </w:r>
            <w:r>
              <w:rPr>
                <w:rStyle w:val="IndexLink"/>
              </w:rPr>
              <w:t>70</w:t>
            </w:r>
          </w:hyperlink>
        </w:p>
        <w:p>
          <w:pPr>
            <w:pStyle w:val="Contents4"/>
            <w:tabs>
              <w:tab w:val="clear" w:pos="8176"/>
              <w:tab w:val="right" w:pos="9026" w:leader="dot"/>
            </w:tabs>
            <w:rPr/>
          </w:pPr>
          <w:hyperlink w:anchor="__RefHeading___Toc2626910_105122903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626912_1051229030">
            <w:r>
              <w:rPr>
                <w:webHidden/>
                <w:rStyle w:val="IndexLink"/>
                <w:rtl w:val="true"/>
              </w:rPr>
              <w:t>برخى قايل اند كه فساد و ظلم، سبب نزديك تر شدن ظهور مى شود</w:t>
            </w:r>
            <w:r>
              <w:rPr>
                <w:rStyle w:val="IndexLink"/>
                <w:rtl w:val="true"/>
              </w:rPr>
              <w:t xml:space="preserve">; </w:t>
            </w:r>
            <w:r>
              <w:rPr>
                <w:rStyle w:val="IndexLink"/>
                <w:rtl w:val="true"/>
              </w:rPr>
              <w:t>آيا اين سخن درست است كه قبل از ظهور نبايد هيچ گونه حركت اصلاحى انجام داد و يا دست به قيام زد، تا ظلم و فساد همه جا را فراگيرد و ظهور حضرت مهدى</w:t>
            </w:r>
            <w:r>
              <w:rPr>
                <w:rStyle w:val="IndexLink"/>
                <w:rtl w:val="true"/>
              </w:rPr>
              <w:t>(</w:t>
            </w:r>
            <w:r>
              <w:rPr>
                <w:rStyle w:val="IndexLink"/>
                <w:rtl w:val="true"/>
              </w:rPr>
              <w:t>عليه السلام</w:t>
            </w:r>
            <w:r>
              <w:rPr>
                <w:rStyle w:val="IndexLink"/>
                <w:rtl w:val="true"/>
              </w:rPr>
              <w:t xml:space="preserve">) </w:t>
            </w:r>
            <w:r>
              <w:rPr>
                <w:rStyle w:val="IndexLink"/>
                <w:rtl w:val="true"/>
              </w:rPr>
              <w:t>نزديك تر گردد؟بهروز محمدی منفرد</w:t>
            </w:r>
            <w:r>
              <w:rPr>
                <w:rStyle w:val="IndexLink"/>
                <w:rtl w:val="true"/>
              </w:rPr>
              <w:tab/>
            </w:r>
            <w:r>
              <w:rPr>
                <w:rStyle w:val="IndexLink"/>
              </w:rPr>
              <w:t>73</w:t>
            </w:r>
          </w:hyperlink>
        </w:p>
        <w:p>
          <w:pPr>
            <w:pStyle w:val="Contents5"/>
            <w:tabs>
              <w:tab w:val="clear" w:pos="7892"/>
              <w:tab w:val="right" w:pos="9026" w:leader="dot"/>
            </w:tabs>
            <w:rPr/>
          </w:pPr>
          <w:hyperlink w:anchor="__RefHeading___Toc2626914_105122903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626916_1051229030">
            <w:r>
              <w:rPr>
                <w:webHidden/>
                <w:rStyle w:val="IndexLink"/>
                <w:rtl w:val="true"/>
              </w:rPr>
              <w:t>الف</w:t>
            </w:r>
            <w:r>
              <w:rPr>
                <w:rStyle w:val="IndexLink"/>
                <w:rtl w:val="true"/>
              </w:rPr>
              <w:t xml:space="preserve">) </w:t>
            </w:r>
            <w:r>
              <w:rPr>
                <w:rStyle w:val="IndexLink"/>
                <w:rtl w:val="true"/>
              </w:rPr>
              <w:t>شرايط و زمينه هاى ايجاد هر پديده اى با علايم و نشانه هاى آن تفاوت دارد</w:t>
            </w:r>
            <w:r>
              <w:rPr>
                <w:rStyle w:val="IndexLink"/>
                <w:rtl w:val="true"/>
              </w:rPr>
              <w:t>.</w:t>
              <w:tab/>
            </w:r>
            <w:r>
              <w:rPr>
                <w:rStyle w:val="IndexLink"/>
              </w:rPr>
              <w:t>75</w:t>
            </w:r>
          </w:hyperlink>
        </w:p>
        <w:p>
          <w:pPr>
            <w:pStyle w:val="Contents5"/>
            <w:tabs>
              <w:tab w:val="clear" w:pos="7892"/>
              <w:tab w:val="right" w:pos="9026" w:leader="dot"/>
            </w:tabs>
            <w:rPr/>
          </w:pPr>
          <w:hyperlink w:anchor="__RefHeading___Toc2626918_1051229030">
            <w:r>
              <w:rPr>
                <w:webHidden/>
                <w:rStyle w:val="IndexLink"/>
                <w:rtl w:val="true"/>
              </w:rPr>
              <w:t>ب</w:t>
            </w:r>
            <w:r>
              <w:rPr>
                <w:rStyle w:val="IndexLink"/>
                <w:rtl w:val="true"/>
              </w:rPr>
              <w:t xml:space="preserve">) </w:t>
            </w:r>
            <w:r>
              <w:rPr>
                <w:rStyle w:val="IndexLink"/>
                <w:rtl w:val="true"/>
              </w:rPr>
              <w:t>اين گونه روايات حاكى از كثرت ظلم و فساد هستند، نه كثرت و فراوانى ظالمان و فاسدان</w:t>
            </w:r>
            <w:r>
              <w:rPr>
                <w:rStyle w:val="IndexLink"/>
                <w:rtl w:val="true"/>
              </w:rPr>
              <w:t>;</w:t>
              <w:tab/>
            </w:r>
            <w:r>
              <w:rPr>
                <w:rStyle w:val="IndexLink"/>
              </w:rPr>
              <w:t>76</w:t>
            </w:r>
          </w:hyperlink>
        </w:p>
        <w:p>
          <w:pPr>
            <w:pStyle w:val="Contents5"/>
            <w:tabs>
              <w:tab w:val="clear" w:pos="7892"/>
              <w:tab w:val="right" w:pos="9026" w:leader="dot"/>
            </w:tabs>
            <w:rPr/>
          </w:pPr>
          <w:hyperlink w:anchor="__RefHeading___Toc2626920_1051229030">
            <w:r>
              <w:rPr>
                <w:webHidden/>
                <w:rStyle w:val="IndexLink"/>
                <w:rtl w:val="true"/>
              </w:rPr>
              <w:t>ج</w:t>
            </w:r>
            <w:r>
              <w:rPr>
                <w:rStyle w:val="IndexLink"/>
                <w:rtl w:val="true"/>
              </w:rPr>
              <w:t xml:space="preserve">) </w:t>
            </w:r>
            <w:r>
              <w:rPr>
                <w:rStyle w:val="IndexLink"/>
                <w:rtl w:val="true"/>
              </w:rPr>
              <w:t>رواياتى كه تكاليف مؤمنين را در زمان غيبت بيان مى دارند</w:t>
            </w:r>
            <w:r>
              <w:rPr>
                <w:rStyle w:val="IndexLink"/>
                <w:rtl w:val="true"/>
              </w:rPr>
              <w:t>;</w:t>
              <w:tab/>
            </w:r>
            <w:r>
              <w:rPr>
                <w:rStyle w:val="IndexLink"/>
              </w:rPr>
              <w:t>76</w:t>
            </w:r>
          </w:hyperlink>
        </w:p>
        <w:p>
          <w:pPr>
            <w:pStyle w:val="Contents5"/>
            <w:tabs>
              <w:tab w:val="clear" w:pos="7892"/>
              <w:tab w:val="right" w:pos="9026" w:leader="dot"/>
            </w:tabs>
            <w:rPr/>
          </w:pPr>
          <w:hyperlink w:anchor="__RefHeading___Toc2626922_1051229030">
            <w:r>
              <w:rPr>
                <w:webHidden/>
                <w:rStyle w:val="IndexLink"/>
                <w:rtl w:val="true"/>
              </w:rPr>
              <w:t>د</w:t>
            </w:r>
            <w:r>
              <w:rPr>
                <w:rStyle w:val="IndexLink"/>
                <w:rtl w:val="true"/>
              </w:rPr>
              <w:t xml:space="preserve">) </w:t>
            </w:r>
            <w:r>
              <w:rPr>
                <w:rStyle w:val="IndexLink"/>
                <w:rtl w:val="true"/>
              </w:rPr>
              <w:t>مهدى ياوران</w:t>
            </w:r>
            <w:r>
              <w:rPr>
                <w:rStyle w:val="IndexLink"/>
                <w:rtl w:val="true"/>
              </w:rPr>
              <w:t>:</w:t>
              <w:tab/>
            </w:r>
            <w:r>
              <w:rPr>
                <w:rStyle w:val="IndexLink"/>
              </w:rPr>
              <w:t>78</w:t>
            </w:r>
          </w:hyperlink>
        </w:p>
        <w:p>
          <w:pPr>
            <w:pStyle w:val="Contents5"/>
            <w:tabs>
              <w:tab w:val="clear" w:pos="7892"/>
              <w:tab w:val="right" w:pos="9026" w:leader="dot"/>
            </w:tabs>
            <w:rPr/>
          </w:pPr>
          <w:hyperlink w:anchor="__RefHeading___Toc2626924_1051229030">
            <w:r>
              <w:rPr>
                <w:webHidden/>
                <w:rStyle w:val="IndexLink"/>
                <w:rtl w:val="true"/>
              </w:rPr>
              <w:t>و</w:t>
            </w:r>
            <w:r>
              <w:rPr>
                <w:rStyle w:val="IndexLink"/>
                <w:rtl w:val="true"/>
              </w:rPr>
              <w:t xml:space="preserve">) </w:t>
            </w:r>
            <w:r>
              <w:rPr>
                <w:rStyle w:val="IndexLink"/>
                <w:rtl w:val="true"/>
              </w:rPr>
              <w:t>امر به معروف و نهى از منكر</w:t>
            </w:r>
            <w:r>
              <w:rPr>
                <w:rStyle w:val="IndexLink"/>
                <w:rtl w:val="true"/>
              </w:rPr>
              <w:t>.</w:t>
              <w:tab/>
            </w:r>
            <w:r>
              <w:rPr>
                <w:rStyle w:val="IndexLink"/>
              </w:rPr>
              <w:t>80</w:t>
            </w:r>
          </w:hyperlink>
        </w:p>
        <w:p>
          <w:pPr>
            <w:pStyle w:val="Contents5"/>
            <w:tabs>
              <w:tab w:val="clear" w:pos="7892"/>
              <w:tab w:val="right" w:pos="9026" w:leader="dot"/>
            </w:tabs>
            <w:rPr/>
          </w:pPr>
          <w:hyperlink w:anchor="__RefHeading___Toc2626926_1051229030">
            <w:r>
              <w:rPr>
                <w:webHidden/>
                <w:rStyle w:val="IndexLink"/>
                <w:rtl w:val="true"/>
              </w:rPr>
              <w:t>ز</w:t>
            </w:r>
            <w:r>
              <w:rPr>
                <w:rStyle w:val="IndexLink"/>
                <w:rtl w:val="true"/>
              </w:rPr>
              <w:t xml:space="preserve">) </w:t>
            </w:r>
            <w:r>
              <w:rPr>
                <w:rStyle w:val="IndexLink"/>
                <w:rtl w:val="true"/>
              </w:rPr>
              <w:t>غيبت امام به سبب طغيان شر و ظلم و فساد بوده است و اگر چنين نبود، امام</w:t>
            </w:r>
            <w:r>
              <w:rPr>
                <w:rStyle w:val="IndexLink"/>
                <w:rtl w:val="true"/>
              </w:rPr>
              <w:t>(</w:t>
            </w:r>
            <w:r>
              <w:rPr>
                <w:rStyle w:val="IndexLink"/>
                <w:rtl w:val="true"/>
              </w:rPr>
              <w:t>عج</w:t>
            </w:r>
            <w:r>
              <w:rPr>
                <w:rStyle w:val="IndexLink"/>
                <w:rtl w:val="true"/>
              </w:rPr>
              <w:t xml:space="preserve">) </w:t>
            </w:r>
            <w:r>
              <w:rPr>
                <w:rStyle w:val="IndexLink"/>
                <w:rtl w:val="true"/>
              </w:rPr>
              <w:t>غايب نمى شد</w:t>
            </w:r>
            <w:r>
              <w:rPr>
                <w:rStyle w:val="IndexLink"/>
                <w:rtl w:val="true"/>
              </w:rPr>
              <w:t>;</w:t>
              <w:tab/>
            </w:r>
            <w:r>
              <w:rPr>
                <w:rStyle w:val="IndexLink"/>
              </w:rPr>
              <w:t>80</w:t>
            </w:r>
          </w:hyperlink>
        </w:p>
        <w:p>
          <w:pPr>
            <w:pStyle w:val="Contents5"/>
            <w:tabs>
              <w:tab w:val="clear" w:pos="7892"/>
              <w:tab w:val="right" w:pos="9026" w:leader="dot"/>
            </w:tabs>
            <w:rPr/>
          </w:pPr>
          <w:hyperlink w:anchor="__RefHeading___Toc2626928_1051229030">
            <w:r>
              <w:rPr>
                <w:webHidden/>
                <w:rStyle w:val="IndexLink"/>
                <w:rtl w:val="true"/>
              </w:rPr>
              <w:t>ح</w:t>
            </w:r>
            <w:r>
              <w:rPr>
                <w:rStyle w:val="IndexLink"/>
                <w:rtl w:val="true"/>
              </w:rPr>
              <w:t xml:space="preserve">) </w:t>
            </w:r>
            <w:r>
              <w:rPr>
                <w:rStyle w:val="IndexLink"/>
                <w:rtl w:val="true"/>
              </w:rPr>
              <w:t>مفهوم واقعى انتظار</w:t>
            </w:r>
            <w:r>
              <w:rPr>
                <w:rStyle w:val="IndexLink"/>
                <w:rtl w:val="true"/>
              </w:rPr>
              <w:t>;</w:t>
              <w:tab/>
            </w:r>
            <w:r>
              <w:rPr>
                <w:rStyle w:val="IndexLink"/>
              </w:rPr>
              <w:t>80</w:t>
            </w:r>
          </w:hyperlink>
        </w:p>
        <w:p>
          <w:pPr>
            <w:pStyle w:val="Contents2"/>
            <w:tabs>
              <w:tab w:val="clear" w:pos="8743"/>
              <w:tab w:val="right" w:pos="9026" w:leader="dot"/>
            </w:tabs>
            <w:rPr/>
          </w:pPr>
          <w:hyperlink w:anchor="__RefHeading___Toc2626930_1051229030">
            <w:r>
              <w:rPr>
                <w:webHidden/>
                <w:rStyle w:val="IndexLink"/>
                <w:rtl w:val="true"/>
              </w:rPr>
              <w:t>حقوق و سياست</w:t>
            </w:r>
            <w:r>
              <w:rPr>
                <w:rStyle w:val="IndexLink"/>
                <w:rtl w:val="true"/>
              </w:rPr>
              <w:tab/>
            </w:r>
            <w:r>
              <w:rPr>
                <w:rStyle w:val="IndexLink"/>
              </w:rPr>
              <w:t>82</w:t>
            </w:r>
          </w:hyperlink>
        </w:p>
        <w:p>
          <w:pPr>
            <w:pStyle w:val="Contents3"/>
            <w:tabs>
              <w:tab w:val="clear" w:pos="8459"/>
              <w:tab w:val="right" w:pos="9026" w:leader="dot"/>
            </w:tabs>
            <w:rPr/>
          </w:pPr>
          <w:hyperlink w:anchor="__RefHeading___Toc2626932_1051229030">
            <w:r>
              <w:rPr>
                <w:webHidden/>
                <w:rStyle w:val="IndexLink"/>
                <w:rtl w:val="true"/>
              </w:rPr>
              <w:t>حقوق بشر و دموكراسى</w:t>
            </w:r>
            <w:r>
              <w:rPr>
                <w:rStyle w:val="IndexLink"/>
                <w:rtl w:val="true"/>
              </w:rPr>
              <w:tab/>
            </w:r>
            <w:r>
              <w:rPr>
                <w:rStyle w:val="IndexLink"/>
              </w:rPr>
              <w:t>82</w:t>
            </w:r>
          </w:hyperlink>
        </w:p>
        <w:p>
          <w:pPr>
            <w:pStyle w:val="Contents4"/>
            <w:tabs>
              <w:tab w:val="clear" w:pos="8176"/>
              <w:tab w:val="right" w:pos="9026" w:leader="dot"/>
            </w:tabs>
            <w:rPr/>
          </w:pPr>
          <w:hyperlink w:anchor="__RefHeading___Toc2626934_105122903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626936_1051229030">
            <w:r>
              <w:rPr>
                <w:webHidden/>
                <w:rStyle w:val="IndexLink"/>
                <w:rtl w:val="true"/>
              </w:rPr>
              <w:t>آيا اسلام، نظام دموكراسى را قبول دارد؟</w:t>
            </w:r>
            <w:r>
              <w:rPr>
                <w:rStyle w:val="IndexLink"/>
                <w:rtl w:val="true"/>
              </w:rPr>
              <w:tab/>
            </w:r>
            <w:r>
              <w:rPr>
                <w:rStyle w:val="IndexLink"/>
              </w:rPr>
              <w:t>85</w:t>
            </w:r>
          </w:hyperlink>
        </w:p>
        <w:p>
          <w:pPr>
            <w:pStyle w:val="Contents4"/>
            <w:tabs>
              <w:tab w:val="clear" w:pos="8176"/>
              <w:tab w:val="right" w:pos="9026" w:leader="dot"/>
            </w:tabs>
            <w:rPr/>
          </w:pPr>
          <w:hyperlink w:anchor="__RefHeading___Toc2626938_1051229030">
            <w:r>
              <w:rPr>
                <w:webHidden/>
                <w:rStyle w:val="IndexLink"/>
                <w:rtl w:val="true"/>
              </w:rPr>
              <w:t>مبناى حقوق بشر غربى چيست و چرا با اسلام سازگارى ندارد؟</w:t>
            </w:r>
            <w:r>
              <w:rPr>
                <w:rStyle w:val="IndexLink"/>
                <w:rtl w:val="true"/>
              </w:rPr>
              <w:tab/>
            </w:r>
            <w:r>
              <w:rPr>
                <w:rStyle w:val="IndexLink"/>
              </w:rPr>
              <w:t>91</w:t>
            </w:r>
          </w:hyperlink>
        </w:p>
        <w:p>
          <w:pPr>
            <w:pStyle w:val="Contents4"/>
            <w:tabs>
              <w:tab w:val="clear" w:pos="8176"/>
              <w:tab w:val="right" w:pos="9026" w:leader="dot"/>
            </w:tabs>
            <w:rPr/>
          </w:pPr>
          <w:hyperlink w:anchor="__RefHeading___Toc2626940_1051229030">
            <w:r>
              <w:rPr>
                <w:webHidden/>
                <w:rStyle w:val="IndexLink"/>
                <w:rtl w:val="true"/>
              </w:rPr>
              <w:t>با توجه به اين كه مفاهيم حقوق بشر مربوط به عصر حاضر است، آيا مى توان آنها را از كتاب و سنت كه مربوط به عصر سابق اند، اصطياد نمود؟ مرتضى رضائيان</w:t>
            </w:r>
            <w:r>
              <w:rPr>
                <w:rStyle w:val="IndexLink"/>
                <w:rtl w:val="true"/>
              </w:rPr>
              <w:tab/>
            </w:r>
            <w:r>
              <w:rPr>
                <w:rStyle w:val="IndexLink"/>
              </w:rPr>
              <w:t>98</w:t>
            </w:r>
          </w:hyperlink>
        </w:p>
        <w:p>
          <w:pPr>
            <w:pStyle w:val="Contents2"/>
            <w:tabs>
              <w:tab w:val="clear" w:pos="8743"/>
              <w:tab w:val="right" w:pos="9026" w:leader="dot"/>
            </w:tabs>
            <w:rPr/>
          </w:pPr>
          <w:hyperlink w:anchor="__RefHeading___Toc2626942_1051229030">
            <w:r>
              <w:rPr>
                <w:webHidden/>
                <w:rStyle w:val="IndexLink"/>
                <w:rtl w:val="true"/>
              </w:rPr>
              <w:t>تاريخ اسلام</w:t>
            </w:r>
            <w:r>
              <w:rPr>
                <w:rStyle w:val="IndexLink"/>
                <w:rtl w:val="true"/>
              </w:rPr>
              <w:tab/>
            </w:r>
            <w:r>
              <w:rPr>
                <w:rStyle w:val="IndexLink"/>
              </w:rPr>
              <w:t>106</w:t>
            </w:r>
          </w:hyperlink>
        </w:p>
        <w:p>
          <w:pPr>
            <w:pStyle w:val="Contents3"/>
            <w:tabs>
              <w:tab w:val="clear" w:pos="8459"/>
              <w:tab w:val="right" w:pos="9026" w:leader="dot"/>
            </w:tabs>
            <w:rPr/>
          </w:pPr>
          <w:hyperlink w:anchor="__RefHeading___Toc2626944_1051229030">
            <w:r>
              <w:rPr>
                <w:webHidden/>
                <w:rStyle w:val="IndexLink"/>
                <w:rtl w:val="true"/>
              </w:rPr>
              <w:t>گسترش اسلام در ايران</w:t>
            </w:r>
            <w:r>
              <w:rPr>
                <w:rStyle w:val="IndexLink"/>
                <w:rtl w:val="true"/>
              </w:rPr>
              <w:tab/>
            </w:r>
            <w:r>
              <w:rPr>
                <w:rStyle w:val="IndexLink"/>
              </w:rPr>
              <w:t>106</w:t>
            </w:r>
          </w:hyperlink>
        </w:p>
        <w:p>
          <w:pPr>
            <w:pStyle w:val="Contents4"/>
            <w:tabs>
              <w:tab w:val="clear" w:pos="8176"/>
              <w:tab w:val="right" w:pos="9026" w:leader="dot"/>
            </w:tabs>
            <w:rPr/>
          </w:pPr>
          <w:hyperlink w:anchor="__RefHeading___Toc2626946_105122903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626948_1051229030">
            <w:r>
              <w:rPr>
                <w:webHidden/>
                <w:rStyle w:val="IndexLink"/>
                <w:rtl w:val="true"/>
              </w:rPr>
              <w:t>شرايط فرهنگى، سياسى و اقتصادى ايران در صدر اسلام چگونه بود و آيا حمله ى مسلمانان به ايران ريشه ى سلطه طلبى و استعمارگرى داشته است؟</w:t>
            </w:r>
            <w:r>
              <w:rPr>
                <w:rStyle w:val="IndexLink"/>
                <w:rtl w:val="true"/>
              </w:rPr>
              <w:tab/>
            </w:r>
            <w:r>
              <w:rPr>
                <w:rStyle w:val="IndexLink"/>
              </w:rPr>
              <w:t>109</w:t>
            </w:r>
          </w:hyperlink>
        </w:p>
        <w:p>
          <w:pPr>
            <w:pStyle w:val="Contents5"/>
            <w:tabs>
              <w:tab w:val="clear" w:pos="7892"/>
              <w:tab w:val="right" w:pos="9026" w:leader="dot"/>
            </w:tabs>
            <w:rPr/>
          </w:pPr>
          <w:hyperlink w:anchor="__RefHeading___Toc2626950_1051229030">
            <w:r>
              <w:rPr>
                <w:webHidden/>
                <w:rStyle w:val="IndexLink"/>
                <w:rtl w:val="true"/>
              </w:rPr>
              <w:t>شرايط ايران در آستانه ى طلوع خورشيد اسلام</w:t>
            </w:r>
            <w:r>
              <w:rPr>
                <w:rStyle w:val="IndexLink"/>
                <w:rtl w:val="true"/>
              </w:rPr>
              <w:tab/>
            </w:r>
            <w:r>
              <w:rPr>
                <w:rStyle w:val="IndexLink"/>
              </w:rPr>
              <w:t>109</w:t>
            </w:r>
          </w:hyperlink>
        </w:p>
        <w:p>
          <w:pPr>
            <w:pStyle w:val="Contents6"/>
            <w:tabs>
              <w:tab w:val="clear" w:pos="7609"/>
              <w:tab w:val="right" w:pos="9026" w:leader="dot"/>
            </w:tabs>
            <w:rPr/>
          </w:pPr>
          <w:hyperlink w:anchor="__RefHeading___Toc2626952_1051229030">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2626954_1051229030">
            <w:r>
              <w:rPr>
                <w:webHidden/>
                <w:rStyle w:val="IndexLink"/>
              </w:rPr>
              <w:t>1</w:t>
            </w:r>
            <w:r>
              <w:rPr>
                <w:rStyle w:val="IndexLink"/>
                <w:rtl w:val="true"/>
              </w:rPr>
              <w:t xml:space="preserve">. </w:t>
            </w:r>
            <w:r>
              <w:rPr>
                <w:rStyle w:val="IndexLink"/>
                <w:rtl w:val="true"/>
              </w:rPr>
              <w:t>وضع اقتصادى</w:t>
            </w:r>
            <w:r>
              <w:rPr>
                <w:rStyle w:val="IndexLink"/>
                <w:rtl w:val="true"/>
              </w:rPr>
              <w:tab/>
            </w:r>
            <w:r>
              <w:rPr>
                <w:rStyle w:val="IndexLink"/>
              </w:rPr>
              <w:t>110</w:t>
            </w:r>
          </w:hyperlink>
        </w:p>
        <w:p>
          <w:pPr>
            <w:pStyle w:val="Contents6"/>
            <w:tabs>
              <w:tab w:val="clear" w:pos="7609"/>
              <w:tab w:val="right" w:pos="9026" w:leader="dot"/>
            </w:tabs>
            <w:rPr/>
          </w:pPr>
          <w:hyperlink w:anchor="__RefHeading___Toc2626956_1051229030">
            <w:r>
              <w:rPr>
                <w:webHidden/>
                <w:rStyle w:val="IndexLink"/>
              </w:rPr>
              <w:t>2</w:t>
            </w:r>
            <w:r>
              <w:rPr>
                <w:rStyle w:val="IndexLink"/>
                <w:rtl w:val="true"/>
              </w:rPr>
              <w:t xml:space="preserve">. </w:t>
            </w:r>
            <w:r>
              <w:rPr>
                <w:rStyle w:val="IndexLink"/>
                <w:rtl w:val="true"/>
              </w:rPr>
              <w:t>وضع فرهنگى</w:t>
            </w:r>
            <w:r>
              <w:rPr>
                <w:rStyle w:val="IndexLink"/>
                <w:rtl w:val="true"/>
              </w:rPr>
              <w:tab/>
            </w:r>
            <w:r>
              <w:rPr>
                <w:rStyle w:val="IndexLink"/>
              </w:rPr>
              <w:t>111</w:t>
            </w:r>
          </w:hyperlink>
        </w:p>
        <w:p>
          <w:pPr>
            <w:pStyle w:val="Contents6"/>
            <w:tabs>
              <w:tab w:val="clear" w:pos="7609"/>
              <w:tab w:val="right" w:pos="9026" w:leader="dot"/>
            </w:tabs>
            <w:rPr/>
          </w:pPr>
          <w:hyperlink w:anchor="__RefHeading___Toc2626958_1051229030">
            <w:r>
              <w:rPr>
                <w:webHidden/>
                <w:rStyle w:val="IndexLink"/>
              </w:rPr>
              <w:t>3</w:t>
            </w:r>
            <w:r>
              <w:rPr>
                <w:rStyle w:val="IndexLink"/>
                <w:rtl w:val="true"/>
              </w:rPr>
              <w:t xml:space="preserve">. </w:t>
            </w:r>
            <w:r>
              <w:rPr>
                <w:rStyle w:val="IndexLink"/>
                <w:rtl w:val="true"/>
              </w:rPr>
              <w:t>وضع سياسى</w:t>
            </w:r>
            <w:r>
              <w:rPr>
                <w:rStyle w:val="IndexLink"/>
                <w:rtl w:val="true"/>
              </w:rPr>
              <w:tab/>
            </w:r>
            <w:r>
              <w:rPr>
                <w:rStyle w:val="IndexLink"/>
              </w:rPr>
              <w:t>112</w:t>
            </w:r>
          </w:hyperlink>
        </w:p>
        <w:p>
          <w:pPr>
            <w:pStyle w:val="Contents6"/>
            <w:tabs>
              <w:tab w:val="clear" w:pos="7609"/>
              <w:tab w:val="right" w:pos="9026" w:leader="dot"/>
            </w:tabs>
            <w:rPr/>
          </w:pPr>
          <w:hyperlink w:anchor="__RefHeading___Toc2626960_1051229030">
            <w:r>
              <w:rPr>
                <w:webHidden/>
                <w:rStyle w:val="IndexLink"/>
                <w:rtl w:val="true"/>
              </w:rPr>
              <w:t>علل حمله ى مسلمانان به ايران</w:t>
            </w:r>
            <w:r>
              <w:rPr>
                <w:rStyle w:val="IndexLink"/>
                <w:rtl w:val="true"/>
              </w:rPr>
              <w:tab/>
            </w:r>
            <w:r>
              <w:rPr>
                <w:rStyle w:val="IndexLink"/>
              </w:rPr>
              <w:t>112</w:t>
            </w:r>
          </w:hyperlink>
        </w:p>
        <w:p>
          <w:pPr>
            <w:pStyle w:val="Contents4"/>
            <w:tabs>
              <w:tab w:val="clear" w:pos="8176"/>
              <w:tab w:val="right" w:pos="9026" w:leader="dot"/>
            </w:tabs>
            <w:rPr/>
          </w:pPr>
          <w:hyperlink w:anchor="__RefHeading___Toc2626962_1051229030">
            <w:r>
              <w:rPr>
                <w:webHidden/>
                <w:rStyle w:val="IndexLink"/>
                <w:rtl w:val="true"/>
              </w:rPr>
              <w:t>آيا گسترش اسلام در ايران به زور شمشير بود يا از طريق ابزارهاى فرهنگى؟</w:t>
            </w:r>
            <w:r>
              <w:rPr>
                <w:rStyle w:val="IndexLink"/>
                <w:rtl w:val="true"/>
              </w:rPr>
              <w:tab/>
            </w:r>
            <w:r>
              <w:rPr>
                <w:rStyle w:val="IndexLink"/>
              </w:rPr>
              <w:t>116</w:t>
            </w:r>
          </w:hyperlink>
        </w:p>
        <w:p>
          <w:pPr>
            <w:pStyle w:val="Contents4"/>
            <w:tabs>
              <w:tab w:val="clear" w:pos="8176"/>
              <w:tab w:val="right" w:pos="9026" w:leader="dot"/>
            </w:tabs>
            <w:rPr/>
          </w:pPr>
          <w:hyperlink w:anchor="__RefHeading___Toc2626964_1051229030">
            <w:r>
              <w:rPr>
                <w:webHidden/>
                <w:rStyle w:val="IndexLink"/>
                <w:rtl w:val="true"/>
              </w:rPr>
              <w:t>خاتمه</w:t>
            </w:r>
            <w:r>
              <w:rPr>
                <w:rStyle w:val="IndexLink"/>
                <w:rtl w:val="true"/>
              </w:rPr>
              <w:t>:</w:t>
              <w:tab/>
            </w:r>
            <w:r>
              <w:rPr>
                <w:rStyle w:val="IndexLink"/>
              </w:rPr>
              <w:t>121</w:t>
            </w:r>
          </w:hyperlink>
        </w:p>
        <w:p>
          <w:pPr>
            <w:pStyle w:val="Contents2"/>
            <w:tabs>
              <w:tab w:val="clear" w:pos="8743"/>
              <w:tab w:val="right" w:pos="9026" w:leader="dot"/>
            </w:tabs>
            <w:rPr/>
          </w:pPr>
          <w:hyperlink w:anchor="__RefHeading___Toc2626966_1051229030">
            <w:r>
              <w:rPr>
                <w:webHidden/>
                <w:rStyle w:val="IndexLink"/>
                <w:rtl w:val="true"/>
              </w:rPr>
              <w:t>تاريخ معاصر</w:t>
            </w:r>
            <w:r>
              <w:rPr>
                <w:rStyle w:val="IndexLink"/>
                <w:rtl w:val="true"/>
              </w:rPr>
              <w:tab/>
            </w:r>
            <w:r>
              <w:rPr>
                <w:rStyle w:val="IndexLink"/>
              </w:rPr>
              <w:t>124</w:t>
            </w:r>
          </w:hyperlink>
        </w:p>
        <w:p>
          <w:pPr>
            <w:pStyle w:val="Contents3"/>
            <w:tabs>
              <w:tab w:val="clear" w:pos="8459"/>
              <w:tab w:val="right" w:pos="9026" w:leader="dot"/>
            </w:tabs>
            <w:rPr/>
          </w:pPr>
          <w:hyperlink w:anchor="__RefHeading___Toc2626968_1051229030">
            <w:r>
              <w:rPr>
                <w:webHidden/>
                <w:rStyle w:val="IndexLink"/>
                <w:rtl w:val="true"/>
              </w:rPr>
              <w:t xml:space="preserve">نهضت آزادى </w:t>
            </w:r>
            <w:r>
              <w:rPr>
                <w:rStyle w:val="IndexLink"/>
                <w:rtl w:val="true"/>
              </w:rPr>
              <w:t>(</w:t>
            </w:r>
            <w:r>
              <w:rPr>
                <w:rStyle w:val="IndexLink"/>
                <w:rtl w:val="true"/>
              </w:rPr>
              <w:t>قسمت دوم</w:t>
            </w:r>
            <w:r>
              <w:rPr>
                <w:rStyle w:val="IndexLink"/>
                <w:rtl w:val="true"/>
              </w:rPr>
              <w:t>)</w:t>
              <w:tab/>
            </w:r>
            <w:r>
              <w:rPr>
                <w:rStyle w:val="IndexLink"/>
              </w:rPr>
              <w:t>124</w:t>
            </w:r>
          </w:hyperlink>
        </w:p>
        <w:p>
          <w:pPr>
            <w:pStyle w:val="Contents4"/>
            <w:tabs>
              <w:tab w:val="clear" w:pos="8176"/>
              <w:tab w:val="right" w:pos="9026" w:leader="dot"/>
            </w:tabs>
            <w:rPr/>
          </w:pPr>
          <w:hyperlink w:anchor="__RefHeading___Toc2626970_105122903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626972_1051229030">
            <w:r>
              <w:rPr>
                <w:webHidden/>
                <w:rStyle w:val="IndexLink"/>
                <w:rtl w:val="true"/>
              </w:rPr>
              <w:t>ارتباط نهضت آزادى با كشورهاى خارجى به چه نحو بوده است؟حسن صادقى پناه</w:t>
            </w:r>
            <w:r>
              <w:rPr>
                <w:rStyle w:val="IndexLink"/>
                <w:rtl w:val="true"/>
              </w:rPr>
              <w:tab/>
            </w:r>
            <w:r>
              <w:rPr>
                <w:rStyle w:val="IndexLink"/>
              </w:rPr>
              <w:t>127</w:t>
            </w:r>
          </w:hyperlink>
        </w:p>
        <w:p>
          <w:pPr>
            <w:pStyle w:val="Contents5"/>
            <w:tabs>
              <w:tab w:val="clear" w:pos="7892"/>
              <w:tab w:val="right" w:pos="9026" w:leader="dot"/>
            </w:tabs>
            <w:rPr/>
          </w:pPr>
          <w:hyperlink w:anchor="__RefHeading___Toc2626974_105122903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2626976_1051229030">
            <w:r>
              <w:rPr>
                <w:webHidden/>
                <w:rStyle w:val="IndexLink"/>
                <w:rtl w:val="true"/>
              </w:rPr>
              <w:t>ريشه هاى غربزدگى نهضت آزادى</w:t>
            </w:r>
            <w:r>
              <w:rPr>
                <w:rStyle w:val="IndexLink"/>
                <w:rtl w:val="true"/>
              </w:rPr>
              <w:tab/>
            </w:r>
            <w:r>
              <w:rPr>
                <w:rStyle w:val="IndexLink"/>
              </w:rPr>
              <w:t>127</w:t>
            </w:r>
          </w:hyperlink>
        </w:p>
        <w:p>
          <w:pPr>
            <w:pStyle w:val="Contents5"/>
            <w:tabs>
              <w:tab w:val="clear" w:pos="7892"/>
              <w:tab w:val="right" w:pos="9026" w:leader="dot"/>
            </w:tabs>
            <w:rPr/>
          </w:pPr>
          <w:hyperlink w:anchor="__RefHeading___Toc2626978_1051229030">
            <w:r>
              <w:rPr>
                <w:webHidden/>
                <w:rStyle w:val="IndexLink"/>
                <w:rtl w:val="true"/>
              </w:rPr>
              <w:t>روابط نهضت آزادى و آمريكايى ها</w:t>
            </w:r>
            <w:r>
              <w:rPr>
                <w:rStyle w:val="IndexLink"/>
                <w:rtl w:val="true"/>
              </w:rPr>
              <w:tab/>
            </w:r>
            <w:r>
              <w:rPr>
                <w:rStyle w:val="IndexLink"/>
              </w:rPr>
              <w:t>128</w:t>
            </w:r>
          </w:hyperlink>
        </w:p>
        <w:p>
          <w:pPr>
            <w:pStyle w:val="Contents5"/>
            <w:tabs>
              <w:tab w:val="clear" w:pos="7892"/>
              <w:tab w:val="right" w:pos="9026" w:leader="dot"/>
            </w:tabs>
            <w:rPr/>
          </w:pPr>
          <w:hyperlink w:anchor="__RefHeading___Toc2626980_1051229030">
            <w:r>
              <w:rPr>
                <w:webHidden/>
                <w:rStyle w:val="IndexLink"/>
                <w:rtl w:val="true"/>
              </w:rPr>
              <w:t xml:space="preserve">انقلاب و تز </w:t>
            </w:r>
            <w:r>
              <w:rPr>
                <w:rStyle w:val="IndexLink"/>
                <w:rtl w:val="true"/>
              </w:rPr>
              <w:t>«</w:t>
            </w:r>
            <w:r>
              <w:rPr>
                <w:rStyle w:val="IndexLink"/>
                <w:rtl w:val="true"/>
              </w:rPr>
              <w:t>سلطنت</w:t>
            </w:r>
            <w:r>
              <w:rPr>
                <w:rStyle w:val="IndexLink"/>
                <w:rtl w:val="true"/>
              </w:rPr>
              <w:t xml:space="preserve">» </w:t>
            </w:r>
            <w:r>
              <w:rPr>
                <w:rStyle w:val="IndexLink"/>
                <w:rtl w:val="true"/>
              </w:rPr>
              <w:t>نه حكومت</w:t>
            </w:r>
            <w:r>
              <w:rPr>
                <w:rStyle w:val="IndexLink"/>
                <w:rtl w:val="true"/>
              </w:rPr>
              <w:tab/>
            </w:r>
            <w:r>
              <w:rPr>
                <w:rStyle w:val="IndexLink"/>
              </w:rPr>
              <w:t>128</w:t>
            </w:r>
          </w:hyperlink>
        </w:p>
        <w:p>
          <w:pPr>
            <w:pStyle w:val="Contents5"/>
            <w:tabs>
              <w:tab w:val="clear" w:pos="7892"/>
              <w:tab w:val="right" w:pos="9026" w:leader="dot"/>
            </w:tabs>
            <w:rPr/>
          </w:pPr>
          <w:hyperlink w:anchor="__RefHeading___Toc2626982_1051229030">
            <w:r>
              <w:rPr>
                <w:webHidden/>
                <w:rStyle w:val="IndexLink"/>
                <w:rtl w:val="true"/>
              </w:rPr>
              <w:t>موازنه ى منفى و اتكا به امپرياليسم</w:t>
            </w:r>
            <w:r>
              <w:rPr>
                <w:rStyle w:val="IndexLink"/>
                <w:rtl w:val="true"/>
              </w:rPr>
              <w:tab/>
            </w:r>
            <w:r>
              <w:rPr>
                <w:rStyle w:val="IndexLink"/>
              </w:rPr>
              <w:t>131</w:t>
            </w:r>
          </w:hyperlink>
        </w:p>
        <w:p>
          <w:pPr>
            <w:pStyle w:val="Contents4"/>
            <w:tabs>
              <w:tab w:val="clear" w:pos="8176"/>
              <w:tab w:val="right" w:pos="9026" w:leader="dot"/>
            </w:tabs>
            <w:rPr/>
          </w:pPr>
          <w:hyperlink w:anchor="__RefHeading___Toc2626984_1051229030">
            <w:r>
              <w:rPr>
                <w:webHidden/>
                <w:rStyle w:val="IndexLink"/>
                <w:rtl w:val="true"/>
              </w:rPr>
              <w:t>نهضت آزادى از آغاز تأسيس تاكنون چه انشعاباتى داشته است؟امير على حسنلو</w:t>
            </w:r>
            <w:r>
              <w:rPr>
                <w:rStyle w:val="IndexLink"/>
                <w:rtl w:val="true"/>
              </w:rPr>
              <w:tab/>
            </w:r>
            <w:r>
              <w:rPr>
                <w:rStyle w:val="IndexLink"/>
              </w:rPr>
              <w:t>132</w:t>
            </w:r>
          </w:hyperlink>
        </w:p>
        <w:p>
          <w:pPr>
            <w:pStyle w:val="Contents2"/>
            <w:tabs>
              <w:tab w:val="clear" w:pos="8743"/>
              <w:tab w:val="right" w:pos="9026" w:leader="dot"/>
            </w:tabs>
            <w:rPr/>
          </w:pPr>
          <w:hyperlink w:anchor="__RefHeading___Toc2626986_1051229030">
            <w:r>
              <w:rPr>
                <w:webHidden/>
                <w:rStyle w:val="IndexLink"/>
                <w:rtl w:val="true"/>
              </w:rPr>
              <w:t>دين پژوهى</w:t>
            </w:r>
            <w:r>
              <w:rPr>
                <w:rStyle w:val="IndexLink"/>
                <w:rtl w:val="true"/>
              </w:rPr>
              <w:tab/>
            </w:r>
            <w:r>
              <w:rPr>
                <w:rStyle w:val="IndexLink"/>
              </w:rPr>
              <w:t>138</w:t>
            </w:r>
          </w:hyperlink>
        </w:p>
        <w:p>
          <w:pPr>
            <w:pStyle w:val="Contents3"/>
            <w:tabs>
              <w:tab w:val="clear" w:pos="8459"/>
              <w:tab w:val="right" w:pos="9026" w:leader="dot"/>
            </w:tabs>
            <w:rPr/>
          </w:pPr>
          <w:hyperlink w:anchor="__RefHeading___Toc2626988_1051229030">
            <w:r>
              <w:rPr>
                <w:webHidden/>
                <w:rStyle w:val="IndexLink"/>
                <w:rtl w:val="true"/>
              </w:rPr>
              <w:t>تجربه ى دينى</w:t>
            </w:r>
            <w:r>
              <w:rPr>
                <w:rStyle w:val="IndexLink"/>
                <w:rtl w:val="true"/>
              </w:rPr>
              <w:tab/>
            </w:r>
            <w:r>
              <w:rPr>
                <w:rStyle w:val="IndexLink"/>
              </w:rPr>
              <w:t>138</w:t>
            </w:r>
          </w:hyperlink>
        </w:p>
        <w:p>
          <w:pPr>
            <w:pStyle w:val="Contents4"/>
            <w:tabs>
              <w:tab w:val="clear" w:pos="8176"/>
              <w:tab w:val="right" w:pos="9026" w:leader="dot"/>
            </w:tabs>
            <w:rPr/>
          </w:pPr>
          <w:hyperlink w:anchor="__RefHeading___Toc2626990_105122903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626992_1051229030">
            <w:r>
              <w:rPr>
                <w:webHidden/>
                <w:rStyle w:val="IndexLink"/>
                <w:rtl w:val="true"/>
              </w:rPr>
              <w:t>تجربه دينى چيست؟ مهم ترين ديدگاه ها درباره ى حقيقت و چيستى آن را بررسى نماييد؟سيد مهدى صالحى اميرى</w:t>
            </w:r>
            <w:r>
              <w:rPr>
                <w:rStyle w:val="IndexLink"/>
                <w:rtl w:val="true"/>
              </w:rPr>
              <w:tab/>
            </w:r>
            <w:r>
              <w:rPr>
                <w:rStyle w:val="IndexLink"/>
              </w:rPr>
              <w:t>141</w:t>
            </w:r>
          </w:hyperlink>
        </w:p>
        <w:p>
          <w:pPr>
            <w:pStyle w:val="Contents5"/>
            <w:tabs>
              <w:tab w:val="clear" w:pos="7892"/>
              <w:tab w:val="right" w:pos="9026" w:leader="dot"/>
            </w:tabs>
            <w:rPr/>
          </w:pPr>
          <w:hyperlink w:anchor="__RefHeading___Toc2626994_1051229030">
            <w:r>
              <w:rPr>
                <w:webHidden/>
                <w:rStyle w:val="IndexLink"/>
                <w:rtl w:val="true"/>
              </w:rPr>
              <w:t>مفهوم تجربه ى دينى</w:t>
            </w:r>
            <w:r>
              <w:rPr>
                <w:rStyle w:val="IndexLink"/>
                <w:rtl w:val="true"/>
              </w:rPr>
              <w:tab/>
            </w:r>
            <w:r>
              <w:rPr>
                <w:rStyle w:val="IndexLink"/>
              </w:rPr>
              <w:t>141</w:t>
            </w:r>
          </w:hyperlink>
        </w:p>
        <w:p>
          <w:pPr>
            <w:pStyle w:val="Contents5"/>
            <w:tabs>
              <w:tab w:val="clear" w:pos="7892"/>
              <w:tab w:val="right" w:pos="9026" w:leader="dot"/>
            </w:tabs>
            <w:rPr/>
          </w:pPr>
          <w:hyperlink w:anchor="__RefHeading___Toc2626996_1051229030">
            <w:r>
              <w:rPr>
                <w:webHidden/>
                <w:rStyle w:val="IndexLink"/>
                <w:rtl w:val="true"/>
              </w:rPr>
              <w:t>حقيقت و چيستى تجربه ى دينى</w:t>
            </w:r>
            <w:r>
              <w:rPr>
                <w:rStyle w:val="IndexLink"/>
                <w:rtl w:val="true"/>
              </w:rPr>
              <w:tab/>
            </w:r>
            <w:r>
              <w:rPr>
                <w:rStyle w:val="IndexLink"/>
              </w:rPr>
              <w:t>142</w:t>
            </w:r>
          </w:hyperlink>
        </w:p>
        <w:p>
          <w:pPr>
            <w:pStyle w:val="Contents5"/>
            <w:tabs>
              <w:tab w:val="clear" w:pos="7892"/>
              <w:tab w:val="right" w:pos="9026" w:leader="dot"/>
            </w:tabs>
            <w:rPr/>
          </w:pPr>
          <w:hyperlink w:anchor="__RefHeading___Toc2626998_1051229030">
            <w:r>
              <w:rPr>
                <w:webHidden/>
                <w:rStyle w:val="IndexLink"/>
                <w:rtl w:val="true"/>
              </w:rPr>
              <w:t>نظريه ى برگزيده ى ما درباره ى تجربه ى دينى</w:t>
            </w:r>
            <w:r>
              <w:rPr>
                <w:rStyle w:val="IndexLink"/>
                <w:rtl w:val="true"/>
              </w:rPr>
              <w:tab/>
            </w:r>
            <w:r>
              <w:rPr>
                <w:rStyle w:val="IndexLink"/>
              </w:rPr>
              <w:t>145</w:t>
            </w:r>
          </w:hyperlink>
        </w:p>
        <w:p>
          <w:pPr>
            <w:pStyle w:val="Contents4"/>
            <w:tabs>
              <w:tab w:val="clear" w:pos="8176"/>
              <w:tab w:val="right" w:pos="9026" w:leader="dot"/>
            </w:tabs>
            <w:rPr/>
          </w:pPr>
          <w:hyperlink w:anchor="__RefHeading___Toc2627000_1051229030">
            <w:r>
              <w:rPr>
                <w:webHidden/>
                <w:rStyle w:val="IndexLink"/>
                <w:rtl w:val="true"/>
              </w:rPr>
              <w:t>تفاوت هاى مهم تجربه ى دينى و وحى كدام اند؟</w:t>
            </w:r>
            <w:r>
              <w:rPr>
                <w:rStyle w:val="IndexLink"/>
                <w:rtl w:val="true"/>
              </w:rPr>
              <w:tab/>
            </w:r>
            <w:r>
              <w:rPr>
                <w:rStyle w:val="IndexLink"/>
              </w:rPr>
              <w:t>146</w:t>
            </w:r>
          </w:hyperlink>
        </w:p>
        <w:p>
          <w:pPr>
            <w:pStyle w:val="Contents5"/>
            <w:tabs>
              <w:tab w:val="clear" w:pos="7892"/>
              <w:tab w:val="right" w:pos="9026" w:leader="dot"/>
            </w:tabs>
            <w:rPr/>
          </w:pPr>
          <w:hyperlink w:anchor="__RefHeading___Toc2627002_1051229030">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627004_1051229030">
            <w:r>
              <w:rPr>
                <w:webHidden/>
                <w:rStyle w:val="IndexLink"/>
              </w:rPr>
              <w:t>1</w:t>
            </w:r>
            <w:r>
              <w:rPr>
                <w:rStyle w:val="IndexLink"/>
                <w:rtl w:val="true"/>
              </w:rPr>
              <w:t xml:space="preserve">. </w:t>
            </w:r>
            <w:r>
              <w:rPr>
                <w:rStyle w:val="IndexLink"/>
                <w:rtl w:val="true"/>
              </w:rPr>
              <w:t>تأثير فرهنگ زمانه در تجربه ى دينى و جهت نيافتگى وحى از آن</w:t>
            </w:r>
            <w:r>
              <w:rPr>
                <w:rStyle w:val="IndexLink"/>
                <w:rtl w:val="true"/>
              </w:rPr>
              <w:tab/>
            </w:r>
            <w:r>
              <w:rPr>
                <w:rStyle w:val="IndexLink"/>
              </w:rPr>
              <w:t>147</w:t>
            </w:r>
          </w:hyperlink>
        </w:p>
        <w:p>
          <w:pPr>
            <w:pStyle w:val="Contents5"/>
            <w:tabs>
              <w:tab w:val="clear" w:pos="7892"/>
              <w:tab w:val="right" w:pos="9026" w:leader="dot"/>
            </w:tabs>
            <w:rPr/>
          </w:pPr>
          <w:hyperlink w:anchor="__RefHeading___Toc2627006_1051229030">
            <w:r>
              <w:rPr>
                <w:webHidden/>
                <w:rStyle w:val="IndexLink"/>
              </w:rPr>
              <w:t>2</w:t>
            </w:r>
            <w:r>
              <w:rPr>
                <w:rStyle w:val="IndexLink"/>
                <w:rtl w:val="true"/>
              </w:rPr>
              <w:t xml:space="preserve"> . </w:t>
            </w:r>
            <w:r>
              <w:rPr>
                <w:rStyle w:val="IndexLink"/>
                <w:rtl w:val="true"/>
              </w:rPr>
              <w:t>شريعت آفرينى وحى</w:t>
            </w:r>
            <w:r>
              <w:rPr>
                <w:rStyle w:val="IndexLink"/>
                <w:rtl w:val="true"/>
              </w:rPr>
              <w:tab/>
            </w:r>
            <w:r>
              <w:rPr>
                <w:rStyle w:val="IndexLink"/>
              </w:rPr>
              <w:t>147</w:t>
            </w:r>
          </w:hyperlink>
        </w:p>
        <w:p>
          <w:pPr>
            <w:pStyle w:val="Contents5"/>
            <w:tabs>
              <w:tab w:val="clear" w:pos="7892"/>
              <w:tab w:val="right" w:pos="9026" w:leader="dot"/>
            </w:tabs>
            <w:rPr/>
          </w:pPr>
          <w:hyperlink w:anchor="__RefHeading___Toc2627008_1051229030">
            <w:r>
              <w:rPr>
                <w:webHidden/>
                <w:rStyle w:val="IndexLink"/>
              </w:rPr>
              <w:t>3</w:t>
            </w:r>
            <w:r>
              <w:rPr>
                <w:rStyle w:val="IndexLink"/>
                <w:rtl w:val="true"/>
              </w:rPr>
              <w:t xml:space="preserve">. </w:t>
            </w:r>
            <w:r>
              <w:rPr>
                <w:rStyle w:val="IndexLink"/>
                <w:rtl w:val="true"/>
              </w:rPr>
              <w:t>تأثيرپذيرى تجربه ى دينى از القائات شيطانى</w:t>
            </w:r>
            <w:r>
              <w:rPr>
                <w:rStyle w:val="IndexLink"/>
                <w:rtl w:val="true"/>
              </w:rPr>
              <w:tab/>
            </w:r>
            <w:r>
              <w:rPr>
                <w:rStyle w:val="IndexLink"/>
              </w:rPr>
              <w:t>148</w:t>
            </w:r>
          </w:hyperlink>
        </w:p>
        <w:p>
          <w:pPr>
            <w:pStyle w:val="Contents5"/>
            <w:tabs>
              <w:tab w:val="clear" w:pos="7892"/>
              <w:tab w:val="right" w:pos="9026" w:leader="dot"/>
            </w:tabs>
            <w:rPr/>
          </w:pPr>
          <w:hyperlink w:anchor="__RefHeading___Toc2627010_1051229030">
            <w:r>
              <w:rPr>
                <w:webHidden/>
                <w:rStyle w:val="IndexLink"/>
              </w:rPr>
              <w:t>4</w:t>
            </w:r>
            <w:r>
              <w:rPr>
                <w:rStyle w:val="IndexLink"/>
                <w:rtl w:val="true"/>
              </w:rPr>
              <w:t xml:space="preserve">. </w:t>
            </w:r>
            <w:r>
              <w:rPr>
                <w:rStyle w:val="IndexLink"/>
                <w:rtl w:val="true"/>
              </w:rPr>
              <w:t>تأثير دينى و خطاپذيرى در تعبير</w:t>
            </w:r>
            <w:r>
              <w:rPr>
                <w:rStyle w:val="IndexLink"/>
                <w:rtl w:val="true"/>
              </w:rPr>
              <w:tab/>
            </w:r>
            <w:r>
              <w:rPr>
                <w:rStyle w:val="IndexLink"/>
              </w:rPr>
              <w:t>149</w:t>
            </w:r>
          </w:hyperlink>
        </w:p>
        <w:p>
          <w:pPr>
            <w:pStyle w:val="Contents2"/>
            <w:tabs>
              <w:tab w:val="clear" w:pos="8743"/>
              <w:tab w:val="right" w:pos="9026" w:leader="dot"/>
            </w:tabs>
            <w:rPr/>
          </w:pPr>
          <w:hyperlink w:anchor="__RefHeading___Toc2627012_1051229030">
            <w:r>
              <w:rPr>
                <w:webHidden/>
                <w:rStyle w:val="IndexLink"/>
                <w:rtl w:val="true"/>
              </w:rPr>
              <w:t>اينترنت</w:t>
            </w:r>
            <w:r>
              <w:rPr>
                <w:rStyle w:val="IndexLink"/>
                <w:rtl w:val="true"/>
              </w:rPr>
              <w:tab/>
            </w:r>
            <w:r>
              <w:rPr>
                <w:rStyle w:val="IndexLink"/>
              </w:rPr>
              <w:t>152</w:t>
            </w:r>
          </w:hyperlink>
        </w:p>
        <w:p>
          <w:pPr>
            <w:pStyle w:val="Contents3"/>
            <w:tabs>
              <w:tab w:val="clear" w:pos="8459"/>
              <w:tab w:val="right" w:pos="9026" w:leader="dot"/>
            </w:tabs>
            <w:rPr/>
          </w:pPr>
          <w:hyperlink w:anchor="__RefHeading___Toc2627014_1051229030">
            <w:r>
              <w:rPr>
                <w:webHidden/>
                <w:rStyle w:val="IndexLink"/>
                <w:rtl w:val="true"/>
              </w:rPr>
              <w:t>انديشه قم</w:t>
            </w:r>
            <w:r>
              <w:rPr>
                <w:rStyle w:val="IndexLink"/>
                <w:rtl w:val="true"/>
              </w:rPr>
              <w:tab/>
            </w:r>
            <w:r>
              <w:rPr>
                <w:rStyle w:val="IndexLink"/>
              </w:rPr>
              <w:t>152</w:t>
            </w:r>
          </w:hyperlink>
        </w:p>
        <w:p>
          <w:pPr>
            <w:pStyle w:val="Contents4"/>
            <w:tabs>
              <w:tab w:val="clear" w:pos="8176"/>
              <w:tab w:val="right" w:pos="9026" w:leader="dot"/>
            </w:tabs>
            <w:rPr/>
          </w:pPr>
          <w:hyperlink w:anchor="__RefHeading___Toc2627016_105122903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627018_1051229030">
            <w:r>
              <w:rPr>
                <w:webHidden/>
                <w:rStyle w:val="IndexLink"/>
                <w:rtl w:val="true"/>
              </w:rPr>
              <w:t>الف</w:t>
            </w:r>
            <w:r>
              <w:rPr>
                <w:rStyle w:val="IndexLink"/>
                <w:rtl w:val="true"/>
              </w:rPr>
              <w:t xml:space="preserve">) </w:t>
            </w:r>
            <w:r>
              <w:rPr>
                <w:rStyle w:val="IndexLink"/>
                <w:rtl w:val="true"/>
              </w:rPr>
              <w:t>محصولات و آثار مركز</w:t>
            </w:r>
            <w:r>
              <w:rPr>
                <w:rStyle w:val="IndexLink"/>
                <w:rtl w:val="true"/>
              </w:rPr>
              <w:t>:</w:t>
              <w:tab/>
            </w:r>
            <w:r>
              <w:rPr>
                <w:rStyle w:val="IndexLink"/>
              </w:rPr>
              <w:t>156</w:t>
            </w:r>
          </w:hyperlink>
        </w:p>
        <w:p>
          <w:pPr>
            <w:pStyle w:val="Contents4"/>
            <w:tabs>
              <w:tab w:val="clear" w:pos="8176"/>
              <w:tab w:val="right" w:pos="9026" w:leader="dot"/>
            </w:tabs>
            <w:rPr/>
          </w:pPr>
          <w:hyperlink w:anchor="__RefHeading___Toc2627020_1051229030">
            <w:r>
              <w:rPr>
                <w:webHidden/>
                <w:rStyle w:val="IndexLink"/>
                <w:rtl w:val="true"/>
              </w:rPr>
              <w:t>ب</w:t>
            </w:r>
            <w:r>
              <w:rPr>
                <w:rStyle w:val="IndexLink"/>
                <w:rtl w:val="true"/>
              </w:rPr>
              <w:t xml:space="preserve">( </w:t>
            </w:r>
            <w:r>
              <w:rPr>
                <w:rStyle w:val="IndexLink"/>
                <w:rtl w:val="true"/>
              </w:rPr>
              <w:t>اطلاع رسانى علمى</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28_66386"/>
      <w:bookmarkStart w:id="1" w:name="pg7528_66386"/>
      <w:bookmarkEnd w:id="1"/>
    </w:p>
    <w:p>
      <w:pPr>
        <w:pStyle w:val="Heading2"/>
        <w:numPr>
          <w:ilvl w:val="1"/>
          <w:numId w:val="1"/>
        </w:numPr>
        <w:rPr/>
      </w:pPr>
      <w:bookmarkStart w:id="2" w:name="pg7528_66386"/>
      <w:bookmarkStart w:id="3" w:name="__RefHeading___Toc262680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صباح، پاسخگوى پرسش هاى دينى</w:t>
      </w:r>
    </w:p>
    <w:p>
      <w:pPr>
        <w:pStyle w:val="BookText"/>
        <w:rPr/>
      </w:pPr>
      <w:r>
        <w:rPr>
          <w:rFonts w:ascii="IRNazanin" w:hAnsi="IRNazanin" w:eastAsia="IRNazanin"/>
          <w:color w:val="111111"/>
          <w:sz w:val="28"/>
          <w:sz w:val="28"/>
          <w:szCs w:val="28"/>
          <w:rtl w:val="true"/>
          <w:lang w:bidi="fa-IR"/>
        </w:rPr>
        <w:t>كارى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و پاسخ گویی به شبهات حوزه های علميه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صاحب 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الاسلام والمسلمين حسينى بوشهرى</w:t>
      </w:r>
    </w:p>
    <w:p>
      <w:pPr>
        <w:pStyle w:val="BookText"/>
        <w:rPr/>
      </w:pPr>
      <w:r>
        <w:rPr>
          <w:rFonts w:ascii="IRNazanin" w:hAnsi="IRNazanin" w:eastAsia="IRNazanin"/>
          <w:color w:val="111111"/>
          <w:sz w:val="28"/>
          <w:sz w:val="28"/>
          <w:szCs w:val="28"/>
          <w:rtl w:val="true"/>
          <w:lang w:bidi="fa-IR"/>
        </w:rPr>
        <w:t>مدير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عبدالحسين خسروپناه</w:t>
      </w:r>
    </w:p>
    <w:p>
      <w:pPr>
        <w:pStyle w:val="BookText"/>
        <w:rPr/>
      </w:pPr>
      <w:r>
        <w:rPr>
          <w:rFonts w:ascii="IRNazanin" w:hAnsi="IRNazanin" w:eastAsia="IRNazanin"/>
          <w:color w:val="111111"/>
          <w:sz w:val="28"/>
          <w:sz w:val="28"/>
          <w:szCs w:val="28"/>
          <w:rtl w:val="true"/>
          <w:lang w:bidi="fa-IR"/>
        </w:rPr>
        <w:t>سردبير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والمسلمين سيد محمد على داعى نژاد</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طاهری</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شریفی، حمیده انصاری</w:t>
      </w:r>
    </w:p>
    <w:p>
      <w:pPr>
        <w:pStyle w:val="BookText"/>
        <w:rPr/>
      </w:pPr>
      <w:r>
        <w:rPr>
          <w:rFonts w:ascii="IRNazanin" w:hAnsi="IRNazanin" w:eastAsia="IRNazanin"/>
          <w:color w:val="111111"/>
          <w:sz w:val="28"/>
          <w:sz w:val="28"/>
          <w:szCs w:val="28"/>
          <w:rtl w:val="true"/>
          <w:lang w:bidi="fa-IR"/>
        </w:rPr>
        <w:t xml:space="preserve">حروف چین و صفحه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یوسفی</w:t>
      </w:r>
    </w:p>
    <w:p>
      <w:pPr>
        <w:pStyle w:val="BookText"/>
        <w:rPr/>
      </w:pPr>
      <w:r>
        <w:rPr>
          <w:rFonts w:ascii="IRNazanin" w:hAnsi="IRNazanin" w:eastAsia="IRNazanin"/>
          <w:color w:val="111111"/>
          <w:sz w:val="28"/>
          <w:sz w:val="28"/>
          <w:szCs w:val="28"/>
          <w:rtl w:val="true"/>
          <w:lang w:bidi="fa-IR"/>
        </w:rPr>
        <w:t>شورای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اسلام محمد رضا باقر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علی حسنلو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خیر خواه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على داعی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رضا 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رضایی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روشن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محمدی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منتظری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این شماره از نظرات علمی حجت الاسلام لک 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http://www.andisheqom.com</w:t>
      </w:r>
    </w:p>
    <w:p>
      <w:pPr>
        <w:pStyle w:val="BookText"/>
        <w:rPr/>
      </w:pPr>
      <w:r>
        <w:rPr>
          <w:rFonts w:ascii="IRNazanin" w:hAnsi="IRNazanin" w:eastAsia="IRNazanin"/>
          <w:color w:val="111111"/>
          <w:sz w:val="28"/>
          <w:sz w:val="28"/>
          <w:szCs w:val="28"/>
          <w:rtl w:val="true"/>
          <w:lang w:bidi="fa-IR"/>
        </w:rPr>
        <w:t>پست الکترونيک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howzeh@andisheqom.com</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خیابان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شهید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فاز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صندوق پستي</w:t>
      </w:r>
      <w:r>
        <w:rPr>
          <w:rFonts w:eastAsia="IRNazanin" w:cs="IRNazanin"/>
          <w:color w:val="111111"/>
          <w:sz w:val="28"/>
          <w:szCs w:val="28"/>
          <w:rtl w:val="true"/>
          <w:lang w:bidi="fa-IR"/>
        </w:rPr>
        <w:t xml:space="preserve">: </w:t>
      </w:r>
      <w:r>
        <w:rPr>
          <w:rFonts w:eastAsia="IRNazanin" w:cs="IRNazanin"/>
          <w:color w:val="111111"/>
          <w:sz w:val="28"/>
          <w:szCs w:val="28"/>
          <w:lang w:bidi="fa-IR"/>
        </w:rPr>
        <w:t>37185/4466</w:t>
      </w:r>
    </w:p>
    <w:p>
      <w:pPr>
        <w:pStyle w:val="BookText"/>
        <w:rPr/>
      </w:pPr>
      <w:r>
        <w:rPr>
          <w:rFonts w:ascii="IRNazanin" w:hAnsi="IRNazanin" w:eastAsia="IRNazanin"/>
          <w:color w:val="111111"/>
          <w:sz w:val="28"/>
          <w:sz w:val="28"/>
          <w:szCs w:val="28"/>
          <w:rtl w:val="true"/>
          <w:lang w:bidi="fa-IR"/>
        </w:rPr>
        <w:t>تلفن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32923251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3292251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Heading2"/>
        <w:numPr>
          <w:ilvl w:val="1"/>
          <w:numId w:val="1"/>
        </w:numPr>
        <w:rPr/>
      </w:pPr>
      <w:bookmarkStart w:id="5" w:name="__RefHeading___Toc2626808_1051229030"/>
      <w:bookmarkStart w:id="6" w:name="_Toc2"/>
      <w:bookmarkEnd w:id="5"/>
      <w:r>
        <w:rPr>
          <w:rtl w:val="true"/>
        </w:rPr>
        <w:t>سخن سردبير</w:t>
      </w:r>
      <w:bookmarkEnd w:id="6"/>
    </w:p>
    <w:p>
      <w:pPr>
        <w:pStyle w:val="BookText"/>
        <w:rPr/>
      </w:pPr>
      <w:r>
        <w:rPr>
          <w:rFonts w:ascii="IRNazanin" w:hAnsi="IRNazanin" w:eastAsia="IRNazanin"/>
          <w:color w:val="111111"/>
          <w:sz w:val="28"/>
          <w:sz w:val="28"/>
          <w:szCs w:val="28"/>
          <w:rtl w:val="true"/>
          <w:lang w:bidi="fa-IR"/>
        </w:rPr>
        <w:t>در جامعه ى اسلامى مباحث قرآنى به لحاظ جايگاه مهم آن از اهميت بسزايى برخوردار است از جمله موضوعات مهم در زمينه ى قرآن پژوهى مسئله ى عدم تحريف قرآن، آزادى و دموكراسى از ديدگاه قرآن مى باشد كه در بخش قرآن و تفسير از نگاه عالم جليل القدر مرحوم حاج سيد على كمالى دزفولى بدان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ارتحال قرآن پژوه معاصر، عالم جليل القدر، مفسر عالى مقام، مؤلف محقق، حضرت حاج سيد على كمالى دزفولى را به جامعه ى علمى و پژوهشى كشور و ارادتمندان معارف اسلامى و قرآنى تسليت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وارسته در سه دهه ى اخير با مطالعه و تحقيق مداوم در حوزه ى علوم اسلامى و علوم قرآنى، آثار ارزشمندى هم چون قانون تفسير، قرآن، ثقل اكبر، عرفان و سلوك اسلامى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ى تحرير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نتايج اخروى در حيات متدينان از اهميت بسزايى برخوردار است در بخش كلام رابطه ى اعمال دنيوى و نتايج اخروى و چرايى جزاى نامحدود در مقابل اعمال محدود انسان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و مدگرايى يكى از مسائل مهم اجتماعى است كه امروزه در اين باره سؤالات متعددى هم چون علل گرايش به مدل هاى غربى و چگونگى راهكارهاى مقابله با آن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تربيت ضمن تبيين مفاهيم مد و مدل و اقسام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پرسش ها پاسخ گفته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بخش اديان و مذاهب به تبيين هندوئيسم و ضعف ها و ناكارآمدى هاى آن در مقايسه </w:t>
      </w:r>
    </w:p>
    <w:p>
      <w:pPr>
        <w:pStyle w:val="BookText"/>
        <w:rPr/>
      </w:pPr>
      <w:r>
        <w:rPr>
          <w:rFonts w:ascii="Amiri" w:hAnsi="Amiri" w:eastAsia="Amiri" w:cs="Amiri"/>
          <w:color w:val="111111"/>
          <w:sz w:val="28"/>
          <w:sz w:val="28"/>
          <w:szCs w:val="28"/>
          <w:rtl w:val="true"/>
          <w:lang w:bidi="ar-SA"/>
        </w:rPr>
        <w:t>با اديان توحيدى مانند اسلام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امر به معروف و نهى از منكر و نيز قيام عليه ستم و انقلاب را با شرايط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دانسته اند و با برداشتى سطحى از برخى روايات ادعا نموده اند كه چون از شرايط ظهور، گستردگى ظلم در جهان است، لذا براى تسريع آن نبايد از فراگيرى ستم و فساد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مهدويت با تبيين اين روايات اشكالات اين ادعا ذكر شده است، مانند اين كه روايات مذكور در بيان نشانه هاى ظهورند نه زمينه و شرط و سبب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حقوق به اصول و مبانى حقوق بشر و علت ناسازگارى آن با اسلام و در بخش سياست به مسئله ى دموكراسى و تبيين مفهوم آن و نيز رابطه ى اسلام و دموكراسى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تاريخ اسلام مسئله ى چگونگى گسترش اسلام در ايران و شرايط فرهنگى، سياسى، اقتصادى ايران در صدر اسلام و در بخش تاريخ معاصر، جريان سياسى نهضت آزادى و چگونگى شكل گيرى اين جريان سياسى و ارتباط آن با كشورهاى خارجى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تجربه ى دينى و تفاوت آن با وحى كه هم در عرصه ى قرآن پژوهى مطرح است و هم در حوزه ى دين پژوهى، از مسائل مهم فلسفه ى دين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دين پژوهى ضمن تبيين ماهيت تجربه ى دينى و وحى، به تفاوت هاى اين دو نيز اشاره شده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بخش اينترنت به معرفى پايگاه انديشه ى قم وابسته به مركز مطالعات و پژوهش هاى فرهنگى حوزه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مقالات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در فرايند خود، مورد ارزيابى كارشناسان و اعضاى هيأت تحريريه و نظارت سردبير و مدير مسئول قرار مى گيرد، از نظارت و اشراف حضرت آيت الله معرفت نيز بهره مند گرديده است</w:t>
      </w:r>
      <w:r>
        <w:rPr>
          <w:rFonts w:eastAsia="IRNazanin" w:cs="IRNazanin"/>
          <w:color w:val="111111"/>
          <w:sz w:val="28"/>
          <w:szCs w:val="28"/>
          <w:rtl w:val="true"/>
          <w:lang w:bidi="fa-IR"/>
        </w:rPr>
        <w:t xml:space="preserve">. </w:t>
      </w:r>
      <w:bookmarkStart w:id="7" w:name="pg7528_66388"/>
    </w:p>
    <w:p>
      <w:pPr>
        <w:pStyle w:val="Heading2"/>
        <w:numPr>
          <w:ilvl w:val="1"/>
          <w:numId w:val="1"/>
        </w:numPr>
        <w:rPr/>
      </w:pPr>
      <w:bookmarkStart w:id="8" w:name="__RefHeading___Toc2626810_1051229030"/>
      <w:bookmarkStart w:id="9" w:name="_Toc3"/>
      <w:bookmarkEnd w:id="7"/>
      <w:bookmarkEnd w:id="8"/>
      <w:r>
        <w:rPr>
          <w:rtl w:val="true"/>
        </w:rPr>
        <w:t>قرآن و تفسير</w:t>
      </w:r>
      <w:bookmarkEnd w:id="9"/>
    </w:p>
    <w:p>
      <w:pPr>
        <w:pStyle w:val="Heading3"/>
        <w:numPr>
          <w:ilvl w:val="2"/>
          <w:numId w:val="1"/>
        </w:numPr>
        <w:rPr/>
      </w:pPr>
      <w:bookmarkStart w:id="10" w:name="__RefHeading___Toc2626812_1051229030"/>
      <w:bookmarkStart w:id="11" w:name="_Toc4"/>
      <w:bookmarkEnd w:id="10"/>
      <w:r>
        <w:rPr>
          <w:rtl w:val="true"/>
        </w:rPr>
        <w:t>پاسخ به پرسش هاى قرآنى از نگاه علامه كمالى دزفولى</w:t>
      </w:r>
      <w:r>
        <w:rPr>
          <w:rtl w:val="true"/>
        </w:rPr>
        <w:t>(</w:t>
      </w:r>
      <w:r>
        <w:rPr>
          <w:rtl w:val="true"/>
        </w:rPr>
        <w:t>رحمه الله</w:t>
      </w:r>
      <w:r>
        <w:rPr>
          <w:rtl w:val="true"/>
        </w:rPr>
        <w:t>)</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2626814_1051229030"/>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خلاصه ای از زندگی نامهی علامه ی فقید کمالی دزفولی رحمه الله</w:t>
      </w:r>
    </w:p>
    <w:p>
      <w:pPr>
        <w:pStyle w:val="BookText"/>
        <w:rPr/>
      </w:pPr>
      <w:r>
        <w:rPr>
          <w:rFonts w:ascii="IRNazanin" w:hAnsi="IRNazanin" w:eastAsia="IRNazanin"/>
          <w:color w:val="111111"/>
          <w:sz w:val="28"/>
          <w:sz w:val="28"/>
          <w:szCs w:val="28"/>
          <w:rtl w:val="true"/>
          <w:lang w:bidi="fa-IR"/>
        </w:rPr>
        <w:t>آیا مصونیت قرآن شریف از انواع تحریف، قابل اثبات است؟</w:t>
      </w:r>
    </w:p>
    <w:p>
      <w:pPr>
        <w:pStyle w:val="BookText"/>
        <w:rPr/>
      </w:pPr>
      <w:r>
        <w:rPr>
          <w:rFonts w:ascii="IRNazanin" w:hAnsi="IRNazanin" w:eastAsia="IRNazanin"/>
          <w:color w:val="111111"/>
          <w:sz w:val="28"/>
          <w:sz w:val="28"/>
          <w:szCs w:val="28"/>
          <w:rtl w:val="true"/>
          <w:lang w:bidi="fa-IR"/>
        </w:rPr>
        <w:t xml:space="preserve">در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تبیین است، حدود و گسترهی آن را بیان نمایید؟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قرآن شریف درباره ی دموکراسی و آراء اکثریت چیست؟ </w:t>
      </w:r>
      <w:bookmarkStart w:id="14" w:name="pg7528_66390"/>
    </w:p>
    <w:p>
      <w:pPr>
        <w:pStyle w:val="BookText"/>
        <w:rPr/>
      </w:pPr>
      <w:bookmarkEnd w:id="14"/>
      <w:r>
        <w:rPr>
          <w:rFonts w:ascii="Amiri" w:hAnsi="Amiri" w:eastAsia="Amiri" w:cs="Amiri"/>
          <w:color w:val="111111"/>
          <w:sz w:val="28"/>
          <w:sz w:val="28"/>
          <w:szCs w:val="28"/>
          <w:rtl w:val="true"/>
          <w:lang w:bidi="ar-SA"/>
        </w:rPr>
        <w:t>قرآن و تفسير</w:t>
      </w:r>
    </w:p>
    <w:p>
      <w:pPr>
        <w:pStyle w:val="BookText"/>
        <w:rPr/>
      </w:pPr>
      <w:r>
        <w:rPr>
          <w:rFonts w:ascii="IRNazanin" w:hAnsi="IRNazanin" w:eastAsia="IRNazanin"/>
          <w:color w:val="111111"/>
          <w:sz w:val="28"/>
          <w:sz w:val="28"/>
          <w:szCs w:val="28"/>
          <w:rtl w:val="true"/>
          <w:lang w:bidi="fa-IR"/>
        </w:rPr>
        <w:t>پاسخ به پرسش هاى قرآنى از نگاه علامه كمالى دزفولى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4"/>
        <w:numPr>
          <w:ilvl w:val="3"/>
          <w:numId w:val="1"/>
        </w:numPr>
        <w:rPr/>
      </w:pPr>
      <w:bookmarkStart w:id="15" w:name="__RefHeading___Toc2626816_1051229030"/>
      <w:bookmarkStart w:id="16" w:name="_Toc6"/>
      <w:bookmarkEnd w:id="15"/>
      <w:r>
        <w:rPr>
          <w:rtl w:val="true"/>
        </w:rPr>
        <w:t>زندگى نامه ى قرآن پژوه معاصر استاد فقيد سيدعلى كمالى دزفولى</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تهيه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رضا رضايى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سيد على كمالى دزفولى فرزند سيد رضى الدين، در هفدهم ذى الحجه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دزفول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دوران دبستان را در دزفول گذراند و براى ادامه تحصيل به اهواز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او را به دزفول آورد و با پوشاندن لباس روحانيت به امامت مسجد خانوادگى منصوب كرد و سير تازه اى به روى وى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سطح را نزد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على مدرس، سيد محمد قاضى، حاج آقا ميرزا هادى معزّى و نبوى فرا گرفت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علاقه ى زيادى به مطالعه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يادداشت هاى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دوازده جلد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هاى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قم سفر نمود و از محضر درس حضرت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علاوه بر تبليغ و ترويج اسلام، به زراعت و باغدارى نيز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بهبهان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باغ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اصله مركبات براى مردم غرس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روزى در تهران با آيت الله شيخ محمد كاظم معزى، استاد دانشگاه معقول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ملاقاتى داشت ايشان نوشته هاى آقاى كمالى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قصائد ابن فارض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مسئولين دانشگاه ارائه كرد و آنها پس از رؤيت، فرداى آن روز خدمت ايشان رسيدند و تقاضا كردند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اصول يا تفسير براى آنها تأليف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كه پا به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گذاشته بود، با اميدوارى و با هدف خدمت به قرآن، شروع به نوشتن كرد كه حاصل آن ده ها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 تفسير، تاريخ تفسير، قرآن ثقل اكبر، شناخت قرآن، قرآن و مبارزات، قرآن و دستورات اجتماعى، قرآن و جامعه، قرآن و شعارها، قبسات قرآن، قرآن و مقام زن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يك مجلس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قرآن را ختم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روزى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تأليف مى كرد، و خانه ى ملكى نداشت و كتاب هايش را كه حدود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بود وقف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به شعر و شاعرى نيز علاقه مند بود و شعرهايى سروده است،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خانه دارم دلبرى از اختران روشن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آيد چو در روشنگرى، گويد مرا تنها ببين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سيدمحمدباقر حجتى درباره ى مقام ايشان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كمالى دزفولى دلبستگى و شيفتگى عجيبى به قرآن دارند، منتهى گرايش ايشان به اهل بيت زياد بوده و </w:t>
      </w:r>
    </w:p>
    <w:p>
      <w:pPr>
        <w:pStyle w:val="BookText"/>
        <w:rPr/>
      </w:pPr>
      <w:r>
        <w:rPr>
          <w:rFonts w:ascii="IRNazanin" w:hAnsi="IRNazanin" w:eastAsia="IRNazanin"/>
          <w:color w:val="111111"/>
          <w:sz w:val="28"/>
          <w:sz w:val="28"/>
          <w:szCs w:val="28"/>
          <w:rtl w:val="true"/>
          <w:lang w:bidi="fa-IR"/>
        </w:rPr>
        <w:t>سعى كرده اند چاشنى هايى از اهل بيت را با نوشته هاى خود عجين كنند و اين مسئله اى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خرمشاهى نيز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نشده كه بنده خدمت ايشان برسم و بحث قرآنى مطرح نگردد و مشكلى از مشكلات قرآنى من حل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كمالى دزفولى، سرانجام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 و به سراى باقى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چند در ميان قرآن پژوهان نيست، اما آثار او تشنگان قرآنى را سيراب مى كند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ى صباح و گروه قرآن مركز مطالعات و پژوهش هاى فرهنگى حوزه ى علميه ضمن تجليل و تكريم و يادبود اين استاد فقيد و قرآن پژوه معاصر، براى آشنايى بيش تر با نظرات ايشان، چند پرسش و پاسخ قرآنى را كه در آثار ايشان به رشته ى تحرير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خوانندگان محترم مى كند</w:t>
      </w:r>
      <w:r>
        <w:rPr>
          <w:rFonts w:eastAsia="IRNazanin" w:cs="IRNazanin"/>
          <w:color w:val="111111"/>
          <w:sz w:val="28"/>
          <w:szCs w:val="28"/>
          <w:rtl w:val="true"/>
          <w:lang w:bidi="fa-IR"/>
        </w:rPr>
        <w:t xml:space="preserve">. </w:t>
      </w:r>
      <w:bookmarkStart w:id="17" w:name="pg7528_66393"/>
    </w:p>
    <w:p>
      <w:pPr>
        <w:pStyle w:val="Heading4"/>
        <w:numPr>
          <w:ilvl w:val="3"/>
          <w:numId w:val="1"/>
        </w:numPr>
        <w:rPr/>
      </w:pPr>
      <w:bookmarkStart w:id="18" w:name="__RefHeading___Toc2626818_1051229030"/>
      <w:bookmarkStart w:id="19" w:name="_Toc7"/>
      <w:bookmarkEnd w:id="17"/>
      <w:bookmarkEnd w:id="18"/>
      <w:r>
        <w:rPr>
          <w:rtl w:val="true"/>
        </w:rPr>
        <w:t>آيا مصونيّت قرآن شريف از انواع تحريف، قابل اثبات است؟</w:t>
      </w:r>
      <w:bookmarkEnd w:id="19"/>
    </w:p>
    <w:p>
      <w:pPr>
        <w:pStyle w:val="Heading5"/>
        <w:numPr>
          <w:ilvl w:val="4"/>
          <w:numId w:val="1"/>
        </w:numPr>
        <w:rPr/>
      </w:pPr>
      <w:bookmarkStart w:id="20" w:name="__RefHeading___Toc2626820_105122903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آن چه در اين راستا قابل بيان است اين كه مغرضان، در درجه ى اوّل سعى كرده اند متن اسناد را از حيث لفظ مخدوش سازند، و آنجا كه نتوانسته اند، ناچار به مخدوش ساختن مراد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علّت بروز اين همه تأويلات ناروا به نام تفسير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نفوذ در حصار محكمى كه متن الفاظ قرآن را حفظ كرده و مى كند براى ايشان ممكن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قرآن مجيد بزرگ ترين و استوارترين سند و قانونى است كه بشر در طول تاريخ با آن مواجه شده، و ساليان دراز به شكل قانون و سند بزرگ ترين قدرت هايى بوده كه در كوتاهترين زمان ها نضج گرفته اند و با تسلط به قدرت هاى جهان بيش ترين و نيرومندترين دشمنان را فراهم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دشمنان خواسته اند با جعل و تزوير، متن سندى را كه جهانيان را به تحدى فراخوانده و بزرگ ترين معجزه ى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تغيير در معنا، و تأويل، با مصونيت ماده ى الفاظ نمى تواند چندان مؤثر باشد، لذا سعى كرده اند در ماده ى آن تغيير دهند تا اگر نتوانند، ناچار به تغيير و تحريف در معنا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مصونيت قرآن از انواع تحريف و تغيير لفظى و دلايل آن اشاره مى كنيم</w:t>
      </w:r>
      <w:r>
        <w:rPr>
          <w:rFonts w:eastAsia="Amiri" w:cs="Amiri" w:ascii="Amiri" w:hAnsi="Amiri"/>
          <w:color w:val="111111"/>
          <w:sz w:val="28"/>
          <w:szCs w:val="28"/>
          <w:rtl w:val="true"/>
          <w:lang w:bidi="ar-SA"/>
        </w:rPr>
        <w:t>.</w:t>
      </w:r>
      <w:r>
        <w:rPr>
          <w:rStyle w:val="FootnoteAnchor"/>
          <w:rtl w:val="true"/>
        </w:rPr>
        <w:footnoteReference w:id="3"/>
      </w:r>
    </w:p>
    <w:p>
      <w:pPr>
        <w:pStyle w:val="Heading5"/>
        <w:numPr>
          <w:ilvl w:val="4"/>
          <w:numId w:val="1"/>
        </w:numPr>
        <w:rPr/>
      </w:pPr>
      <w:bookmarkStart w:id="22" w:name="__RefHeading___Toc2626822_1051229030"/>
      <w:bookmarkStart w:id="23" w:name="_Toc9"/>
      <w:bookmarkEnd w:id="22"/>
      <w:r>
        <w:rPr>
          <w:rtl w:val="true"/>
        </w:rPr>
        <w:t>صورت اول، تحريف به زياده</w:t>
      </w:r>
      <w:r>
        <w:rPr>
          <w:rtl w:val="true"/>
        </w:rPr>
        <w:t>:</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تحريف به زياده، يعنى كلمه يا جمله يا آيه اى از قرآن موجود، از قرآن نبوده و بر متن قرآنى كه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افزوده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تحريف به اجماع همه ى مسلمانان باطل و غير واقع است، و بطلان آن از ضروريات دين اسلام به شمار مى رود</w:t>
      </w:r>
      <w:r>
        <w:rPr>
          <w:rFonts w:eastAsia="IRNazanin" w:cs="IRNazanin"/>
          <w:color w:val="111111"/>
          <w:sz w:val="28"/>
          <w:szCs w:val="28"/>
          <w:rtl w:val="true"/>
          <w:lang w:bidi="fa-IR"/>
        </w:rPr>
        <w:t xml:space="preserve">. </w:t>
      </w:r>
      <w:bookmarkStart w:id="24" w:name="pg7528_66394"/>
    </w:p>
    <w:p>
      <w:pPr>
        <w:pStyle w:val="Heading5"/>
        <w:numPr>
          <w:ilvl w:val="4"/>
          <w:numId w:val="1"/>
        </w:numPr>
        <w:rPr/>
      </w:pPr>
      <w:bookmarkStart w:id="25" w:name="__RefHeading___Toc2626824_1051229030"/>
      <w:bookmarkStart w:id="26" w:name="_Toc10"/>
      <w:bookmarkEnd w:id="24"/>
      <w:bookmarkEnd w:id="25"/>
      <w:r>
        <w:rPr>
          <w:rtl w:val="true"/>
        </w:rPr>
        <w:t>صورت دوم، تحريف به تعويض</w:t>
      </w:r>
      <w:r>
        <w:rPr>
          <w:rtl w:val="true"/>
        </w:rPr>
        <w:t>:</w:t>
      </w:r>
      <w:bookmarkEnd w:id="26"/>
    </w:p>
    <w:p>
      <w:pPr>
        <w:pStyle w:val="BookText"/>
        <w:rPr/>
      </w:pPr>
      <w:r>
        <w:rPr>
          <w:rFonts w:ascii="IRNazanin" w:hAnsi="IRNazanin" w:eastAsia="IRNazanin"/>
          <w:color w:val="111111"/>
          <w:sz w:val="28"/>
          <w:sz w:val="28"/>
          <w:szCs w:val="28"/>
          <w:rtl w:val="true"/>
          <w:lang w:bidi="fa-IR"/>
        </w:rPr>
        <w:t>يعنى عوض كردن كلمه يا تركيبى يا اعرابى، با كلمه يا تركيب و يا اعراب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تغيير، اگر چه در مورد قرائات مختلف واقع شده، امّا در مورد قرائات جايز، تحريف بر آن اطلاق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يك از قرائات كه متواتراً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متأصلا و مستقيماً متن قرآن است و از نصوص همين سند است و تعويض بر آن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قرائات غير جايز، كه تحريفى در متن قانونى قرآن به حساب مى آيد، اگر چه امرى است كه در زمانى از ازمنه وقوع يافته است، امّا بنابر وعده ى خداوند بر حفظ قرآن، اين تغييرات به كرامت قرآن نچسبيده و عملا مورد پذيرش واقع نگرديده و دژ استوار قرآن آن ها را به خود راه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گاهى در زمان كوتاهى مورد عمل بوده اند، روزگار آن ها را فراموش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سوم، تحريف به نقصيه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تحريف به نقيصه يعنى تغيير در قران با كم كردن بخشى از آن، مانند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اگر كسى ادعا كند كه متن قرآن چنين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اين تحريف به نقصيه است و مورد اختلاف علماست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علماى عامّه و بعضى از علماى اماميه قايل شده اند كه تحريف به نقصيه در قرآن وقوع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برجستگان و محققان علماى فريقين، قائل به عدم تحريف اند</w:t>
      </w:r>
      <w:r>
        <w:rPr>
          <w:rFonts w:eastAsia="IRNazanin" w:cs="IRNazanin"/>
          <w:color w:val="111111"/>
          <w:sz w:val="28"/>
          <w:szCs w:val="28"/>
          <w:rtl w:val="true"/>
          <w:lang w:bidi="fa-IR"/>
        </w:rPr>
        <w:t xml:space="preserve">. </w:t>
      </w:r>
      <w:bookmarkStart w:id="27" w:name="pg7528_66395"/>
    </w:p>
    <w:p>
      <w:pPr>
        <w:pStyle w:val="BookText"/>
        <w:rPr/>
      </w:pPr>
      <w:bookmarkEnd w:id="27"/>
      <w:r>
        <w:rPr>
          <w:rFonts w:ascii="IRNazanin" w:hAnsi="IRNazanin" w:eastAsia="IRNazanin"/>
          <w:color w:val="111111"/>
          <w:sz w:val="28"/>
          <w:sz w:val="28"/>
          <w:szCs w:val="28"/>
          <w:rtl w:val="true"/>
          <w:lang w:bidi="fa-IR"/>
        </w:rPr>
        <w:t>رئيس المحدثين، شيخ صدوق، آن را از معتقدات اماميه شمرده و شيخ مفيد، سيد مرتضى، شيخ طوسى، شيخ طبرسى، شيخ بهايى، فيض، قاضى نورالله شوشترى، كاشف الغطاء، شهشهانى، بلاغى، شيخ انصارى، و بسيارى ديگر قايل به عدم تحريف شده 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كاشف الغطاء در اصل الشيعه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اخبارى كه از طرق ما يا عامه درباره ى نقص يا تحريف قرآن رسيده، شاذّ و ضعيف و اخبار آحادند، كه نه افاده ى علم مى كنند نه عمل، و اگر قابل تأويل صحيح نباشند بايد به ديوار كوبيده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نيز در الميزان ذيل آيه ى نهم سوره ى حجر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شدن چيزى بر آن، مصون از نقص و تغيير در صورت و سياق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بالضروره مى داند كه قرآن، سند اسلام است، همين 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در سند، آن را از مستند بودن خارج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بالضروره، اين قرآن، همان قرآن منزل من عندالله است بدون تغيير و تحريف</w:t>
      </w:r>
      <w:r>
        <w:rPr>
          <w:rFonts w:eastAsia="IRNazanin" w:cs="IRNazanin"/>
          <w:color w:val="111111"/>
          <w:sz w:val="28"/>
          <w:szCs w:val="28"/>
          <w:rtl w:val="true"/>
          <w:lang w:bidi="fa-IR"/>
        </w:rPr>
        <w:t>.</w:t>
      </w:r>
    </w:p>
    <w:p>
      <w:pPr>
        <w:pStyle w:val="Heading5"/>
        <w:numPr>
          <w:ilvl w:val="4"/>
          <w:numId w:val="1"/>
        </w:numPr>
        <w:rPr/>
      </w:pPr>
      <w:bookmarkStart w:id="28" w:name="__RefHeading___Toc2626826_1051229030"/>
      <w:bookmarkStart w:id="29" w:name="_Toc11"/>
      <w:bookmarkEnd w:id="28"/>
      <w:r>
        <w:rPr>
          <w:rtl w:val="true"/>
        </w:rPr>
        <w:t>دلائل عدم تحريف قرآن كريم</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بينيم در آيه ى شريفه، با اين همه تأكيدات كم نظير كه نشانه ى اشدّ عنايت به مورد است، حفظ قرآن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مراد از حفظ، حفظ فى الجمله است نه فرد فرد آيات، سخت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گمان كرده قرآن ذو افراد است كه با حفظ فردى از آن، حفظ قرآن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مراد از ذكر قرآن، مجموع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اجزاى </w:t>
      </w:r>
    </w:p>
    <w:p>
      <w:pPr>
        <w:pStyle w:val="BookText"/>
        <w:rPr/>
      </w:pPr>
      <w:r>
        <w:rPr>
          <w:rFonts w:ascii="IRNazanin" w:hAnsi="IRNazanin" w:eastAsia="IRNazanin"/>
          <w:color w:val="111111"/>
          <w:sz w:val="28"/>
          <w:sz w:val="28"/>
          <w:szCs w:val="28"/>
          <w:rtl w:val="true"/>
          <w:lang w:bidi="fa-IR"/>
        </w:rPr>
        <w:t>قرآن مكمل يكديگرند، و حفظ آن، صيانت همه ى آن است از كم و زياد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امكان فهم كامل آن بدون در دست بودن همه ى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بدون مصونيت از زياده و نقص، مستند نيست، از آن جهت كه بايد موارد مشابه آن بر محكمات عرضه شود، و مجمل بر مبيّن و منسوخ بر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احتمال كمبود يا زياده، استدلال و استناد به آن ابترست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حفظ آن، حفظ همه ى آن به تمام معناى كلمه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لَكِتابٌ عَزِيزٌ 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آن، كتابى گرامى است كه باطل از پيش و پس بدان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جانب حكيم پسنديده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ى شريفه بر نفى باطل به جميع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زيرا نفى بر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افاده ى عموم دارد و معلوم است كه تحريف، اشدّ افراد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بستن در توبه و ايمان تحريف كننده نيز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تحريف كلام الله، اشدّ انواع باطل و گناه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فَتَطْمَعُونَ أَنْ يُؤْمِنُوا لَكُمْ وَ قَدْ كانَ فَرِيقٌ مِنْهُمْ يَسْمَعُونَ كَلامَ اللّهِ ثُمَّ يُحَرِّفُونَهُ مِنْ بَعْدِ ما عَقَلُوهُ وَ هُمْ يَعْلَمُونَ</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طمع داريد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بياورند و حال آن كه گروهى از ايشان سخنان خدا را مى شنيدند و پس از فهميدن آن را تحريف مى كردند، در حالى كه علم و اطلاع داشتند؟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مشهور ثقلين، كه خاصه و عامه آن را در حد استفاضه دانسته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تارِكُ فيكمْ الثّقَليْن كتابَ الله و عِتْرَتى اَهْلَ بَيْتى و اِنَّهما 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شريف دليل بر عدم تحريف است، به دو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قايل به تحريف شويم كتاب را از حجيّت ساقط كرده ايم، و در اين صورت به ظواهر قرآن نمى توان تمسك نمود، و از ظاهر اخبار به دست مى آيد كه قرآن يكى از دو مرجع تمسك، و نيز ثقلِ اكبر است، و حجيّت آن فرع حجيت ثقل اصغر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مأمورى نامه اى از آمر برسد كه قسمتى از آن نامه مفقود شده باشد و در قطعه ى موجود امر شده باشد به خريد خانه اى، امّا مأمور احتمال دهد كه در قسمت مفقود شايد بيانى براى اين مجمل بوده، مانند خصوصيات آن خانه، آيا اگر امتثال نكند و متوقف بماند معذور است يا نه؟ در چنين موردى عقلا او را معذور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يعنى عترت، كه مقصود از ايشان، ائمه ى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راسخين در علم و مفسرين قرآن اند به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جاعلين و كذّابين از قول ايشان احاديثى جعل كرده و در ميان مردم منتشر ساخته باشند، كه براى صحت و سقم احاديث منتسب به ايشان بزرگ ترين محك، همان قرآن مجيد معيّن شده است، و خودشان امر فرموده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بما وافق كتابَ اللهِ و طرح ما خالفَ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آنچه موافق قرآن است و رها كردن آنچه مخالف قرآن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قول به تحريف، محك بودن قرآن و مرجع بودن آن براى تشخيص صحيح از سقيم، ابتر و ناتمام است، و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بر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عدم تحريف و تغيير آن به زيادت و نقصان دلالت 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اجزاى قرائت هر يك از سوره هاى قرآن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تحريف لازم مى آيد كه قرائت به هر سوره اى كه احتمال نقصيه در آن مى رود مجزى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اشتغال يقينى، برائت يقينى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هيچ شكّى نيست كه اهل بيت قرائت هر سوره اى از سوره هاى قرآن را در نماز مجزى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در وضع جمع و ضبط قرآن در حافظه ها و صحيفه ها، ثابت مى كند نه چيزى بر قرآن مُنْزَل اضافه شده و نه از آن كم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عنايت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بر ضبط و حفظ قرآن در حافظه ها و صحيفه ها، جمع قرآن در منظر اعاظم صحابه، عرضه ى قرآن بر ايشان، اشهاد شهود، آزادى كامل مسلمانان در نقادى، امتياز اسلوب قرآن در ميان اساليب بليغ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اسباب مصونيت و حفظ قرآن اند براى انجاز وعده ى خداوند متعال در حفظ آن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و زياد كردن قرآن كه در حافظه ها چون جان عزيز بوده است، در نظر مسلمانان گناهى نابخشودنى به حساب مى آمد، و از آن بالاتر دشمنان سرسخت اسلام كه مترصد هر ايراد و بهانه بودند، اگر چنين چيزى مى ديدند آن را حجت ناباورى خود قرار داده و از جنگ و كشتار بى نياز مى شدند</w:t>
      </w:r>
      <w:r>
        <w:rPr>
          <w:rFonts w:eastAsia="IRNazanin" w:cs="IRNazanin"/>
          <w:color w:val="111111"/>
          <w:sz w:val="28"/>
          <w:szCs w:val="28"/>
          <w:rtl w:val="true"/>
          <w:lang w:bidi="fa-IR"/>
        </w:rPr>
        <w:t>.</w:t>
      </w:r>
      <w:r>
        <w:rPr>
          <w:rStyle w:val="FootnoteAnchor"/>
          <w:rtl w:val="true"/>
        </w:rPr>
        <w:footnoteReference w:id="9"/>
      </w:r>
      <w:bookmarkStart w:id="30" w:name="pg7528_66399"/>
    </w:p>
    <w:p>
      <w:pPr>
        <w:pStyle w:val="Heading3"/>
        <w:numPr>
          <w:ilvl w:val="2"/>
          <w:numId w:val="1"/>
        </w:numPr>
        <w:rPr/>
      </w:pPr>
      <w:bookmarkStart w:id="31" w:name="__RefHeading___Toc2626828_1051229030"/>
      <w:bookmarkStart w:id="32" w:name="_Toc12"/>
      <w:bookmarkEnd w:id="30"/>
      <w:bookmarkEnd w:id="31"/>
      <w:r>
        <w:rPr>
          <w:rtl w:val="true"/>
        </w:rPr>
        <w:t xml:space="preserve">در فرهنگ قرآن </w:t>
      </w:r>
      <w:r>
        <w:rPr>
          <w:rtl w:val="true"/>
        </w:rPr>
        <w:t>«</w:t>
      </w:r>
      <w:r>
        <w:rPr>
          <w:rtl w:val="true"/>
        </w:rPr>
        <w:t>آزادى</w:t>
      </w:r>
      <w:r>
        <w:rPr>
          <w:rtl w:val="true"/>
        </w:rPr>
        <w:t xml:space="preserve">» </w:t>
      </w:r>
      <w:r>
        <w:rPr>
          <w:rtl w:val="true"/>
        </w:rPr>
        <w:t>چگونه قابل تبيين است، حدود و گستره ى آن را بيان نماييد؟</w:t>
      </w:r>
      <w:bookmarkEnd w:id="32"/>
    </w:p>
    <w:p>
      <w:pPr>
        <w:pStyle w:val="BookText"/>
        <w:rPr/>
      </w:pPr>
      <w:r>
        <w:rPr>
          <w:rFonts w:ascii="IRNazanin" w:hAnsi="IRNazanin" w:eastAsia="IRNazanin"/>
          <w:color w:val="111111"/>
          <w:sz w:val="28"/>
          <w:sz w:val="28"/>
          <w:szCs w:val="28"/>
          <w:rtl w:val="true"/>
          <w:lang w:bidi="fa-IR"/>
        </w:rPr>
        <w:t>در هر جامعه، وقتى آزادى و اطاعت در جاى خود به كار روند، همبستگى و اتّحاد تأمين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موارد اطاعت و آزادى را به فرد فرد جامعه تفهيم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ملّتى مورد خاصّ آزاد بودن و مورد خاصّ مطيع بودن را نداند، خواهى نخواهى پيوستگى و اتّحاد او از ميان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نارسايى هاى فكرى ما از آنجا است كه هر فرد نداند كجا بايد تا پاى جان از آزادى خود دفاع كند و كجا بايد سر تسليم و اطاعت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اطاعت از فرمان هاى نظامى در ميدان جنگ جزو قسم دوّم است يا نه؟</w:t>
      </w:r>
    </w:p>
    <w:p>
      <w:pPr>
        <w:pStyle w:val="BookText"/>
        <w:rPr/>
      </w:pPr>
      <w:r>
        <w:rPr>
          <w:rFonts w:ascii="IRNazanin" w:hAnsi="IRNazanin" w:eastAsia="IRNazanin"/>
          <w:color w:val="111111"/>
          <w:sz w:val="28"/>
          <w:sz w:val="28"/>
          <w:szCs w:val="28"/>
          <w:rtl w:val="true"/>
          <w:lang w:bidi="fa-IR"/>
        </w:rPr>
        <w:t>در اين موارد، كليّاتى كه در قرآن شريف آمده، با بيان ساده و مختصر ارائه مى گردد و تدبّر و استنباط براى مرزبندى را به اهل فنّ مى سپاريم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 فَمَنْ يَكْفُرْ بِالطّاغُوتِ وَ يُؤْمِنْ بِاللّهِ فَقَدِ اسْتَمْسَكَ بِالْعُرْوَةِ الْوُثْقى لاَ انْفِصامَ لَها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نوع اكراه و زور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ندارد و همان رشد و كمال، از گمراهى و واپس ماندگى بازشناخته شده است، پس هر كس به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اعوان او يعنى زورگويان گمراه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 و به خداوند يگانه ايمان آورد، هر آينه به بند محكم و استوار دست زده است كه هرگز گسستى براى آن نيست و خداوند شنوا و داناست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مراد خداوند، منع از اكراه ظاهرى است، يعنى هيچ كس را نبايد مجبور به تغيير </w:t>
      </w:r>
    </w:p>
    <w:p>
      <w:pPr>
        <w:pStyle w:val="BookText"/>
        <w:rPr/>
      </w:pPr>
      <w:r>
        <w:rPr>
          <w:rFonts w:ascii="IRNazanin" w:hAnsi="IRNazanin" w:eastAsia="IRNazanin"/>
          <w:color w:val="111111"/>
          <w:sz w:val="28"/>
          <w:sz w:val="28"/>
          <w:szCs w:val="28"/>
          <w:rtl w:val="true"/>
          <w:lang w:bidi="fa-IR"/>
        </w:rPr>
        <w:t>دينش كرد به گونه اى كه به ظاهر دينى را قبول كند در حالى كه اعتقاد قلبى اش پذيراى آن 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دين اسلام، پيروان اديان ديگر را در اتّخاذ دين آزاد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مأمورم با مردم بجنگم تا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اكراهى در دين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دين آن دينى است كه به طور قطع، توحيد و يكتاپرستى، سرلوحه 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كلمه ى دين بر اعتقاد كفر يا شرك اطلاق نمى شود تا آيه ى مباركه شامل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اشكالى ندارد كه بى دينان،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قبول توحيد، هر چند ظاهرى، اجبار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ى عقلى نيز، عدم اعتقاد به يكتاپرستى، زيربناى همه ى شرور و مفاسد و مانع تكامل بشر براى احراز انسانيّت است، زيرا اخلاق انسانى كه تنها مايه ى رهايى انسانيّت از چنبره ى طاغوت است، فقط با يكتاپرستى قابل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 مصلحين اجتماعى واجب است كه انسان را، هر چند به اجبار،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دان شرك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كشند و نهاد او را با اخلاق انسانى تطهير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اجبارى كه در راه تكامل بشريّت باشد، جرّاحى عضو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را بخوانيد و تدبّر كنيد، كه بشر در اثر صفات زشت برانگيخته از خودخواهى، كه وابسته ى شرك و كفر و خداناشناسى اند، نه تنها در جا زده، بلكه از نظر انسانيّت به قهقرى رفته و هميشه در دام قدرت و حتّى فرهنگ طاغوت و قيصر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نمونه ى كامل كفر و شركند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نيز آن كه، شناخت رشد از گمراهى، بسيار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آن را از مسائل تكوينى نهادى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شناخت ها بر زيربناى فطرت است، اگر معرفتى در </w:t>
      </w:r>
    </w:p>
    <w:p>
      <w:pPr>
        <w:pStyle w:val="BookText"/>
        <w:rPr/>
      </w:pPr>
      <w:r>
        <w:rPr>
          <w:rFonts w:ascii="Amiri" w:hAnsi="Amiri" w:eastAsia="Amiri" w:cs="Amiri"/>
          <w:color w:val="111111"/>
          <w:sz w:val="28"/>
          <w:sz w:val="28"/>
          <w:szCs w:val="28"/>
          <w:rtl w:val="true"/>
          <w:lang w:bidi="ar-SA"/>
        </w:rPr>
        <w:t>نهاد انسان ريشه نداشته باشد فهم آن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كسى با مراجعه به نهاد خود و ترك اغراض و سوابق ذهنى، پس از دريافت حقيقت به طاغوت كافر شود و به خداوند ايمان بياورد، به بندى محكم و استوار دست زده كه هرگز بريده نخواهد شد و اين همان روابط انسان با مبدأ خويش است كه نيرو و فيض آن دايمى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ى ديگر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مستقيم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راه حق،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به آن سفارش مى كند، شايد پرهيزگارى پيشه كنيد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خداوند مستقيم، نزديك، بى خطر، آسان، و زودياب است، و وقت را تلف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راه همراه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 هاى ديگر، اسم توخالى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امتحان خود را پس داده اند و بايد شرمنده باشند، در طول تاريخ هيچ كدام نتوانسته اند سعادت و رفاه بشر را تأمين كنند، يا لااقل صداقتى در كار خود نشان دهند</w:t>
      </w:r>
      <w:r>
        <w:rPr>
          <w:rFonts w:eastAsia="IRNazanin" w:cs="IRNazanin"/>
          <w:color w:val="111111"/>
          <w:sz w:val="28"/>
          <w:szCs w:val="28"/>
          <w:rtl w:val="true"/>
          <w:lang w:bidi="fa-IR"/>
        </w:rPr>
        <w:t>.</w:t>
      </w:r>
      <w:r>
        <w:rPr>
          <w:rStyle w:val="FootnoteAnchor"/>
          <w:rtl w:val="true"/>
        </w:rPr>
        <w:footnoteReference w:id="12"/>
      </w:r>
      <w:bookmarkStart w:id="33" w:name="pg7528_66402"/>
    </w:p>
    <w:p>
      <w:pPr>
        <w:pStyle w:val="Heading3"/>
        <w:numPr>
          <w:ilvl w:val="2"/>
          <w:numId w:val="1"/>
        </w:numPr>
        <w:rPr/>
      </w:pPr>
      <w:bookmarkStart w:id="34" w:name="__RefHeading___Toc2626830_1051229030"/>
      <w:bookmarkStart w:id="35" w:name="_Toc13"/>
      <w:bookmarkEnd w:id="33"/>
      <w:bookmarkEnd w:id="34"/>
      <w:r>
        <w:rPr>
          <w:rtl w:val="true"/>
        </w:rPr>
        <w:t>ديدگاه قرآن شريف درباره ى دموكراسى و آراء اكثريّت چيست؟</w:t>
      </w:r>
      <w:bookmarkEnd w:id="35"/>
    </w:p>
    <w:p>
      <w:pPr>
        <w:pStyle w:val="BookText"/>
        <w:rPr/>
      </w:pPr>
      <w:r>
        <w:rPr>
          <w:rFonts w:ascii="Amiri" w:hAnsi="Amiri" w:eastAsia="Amiri" w:cs="Amiri"/>
          <w:color w:val="111111"/>
          <w:sz w:val="28"/>
          <w:sz w:val="28"/>
          <w:szCs w:val="28"/>
          <w:rtl w:val="true"/>
          <w:lang w:bidi="ar-SA"/>
        </w:rPr>
        <w:t>تا اكثريّت را اعتقاد به هدف مشترك، به حركت در نياورد، جنبش او براى مدّعيان دموكراسى، فقط نمايشى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اكثريّت يعنى گروهى از افراد يك جامعه، ملّت و امّت كه تعداد آن ها ولو يك نفر بيش از نصفشان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نسبت به همه ى مردم جهان هم اطلاق مى شود مانند آن كه بگوييم اكثريّت مردم از زندگانى مرفّهى برخودار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اكثريّت قوم يا ملّتى، اكثريّت افراد نخبه ى ايشان است كه در اصطلاح عامّه، آن را اهل حلّ و عقد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فكر و چه از نظر نفوذ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انجام دهند يا مانع انجام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وقتى به موارد عمل كه قبول رأى است مراجعه كنيم، هيچ تعريف جامع و مانعى براى آن يافت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مدّعيان دموكراسى در تعريف آن گفته اند </w:t>
      </w:r>
      <w:r>
        <w:rPr>
          <w:rStyle w:val="FootnoteAnchor"/>
          <w:rtl w:val="true"/>
        </w:rPr>
        <w:footnoteReference w:id="13"/>
      </w:r>
      <w:r>
        <w:rPr>
          <w:rFonts w:ascii="IRNazanin" w:hAnsi="IRNazanin" w:eastAsia="IRNazanin"/>
          <w:color w:val="111111"/>
          <w:sz w:val="28"/>
          <w:sz w:val="28"/>
          <w:szCs w:val="28"/>
          <w:rtl w:val="true"/>
          <w:lang w:bidi="fa-IR"/>
        </w:rPr>
        <w:t>هر كس واجد شرايط رأى دادن باشد از افراد اكثريّت است و صاحب يك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ميان استاد دانشگاه و فرد بى سواد فرقى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هم غالباً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تابعيت و نداشتن سابقه ى محكوميّت، با حدودى كه براى آن ها معيّن كرده اند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شناسانى كه به دموكراسى اعتقاد دارند چنين استدلال كنند كه چون تشخيص مقدار صلاحيّت هر فرد ممكن نيست، پس جامعه ملزم به پذيرفتن اين طرح است، قابل قبول خواهد بود، امّا مانع از بررسى علمى ارزش هاى افراد جامعه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بنابراين، انديشمندان بايد بدانند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در راه پيشرفت و تكامل را نبايد براى رسيدن به رشد كافى، به حال تعطيل گذارند، بلكه بايد همه ى چرخ هاى آن، از آن جمله، اتّكا بر اكثريّت، را به كار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اتّكاى الزامى، هميشه كافى نبوده، بلكه بايد با تمام قوا رشد اكثريّت را تأمين كنند تا فهم سياسى در مصالح جامعه، همگانى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شريف، جامعه از نظر ارزش و حقانيت افراد مورد بررسى قرار گرفته است كه به بخشى از آيات مربوط به آن اشاره مى كنيم، امّا گذشته از آن كه معناى به كار بردن اكثريّت در راه مصالح جامعه، در قرآن نيامده، پيمبران مأمور بوده اند تا بدون دقت در محاسبه ى ارزش ها، مردم را در راه مقاصد انسانى به كار برند كه همين رويّه است كه رشد و تكامل را به آنها تفهيم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 اين مطالب در ضمن بيان آيات خواهد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يَسْتَوِي الْخَبِيثُ وَ الطَّيِّبُ وَ لَوْ أَعْجَبَكَ كَثْرَةُ الْخَبِيثِ فَاتَّقُوا اللّهَ يا أُولِي الْأَلْبابِ لَعَلَّكُمْ تُفْلِحُونَ</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و پاك، با هم يكسان نيستند، و هر چند فزونى ناپاك ها، تو را به شگفتى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خردمندان،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بترسيد شايد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عجيبى است براى خردمندان، تا از ناپاك ها و پليدها و نيرو و زرق و برق آن ها، جا نخورند و از راه راست منحرف نشوند و بدانند كه زياد بودن عدد و نيروى ظاهرى آن ها، دليل حقانيّت و پايدارى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به ياد خداوند باشند و از او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دين حقّ پايدار شوند و رستگار گردند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عقب افتادگى ملّت ها، تنها از زيادى پليدان و پليدى ها نيست، بلكه </w:t>
      </w:r>
    </w:p>
    <w:p>
      <w:pPr>
        <w:pStyle w:val="BookText"/>
        <w:rPr/>
      </w:pPr>
      <w:r>
        <w:rPr>
          <w:rFonts w:ascii="IRNazanin" w:hAnsi="IRNazanin" w:eastAsia="IRNazanin"/>
          <w:color w:val="111111"/>
          <w:sz w:val="28"/>
          <w:sz w:val="28"/>
          <w:szCs w:val="28"/>
          <w:rtl w:val="true"/>
          <w:lang w:bidi="fa-IR"/>
        </w:rPr>
        <w:t>از علايق جاهلان به ظواهر ايشان هم هست كه در عقايد و آراى خود متزلزل شده، زير دست و دنباله رو ايشان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أَكْثَرَ مَنْ فِي الْأَرْضِ يُضِلُّوكَ عَنْ سَبِيلِ اللّهِ إِنْ يَتَّبِعُونَ إِلاَّ الظَّنَّ وَ إِنْ هُمْ إِلاّ يَخْرُصُونَ</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بيش تر كسانى كه روى زمين هستند اطاعت كنى، تو را از راه خداوند گمراه مى كنند، زيرا آنها فقط از گمان پيروى مى كنند و تخمين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تر مردم چنانند كه پيروى از آنها موجب گمراهى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تابع گمان و تخمين و حدسيّات اند و فهم حقيقت نمى كنند، يا براى فهم آن بى تفاوت اند و به دنبال اميال خويش، اعتقادى ناپايدار به دست مى آورند، و رأى صائب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رأى خود را بر محك دين و دانش و عقل بزند و در تشخيص،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 قَلْبِكَ ولَوْ اَفتاكَ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خود فتوا خواه، هر چند فتوا دهندگان براى تو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انسان را از استفتا و سؤال و مشورت از اهل فنّ منع نمى كند، بلكه تعليم مى دهد كه فهمى را تحصيل كن كه منجر به تشخيص مصلحت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وَجَدْنا لِأَكْثَرِهِمْ مِنْ عَهْد وَ إِنْ وَجَدْنا أَكْثَرَهُمْ لَفاسِقِينَ</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نيافتيم براى اكثر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پيمانى، و همانا بيشتر ايشان را فاسق و بدكار يافتيم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مردم مؤمن نيستند، هر چند </w:t>
      </w:r>
    </w:p>
    <w:p>
      <w:pPr>
        <w:pStyle w:val="BookText"/>
        <w:rPr/>
      </w:pPr>
      <w:r>
        <w:rPr>
          <w:rFonts w:ascii="Amiri" w:hAnsi="Amiri" w:eastAsia="Amiri" w:cs="Amiri"/>
          <w:color w:val="111111"/>
          <w:sz w:val="28"/>
          <w:sz w:val="28"/>
          <w:szCs w:val="28"/>
          <w:rtl w:val="true"/>
          <w:lang w:bidi="ar-SA"/>
        </w:rPr>
        <w:t xml:space="preserve">تو بر ايمان ايشان حريص باشى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دلت بخواهد آن ها مؤمن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مى بينيم با آن كه خداوند تصريح مى كند، كه بيش تر مردم بى ايمانند، 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دليل ترك دعوت و تبليغ همه ى خلق قرار نمى دهند و پيوسته به فرمان خداوند، به تبليغ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بيش تر افراد جامعه اى نسبت به هدف الهى، ايمان راسخ داشت و در راه آن فداكارى كرد، محاسبه ى فهم سياسى اكثريّت جامعه ى مؤمن به هدف صحيح بوده و بايد در راه رسيدن به آن متّفقاً فداكارى نمايند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جامعه، حاضر و آماده بود، فهم تفصيلى و منطقى او در آن مورد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بايد هميشه در تكامل فهم او كوشش كامل به عمل آيد</w:t>
      </w:r>
      <w:r>
        <w:rPr>
          <w:rFonts w:eastAsia="IRNazanin" w:cs="IRNazanin"/>
          <w:color w:val="111111"/>
          <w:sz w:val="28"/>
          <w:szCs w:val="28"/>
          <w:rtl w:val="true"/>
          <w:lang w:bidi="fa-IR"/>
        </w:rPr>
        <w:t>.</w:t>
      </w:r>
      <w:r>
        <w:rPr>
          <w:rStyle w:val="FootnoteAnchor"/>
          <w:rtl w:val="true"/>
        </w:rPr>
        <w:footnoteReference w:id="18"/>
      </w:r>
      <w:bookmarkStart w:id="36" w:name="pg7528_66406"/>
    </w:p>
    <w:p>
      <w:pPr>
        <w:pStyle w:val="Heading2"/>
        <w:numPr>
          <w:ilvl w:val="1"/>
          <w:numId w:val="1"/>
        </w:numPr>
        <w:rPr/>
      </w:pPr>
      <w:bookmarkStart w:id="37" w:name="__RefHeading___Toc2626832_1051229030"/>
      <w:bookmarkStart w:id="38" w:name="_Toc14"/>
      <w:bookmarkEnd w:id="36"/>
      <w:bookmarkEnd w:id="37"/>
      <w:r>
        <w:rPr>
          <w:rtl w:val="true"/>
        </w:rPr>
        <w:t>كلام</w:t>
      </w:r>
      <w:bookmarkEnd w:id="38"/>
    </w:p>
    <w:p>
      <w:pPr>
        <w:pStyle w:val="Heading3"/>
        <w:numPr>
          <w:ilvl w:val="2"/>
          <w:numId w:val="1"/>
        </w:numPr>
        <w:rPr/>
      </w:pPr>
      <w:bookmarkStart w:id="39" w:name="__RefHeading___Toc2626834_1051229030"/>
      <w:bookmarkStart w:id="40" w:name="_Toc15"/>
      <w:bookmarkEnd w:id="39"/>
      <w:r>
        <w:rPr>
          <w:rtl w:val="true"/>
        </w:rPr>
        <w:t>ارتباط دنيا و آخرت</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2626836_1051229030"/>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چه رابطه ای بین اعمال دنیوی انسان و نتایج اخروی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میرزاپور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محدود انسان در دنیا چگونه با نتایج نامحدود اخروی سازگاری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امین صادقی </w:t>
      </w:r>
    </w:p>
    <w:p>
      <w:pPr>
        <w:pStyle w:val="BookText"/>
        <w:rPr/>
      </w:pPr>
      <w:r>
        <w:rPr>
          <w:rFonts w:ascii="Amiri" w:hAnsi="Amiri" w:eastAsia="Amiri" w:cs="Amiri"/>
          <w:color w:val="111111"/>
          <w:sz w:val="28"/>
          <w:sz w:val="28"/>
          <w:szCs w:val="28"/>
          <w:rtl w:val="true"/>
          <w:lang w:bidi="ar-SA"/>
        </w:rPr>
        <w:t>كلام</w:t>
      </w:r>
    </w:p>
    <w:p>
      <w:pPr>
        <w:pStyle w:val="BookText"/>
        <w:rPr/>
      </w:pPr>
      <w:r>
        <w:rPr>
          <w:rFonts w:ascii="Amiri" w:hAnsi="Amiri" w:eastAsia="Amiri" w:cs="Amiri"/>
          <w:color w:val="111111"/>
          <w:sz w:val="28"/>
          <w:sz w:val="28"/>
          <w:szCs w:val="28"/>
          <w:rtl w:val="true"/>
          <w:lang w:bidi="ar-SA"/>
        </w:rPr>
        <w:t>ارتباط دنيا و آخرت</w:t>
      </w:r>
    </w:p>
    <w:p>
      <w:pPr>
        <w:pStyle w:val="BookText"/>
        <w:rPr/>
      </w:pPr>
      <w:r>
        <w:rPr>
          <w:rFonts w:ascii="IRNazanin" w:hAnsi="IRNazanin" w:eastAsia="IRNazanin"/>
          <w:color w:val="111111"/>
          <w:sz w:val="28"/>
          <w:sz w:val="28"/>
          <w:szCs w:val="28"/>
          <w:rtl w:val="true"/>
          <w:lang w:bidi="fa-IR"/>
        </w:rPr>
        <w:t>توجه به مسئله ى معاد و تأثير اعمال دنيوى در آخرت آگاهى بخش و جهت دهنده ى حيات آدمى است چنان كه غفلت از آن سبب فرسودگى و بى حاصلى زندگى مى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 ترين تعاليم ملكوتى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كيفيت ارتباط تنگاتنگ زندگى دنيا و آخرت است و مؤمنان از رهگذر ايمان و عمل به اين تعاليم به عاقبت انديشى و در نهايت سعادت و كمال رهنمون مى شوند</w:t>
      </w:r>
      <w:r>
        <w:rPr>
          <w:rFonts w:eastAsia="IRNazanin" w:cs="IRNazanin"/>
          <w:color w:val="111111"/>
          <w:sz w:val="28"/>
          <w:szCs w:val="28"/>
          <w:rtl w:val="true"/>
          <w:lang w:bidi="fa-IR"/>
        </w:rPr>
        <w:t xml:space="preserve">. </w:t>
      </w:r>
      <w:bookmarkStart w:id="43" w:name="pg7528_66409"/>
    </w:p>
    <w:p>
      <w:pPr>
        <w:pStyle w:val="Heading4"/>
        <w:numPr>
          <w:ilvl w:val="3"/>
          <w:numId w:val="1"/>
        </w:numPr>
        <w:rPr/>
      </w:pPr>
      <w:bookmarkStart w:id="44" w:name="__RefHeading___Toc2626838_1051229030"/>
      <w:bookmarkStart w:id="45" w:name="_Toc17"/>
      <w:bookmarkEnd w:id="43"/>
      <w:bookmarkEnd w:id="44"/>
      <w:r>
        <w:rPr>
          <w:rtl w:val="true"/>
        </w:rPr>
        <w:t xml:space="preserve">چه رابطه اى بين اعمال دنيوى انسان و نتايج اُخروى آن </w:t>
      </w:r>
      <w:r>
        <w:rPr>
          <w:rtl w:val="true"/>
        </w:rPr>
        <w:t>(</w:t>
      </w:r>
      <w:r>
        <w:rPr>
          <w:rtl w:val="true"/>
        </w:rPr>
        <w:t>ثواب و عقاب</w:t>
      </w:r>
      <w:r>
        <w:rPr>
          <w:rtl w:val="true"/>
        </w:rPr>
        <w:t xml:space="preserve">) </w:t>
      </w:r>
      <w:r>
        <w:rPr>
          <w:rtl w:val="true"/>
        </w:rPr>
        <w:t>وجود دارد؟محسن ميرزاپور</w:t>
      </w:r>
      <w:bookmarkEnd w:id="45"/>
    </w:p>
    <w:p>
      <w:pPr>
        <w:pStyle w:val="Heading5"/>
        <w:numPr>
          <w:ilvl w:val="4"/>
          <w:numId w:val="1"/>
        </w:numPr>
        <w:rPr/>
      </w:pPr>
      <w:bookmarkStart w:id="46" w:name="__RefHeading___Toc2626840_1051229030"/>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از جمله مسائلى كه در بحث معاد به آن پرداخته شده و در آيات الهى و روايات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به چشم مى خورد، مسئله ى جزاى اعمال و نتيجه ى كردار آدمى در دنياست و اين كه هر</w:t>
      </w:r>
    </w:p>
    <w:p>
      <w:pPr>
        <w:pStyle w:val="BookText"/>
        <w:rPr/>
      </w:pPr>
      <w:r>
        <w:rPr>
          <w:rFonts w:ascii="IRNazanin" w:hAnsi="IRNazanin" w:eastAsia="IRNazanin"/>
          <w:color w:val="111111"/>
          <w:sz w:val="28"/>
          <w:sz w:val="28"/>
          <w:szCs w:val="28"/>
          <w:rtl w:val="true"/>
          <w:lang w:bidi="fa-IR"/>
        </w:rPr>
        <w:t>عملى كه از انسان صادر مى شود، خوب يا بد، به گونه اى آن را در آخرت پيش روى خود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بين اعمال دنيايى با نتايج اخروى آن چه ارتباطى وجود دارد، پرسشى است كه بايد بدان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لازم است متوجه اين نكته باشيم كه دنيا و آخرت با هم مرتبط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اى كه بين اين دو نشئه از حيات انسان وجود دارد، رابطه اى است چون كاشتن و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فصل كاشت و حركت و تكاپو و عمل است و آخرت فصل برداشت نتيجه ى همان تلاش ها و زحماتى كه در دنيا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برگ ديگرى از حيات انسان است كه توأم با بقا و جاودانگى است و سعادت و شقاوت آدمى در آخرت، در گرو عقايد و رفتار او در دنياست</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اليوم عمل و لا حساب و غداً حساب و لا عمل</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امروز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است و محاسبه نيست و فردا محاسبه است و كار نيست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ظرف به فعليت رساندن استعدادهاى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عملش كمالات بالقوه ى خود را به فعليت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 در دنيا با عقايد و رفتارش صورتى از خود را در آخرت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را كامل كند، آن جا نيز كامل خواهد بود </w:t>
      </w:r>
      <w:r>
        <w:rPr>
          <w:rStyle w:val="FootnoteAnchor"/>
          <w:rtl w:val="true"/>
        </w:rPr>
        <w:footnoteReference w:id="21"/>
      </w:r>
      <w:r>
        <w:rPr>
          <w:rFonts w:ascii="Amiri" w:hAnsi="Amiri" w:eastAsia="Amiri" w:cs="Amiri"/>
          <w:color w:val="111111"/>
          <w:sz w:val="28"/>
          <w:sz w:val="28"/>
          <w:szCs w:val="28"/>
          <w:rtl w:val="true"/>
          <w:lang w:bidi="ar-SA"/>
        </w:rPr>
        <w:t xml:space="preserve">و در هر زمينه اى كه </w:t>
      </w:r>
      <w:bookmarkStart w:id="48" w:name="pg7528_66410"/>
    </w:p>
    <w:p>
      <w:pPr>
        <w:pStyle w:val="BookText"/>
        <w:rPr/>
      </w:pPr>
      <w:bookmarkEnd w:id="48"/>
      <w:r>
        <w:rPr>
          <w:rFonts w:ascii="IRNazanin" w:hAnsi="IRNazanin" w:eastAsia="IRNazanin"/>
          <w:color w:val="111111"/>
          <w:sz w:val="28"/>
          <w:sz w:val="28"/>
          <w:szCs w:val="28"/>
          <w:rtl w:val="true"/>
          <w:lang w:bidi="fa-IR"/>
        </w:rPr>
        <w:t>كاستى داشته باشد، در آخرت نيز همان نقص تبلور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رابطه ى دنيا و آخرت تا حدودى معلوم شد، به بحث چگونگى ارتباط بين عمل و جزا مى پردازيم</w:t>
      </w:r>
      <w:r>
        <w:rPr>
          <w:rFonts w:eastAsia="IRNazanin" w:cs="IRNazanin"/>
          <w:color w:val="111111"/>
          <w:sz w:val="28"/>
          <w:szCs w:val="28"/>
          <w:rtl w:val="true"/>
          <w:lang w:bidi="fa-IR"/>
        </w:rPr>
        <w:t>.</w:t>
      </w:r>
    </w:p>
    <w:p>
      <w:pPr>
        <w:pStyle w:val="Heading5"/>
        <w:numPr>
          <w:ilvl w:val="4"/>
          <w:numId w:val="1"/>
        </w:numPr>
        <w:rPr/>
      </w:pPr>
      <w:bookmarkStart w:id="49" w:name="__RefHeading___Toc2626842_1051229030"/>
      <w:bookmarkStart w:id="50" w:name="_Toc19"/>
      <w:bookmarkEnd w:id="49"/>
      <w:r>
        <w:rPr>
          <w:rtl w:val="true"/>
        </w:rPr>
        <w:t>انواع مجازات ها و كيفرها</w:t>
      </w:r>
      <w:bookmarkEnd w:id="50"/>
    </w:p>
    <w:p>
      <w:pPr>
        <w:pStyle w:val="Heading6"/>
        <w:numPr>
          <w:ilvl w:val="5"/>
          <w:numId w:val="1"/>
        </w:numPr>
        <w:rPr/>
      </w:pPr>
      <w:bookmarkStart w:id="51" w:name="__RefHeading___Toc2626844_1051229030"/>
      <w:bookmarkStart w:id="52" w:name="_Toc20"/>
      <w:bookmarkEnd w:id="51"/>
      <w:r>
        <w:rPr/>
        <w:t>1</w:t>
      </w:r>
      <w:r>
        <w:rPr>
          <w:rtl w:val="true"/>
        </w:rPr>
        <w:t xml:space="preserve">. </w:t>
      </w:r>
      <w:r>
        <w:rPr>
          <w:rtl w:val="true"/>
        </w:rPr>
        <w:t>مجازات قراردادى</w:t>
      </w:r>
      <w:r>
        <w:rPr>
          <w:rtl w:val="true"/>
        </w:rPr>
        <w:t>:</w:t>
      </w:r>
      <w:bookmarkEnd w:id="52"/>
    </w:p>
    <w:p>
      <w:pPr>
        <w:pStyle w:val="BookText"/>
        <w:rPr/>
      </w:pPr>
      <w:r>
        <w:rPr>
          <w:rFonts w:ascii="IRNazanin" w:hAnsi="IRNazanin" w:eastAsia="IRNazanin"/>
          <w:color w:val="111111"/>
          <w:sz w:val="28"/>
          <w:sz w:val="28"/>
          <w:szCs w:val="28"/>
          <w:rtl w:val="true"/>
          <w:lang w:bidi="fa-IR"/>
        </w:rPr>
        <w:t>مجازات قراردادى از نوع كيفرهايى است كه در مقررات جزايى استفاده مى شود و قانون گذارانى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قانون گذار الهى يا غير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مجازات بيشتر جنبه ى عبرت آموزى دارد و دو فايده ى مهم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تكرار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تسلى خاطر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تربيت و اصلاح مجرمين و برقرارى نظم و امنيت در جوامع بشرى، اين گونه قوانين جزايى ضرورت دارد و چيز ديگرى نمى تواند جاى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تناسب بين جرم و جزا در قوانين جزايى بايد رعايت شود</w:t>
      </w:r>
      <w:r>
        <w:rPr>
          <w:rFonts w:eastAsia="IRNazanin" w:cs="IRNazanin"/>
          <w:color w:val="111111"/>
          <w:sz w:val="28"/>
          <w:szCs w:val="28"/>
          <w:rtl w:val="true"/>
          <w:lang w:bidi="fa-IR"/>
        </w:rPr>
        <w:t>.</w:t>
      </w:r>
      <w:r>
        <w:rPr>
          <w:rStyle w:val="FootnoteAnchor"/>
          <w:rtl w:val="true"/>
        </w:rPr>
        <w:footnoteReference w:id="22"/>
      </w:r>
    </w:p>
    <w:p>
      <w:pPr>
        <w:pStyle w:val="Heading6"/>
        <w:numPr>
          <w:ilvl w:val="5"/>
          <w:numId w:val="1"/>
        </w:numPr>
        <w:rPr/>
      </w:pPr>
      <w:bookmarkStart w:id="53" w:name="__RefHeading___Toc2626846_1051229030"/>
      <w:bookmarkStart w:id="54" w:name="_Toc21"/>
      <w:bookmarkEnd w:id="53"/>
      <w:r>
        <w:rPr/>
        <w:t>2</w:t>
      </w:r>
      <w:r>
        <w:rPr>
          <w:rtl w:val="true"/>
        </w:rPr>
        <w:t xml:space="preserve">. </w:t>
      </w:r>
      <w:r>
        <w:rPr>
          <w:rtl w:val="true"/>
        </w:rPr>
        <w:t>كيفر تكوينى دنيايى</w:t>
      </w:r>
      <w:r>
        <w:rPr>
          <w:rtl w:val="true"/>
        </w:rPr>
        <w:t>:</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كيفرهايى كه رابطه ى علّى و معلولى با جرم دارد، به گونه اى كه مجازات معلول جرم و نتيجه ى طبيعى آن است، كيفر تكوينى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وضعى عمل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غذاى سمّى بخورد و به هشدارهاى ديگران توجهى نكند، خواهد مُرد، چرا كه بين خوردن سم و مردن، رابطه ى على و معلولى برقرار است و نتيجه ى طبيعى ورود سم به بدن و خون انسان،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هنگامى كه كودكى على رغم هشدار والدين خود دست به ظرفى داغ مى زند و دچار سوختگى و درد و سوزش مى شود، مسلماً غير از عمل خود او عامل ديگرى براى درد و </w:t>
      </w:r>
      <w:bookmarkStart w:id="55" w:name="pg7528_66411"/>
    </w:p>
    <w:p>
      <w:pPr>
        <w:pStyle w:val="BookText"/>
        <w:rPr/>
      </w:pPr>
      <w:bookmarkEnd w:id="55"/>
      <w:r>
        <w:rPr>
          <w:rFonts w:ascii="IRNazanin" w:hAnsi="IRNazanin" w:eastAsia="IRNazanin"/>
          <w:color w:val="111111"/>
          <w:sz w:val="28"/>
          <w:sz w:val="28"/>
          <w:szCs w:val="28"/>
          <w:rtl w:val="true"/>
          <w:lang w:bidi="fa-IR"/>
        </w:rPr>
        <w:t>سوزش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مكافات عمل امرى ماوراى امور طبيعى است كه از ناحيه ى غيب ما را از آن مطّلع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عاق والدين خلافى است كه نتيجه اش در آخرت ثابت است، لكن از جمله امورى است كه خداوند در همين دنيا هم به عاملش كيفر خواهد داد، يعنى بين كيفر دنيوى و عاق والدين رابطه ى تكوينى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بين قطع رحم و كوتاهى عمر يك رابطه ى علّى و معلولى برقرار است و اثر وضعى قطع رحم، كوتاهى عمر است</w:t>
      </w:r>
      <w:r>
        <w:rPr>
          <w:rFonts w:eastAsia="IRNazanin" w:cs="IRNazanin"/>
          <w:color w:val="111111"/>
          <w:sz w:val="28"/>
          <w:szCs w:val="28"/>
          <w:rtl w:val="true"/>
          <w:lang w:bidi="fa-IR"/>
        </w:rPr>
        <w:t>.</w:t>
      </w:r>
      <w:r>
        <w:rPr>
          <w:rStyle w:val="FootnoteAnchor"/>
          <w:rtl w:val="true"/>
        </w:rPr>
        <w:footnoteReference w:id="23"/>
      </w:r>
    </w:p>
    <w:p>
      <w:pPr>
        <w:pStyle w:val="Heading6"/>
        <w:numPr>
          <w:ilvl w:val="5"/>
          <w:numId w:val="1"/>
        </w:numPr>
        <w:rPr/>
      </w:pPr>
      <w:bookmarkStart w:id="56" w:name="__RefHeading___Toc2626848_1051229030"/>
      <w:bookmarkStart w:id="57" w:name="_Toc22"/>
      <w:bookmarkEnd w:id="56"/>
      <w:r>
        <w:rPr/>
        <w:t>3</w:t>
      </w:r>
      <w:r>
        <w:rPr>
          <w:rtl w:val="true"/>
        </w:rPr>
        <w:t xml:space="preserve">. </w:t>
      </w:r>
      <w:r>
        <w:rPr>
          <w:rtl w:val="true"/>
        </w:rPr>
        <w:t>كيفر تكوينى اخروى</w:t>
      </w:r>
      <w:r>
        <w:rPr>
          <w:rtl w:val="true"/>
        </w:rPr>
        <w:t>:</w:t>
      </w:r>
      <w:bookmarkEnd w:id="57"/>
    </w:p>
    <w:p>
      <w:pPr>
        <w:pStyle w:val="BookText"/>
        <w:rPr/>
      </w:pPr>
      <w:r>
        <w:rPr>
          <w:rFonts w:ascii="IRNazanin" w:hAnsi="IRNazanin" w:eastAsia="IRNazanin"/>
          <w:color w:val="111111"/>
          <w:sz w:val="28"/>
          <w:sz w:val="28"/>
          <w:szCs w:val="28"/>
          <w:rtl w:val="true"/>
          <w:lang w:bidi="fa-IR"/>
        </w:rPr>
        <w:t>مجازات هاى اخروى يك نوع رابطه ى تكوينى با عمل دارند كه به مراتب قوى تر از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رابطه ى عينيت و اتحاد حكم فرماست و هر آنچه در دنيا صورت مى گيرد در آخرت پيش روى آدمى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ما يك صورت مُلكى و ظاهرى دارد و يك صورت ملكوتى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دنيا صورت مى پذيرد صورت ملكى و ظاهرى عمل است كه در يك لحظه محقق مى شود و فانى مى گردد و ديگر اثرى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ما نيست، لكن صورت باطنى و ملكوتى عمل انسان باقى و فناناپذير است و هرگز از عامل آن جدا نمى شود و يك باره در آخرت ظاهر مى گردد و انسان با چشم باطنى كه در آخرت باز مى شود، مى بيند كه براى خود چه چيزهايى را از پيش فرستاده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بايد چند نكته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عمل هر كسى باقى است و فانى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هر عملى به موجود معينى ربط وجودى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نظام جهان هستى بر اساس رابطه ى علّى و معلولى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تنها تكيه گاه هر عملى كه صادر مى شود، خود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آدمى مبدأ فاعلى اعمال خود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پس هر نيك و بدى كه از انسان صادر شود به خود او برمى گردد و قرآن از اين اصل، چنين خبر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مسئول كار خويش است و هر كرده اى از او سر زد بر گردن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آياتى از قرآن كريم از اين حقيقت خبر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هر آنچه در دنيا انجام دهد در آخرت خواهد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ما تُقَدِّمُوا لِأَنْفُسِكُمْ مِنْ خَيْر تَجِدُوهُ عِنْدَ اللّهِ إِنَّ اللّهَ بِما تَعْمَلُونَ بَصِيرٌ</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داريد و زكات بدهيد و بدانيد كه آنچه براى خود پيش مى فرستيد در نزد خدا خواهيد يافت، همانا خداوند به اعمال شما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اسرار و پنهان كارى انسان در آخرت آشكار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ما فِي أَنْفُسِكُمْ أَوْ تُخْفُوهُ يُحاسِبْكُمْ بِهِ اللّهُ</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هر آنچه از خير و شر در دل داشته باشيد، پنهان كنيد يا آشكار، همه را خداوند در محاسبه ى اعمالتان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عين عمل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پسركم همانا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ى </w:t>
      </w:r>
    </w:p>
    <w:p>
      <w:pPr>
        <w:pStyle w:val="BookText"/>
        <w:rPr/>
      </w:pPr>
      <w:r>
        <w:rPr>
          <w:rFonts w:ascii="IRNazanin" w:hAnsi="IRNazanin" w:eastAsia="IRNazanin"/>
          <w:color w:val="111111"/>
          <w:sz w:val="28"/>
          <w:sz w:val="28"/>
          <w:szCs w:val="28"/>
          <w:rtl w:val="true"/>
          <w:lang w:bidi="fa-IR"/>
        </w:rPr>
        <w:t>كار تو 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ى دانه ى خردلى،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در آسمان ها يا زمين باشد، خدا آن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لطيف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كيفيت ارائه ى عمل به انسان در قيامت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 وَ لِلّهِ مِيراثُ السَّماواتِ وَ الْأَرْضِ وَ اللّهُ بِما تَعْمَلُونَ خَبِيرٌ</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كه در جهان مى اندوزند،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طوقى به گردنشان مى افكنند و ميراث آسمان ها و زمين از آن خداست و خدا از آنچه انجام مى دهيد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انسان داراى ظاهر و باطنى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كسانى كه اموال يتيمان را به ستم مى خورند، جز اين نيست كه آتش در شكم خود فرو مى برند و به زودى در شعله هاى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سوزند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آدمى به سبب ظلم بى حدّ و حصر خودش هيزم جهنم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وَقُودُ النّارِ</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مايه ى آتش افروز جهنّم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الَّتِي وَقُودُهَا النّاسُ وَ الْحِجارَةُ</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از آتشى كه هيزم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گيره و آتش زنه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بدكار و سنگ ريزه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همچون سنگ هاى آتش زا و آتش برانگيزند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عمل چنان است كه عامل را به صورت خود درمى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كه در صور دميده مى شود، و </w:t>
      </w:r>
    </w:p>
    <w:p>
      <w:pPr>
        <w:pStyle w:val="BookText"/>
        <w:rPr/>
      </w:pPr>
      <w:r>
        <w:rPr>
          <w:rFonts w:ascii="IRNazanin" w:hAnsi="IRNazanin" w:eastAsia="IRNazanin"/>
          <w:color w:val="111111"/>
          <w:sz w:val="28"/>
          <w:sz w:val="28"/>
          <w:szCs w:val="28"/>
          <w:rtl w:val="true"/>
          <w:lang w:bidi="fa-IR"/>
        </w:rPr>
        <w:t xml:space="preserve">شما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محشر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 همين آيه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شده كه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صنف از امت من پراكنده محشور خواهند شد و خداوند آنان را از ساير مردم جدا و متمايز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شكل بوزينه، برخى به صورت خوك، برخى واژگون اند و پاهايشان بالا و در صحنه ى قيامت به چهره كشيده مى شوند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عمل در دنيا تا حدّى پيش مى رود كه در قيامت صورت انسانى را از او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دنيا سخن چين بود در آخرت، همين عمل او كه به حدّ ملكه رسيده است، به صورت بوزينه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رابطه ى تنگاتنگى بين عمل و جزا برقرار است، تا حدّى كه به عينيّت و اتحاد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كه ما توان درك آخرت را نداريم، كيفيت اتحاد و عينيت بين عمل و جزا هم براى ما چندان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عينيتى كه در اين جا مطرح است، بدان معنا نيست كه همان عملى كه در دنيا انجام داده ايم، با تمام خصوصيات در آخرت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انفاقى به فقير در خلوت صورت گيرد عين همين به صورت جزا پيش روى آدمى ظاهر مى شود، بلكه پاداش و جزايى به اين بنده تعلق مى گيرد كه رابطه ى عينى با نفس عمل دارد و چيزى خارج از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آخرت به صورت پاداش ظهور پيدا مى كند، امّا كيفيت اين ظهور براى ما روشن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كيفيت اتحاد و عينيت بين عمل در دنيا و جزاى در آخرت خيلى روشن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p>
    <w:p>
      <w:pPr>
        <w:pStyle w:val="BookText"/>
        <w:rPr/>
      </w:pPr>
      <w:r>
        <w:rPr>
          <w:rFonts w:ascii="IRNazanin" w:hAnsi="IRNazanin" w:eastAsia="IRNazanin"/>
          <w:color w:val="111111"/>
          <w:sz w:val="28"/>
          <w:sz w:val="28"/>
          <w:szCs w:val="28"/>
          <w:rtl w:val="true"/>
          <w:lang w:bidi="fa-IR"/>
        </w:rPr>
        <w:t>انسان در دنيا مرتبه اى از وجود است، پاداش آن عمل در آخرت هم مرتبه ى ديگرى از وجود است كه براى ما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 جا مشاهده مى شود، از نتيجه ى عمل و عقايد، از موجودى كه در اين دنياست به وجود مى آيد و ايمان و عمل صالح و يا كفر و عصيان، آن را شكل مى دهد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ياد شده نتيجه مى گيريم كه رابطه ى بين عمل و جزا رابطه ى اتحاد و عينيت است و اين مطلب در آيات فراوانى از قرآن كريم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وجود دارند</w:t>
      </w:r>
      <w:r>
        <w:rPr>
          <w:rStyle w:val="FootnoteAnchor"/>
          <w:rtl w:val="true"/>
        </w:rPr>
        <w:footnoteReference w:id="37"/>
      </w:r>
      <w:r>
        <w:rPr>
          <w:rFonts w:ascii="IRNazanin" w:hAnsi="IRNazanin" w:eastAsia="IRNazanin"/>
          <w:color w:val="111111"/>
          <w:sz w:val="28"/>
          <w:sz w:val="28"/>
          <w:szCs w:val="28"/>
          <w:rtl w:val="true"/>
          <w:lang w:bidi="fa-IR"/>
        </w:rPr>
        <w:t xml:space="preserve">كه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از رابطه ى قراردادى بين عمل و پاداش خبر مى دهند، لكن اين گونه تعبيرات، براى سهولت فهم و رعايت حال اكثريت مردم است كه ذهنشان با چنين مفاهيمى آشناتر است، و گرنه آيات ديگرى وجود دارند</w:t>
      </w:r>
      <w:r>
        <w:rPr>
          <w:rStyle w:val="FootnoteAnchor"/>
          <w:rtl w:val="true"/>
        </w:rPr>
        <w:footnoteReference w:id="38"/>
      </w:r>
      <w:r>
        <w:rPr>
          <w:rFonts w:ascii="Amiri" w:hAnsi="Amiri" w:eastAsia="Amiri" w:cs="Amiri"/>
          <w:color w:val="111111"/>
          <w:sz w:val="28"/>
          <w:sz w:val="28"/>
          <w:szCs w:val="28"/>
          <w:rtl w:val="true"/>
          <w:lang w:bidi="ar-SA"/>
        </w:rPr>
        <w:t>كه تعبير اجر و جزا در آن نيامده و از عينيت عمل و جزا خبر مى دهند</w:t>
      </w:r>
      <w:r>
        <w:rPr>
          <w:rFonts w:eastAsia="Amiri" w:cs="Amiri" w:ascii="Amiri" w:hAnsi="Amiri"/>
          <w:color w:val="111111"/>
          <w:sz w:val="28"/>
          <w:szCs w:val="28"/>
          <w:rtl w:val="true"/>
          <w:lang w:bidi="ar-SA"/>
        </w:rPr>
        <w:t>.</w:t>
      </w:r>
      <w:r>
        <w:rPr>
          <w:rStyle w:val="FootnoteAnchor"/>
          <w:rtl w:val="true"/>
        </w:rPr>
        <w:footnoteReference w:id="39"/>
      </w:r>
      <w:bookmarkStart w:id="58" w:name="pg7528_66416"/>
    </w:p>
    <w:p>
      <w:pPr>
        <w:pStyle w:val="Heading4"/>
        <w:numPr>
          <w:ilvl w:val="3"/>
          <w:numId w:val="1"/>
        </w:numPr>
        <w:rPr/>
      </w:pPr>
      <w:bookmarkStart w:id="59" w:name="__RefHeading___Toc2626850_1051229030"/>
      <w:bookmarkStart w:id="60" w:name="_Toc23"/>
      <w:bookmarkEnd w:id="58"/>
      <w:bookmarkEnd w:id="59"/>
      <w:r>
        <w:rPr>
          <w:rtl w:val="true"/>
        </w:rPr>
        <w:t>اعمال محدود انسان در دنيا چگونه با نتايج نامحدود اُخروى سازگارى دارد؟محمد امين صادقى</w:t>
      </w:r>
      <w:bookmarkEnd w:id="60"/>
    </w:p>
    <w:p>
      <w:pPr>
        <w:pStyle w:val="BookText"/>
        <w:rPr/>
      </w:pPr>
      <w:r>
        <w:rPr>
          <w:rFonts w:ascii="IRNazanin" w:hAnsi="IRNazanin" w:eastAsia="IRNazanin"/>
          <w:color w:val="111111"/>
          <w:sz w:val="28"/>
          <w:sz w:val="28"/>
          <w:szCs w:val="28"/>
          <w:rtl w:val="true"/>
          <w:lang w:bidi="fa-IR"/>
        </w:rPr>
        <w:t>هر چند اين پرسش نوعاً متوجه كيفرهاى اخروى است، اما ممكن است درباره ى پاداش هاى اخروى نيز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به هر دو محور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سازگارى اعمال انسان با پاداش هاى اخروى،چچ نياز به استدلال و اقامه ى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به آسانى قابل پذيرش است كه تفضّل و پاداش بيشتر از عمل، از خداوندى كه تفضّل، بخشش و رحمت نامتناهى جزء صفات كمال اوست، جاى شگفتى و پرسش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ثانياً، عمل نيك انسان مثل حبّه و دانه ى بذرى است كه اگر به طور مناسب و در شرايط مساعد كاشته شود، هزارها حبّه از آن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در اين باره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 اللّهِ كَمَثَلِ حَبَّة أَنبَتَتْ سَبْعَ سَنابِلَ فِي كُلِّ سُنبُلَة مِئَةُ حَبَّة وَاللّهُ يُضاعِفُ لِمَنْ يَشاءُ وَاللّهُ 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كسانى كه اموال خود را در راه خدا انفاق مى كنند، همانند بذرى است كه هفت خوشه بروياند كه در هر خوشه، يكصد دانه باشد، و خداوند آن را براى هر كس بخواهد و شايستگى داشته باشد دو يا چند برابر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انسان براى درك و فهم يك مسئله يك ساعت انديشه و تفكر مى كند كه نتيجه ى </w:t>
      </w:r>
    </w:p>
    <w:p>
      <w:pPr>
        <w:pStyle w:val="BookText"/>
        <w:rPr/>
      </w:pPr>
      <w:r>
        <w:rPr>
          <w:rFonts w:ascii="IRNazanin" w:hAnsi="IRNazanin" w:eastAsia="IRNazanin"/>
          <w:color w:val="111111"/>
          <w:sz w:val="28"/>
          <w:sz w:val="28"/>
          <w:szCs w:val="28"/>
          <w:rtl w:val="true"/>
          <w:lang w:bidi="fa-IR"/>
        </w:rPr>
        <w:t>آن زندگى بهتر و آثار علمى و عملى بى شمارى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تفكر در جهت شناخت و معرفت الهى باشد ممكن است تا ابد براى او نتيجه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حكما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المعرفة بذر المشاهدة</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معرفت خداوند بذر شهود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المعرفة و التصورها هنا بذر المشاهدة فى العقبى</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شناخت و معرفت خداوند در اين دنيا سبب مى شود كه انسان خدا را در آخرت شهود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روشن است كه نتيجه ى نامحدود از يك عمل محدود به آسانى قابل درك و پذيرش است و نيازى به استدلال و تحليل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چگونگى سازگارى اعمال انسان با كيفر آن اعمال از جهات مختلف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گناه محدود چگونه كيفر نامحدود دارد؟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كسانى كه چنين پرسش هايى را مطرح مى كنند از اين غافل اند كه بين مجازات هاى قراردادى و اعتبارى و مجازات هاى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پيامد سوء اعمال و نتيجه ى طبيعى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بنيادين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راننده اى با سرعت غيرمجاز رانندگى كند، ممكن است طبق قانون و متناسب با جرمش جريمه شود، اما اگر بر اثر سرعت غيرمجاز چشمش را از دست بدهد، طبيعى است كه تا آخر عمر بايد رنج كورى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كيفرهاى اخروى از سنخ مجازات هاى تكوينى و شبيه اين نوع پيامد عمل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پس بحث تناسب كيفر و عمل از نظر كميت فقط در كيفرهاى قراردادى مطرح است و در امور تكوينى هرگز بين عمل و پيامد آن تناسبى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كسى يك قطره زهر بنوشد و يا در يك لحظه خود را از كوه پرتاب كند، براى هميشه از زندگى ساقط </w:t>
      </w:r>
    </w:p>
    <w:p>
      <w:pPr>
        <w:pStyle w:val="BookText"/>
        <w:rPr/>
      </w:pPr>
      <w:r>
        <w:rPr>
          <w:rFonts w:ascii="IRNazanin" w:hAnsi="IRNazanin" w:eastAsia="IRNazanin"/>
          <w:color w:val="111111"/>
          <w:sz w:val="28"/>
          <w:sz w:val="28"/>
          <w:szCs w:val="28"/>
          <w:rtl w:val="true"/>
          <w:lang w:bidi="fa-IR"/>
        </w:rPr>
        <w:t>مى شود و هيچ عاقلى نخواهد گفت كه آن عمل محدود چرا اين نتيجه ى طولانى را دارد؟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ى عمل و پيامد، به خصوص كيفر، نه تنها فراتر از جرم و جريمه ى اعتبارى است، بلكه در واقع از رابطه ى علت و معلول نيز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بين عمل و كيفر و يا پاداش رابطه ى عينيت و اتحاد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عين پاداش و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عملى لباسِ وجود بر تن كند، تا ابد موجود است و نابود نمى شود، پس پيامد آن نيز كه عين آن است، ابدى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تبيين اين مسئله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هر كسى آنچه كار نيك به جاى آورده و آنچه بدى مرتكب شده، حاضر شده مى يابد و آرزو مى كند كاش ميان او و آن كارهاى بد فاصله اى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استفاده مى شود كه بين عمل و نتيجه ى اخروى آن، اتحاد و عينيت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محدود در دنيا، باطن و ملكوت نامحدود دارد كه در قيامت ظاهر مى 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محدودى كيفر نامحدود ندارد، بلكه ممكن است برخى اعمال به سبب توبه و يا عفو الهى، كيفر نداشته باشند و يا به طور محدود كيفر داده شوند و سپس بهشت و نعمت هاى ديگر به دنبال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گناهانى كه احياناً ممكن است از انسان مؤمن سر بزند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اعمالى كه انسان را از دايره ى انسانيت خارج مى كند و يا تكرار آن سبب ايجاد </w:t>
      </w:r>
    </w:p>
    <w:p>
      <w:pPr>
        <w:pStyle w:val="BookText"/>
        <w:rPr/>
      </w:pPr>
      <w:r>
        <w:rPr>
          <w:rFonts w:ascii="IRNazanin" w:hAnsi="IRNazanin" w:eastAsia="IRNazanin"/>
          <w:color w:val="111111"/>
          <w:sz w:val="28"/>
          <w:sz w:val="28"/>
          <w:szCs w:val="28"/>
          <w:rtl w:val="true"/>
          <w:lang w:bidi="fa-IR"/>
        </w:rPr>
        <w:t>ملكه ى نفسانى بد مى شود و اساساً صورت نوعى انسان را دگرگون مى سازد، كيفر نامحدود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تناسب عمل و كيفر از قياسِ غلط، امور آخرت به امور دنيايى برمى خيزد، در حالى كه نشئه ى آخرت، شرايط، احكام و قوانين خاص خود را دارد كه هرگز با قوانين دنيا قابل مقايسه نيست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ى برخى از بزرگان، عملكرد ناشايستْ انسان را مخلّد در ارض طبيعت مى كند، و باطن آن، در عالم آخرت جلوه مى نمايد كه همان خلود در جهنم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پس خلود در آتش در حقيقت تجسم خلود در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اگر بر اثر گناه نور فطرت در وجود انسان خاموش شود، اثرش خلود در جهنم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نيز اگر شرك و كفر جاى گزين فطرت توحيدى شود، شفاعت از انسان سلب مى گردد و او تا ابد در عذاب به سر خواهد برد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هم چنين برخى روايات اشاره به اين دارد كه خلود، چه در بهشت و چه در جهنم، دايرمدار نيّت انسان است، چون نيت روح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 ناخواه، محدود است، اما روح عمل يعنى نيت و اثر آن مى تواند جاودان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جاودانگى در بهشت و يا جهنم بر اساس اقتضاى روح عمل يعنى نيت رقم مى خورد، چون نيت نوعى عمل است و اعمال قلبى دايمى و هميشگى اند و اثر جاودان در پى خواهند داشت</w:t>
      </w:r>
      <w:r>
        <w:rPr>
          <w:rFonts w:eastAsia="IRNazanin" w:cs="IRNazanin"/>
          <w:color w:val="111111"/>
          <w:sz w:val="28"/>
          <w:szCs w:val="28"/>
          <w:rtl w:val="true"/>
          <w:lang w:bidi="fa-IR"/>
        </w:rPr>
        <w:t>.</w:t>
      </w:r>
      <w:r>
        <w:rPr>
          <w:rStyle w:val="FootnoteAnchor"/>
          <w:rtl w:val="true"/>
        </w:rPr>
        <w:footnoteReference w:id="5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اگر پروردگار تو ستم نمى كند، پس چگونه كسى را كه تنها چند روز گناه كرده، براى هميشه در آتش نگاه مى دارد؟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واسطه ى نيتش در آتش جاودان نگه مى دارد، كسى را كه خداوند مى داند اگر تا پايان دنيا در آن بماند، معصيت و نافرمانى خدا را انجام مى دهد، به واسطه ى اين نيت او را تا ابد در آتش نگه مى دارد، چون اين نيت از عملش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در بهشت نيز به آن جهت است كه فردى قصد دارد اگر هر اندازه در دنيا باقى ماند، همواره طاعت و بندگى خداوند را انجام دهد، اين نيت او از عملش بهتر است لذا در بهشت جاودان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خلود در بهشت و يا جهنم دايرمدار نيت انسان هاست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برخى بر اين عقيده اند كه اعتقاد و باور، محور و اساس كار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انسان از اعتقاد و از روح او بر مى خيزد و روح او تابع زمان و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مجرد است و مجردات اصلا نمى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عذاب ثابت و جاودان را بچشد، چه اين كه انسان گناه كار بر اثر عملكرد بد براى خود وجود جهنمى كسب كرده و در آخرت به اصل خود، يعنى دوزخ بزرگ مى رسد</w:t>
      </w:r>
      <w:r>
        <w:rPr>
          <w:rFonts w:eastAsia="IRNazanin" w:cs="IRNazanin"/>
          <w:color w:val="111111"/>
          <w:sz w:val="28"/>
          <w:szCs w:val="28"/>
          <w:rtl w:val="true"/>
          <w:lang w:bidi="fa-IR"/>
        </w:rPr>
        <w:t>.</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كه بين عمل خوب و بد و جزاى آنها رابطه ى تكوينى و عينى برقرار است چنانكه گناه و معصيت بسان كبريت كوچكى است كه ممكن است شهرى را به آتش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بكشاند و كار خير و حسنه همچون بذر گلى است كه با گذشت چند صباحى صحرايى از زيباترين و معطرترين گلها را به وجود مى آورد كه عطر آن مشام جان را معطر و دل را نوازش مى دهد</w:t>
      </w:r>
      <w:r>
        <w:rPr>
          <w:rFonts w:eastAsia="IRNazanin" w:cs="IRNazanin"/>
          <w:color w:val="111111"/>
          <w:sz w:val="28"/>
          <w:szCs w:val="28"/>
          <w:rtl w:val="true"/>
          <w:lang w:bidi="fa-IR"/>
        </w:rPr>
        <w:t xml:space="preserve">. </w:t>
      </w:r>
      <w:bookmarkStart w:id="61" w:name="pg7528_66422"/>
    </w:p>
    <w:p>
      <w:pPr>
        <w:pStyle w:val="Heading2"/>
        <w:numPr>
          <w:ilvl w:val="1"/>
          <w:numId w:val="1"/>
        </w:numPr>
        <w:rPr/>
      </w:pPr>
      <w:bookmarkStart w:id="62" w:name="__RefHeading___Toc2626852_1051229030"/>
      <w:bookmarkStart w:id="63" w:name="_Toc24"/>
      <w:bookmarkEnd w:id="61"/>
      <w:bookmarkEnd w:id="62"/>
      <w:r>
        <w:rPr>
          <w:rtl w:val="true"/>
        </w:rPr>
        <w:t>مشاوره و تربيت</w:t>
      </w:r>
      <w:bookmarkEnd w:id="63"/>
    </w:p>
    <w:p>
      <w:pPr>
        <w:pStyle w:val="Heading3"/>
        <w:numPr>
          <w:ilvl w:val="2"/>
          <w:numId w:val="1"/>
        </w:numPr>
        <w:rPr/>
      </w:pPr>
      <w:bookmarkStart w:id="64" w:name="__RefHeading___Toc2626854_1051229030"/>
      <w:bookmarkStart w:id="65" w:name="_Toc25"/>
      <w:bookmarkEnd w:id="64"/>
      <w:r>
        <w:rPr>
          <w:rtl w:val="true"/>
        </w:rPr>
        <w:t>مُدگرايى</w:t>
      </w:r>
      <w:bookmarkEnd w:id="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 w:name="__RefHeading___Toc2626856_1051229030"/>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علل گرايش به مدل هاى غربى چيست؟</w:t>
      </w:r>
    </w:p>
    <w:p>
      <w:pPr>
        <w:pStyle w:val="BookText"/>
        <w:rPr/>
      </w:pPr>
      <w:r>
        <w:rPr>
          <w:rFonts w:ascii="IRNazanin" w:hAnsi="IRNazanin" w:eastAsia="IRNazanin"/>
          <w:color w:val="111111"/>
          <w:sz w:val="28"/>
          <w:sz w:val="28"/>
          <w:szCs w:val="28"/>
          <w:rtl w:val="true"/>
          <w:lang w:bidi="fa-IR"/>
        </w:rPr>
        <w:t>راهكارهاى جلوگيرى از گرايش به مدل هاى بيگانه چيست؟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تقى قاضوى </w:t>
      </w:r>
    </w:p>
    <w:p>
      <w:pPr>
        <w:pStyle w:val="BookText"/>
        <w:rPr/>
      </w:pPr>
      <w:r>
        <w:rPr>
          <w:rFonts w:ascii="Amiri" w:hAnsi="Amiri" w:eastAsia="Amiri" w:cs="Amiri"/>
          <w:color w:val="111111"/>
          <w:sz w:val="28"/>
          <w:sz w:val="28"/>
          <w:szCs w:val="28"/>
          <w:rtl w:val="true"/>
          <w:lang w:bidi="ar-SA"/>
        </w:rPr>
        <w:t>مشاوره و تربيت</w:t>
      </w:r>
    </w:p>
    <w:p>
      <w:pPr>
        <w:pStyle w:val="BookText"/>
        <w:rPr/>
      </w:pPr>
      <w:r>
        <w:rPr>
          <w:rFonts w:ascii="IRNazanin" w:hAnsi="IRNazanin" w:eastAsia="IRNazanin"/>
          <w:color w:val="111111"/>
          <w:sz w:val="28"/>
          <w:sz w:val="28"/>
          <w:szCs w:val="28"/>
          <w:rtl w:val="true"/>
          <w:lang w:bidi="fa-IR"/>
        </w:rPr>
        <w:t>مُدگرايى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همواره، به خصوص در دوران نوجوانى و جوانى تنوع طلب، نوگرا و لذت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دينى جاويد و جامع است، نه تنها جلوى گرايش هاى فطرى بشر را نگرفته، بلكه با بيان چارچوب ها و ايجاد بينش و ارائه ى الگوى عملى، سعى كرده به اين گرايش هاى درونى جهت و عمق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در معارف و مسائل دينى و سيره 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مدها و الگوهاى بهنجار، حدود و مرزهايى تعيين شده تا از افراط و تفريط جلوگيرى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تحقیقی در این باره از آقای سید محمد تقی قاضوی ازائه شده است</w:t>
      </w:r>
      <w:r>
        <w:rPr>
          <w:rFonts w:eastAsia="IRNazanin" w:cs="IRNazanin"/>
          <w:color w:val="111111"/>
          <w:sz w:val="28"/>
          <w:szCs w:val="28"/>
          <w:rtl w:val="true"/>
          <w:lang w:bidi="fa-IR"/>
        </w:rPr>
        <w:t xml:space="preserve">. </w:t>
      </w:r>
      <w:bookmarkStart w:id="68" w:name="pg7528_66425"/>
    </w:p>
    <w:p>
      <w:pPr>
        <w:pStyle w:val="Heading4"/>
        <w:numPr>
          <w:ilvl w:val="3"/>
          <w:numId w:val="1"/>
        </w:numPr>
        <w:rPr/>
      </w:pPr>
      <w:bookmarkStart w:id="69" w:name="__RefHeading___Toc2626858_1051229030"/>
      <w:bookmarkStart w:id="70" w:name="_Toc27"/>
      <w:bookmarkEnd w:id="68"/>
      <w:bookmarkEnd w:id="69"/>
      <w:r>
        <w:rPr>
          <w:rtl w:val="true"/>
        </w:rPr>
        <w:t>علل گرايش به مدل هاى غربى چيست؟</w:t>
      </w:r>
      <w:bookmarkEnd w:id="70"/>
    </w:p>
    <w:p>
      <w:pPr>
        <w:pStyle w:val="Heading5"/>
        <w:numPr>
          <w:ilvl w:val="4"/>
          <w:numId w:val="1"/>
        </w:numPr>
        <w:rPr/>
      </w:pPr>
      <w:bookmarkStart w:id="71" w:name="__RefHeading___Toc2626860_1051229030"/>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جسم و روان انسان مانند جهان طبيعت داراى فصول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جوانه مى زند، رشد مى كند، محصول مى دهد و زمستان پيرى پس از مدتى از راه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انسان نيز گاه لبخند بهارى و گاه مهر تابستانى و گاه اشك پاييزى و گاه قهر زمستانى را تجربه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و تبديل از ويژگى هاى طبيعى انسان و جهان است و در مسير آن نوگرايى و به روز بودن خودنمايى مى كند و پديده ى اجتماعى مد و مدگرايى متولد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بررسى علل گرايش به مدل هاى غربى، لازم است كه پيش نيازهاى اين بحث روشن گردد</w:t>
      </w:r>
      <w:r>
        <w:rPr>
          <w:rFonts w:eastAsia="IRNazanin" w:cs="IRNazanin"/>
          <w:color w:val="111111"/>
          <w:sz w:val="28"/>
          <w:szCs w:val="28"/>
          <w:rtl w:val="true"/>
          <w:lang w:bidi="fa-IR"/>
        </w:rPr>
        <w:t>.</w:t>
      </w:r>
    </w:p>
    <w:p>
      <w:pPr>
        <w:pStyle w:val="Heading5"/>
        <w:numPr>
          <w:ilvl w:val="4"/>
          <w:numId w:val="1"/>
        </w:numPr>
        <w:rPr/>
      </w:pPr>
      <w:bookmarkStart w:id="73" w:name="__RefHeading___Toc2626862_1051229030"/>
      <w:bookmarkStart w:id="74" w:name="_Toc29"/>
      <w:bookmarkEnd w:id="73"/>
      <w:r>
        <w:rPr>
          <w:rtl w:val="true"/>
        </w:rPr>
        <w:t>مد و مدل چيست؟</w:t>
      </w:r>
      <w:bookmarkEnd w:id="74"/>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ى مد از زبان فرانسه گرفته شده و به معناى روش و طريقه اى موقت است كه طبق ذوق و سليقه ى اهل زمان، طرز زندگى، لباس پوشيدن و غيره را تنظيم مى كند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واژه ى مدل نيز از زبان فرانسه گرفته شده و به معناى الگو، نمونه و سرمشق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به معناى الگوى رفتارى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يعنى فرد، نمونه ى رفتار و كردار مطلوب يا نامطلوب را در ديگران مشاهده مى كند و خود را با آن تطبيق مى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مدها و الگوها فرهنگى هستند كه توسط بخشى از جامعه پذيرفته مى شوند و داراى دوره اى نسبتاً كوتاه اند و سپس فراموش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مدگرايى آن است كه فرد سبك لباس پوشيدن و طرز زندگى و رفتار خود را طبق آخرين الگوها تنظيم و به محض آن كه الگوى جديدى در جامعه رواج يافت از آن پيروى كند</w:t>
      </w:r>
      <w:r>
        <w:rPr>
          <w:rFonts w:eastAsia="IRNazanin" w:cs="IRNazanin"/>
          <w:color w:val="111111"/>
          <w:sz w:val="28"/>
          <w:szCs w:val="28"/>
          <w:rtl w:val="true"/>
          <w:lang w:bidi="fa-IR"/>
        </w:rPr>
        <w:t xml:space="preserve">. </w:t>
      </w:r>
      <w:bookmarkStart w:id="75" w:name="pg7528_66426"/>
    </w:p>
    <w:p>
      <w:pPr>
        <w:pStyle w:val="Heading5"/>
        <w:numPr>
          <w:ilvl w:val="4"/>
          <w:numId w:val="1"/>
        </w:numPr>
        <w:rPr/>
      </w:pPr>
      <w:bookmarkStart w:id="76" w:name="__RefHeading___Toc2626864_1051229030"/>
      <w:bookmarkStart w:id="77" w:name="_Toc30"/>
      <w:bookmarkEnd w:id="75"/>
      <w:bookmarkEnd w:id="76"/>
      <w:r>
        <w:rPr>
          <w:rtl w:val="true"/>
        </w:rPr>
        <w:t>مد مثبت يا منفى؟</w:t>
      </w:r>
      <w:bookmarkEnd w:id="77"/>
    </w:p>
    <w:p>
      <w:pPr>
        <w:pStyle w:val="BookText"/>
        <w:rPr/>
      </w:pPr>
      <w:r>
        <w:rPr>
          <w:rFonts w:ascii="IRNazanin" w:hAnsi="IRNazanin" w:eastAsia="IRNazanin"/>
          <w:color w:val="111111"/>
          <w:sz w:val="28"/>
          <w:sz w:val="28"/>
          <w:szCs w:val="28"/>
          <w:rtl w:val="true"/>
          <w:lang w:bidi="fa-IR"/>
        </w:rPr>
        <w:t>كمال طلبى، بهتر بودن و اجتماعى بودن همه از نيازهاى فطرى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نيازمند همراهى و همكارى با ديگران است و اگر اين پديده از او گرفته شود، منزوى و غيراجتماعى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فرايند اجتماعى شدن، فرد با الگوها و مدهاى ديگران مواجه مى شود و گاهى آنها را الگوهاى رفتارى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بعد مى توان گفت مدگرايى خوب است و تازه بودن بهتر از كهنه بودن است، اما مدزدگى بد است و مدفريبى بسيار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مد مى تواند براى شخصيت فردى و اجتماعى بسيار سرنوشت ساز و خطرآفرين باشد، به گونه اى كه يكى از پديده هايى كه امروزه دامن گير جوامع بشرى شده، نابهنجارى هاى رفتارى است كه تعادل و سلامت جسمى و روانى و شخصيت فرد را دچار اختلال مى كند كه عمدتاً معلول اسوه ها و الگوهاى نامناسب و مدزدگى و مدفريبى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بايد مدگرايى به معناى تازه طلبى را از مدزدگى تفكيك كنند و با انتخاب الگوها و مدهاى سالم بر رشد و شكوفايى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با مدگرايى تا جايى موافق است كه در جهت حفظ اصول و مبانى اعتقادى و ارزشى باشد</w:t>
      </w:r>
      <w:r>
        <w:rPr>
          <w:rFonts w:eastAsia="IRNazanin" w:cs="IRNazanin"/>
          <w:color w:val="111111"/>
          <w:sz w:val="28"/>
          <w:szCs w:val="28"/>
          <w:rtl w:val="true"/>
          <w:lang w:bidi="fa-IR"/>
        </w:rPr>
        <w:t>.</w:t>
      </w:r>
    </w:p>
    <w:p>
      <w:pPr>
        <w:pStyle w:val="Heading5"/>
        <w:numPr>
          <w:ilvl w:val="4"/>
          <w:numId w:val="1"/>
        </w:numPr>
        <w:rPr/>
      </w:pPr>
      <w:bookmarkStart w:id="78" w:name="__RefHeading___Toc2626866_1051229030"/>
      <w:bookmarkStart w:id="79" w:name="_Toc31"/>
      <w:bookmarkEnd w:id="78"/>
      <w:r>
        <w:rPr>
          <w:rtl w:val="true"/>
        </w:rPr>
        <w:t>مد گرايى و غرب گرايى</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مدگرايى و غرب گرايى دو مفهوم متفاوت و داراى دو تعريف جداگانه هستند، اما سير تحولات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در ايران قبل از انقلاب شكوهمند اسلامى، به گونه اى سرنوشت اين دو پديده را به هم گره زده است و هنگامى كه سخن از مدگرايى به ميان مى آمد مفهوم فرنگ و غرب گرايى نيز به عنوان شعار و سبك زندگى براى ديگران تداعى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ى اصلى اين نوع تفكر، صنعتى شدن و مدرنيته شدن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پيشرفت </w:t>
      </w:r>
      <w:bookmarkStart w:id="80" w:name="pg7528_66427"/>
    </w:p>
    <w:p>
      <w:pPr>
        <w:pStyle w:val="BookText"/>
        <w:rPr/>
      </w:pPr>
      <w:bookmarkEnd w:id="80"/>
      <w:r>
        <w:rPr>
          <w:rFonts w:ascii="IRNazanin" w:hAnsi="IRNazanin" w:eastAsia="IRNazanin"/>
          <w:color w:val="111111"/>
          <w:sz w:val="28"/>
          <w:sz w:val="28"/>
          <w:szCs w:val="28"/>
          <w:rtl w:val="true"/>
          <w:lang w:bidi="fa-IR"/>
        </w:rPr>
        <w:t>تكنولوژى و انقلاب صنعتى در غرب، سنت ها مورد نقد قرار گرفت و فرهنگ جامعه به تدريج تغيير كرد و اين تغيير تدريجى به همراه تبليغات گسترده ى سودجويان، بستر مناسبى براى شيوع مدگرايى و غرب گرايى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با بومى كردن علم و تكنولوژى در ايران به ميزان زيادى اين انديشه را خشكانده است، ولى ريشه هاى آن هنوز در برخى از اركان جامعه يعنى زنان و نوجوانان و جوانان ديده مى شود</w:t>
      </w:r>
      <w:r>
        <w:rPr>
          <w:rFonts w:eastAsia="IRNazanin" w:cs="IRNazanin"/>
          <w:color w:val="111111"/>
          <w:sz w:val="28"/>
          <w:szCs w:val="28"/>
          <w:rtl w:val="true"/>
          <w:lang w:bidi="fa-IR"/>
        </w:rPr>
        <w:t>.</w:t>
      </w:r>
    </w:p>
    <w:p>
      <w:pPr>
        <w:pStyle w:val="Heading5"/>
        <w:numPr>
          <w:ilvl w:val="4"/>
          <w:numId w:val="1"/>
        </w:numPr>
        <w:rPr/>
      </w:pPr>
      <w:bookmarkStart w:id="81" w:name="__RefHeading___Toc2626868_1051229030"/>
      <w:bookmarkStart w:id="82" w:name="_Toc32"/>
      <w:bookmarkEnd w:id="81"/>
      <w:r>
        <w:rPr>
          <w:rtl w:val="true"/>
        </w:rPr>
        <w:t>علل گرايش به مدل هاى بيگانه</w:t>
      </w:r>
      <w:bookmarkEnd w:id="82"/>
    </w:p>
    <w:p>
      <w:pPr>
        <w:pStyle w:val="BookText"/>
        <w:rPr/>
      </w:pPr>
      <w:r>
        <w:rPr>
          <w:rFonts w:ascii="IRNazanin" w:hAnsi="IRNazanin" w:eastAsia="IRNazanin"/>
          <w:color w:val="111111"/>
          <w:sz w:val="28"/>
          <w:sz w:val="28"/>
          <w:szCs w:val="28"/>
          <w:rtl w:val="true"/>
          <w:lang w:bidi="fa-IR"/>
        </w:rPr>
        <w:t xml:space="preserve">با توجه به اين كه پديده ى مدگرايى و گرايش به مدهاى بيگانه يك پديده 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شناختى است، براى بررسى علل آن از دريچه ى اين دو رويكرد بحث را پى مى گيريم و در يك تقسيم كلى عوامل مدگرايى را به دو دسته ى علل روان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كنيم</w:t>
      </w:r>
      <w:r>
        <w:rPr>
          <w:rFonts w:eastAsia="IRNazanin" w:cs="IRNazanin"/>
          <w:color w:val="111111"/>
          <w:sz w:val="28"/>
          <w:szCs w:val="28"/>
          <w:rtl w:val="true"/>
          <w:lang w:bidi="fa-IR"/>
        </w:rPr>
        <w:t>.</w:t>
      </w:r>
    </w:p>
    <w:p>
      <w:pPr>
        <w:pStyle w:val="Heading5"/>
        <w:numPr>
          <w:ilvl w:val="4"/>
          <w:numId w:val="1"/>
        </w:numPr>
        <w:rPr/>
      </w:pPr>
      <w:bookmarkStart w:id="83" w:name="__RefHeading___Toc2626870_1051229030"/>
      <w:bookmarkStart w:id="84" w:name="_Toc33"/>
      <w:bookmarkEnd w:id="83"/>
      <w:r>
        <w:rPr>
          <w:rtl w:val="true"/>
        </w:rPr>
        <w:t>بررسى علل روان شناختى</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طلبى و نوگرايى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تنوع طلب و نوگراست، به ويژه در دوران نوجوانى و جوانى كه دوران تجدد، نوگرايى و استقلال طلبى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هيجان خواهى و كمال طلبى افراد رشد چشم گيرى دارد و يكى از علل گرايش به مدل هاى نابهنجار بيگانه، تعريف نادرست از تنوع و نوگرايى در ميان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تحت تأثير تعريفات ديگران از سبك ها و الگوهاى مختلف، به برخى از مدهاى نابهنجار رو مى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كهترى يا عقده ى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مسائل مهم در زندگى برخى از انسان ها، عقده هايى است كه بر اثر تحقيرها يا ارضا نشدن برخى اميال و خواسته هاى او انباشته مى شود كه با ايجاد يك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غربى و زينت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نمايان مى كند</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عقده هايى كه فرد را نسبت به خود بى اعتماد، و اراده را از او سلب مى كند و فرد براى جبران </w:t>
      </w:r>
    </w:p>
    <w:p>
      <w:pPr>
        <w:pStyle w:val="BookText"/>
        <w:rPr/>
      </w:pPr>
      <w:r>
        <w:rPr>
          <w:rFonts w:ascii="IRNazanin" w:hAnsi="IRNazanin" w:eastAsia="IRNazanin"/>
          <w:color w:val="111111"/>
          <w:sz w:val="28"/>
          <w:sz w:val="28"/>
          <w:szCs w:val="28"/>
          <w:rtl w:val="true"/>
          <w:lang w:bidi="fa-IR"/>
        </w:rPr>
        <w:t>آن به رفتار نابهنجار مدگرايى گرايش 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و چشم و هم 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چشم و هم چشمى در برخى امور سبب پيشرفت و تكامل انسان مى گردد، ولى در امور مادى و مدگرايى منجر به نابهنجارى هاى رفتارى و كلامى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بدون تفكر در جوانب مسئله، خود را با ديگران مقايسه مى كنند كه در موارد بسيار زيادى به مسابقه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خواهند از هم سبقت بگيرند و اين سبقت تا روى آوردن به جديدترين مد كفش، لباس، تيپ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پيدا مى كند و بدين ترتيب فرد در دام مدل هاى فرهنگى بيگانه مى افتد و سلامت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اش دچار اختلال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 بينى و افسردگى، در شرايطى كه بستر مناسب اقتصادى و روانى براى رقابت نباشد، از عوارض اين پديده ى نابهنجار و غيراخلاقى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جلوه نمايى و تشخّص طلبى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افراد براى خودنمايى و برترى جويى، كه يكى از ضعف ها و مشكلات شخصيتى است، به مدهاى غربى رومى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تورشتاين وبلن مد را وسيله اى براى اين مى داند كه افراد، نشان دهند ثروتمندان، باشخصيت و داراى انديشه اى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محض اين كه مدى در جامعه پيدا مى شود، اشراف زادگان و ثروتمندان به سراغ اين مد جديد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مد قديمى ديگر آنها را از طبقات ديگر جامعه متمايز نمى كند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اراده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 هاى شخصيت ناپايدار و نابهنجار، ضعف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كه در برابر مدهاى نابهنجار بيگانه سازش نشان مى دهند، قدرت</w:t>
      </w:r>
      <w:bookmarkStart w:id="85" w:name="pg7528_66429"/>
    </w:p>
    <w:p>
      <w:pPr>
        <w:pStyle w:val="BookText"/>
        <w:rPr/>
      </w:pPr>
      <w:bookmarkEnd w:id="85"/>
      <w:r>
        <w:rPr>
          <w:rFonts w:ascii="IRNazanin" w:hAnsi="IRNazanin" w:eastAsia="IRNazanin"/>
          <w:color w:val="111111"/>
          <w:sz w:val="28"/>
          <w:sz w:val="28"/>
          <w:szCs w:val="28"/>
          <w:rtl w:val="true"/>
          <w:lang w:bidi="fa-IR"/>
        </w:rPr>
        <w:t>تصميم گيرى و اراده اى قوى و تصوير روشنى از خود ندارند و بر كنترل هيجانات، عواطف و بيان انديشه هاى خود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اعتماد به نفس و ضعف اراده يكى از علت هاى مهم روان شناختىِ گرايش به مدهاى نابهنجار بيگانه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خاص جوانى و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احساس جزيره اى دارند و فكر مى كنند همان طور كه مردم يك جزيره از آزادى عمل برخوردارند، آنها نيز 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خود اجازه مى دهند تا به جنگ مسائل و مشكلات بروند، فشارهاى دوران جوانى را تحمل كنند و با طى نمودن آيين هاى مختلفى كه وجود دارد،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بزرگسالى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درجات و مراحل تحرك هاى اجتماعى را كه نمونه اى از آن، گرايش به مدگرايى غربى است، طى نمايند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اين دوران هويت و شخصيت فرد زمينه ى الگوپذيرى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پيدايش تغييرات جسمانى، اجتماعى و روانى، هويت پردازى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او را به مدهاى نابهنجار مى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هاى شيطانى يكى از علل انحرافات انسان است و بسيارى از نابهنجارى هاى رفتارى، چه فردى و چه اجتماعى، از اين مسئله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ميل، با نام آزادى، در كشورهاى بيگانه شيوع زيادى دارد و به عنوان اصل لذت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اصل، مبناى همه چيز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به خاطر تبعيت از اين نوع گرايش و شهوت رانى و پيروى از هواى نفس، به مدهاى نابهنجار بيگانه رومى آورند</w:t>
      </w:r>
      <w:r>
        <w:rPr>
          <w:rFonts w:eastAsia="IRNazanin" w:cs="IRNazanin"/>
          <w:color w:val="111111"/>
          <w:sz w:val="28"/>
          <w:szCs w:val="28"/>
          <w:rtl w:val="true"/>
          <w:lang w:bidi="fa-IR"/>
        </w:rPr>
        <w:t>.</w:t>
      </w:r>
    </w:p>
    <w:p>
      <w:pPr>
        <w:pStyle w:val="Heading5"/>
        <w:numPr>
          <w:ilvl w:val="4"/>
          <w:numId w:val="1"/>
        </w:numPr>
        <w:rPr/>
      </w:pPr>
      <w:bookmarkStart w:id="86" w:name="__RefHeading___Toc2626872_1051229030"/>
      <w:bookmarkStart w:id="87" w:name="_Toc34"/>
      <w:bookmarkEnd w:id="86"/>
      <w:r>
        <w:rPr>
          <w:rtl w:val="true"/>
        </w:rPr>
        <w:t>علل اجتماعى مدگرايى</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هاى تلويزيونى، ماهواره ها، سايت ها، وِبلاگ ها و پايگاه هاى</w:t>
      </w:r>
    </w:p>
    <w:p>
      <w:pPr>
        <w:pStyle w:val="BookText"/>
        <w:rPr/>
      </w:pPr>
      <w:r>
        <w:rPr>
          <w:rFonts w:ascii="IRNazanin" w:hAnsi="IRNazanin" w:eastAsia="IRNazanin"/>
          <w:color w:val="111111"/>
          <w:sz w:val="28"/>
          <w:sz w:val="28"/>
          <w:szCs w:val="28"/>
          <w:rtl w:val="true"/>
          <w:lang w:bidi="fa-IR"/>
        </w:rPr>
        <w:t>اينترنتى و مجلات از مهم ترين منابع تبليغى مدل هاى بيگانه و گرايش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هاى جمعى و فردى، شبانه روز با شيوه هاى خلاّق و جذّاب تبليغى و هزينه هاى هنگفت، سعى در رواج مدل هاى غربى دارند و چه بسا مدل هاى بيگانه به عنوان ارزش، تبليغ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هاى توليدى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شركت هاى توليدى، نقش مهمى در شيوع 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مدها براى ارائه از طرف يك شركت، ساعت ها مورد مطالعه و بررسى روان شناختى قرار مى گيرد، تا قدرت جاذبه ى مدشناسايى و به اجتماع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ها در اين فرايند، بازار عرضه و تقاضا را با شيوه هاى نوين به وجود مى آورند و اجتماع را دچار تغييرات مدهاى نابهنجار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الگوهاى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زندگى انسان براساس الگوها و انديشه ى او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افراد معمولا مربى يا الگويى براى خود انتخاب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الگو در خانواده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مربى، معلم و استاد، از مهد كودك تا دانشگاه مى توانند مُبلّغ مدهاى نابهنجار غربى باشند و سبك زندگى و انديشه ى افراد را نسبت به سير طبيعى و بهنجار زندگى تغيير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به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دوستى نقش مهمى در گرايش افراد به مدگرايى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نگرانى از بى توجهى دوستان يا تحقير و تمسخر آنان، يكى از علل گرايش به مدهاى نابهنجار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فرد به گروه دوستى تعلق دارد و متعلّقات گروه را مى پذيرد تا خود را فردى سازش يافته با گروه قلمداد كند و شايد تنها حاصل اين سازگارى، جلب اعتماد گروه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لغزش هاى اجتماعى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فضاى مسموم جامعه باعث مى شود راه هاى نفوذ مدگرايى غربى باز و هموار گردد و از اين طريق تبليغات نيز رواج پيدا مى كند و هر روز تعداد مروجّان مدهاى غربى افزايش 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لباس ها و وسايل مدهاى نابهنجار بيگانه به راحتى و ارزان در دسترس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گرانى مدهاى بهنجار براى كسانى كه قدرت خريد بالايى ندارند، از علت هاى مهم گرايش به مدهاى نابهنجار بيگانه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ورزشى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 وسيله ى مؤثرى در پايين نگه داشتن سطح فشار روانى محسوب مى شود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معمولا ورزشكاران براى جذب علاقه مندان و دوست داران خود، مدهاى خاصى را تبليغ مى كنند كه تأثير زيادى بر افكار و باورهاى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الگوگيرى از ورزشكاران غربى نيز يكى از عوامل عمده ى گرايش به مدل هاى نابهنجار غربى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فضاى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تعليم و تربيت از نقش هاى بنيادى روحى و روانى و اجتماعى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تربيت مى شود تا با هنجارهاى موجود در جامعه سازش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و به ويژه فضايى كه فرد در آن تربيت مى شود، نقش مهمى در الگوپذيرى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يكى از علل گرايش به مدهاى غربى، محروميت از فضاى تربيتى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بيكارى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بيكارى زمينه ى گرايش به مدل هاى نابهنجار بيگانه، به ويژه از جهت رفتارى و گفتارى را بيشتر مى كند و فرد را به دام انحراف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الفراغ تكون الصبوه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سبكسرى دوران جوانى ناشى از بيكارى است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شغلى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گرايش به مدهاى غربى، محيط شغلى است و افراد براى</w:t>
      </w:r>
      <w:bookmarkStart w:id="88" w:name="pg7528_66432"/>
    </w:p>
    <w:p>
      <w:pPr>
        <w:pStyle w:val="BookText"/>
        <w:rPr/>
      </w:pPr>
      <w:bookmarkEnd w:id="88"/>
      <w:r>
        <w:rPr>
          <w:rFonts w:ascii="IRNazanin" w:hAnsi="IRNazanin" w:eastAsia="IRNazanin"/>
          <w:color w:val="111111"/>
          <w:sz w:val="28"/>
          <w:sz w:val="28"/>
          <w:szCs w:val="28"/>
          <w:rtl w:val="true"/>
          <w:lang w:bidi="fa-IR"/>
        </w:rPr>
        <w:t>همراهى با ديگران يا به اجبار از مدهايى كه در بين همكاران رواج مى يابد پيروى مى كنند</w:t>
      </w:r>
      <w:r>
        <w:rPr>
          <w:rFonts w:eastAsia="IRNazanin" w:cs="IRNazanin"/>
          <w:color w:val="111111"/>
          <w:sz w:val="28"/>
          <w:szCs w:val="28"/>
          <w:rtl w:val="true"/>
          <w:lang w:bidi="fa-IR"/>
        </w:rPr>
        <w:t>.</w:t>
      </w:r>
    </w:p>
    <w:p>
      <w:pPr>
        <w:pStyle w:val="Heading4"/>
        <w:numPr>
          <w:ilvl w:val="3"/>
          <w:numId w:val="1"/>
        </w:numPr>
        <w:rPr/>
      </w:pPr>
      <w:bookmarkStart w:id="89" w:name="__RefHeading___Toc2626874_1051229030"/>
      <w:bookmarkStart w:id="90" w:name="_Toc35"/>
      <w:bookmarkEnd w:id="89"/>
      <w:r>
        <w:rPr>
          <w:rtl w:val="true"/>
        </w:rPr>
        <w:t>راهكارهاى جلوگيرى از گرايش به مدل هاى بيگانه چيست؟</w:t>
      </w:r>
      <w:bookmarkEnd w:id="90"/>
    </w:p>
    <w:p>
      <w:pPr>
        <w:pStyle w:val="Heading5"/>
        <w:numPr>
          <w:ilvl w:val="4"/>
          <w:numId w:val="1"/>
        </w:numPr>
        <w:rPr/>
      </w:pPr>
      <w:bookmarkStart w:id="91" w:name="__RefHeading___Toc2626876_1051229030"/>
      <w:bookmarkStart w:id="92" w:name="_Toc36"/>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براى جلوگيرى از گرايش به مدل هاى غربى نيازمند رعايت اصول و فروع راهبردى زير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قيد اصول و فروع به اين معنا نيست كه اصول از ارزش بالاترى برخوردار است، بلكه به اين معناست كه اصول، ريشه و پايه است و فروع، شاخ و برگ آن</w:t>
      </w:r>
      <w:r>
        <w:rPr>
          <w:rFonts w:eastAsia="IRNazanin" w:cs="IRNazanin"/>
          <w:color w:val="111111"/>
          <w:sz w:val="28"/>
          <w:szCs w:val="28"/>
          <w:rtl w:val="true"/>
          <w:lang w:bidi="fa-IR"/>
        </w:rPr>
        <w:t>.</w:t>
      </w:r>
    </w:p>
    <w:p>
      <w:pPr>
        <w:pStyle w:val="Heading5"/>
        <w:numPr>
          <w:ilvl w:val="4"/>
          <w:numId w:val="1"/>
        </w:numPr>
        <w:rPr/>
      </w:pPr>
      <w:bookmarkStart w:id="93" w:name="__RefHeading___Toc2626878_1051229030"/>
      <w:bookmarkStart w:id="94" w:name="_Toc37"/>
      <w:bookmarkEnd w:id="93"/>
      <w:r>
        <w:rPr>
          <w:rtl w:val="true"/>
        </w:rPr>
        <w:t>اصول راهبردى</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تعريف صحيح تكاليف و جاذبه 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و اعمال دينى را بايد درست تعريف كرد تا افراد به فرهنگ اسلامى تمايل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دينى، نه تنها مردم را به رفتار و شيوه هاى تفكر مخصوصى وا مى دارد، بلكه تا حدى در شيوه ى لباس پوشيدن و سكنى گزيدن آنان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توده هاى مردم را به نحو مستمر و بى آن كه زياد برايشان محسوس باشد به نظم و انضباط وا مى 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الگوسازى براى مدل هاى جاى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متصديان امور فرهنگى، به ويژه روان شناسان، بايد مدل هاى مناسبى را جاى گزين مدل هاى غربى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مقام معظم رهبرى، لباس رسمى، گام نخست در جاى گزينى مدل هاى بومى و اسلامى به جاى مدل هاى غربى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راستا ضرورى است از مدل لباس تا مدل مو و آرايش تعريف</w:t>
      </w:r>
      <w:bookmarkStart w:id="95" w:name="pg7528_66433"/>
    </w:p>
    <w:p>
      <w:pPr>
        <w:pStyle w:val="BookText"/>
        <w:rPr/>
      </w:pPr>
      <w:bookmarkEnd w:id="95"/>
      <w:r>
        <w:rPr>
          <w:rFonts w:ascii="IRNazanin" w:hAnsi="IRNazanin" w:eastAsia="IRNazanin"/>
          <w:color w:val="111111"/>
          <w:sz w:val="28"/>
          <w:sz w:val="28"/>
          <w:szCs w:val="28"/>
          <w:rtl w:val="true"/>
          <w:lang w:bidi="fa-IR"/>
        </w:rPr>
        <w:t>اسلامى شود و مراكزى مأمور اجراى آن گردند</w:t>
      </w:r>
      <w:r>
        <w:rPr>
          <w:rFonts w:eastAsia="IRNazanin" w:cs="IRNazanin"/>
          <w:color w:val="111111"/>
          <w:sz w:val="28"/>
          <w:szCs w:val="28"/>
          <w:rtl w:val="true"/>
          <w:lang w:bidi="fa-IR"/>
        </w:rPr>
        <w:t>.</w:t>
      </w:r>
    </w:p>
    <w:p>
      <w:pPr>
        <w:pStyle w:val="Heading5"/>
        <w:numPr>
          <w:ilvl w:val="4"/>
          <w:numId w:val="1"/>
        </w:numPr>
        <w:rPr/>
      </w:pPr>
      <w:bookmarkStart w:id="96" w:name="__RefHeading___Toc2626880_1051229030"/>
      <w:bookmarkStart w:id="97" w:name="_Toc38"/>
      <w:bookmarkEnd w:id="96"/>
      <w:r>
        <w:rPr>
          <w:rtl w:val="true"/>
        </w:rPr>
        <w:t>انواع الگوسازى</w:t>
      </w:r>
      <w:bookmarkEnd w:id="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مربيان و معلمان و والدين و به طور خيلى آرمانى، اعضاى جامعه، با اعمال و رفتار پسنديده ى خويش مى توانند الگوهاى شايسته اى براى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 هاى بسيار مهم تربيتى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آيا مردم را به كار نيك فرمان مى دهيد و حال آن كه خويشتن را فراموش مى كنيد؟</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را با اعمالتان، نه فقط با زبان هايتان، به سوى خدا فرا بخوانيد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طبق آمارى كه روان شناسان ارائه داده اند،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يادگيرى از راه چشم است و 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راه گوش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ضرب المثلى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تصوير، گوياتر از هزار كلمه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و جوان به اعمال و رفتار معلم، استاد دانشگاه و والدين خود با ديدى عميق مى نگرد و تأثير شگرفى در رفتار او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كوشد خود را به اعمال و رفتار الگو نزديك كند و يكى از زيباترين يا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مشاهده ى تناقض در 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ترين اعمال الگوپذيرى شكل بگيرد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شيوه هاى علمى، نظير همانندسازى، مجاورت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هر يك از شيوه ها، بحثى مستقل را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الگودهى مناسبى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p>
    <w:p>
      <w:pPr>
        <w:pStyle w:val="BookText"/>
        <w:rPr/>
      </w:pPr>
      <w:r>
        <w:rPr>
          <w:rFonts w:ascii="IRNazanin" w:hAnsi="IRNazanin" w:eastAsia="IRNazanin"/>
          <w:color w:val="111111"/>
          <w:sz w:val="28"/>
          <w:sz w:val="28"/>
          <w:szCs w:val="28"/>
          <w:rtl w:val="true"/>
          <w:lang w:bidi="fa-IR"/>
        </w:rPr>
        <w:t>روش ها، تعريف و تحقيق درباره ى نوع استفاده از لباس و تبيين آن براى افراد جامعه، مى تواند درصد قابل توجهى از الگوهاى منفى و نابهنجار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علوم و تحقيقاتى كه به عوارض جسمانى برخى مدل ها مى پردازند و چه آنهايى كه به عوارض و مضرّات روحى و روانى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اين روش، تبليغات مدل هاى غربى را كم رنگ يا بى رنگ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نيازها و استعدادهاى گوناگون افراد يك جامعه، بايد الگوهاى مناسب در زمينه هاى مختلف و با عنايت به گرايش ونوع علايق، به آنان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كه در خانواده تعريف مى شود نبايد با الگويى كه جامعه معرفى مى كند تعارض داشته باشد تا فرد در تعارض دچار سردرگمى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تعارض بين الگوها حل يا توجيه مناسب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به خصوصى در مدرسه ممنوع گردد و در بازار شايع باشد، يا پدر خانواده آن را به تن داشته باشد، الگوهاى صحيح، جبر تلقى مى شوند و فرد به انكار اصل الگوبردارى و انكار الگوهاى صحيح رو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هميشه مى خواهد خود را با كسانى كه در نظر او شرافت و موفقيّت دارند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اگر همراه با هدايت عقل و انتخاب الگوهاى مناسب و صحيح باشد، انسان را در جهت رشد كمالات و فضايل اخلاقى به پيش مى برد و بر عكس، چنانچه اين سرشت انسانى با تعصّب و جهل و خواسته هاى نفسانى همراه شود، نتايج خطرناك و زيانبارى در زندگى انسان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تقليد، چهره هاى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ممكن است كسى نوع و كيفيّت مصرف </w:t>
      </w:r>
    </w:p>
    <w:p>
      <w:pPr>
        <w:pStyle w:val="BookText"/>
        <w:rPr/>
      </w:pP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و وسيله ى نقليّه و يا منزل و لوازم زندگى و به ويژه وسايل و لوازم پذيرايى و ضيافت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مصارف خود الگو قرار دهد و مبناى زندگى خود را بر پايه ى تبعيّت از برخوردارى هاى آنان، به خصوص دوستان وهمكاران خويش، فراتر بگذارد و از حدود اجتماعى و اقتصادى خود تجاوز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بايد بدانند تفاوت هاى مادى و ظاهرى و تبعيت از غرب و مدگرايى، ملاك ارزش انسان ها نيست و اگر به زندگى و وضع مادّى ديگران چشم بدوزند، يقيناً به دست خويش، راحتى و آسايش خاطر را از خود و خانواده شان سلب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گروه و انتخاب دوستان، نقش مهمى در الگوبردارى از مدهاى اسلامى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بين صداقت كودكان و صداقت خواهران و برادران و والدين آنها همبستگى وجود دارد و متقابلا بين عدم صداقت و مجرميت در والدين و بزهكارى كودكان</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مى توان در خانواده نظام خاصى براى پرداختن به شكل و مد تعريف كرد تا همه از آن نظام تبعيت كنند و چنانچه پيشنهاد جديد يا مد جديدى خواست وارد شود، اعضاى خانواده آن را بررسى كنند و تصميم گيرى ها بر اساس مبانى اسلامى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را مى توان به تيم هاى مدرسه نيز تعميم داد و در اين ميان نوجوانان و جوانان نقش فعالى در نظريه پردازى خواهند داشت و دلايل رد يك نظريه نيز بايد بسيار ملايم و منطقى بيان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شناسى، تغيير باور و تعميق باورهاى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الگوهاى افراد بر اساس باور و اعتقاد آن ها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شناخت و تغيير باور افراد نقش مهمى در پيش گيرى از</w:t>
      </w:r>
      <w:bookmarkStart w:id="98" w:name="pg7528_66436"/>
    </w:p>
    <w:p>
      <w:pPr>
        <w:pStyle w:val="BookText"/>
        <w:rPr/>
      </w:pPr>
      <w:bookmarkEnd w:id="98"/>
      <w:r>
        <w:rPr>
          <w:rFonts w:ascii="IRNazanin" w:hAnsi="IRNazanin" w:eastAsia="IRNazanin"/>
          <w:color w:val="111111"/>
          <w:sz w:val="28"/>
          <w:sz w:val="28"/>
          <w:szCs w:val="28"/>
          <w:rtl w:val="true"/>
          <w:lang w:bidi="fa-IR"/>
        </w:rPr>
        <w:t>گرايش به مدهاى نابهنجار بيگانه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دهى و اطلاع رسانى نقش مهمى در از بين رفتن باورهاى غلط دارد، به باورهاى ذهنى افراد جهت مى دهد و باورهاى اصيل اسلامى و انقلابى را در آن ها عمق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هاى علمى و روان شناختى، مى توان بهترين راهكار را در زمينه ى تغيير باورهاى نابهنجار و تعميق باورهاى اصيل ارائه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مثبت و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اگر براى كسانى كه از مدل هاى بومى استفاده مى كنند امتيازى قايل شوند و براى كسانى كه به مدل هاى غربى گرايش دارند خنثى عمل كنند، ناخودآگاه مى تواند تقويت مثبت براى مدل هاى اسلامى و تقويت منفى براى كسانى باشد كه به مدهاى غربى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تقويت مثبت و منفى بايد بر اساس اصول راونشناختى افراد باشد و به اقتضاى فضاى حاكم بر فرد و محيط پيرامون وى صورت بگيرد وگرنه منجر به لج بازى و گريز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و فرود برخوردها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 انديشه ى ابتدايى افراد درباره ى گرايش هاى آنها به مد مخالفت گردد، بلكه بايد آنها را به مذاكره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نسبت به آنچه منع مى شود حريص است و نبايد اين حرص را در افراد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عاملان و ترويج كنندگان مدهاى غربى شناسايى و با آنها برخورد اصلاحى شود</w:t>
      </w:r>
      <w:r>
        <w:rPr>
          <w:rFonts w:eastAsia="IRNazanin" w:cs="IRNazanin"/>
          <w:color w:val="111111"/>
          <w:sz w:val="28"/>
          <w:szCs w:val="28"/>
          <w:rtl w:val="true"/>
          <w:lang w:bidi="fa-IR"/>
        </w:rPr>
        <w:t>.</w:t>
      </w:r>
    </w:p>
    <w:p>
      <w:pPr>
        <w:pStyle w:val="Heading5"/>
        <w:numPr>
          <w:ilvl w:val="4"/>
          <w:numId w:val="1"/>
        </w:numPr>
        <w:rPr/>
      </w:pPr>
      <w:bookmarkStart w:id="99" w:name="__RefHeading___Toc2626882_1051229030"/>
      <w:bookmarkStart w:id="100" w:name="_Toc39"/>
      <w:bookmarkEnd w:id="99"/>
      <w:r>
        <w:rPr>
          <w:rtl w:val="true"/>
        </w:rPr>
        <w:t>فروع راهبردى</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استفاده از تبليغ، علمى و مدرن و روان شناسى تبليغات، براى تبليغ الگوهاى اسلامى هزينه كرد، تا اين الگوها به آسانى عرضه شوند، قابل دسترسى باشند، بسترسازى صحيح و فرهنگ سازى صورت بگيرد و براى فرهنگ بومى سرمايه گذارى شود و تا مرز شيوع پيش برود و، در همين جريان، پشت پرده ى مدل هاى غربى شناسانده</w:t>
      </w:r>
      <w:bookmarkStart w:id="101" w:name="pg7528_66437"/>
    </w:p>
    <w:p>
      <w:pPr>
        <w:pStyle w:val="BookText"/>
        <w:rPr/>
      </w:pPr>
      <w:bookmarkEnd w:id="10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اشتغال فكرى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افراد امكانات اشتغال فكرى، نظير كتابخانه يا كافى نت مذهبى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 و يا وظيفه اى را به آن ها محوّل كرد تا در دوره ى خاص نوجوانى و جوانى كه گرايش به نابهنجارى ها بيش تر است، فرصت گرايش به مدل هاى غربى را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كاربردى كردن 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معروف در جامعه تبديل به منكر نشود، بايد الگوهاى اسلامى و بومى را كاربردى كرد تا چنين احساس نشود كه الگوها محدود به كتاب ها و آثار به جامانده از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هاى كاربردى كردن الگوها، نرم افزارى كردن الگوهاى دينى و مدل 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نرم افزار مدل لباس يا موهاى اسلامى، آماده و به بازار عرضه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روشنگرى با روش هاى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كه دست رسى به مدل ها به آسانى ممكن است، بايد الگوى مصرفى افراد و ذايقه ى آنها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ى افراد به مد، ناشى از چه عامل مهمى است؟ اين سؤال با توجه به تفاوت هاى فردى در افراد پاسخ هاى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با تحقيق ميدانى مى توانند اين ميزان را به دست آورند و از طريق روش هاى آمارى و علمى مدرن به روشنگرى و توجيه افراد بپردازند</w:t>
      </w:r>
      <w:r>
        <w:rPr>
          <w:rFonts w:eastAsia="IRNazanin" w:cs="IRNazanin"/>
          <w:color w:val="111111"/>
          <w:sz w:val="28"/>
          <w:szCs w:val="28"/>
          <w:rtl w:val="true"/>
          <w:lang w:bidi="fa-IR"/>
        </w:rPr>
        <w:t>.</w:t>
      </w:r>
    </w:p>
    <w:p>
      <w:pPr>
        <w:pStyle w:val="Heading5"/>
        <w:numPr>
          <w:ilvl w:val="4"/>
          <w:numId w:val="1"/>
        </w:numPr>
        <w:rPr/>
      </w:pPr>
      <w:bookmarkStart w:id="102" w:name="__RefHeading___Toc2626884_1051229030"/>
      <w:bookmarkStart w:id="103" w:name="_Toc40"/>
      <w:bookmarkEnd w:id="102"/>
      <w:r>
        <w:rPr>
          <w:rtl w:val="true"/>
        </w:rPr>
        <w:t>پيام</w:t>
      </w:r>
      <w:bookmarkEnd w:id="1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كارشناسان علوم اسلامى و اجتماعى باور دارند كه براى كاهش و پيش گيرى از گرايش به مدل هاى ناهنجار بيگانه، بايد خوراك فكرى و عقيدتى جوانان تأمين شود و اطلاع رسانى شايسته انجام پذيرد</w:t>
      </w:r>
      <w:r>
        <w:rPr>
          <w:rFonts w:eastAsia="IRNazanin" w:cs="IRNazanin"/>
          <w:color w:val="111111"/>
          <w:sz w:val="28"/>
          <w:szCs w:val="28"/>
          <w:rtl w:val="true"/>
          <w:lang w:bidi="fa-IR"/>
        </w:rPr>
        <w:t xml:space="preserve">. </w:t>
      </w:r>
      <w:bookmarkStart w:id="104" w:name="pg7528_66438"/>
    </w:p>
    <w:p>
      <w:pPr>
        <w:pStyle w:val="Heading2"/>
        <w:numPr>
          <w:ilvl w:val="1"/>
          <w:numId w:val="1"/>
        </w:numPr>
        <w:rPr/>
      </w:pPr>
      <w:bookmarkStart w:id="105" w:name="__RefHeading___Toc2626886_1051229030"/>
      <w:bookmarkStart w:id="106" w:name="_Toc41"/>
      <w:bookmarkEnd w:id="104"/>
      <w:bookmarkEnd w:id="105"/>
      <w:r>
        <w:rPr>
          <w:rtl w:val="true"/>
        </w:rPr>
        <w:t>اديان و مذاهب</w:t>
      </w:r>
      <w:bookmarkEnd w:id="106"/>
    </w:p>
    <w:p>
      <w:pPr>
        <w:pStyle w:val="Heading3"/>
        <w:numPr>
          <w:ilvl w:val="2"/>
          <w:numId w:val="1"/>
        </w:numPr>
        <w:rPr/>
      </w:pPr>
      <w:bookmarkStart w:id="107" w:name="__RefHeading___Toc2626888_1051229030"/>
      <w:bookmarkStart w:id="108" w:name="_Toc42"/>
      <w:bookmarkEnd w:id="107"/>
      <w:r>
        <w:rPr>
          <w:rtl w:val="true"/>
        </w:rPr>
        <w:t>هندوئيسم</w:t>
      </w:r>
      <w:bookmarkEnd w:id="10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2626890_1051229030"/>
      <w:bookmarkStart w:id="110" w:name="_Toc43"/>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چه نقدهاى كلى بر دين هندوئيسم وارد است؟</w:t>
      </w:r>
    </w:p>
    <w:p>
      <w:pPr>
        <w:pStyle w:val="BookText"/>
        <w:rPr/>
      </w:pPr>
      <w:r>
        <w:rPr>
          <w:rFonts w:ascii="IRNazanin" w:hAnsi="IRNazanin" w:eastAsia="IRNazanin"/>
          <w:color w:val="111111"/>
          <w:sz w:val="28"/>
          <w:sz w:val="28"/>
          <w:szCs w:val="28"/>
          <w:rtl w:val="true"/>
          <w:lang w:bidi="fa-IR"/>
        </w:rPr>
        <w:t>رسول رضوى</w:t>
      </w:r>
    </w:p>
    <w:p>
      <w:pPr>
        <w:pStyle w:val="BookText"/>
        <w:rPr/>
      </w:pPr>
      <w:r>
        <w:rPr>
          <w:rFonts w:ascii="IRNazanin" w:hAnsi="IRNazanin" w:eastAsia="IRNazanin"/>
          <w:color w:val="111111"/>
          <w:sz w:val="28"/>
          <w:sz w:val="28"/>
          <w:szCs w:val="28"/>
          <w:rtl w:val="true"/>
          <w:lang w:bidi="fa-IR"/>
        </w:rPr>
        <w:t>آيا آيين هندو مى تواند برنامه اى براى زندگى انسان ارائه دهد؟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روشن تن </w:t>
      </w:r>
    </w:p>
    <w:p>
      <w:pPr>
        <w:pStyle w:val="BookText"/>
        <w:rPr/>
      </w:pPr>
      <w:r>
        <w:rPr>
          <w:rFonts w:ascii="Amiri" w:hAnsi="Amiri" w:eastAsia="Amiri" w:cs="Amiri"/>
          <w:color w:val="111111"/>
          <w:sz w:val="28"/>
          <w:sz w:val="28"/>
          <w:szCs w:val="28"/>
          <w:rtl w:val="true"/>
          <w:lang w:bidi="ar-SA"/>
        </w:rPr>
        <w:t>اديان و مذاهب</w:t>
      </w:r>
    </w:p>
    <w:p>
      <w:pPr>
        <w:pStyle w:val="BookText"/>
        <w:rPr/>
      </w:pPr>
      <w:r>
        <w:rPr>
          <w:rFonts w:ascii="Amiri" w:hAnsi="Amiri" w:eastAsia="Amiri" w:cs="Amiri"/>
          <w:color w:val="111111"/>
          <w:sz w:val="28"/>
          <w:sz w:val="28"/>
          <w:szCs w:val="28"/>
          <w:rtl w:val="true"/>
          <w:lang w:bidi="ar-SA"/>
        </w:rPr>
        <w:t>هندوئيسم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هندو از قديمى ترين آيين هاى زنده ى دنيا است كه هم چون بسترى آماده، خاستگاه ده ها آيين جديد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مقابل فرزندانش شكست را پذيرا گشته و گاه با بازسازى ساختار خويش، آنان را به خارج از مرزهاى سنتى خود،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نقدهاى كلى متعددى بر اين آيين وارد است كه مهم ترين آنها طبقاتى كردن جامعه، عقايد نژادپرستانه و عدم ارائه ى برنامه ى زندگى است كه در ضمن پاسخ به دو پرسش، به اين مسائل اشاره مى شود</w:t>
      </w:r>
      <w:r>
        <w:rPr>
          <w:rFonts w:eastAsia="IRNazanin" w:cs="IRNazanin"/>
          <w:color w:val="111111"/>
          <w:sz w:val="28"/>
          <w:szCs w:val="28"/>
          <w:rtl w:val="true"/>
          <w:lang w:bidi="fa-IR"/>
        </w:rPr>
        <w:t xml:space="preserve">. </w:t>
      </w:r>
      <w:bookmarkStart w:id="111" w:name="pg7528_66441"/>
    </w:p>
    <w:p>
      <w:pPr>
        <w:pStyle w:val="Heading4"/>
        <w:numPr>
          <w:ilvl w:val="3"/>
          <w:numId w:val="1"/>
        </w:numPr>
        <w:rPr/>
      </w:pPr>
      <w:bookmarkStart w:id="112" w:name="__RefHeading___Toc2626892_1051229030"/>
      <w:bookmarkStart w:id="113" w:name="_Toc44"/>
      <w:bookmarkEnd w:id="111"/>
      <w:bookmarkEnd w:id="112"/>
      <w:r>
        <w:rPr>
          <w:rtl w:val="true"/>
        </w:rPr>
        <w:t>چه نقدهاى كلى بر دين هندوئيسم وارد است؟رسول رضوى</w:t>
      </w:r>
      <w:bookmarkEnd w:id="113"/>
    </w:p>
    <w:p>
      <w:pPr>
        <w:pStyle w:val="Heading5"/>
        <w:numPr>
          <w:ilvl w:val="4"/>
          <w:numId w:val="1"/>
        </w:numPr>
        <w:rPr/>
      </w:pPr>
      <w:bookmarkStart w:id="114" w:name="__RefHeading___Toc2626894_1051229030"/>
      <w:bookmarkStart w:id="115" w:name="_Toc45"/>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آيين هندو از جمله اديان ابتدايى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اين در صورتى است كه دين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به امرى قدسى</w:t>
      </w:r>
      <w:r>
        <w:rPr>
          <w:rFonts w:eastAsia="Amiri" w:cs="Amiri" w:ascii="Amiri" w:hAnsi="Amiri"/>
          <w:color w:val="111111"/>
          <w:sz w:val="28"/>
          <w:szCs w:val="28"/>
          <w:rtl w:val="true"/>
          <w:lang w:bidi="ar-SA"/>
        </w:rPr>
        <w:t>» ...</w:t>
      </w:r>
      <w:r>
        <w:rPr>
          <w:rStyle w:val="FootnoteAnchor"/>
          <w:rtl w:val="true"/>
        </w:rPr>
        <w:footnoteReference w:id="66"/>
      </w:r>
      <w:r>
        <w:rPr>
          <w:rFonts w:ascii="IRNazanin" w:hAnsi="IRNazanin" w:eastAsia="IRNazanin"/>
          <w:color w:val="111111"/>
          <w:sz w:val="28"/>
          <w:sz w:val="28"/>
          <w:szCs w:val="28"/>
          <w:rtl w:val="true"/>
          <w:lang w:bidi="fa-IR"/>
        </w:rPr>
        <w:t>بدانيم، وگرنه در مقايسه با اديان ابراهيمى، آيين هندو مجموعه اى از افسانه ها، اساطير و برخى توصيه هاى اخلاقى و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هندوئيسم تكامل يافته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آنيميسم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بنيان گذار آن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گونه اى فرهنگ، آداب و سنن اجتماعى است كه با تهذيب نفس و رياضت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اندكى تسامح مى توان اصول اين دين را چنين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و احترام به كتاب هاى باستانى و سنت هاى دينى برهمنان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خدايانى كه به ظهور آنها در دوره هاى قديم عقيده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تناسخ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رعايت مقررات و طبقات اجتماعى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معاشرت و ازدواج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موجودات زنده، مخصوصاً گاو و</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ى فرقه هاى اين آيين، به ثالوث اعظم، يعنى خدايان بزرگ سه گانه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خلقت و آفريدگار كل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مرگ و مهلك كل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زندگى و حافظ كل</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طبيعتاً در صورت مقايسه ى آيين هندو با اديان آسمانى، از جمله اسلام، ضعف ها و ناكارآمدى هاى آن آشكار خواهد شد كه در اين جا به چند مورد از آنها اشاره مى كنيم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6" w:name="__RefHeading___Toc2626896_1051229030"/>
      <w:bookmarkStart w:id="117" w:name="_Toc46"/>
      <w:bookmarkEnd w:id="116"/>
      <w:r>
        <w:rPr/>
        <w:t>1</w:t>
      </w:r>
      <w:r>
        <w:rPr>
          <w:rtl w:val="true"/>
        </w:rPr>
        <w:t xml:space="preserve">. </w:t>
      </w:r>
      <w:r>
        <w:rPr>
          <w:rtl w:val="true"/>
        </w:rPr>
        <w:t>عقيده به تعدد خدايان و ناتوانى از تبيين مبدأ عالم و انسان</w:t>
      </w:r>
      <w:r>
        <w:rPr>
          <w:rtl w:val="true"/>
        </w:rPr>
        <w:t>.</w:t>
      </w:r>
      <w:bookmarkEnd w:id="117"/>
    </w:p>
    <w:p>
      <w:pPr>
        <w:pStyle w:val="BookText"/>
        <w:rPr/>
      </w:pPr>
      <w:r>
        <w:rPr>
          <w:rFonts w:ascii="Amiri" w:hAnsi="Amiri" w:eastAsia="Amiri" w:cs="Amiri"/>
          <w:color w:val="111111"/>
          <w:sz w:val="28"/>
          <w:sz w:val="28"/>
          <w:szCs w:val="28"/>
          <w:rtl w:val="true"/>
          <w:lang w:bidi="ar-SA"/>
        </w:rPr>
        <w:t>هندوان به عدّه ى بى شمارى از خدايان آسمانى و زمينى با اسما و صفات عجيب و غريب معتقدند و به آنها كرنش مى كنند و براى هر يك بتخانه هاى باشكوهى مى سازند</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البته آنها را زيرمجموعه ى خدايان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برهما، شيوا و ويشنو</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گاهى براى اين خدايان سه گانه، كه شباهت زيادى به تثليث مسيحيت دارند، صفات خداى واحد و ازلى را قايل مى شوند و گاهى چنان بين آنها فرق مى گذارند كه چون ديگر موجودات متكثّر جلوه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سبب است كه آيين هندو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ركن اصلى خود قرار داده و، از طرفى، طبق اين اصل، همه چيز را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ارواح، اشجار و مظاهر طبيعت را هم داراى نوعى الوهيت مى داند و تعداد خدايان را به تعداد موجودات متنوع و متكثر مى رساند و از سوى ديگر، همين خدايان متعدد، به دليل وحدت وجود، بيش از يك خدا نمى توانند 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و دقت در كتاب هاى دينى هندوان، روشن مى شود كه آيين آنها از توضيح و تبيين منشأ عالم و انسان عاجز است و به نوعى دچار تناقض گويى شده است و همين امر باعث شده تا داراى فرقه هاى بى شمارى باشند، عده اى شيوا و عده اى ويشنو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بت هاى دست ساز خود را بپرستند و سرزمين هند به سرزمين بت خانه هاى بزرگ شهرت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شيواپرستان، عورت شيوا را لينگا مى نامند و آن را مى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هاى لينگا و معابد آن نيز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شيواپرستان پيوسته مجسمه اى از لينگا را كه داخل كيف كوچكى است به گردن آويخته اند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نمى دانند كه چه كسى آنان را آفريده و چرا </w:t>
      </w:r>
      <w:bookmarkStart w:id="118" w:name="pg7528_66443"/>
    </w:p>
    <w:p>
      <w:pPr>
        <w:pStyle w:val="BookText"/>
        <w:rPr/>
      </w:pPr>
      <w:bookmarkEnd w:id="118"/>
      <w:r>
        <w:rPr>
          <w:rFonts w:ascii="IRNazanin" w:hAnsi="IRNazanin" w:eastAsia="IRNazanin"/>
          <w:color w:val="111111"/>
          <w:sz w:val="28"/>
          <w:sz w:val="28"/>
          <w:szCs w:val="28"/>
          <w:rtl w:val="true"/>
          <w:lang w:bidi="fa-IR"/>
        </w:rPr>
        <w:t>بايد آفريدگار را عبادت كرد</w:t>
      </w:r>
      <w:r>
        <w:rPr>
          <w:rFonts w:eastAsia="IRNazanin" w:cs="IRNazanin"/>
          <w:color w:val="111111"/>
          <w:sz w:val="28"/>
          <w:szCs w:val="28"/>
          <w:rtl w:val="true"/>
          <w:lang w:bidi="fa-IR"/>
        </w:rPr>
        <w:t>...</w:t>
      </w:r>
    </w:p>
    <w:p>
      <w:pPr>
        <w:pStyle w:val="Heading5"/>
        <w:numPr>
          <w:ilvl w:val="4"/>
          <w:numId w:val="1"/>
        </w:numPr>
        <w:rPr/>
      </w:pPr>
      <w:bookmarkStart w:id="119" w:name="__RefHeading___Toc2626898_1051229030"/>
      <w:bookmarkStart w:id="120" w:name="_Toc47"/>
      <w:bookmarkEnd w:id="119"/>
      <w:r>
        <w:rPr/>
        <w:t>2</w:t>
      </w:r>
      <w:r>
        <w:rPr>
          <w:rtl w:val="true"/>
        </w:rPr>
        <w:t xml:space="preserve">. </w:t>
      </w:r>
      <w:r>
        <w:rPr>
          <w:rtl w:val="true"/>
        </w:rPr>
        <w:t>خرافاتى بودن و ناتوانى از ارائه ى برنامه ى زندگى</w:t>
      </w:r>
      <w:bookmarkEnd w:id="120"/>
    </w:p>
    <w:p>
      <w:pPr>
        <w:pStyle w:val="BookText"/>
        <w:rPr/>
      </w:pPr>
      <w:r>
        <w:rPr>
          <w:rFonts w:ascii="IRNazanin" w:hAnsi="IRNazanin" w:eastAsia="IRNazanin"/>
          <w:color w:val="111111"/>
          <w:sz w:val="28"/>
          <w:sz w:val="28"/>
          <w:szCs w:val="28"/>
          <w:rtl w:val="true"/>
          <w:lang w:bidi="fa-IR"/>
        </w:rPr>
        <w:t>جان بى ناس در توضيح آيين هندو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اعمالى كه عوام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مذهب انجام مى دهند، تركيبى است از همه گونه اعتقادات مخلوط و به هم آميخته، مانند آنيميسم، فتيشيسم و شمنيسم و شيطان پرستى و حيوان پرستى و ايمان به ارواح خير و شرّ و خداهاى كوچك تر كه معبودهاى محلى 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حقيقت آيين هندو دو ضعف اساسى در عرصه ى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اهيمسا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پرهيز از آزار جان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آموزه ى اهيمسا، خوردن گوشت حيوانات عملى غيراخلاقى است و نبايد از آن استفاده كرد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اين قانون هر چند ظاهرى فريبنده دارد، در باطن، انسان را از نعمت هاى الهى محروم كرده، زندگى اجتماعى او را مختل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هند با بيش ترين تعداد گاو و ساير حيوانات داراى بيش ترين تعداد گرسنگان است، چون آنها حق ندارند از گوشت اين حيوانات استفاده 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خودسوزى و زنده سوزاندن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هندوان جسد مردگان خود را مى سوزانند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سنّت مذهبى، هنگام سوزاندن جسد مرد متوفى، همسر وى نيز به نشانه ى وفادارى، ميان توده هاى هيزم مى خوابيد و همراه شوهر مى سوخت</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دوره هاى معاصر اين رسم با كمك انگليس تقريباً كنار گذاشته شده است ولى نكته ى اساسى اين است كه وجود چنين قوانين ضد انسانى در يك دين، نشانه ى بارز ضعف و سستى آن دين و نداشتن برنامه براى سعادت انسان و نيز تشويق انسان ها به رياضت هاى افراطى و از هم پاشيدگى </w:t>
      </w:r>
      <w:bookmarkStart w:id="121" w:name="pg7528_66444"/>
    </w:p>
    <w:p>
      <w:pPr>
        <w:pStyle w:val="BookText"/>
        <w:rPr/>
      </w:pPr>
      <w:bookmarkEnd w:id="121"/>
      <w:r>
        <w:rPr>
          <w:rFonts w:ascii="IRNazanin" w:hAnsi="IRNazanin" w:eastAsia="IRNazanin"/>
          <w:color w:val="111111"/>
          <w:sz w:val="28"/>
          <w:sz w:val="28"/>
          <w:szCs w:val="28"/>
          <w:rtl w:val="true"/>
          <w:lang w:bidi="fa-IR"/>
        </w:rPr>
        <w:t>اجتماع است</w:t>
      </w:r>
      <w:r>
        <w:rPr>
          <w:rFonts w:eastAsia="IRNazanin" w:cs="IRNazanin"/>
          <w:color w:val="111111"/>
          <w:sz w:val="28"/>
          <w:szCs w:val="28"/>
          <w:rtl w:val="true"/>
          <w:lang w:bidi="fa-IR"/>
        </w:rPr>
        <w:t>.</w:t>
      </w:r>
    </w:p>
    <w:p>
      <w:pPr>
        <w:pStyle w:val="Heading5"/>
        <w:numPr>
          <w:ilvl w:val="4"/>
          <w:numId w:val="1"/>
        </w:numPr>
        <w:rPr/>
      </w:pPr>
      <w:bookmarkStart w:id="122" w:name="__RefHeading___Toc2626900_1051229030"/>
      <w:bookmarkStart w:id="123" w:name="_Toc48"/>
      <w:bookmarkEnd w:id="122"/>
      <w:r>
        <w:rPr/>
        <w:t>3</w:t>
      </w:r>
      <w:r>
        <w:rPr>
          <w:rtl w:val="true"/>
        </w:rPr>
        <w:t xml:space="preserve">. </w:t>
      </w:r>
      <w:r>
        <w:rPr>
          <w:rtl w:val="true"/>
        </w:rPr>
        <w:t>نژادپرستى و نظام طبقاتى</w:t>
      </w:r>
      <w:bookmarkEnd w:id="123"/>
    </w:p>
    <w:p>
      <w:pPr>
        <w:pStyle w:val="BookText"/>
        <w:rPr/>
      </w:pPr>
      <w:r>
        <w:rPr>
          <w:rFonts w:ascii="IRNazanin" w:hAnsi="IRNazanin" w:eastAsia="IRNazanin"/>
          <w:color w:val="111111"/>
          <w:sz w:val="28"/>
          <w:sz w:val="28"/>
          <w:szCs w:val="28"/>
          <w:rtl w:val="true"/>
          <w:lang w:bidi="fa-IR"/>
        </w:rPr>
        <w:t xml:space="preserve">آيين هندو مردم را به دو طبقه ى آريايى ها و نجس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دراويدى هاى بومى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ى نجس ها حق حيات و حق رفت و آمد در محله هاى آريايى ها را نداشته، هرگاه به ناچار براى حمل زباله و كنّاسى به اماكن آنان مى رفتند، موظف بودند با صداى بلند حضور خود را اعلام كنند كه مبادا نگاه طبقات بالا به اين گروه بيفتد و اگر كسى آنها را مى ديد بايد با غسل خود را طاهر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تلاوت كتاب هاى مقدس نيز بر آنان حرام بود و اگر فردى از ايشان در اين مورد استراق سمع مى كرد، با ريختن سرب مذاب در گوشش او را مجازات مى كردند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آريايى ها نيز به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كشاترياها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شاهزادگان و جنگاوران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و دهقانان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معاشرت افراد يك طبقه با طبقات ديگر شرعاً و عرفاً ممنوع بود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البته به تدريج در ضمن اين چهار طبقه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ى فرعى نيز پديد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طبقه ها، طبقه ى پايين تر را استثمار و تحقير مى كرد و اين در حالى بود كه تمام اين ظلم و ستم ها توجيه دينى و مذهبى داشت و شايد همين از هم گسيختگى 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مذهب هندو مروج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شده بود تا سرزمين ثروتمند و پرجمعيت هند نتواند در مقابل </w:t>
      </w:r>
      <w:bookmarkStart w:id="124" w:name="pg7528_66445"/>
    </w:p>
    <w:p>
      <w:pPr>
        <w:pStyle w:val="BookText"/>
        <w:rPr/>
      </w:pPr>
      <w:bookmarkEnd w:id="124"/>
      <w:r>
        <w:rPr>
          <w:rFonts w:ascii="Amiri" w:hAnsi="Amiri" w:eastAsia="Amiri" w:cs="Amiri"/>
          <w:color w:val="111111"/>
          <w:sz w:val="28"/>
          <w:sz w:val="28"/>
          <w:szCs w:val="28"/>
          <w:rtl w:val="true"/>
          <w:lang w:bidi="ar-SA"/>
        </w:rPr>
        <w:t>نيروهاى مهاجم خارجى مقاومت كند و هميشه مطيع فرمانروايان خارجى باشد</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626902_1051229030"/>
      <w:bookmarkStart w:id="126" w:name="_Toc49"/>
      <w:bookmarkEnd w:id="125"/>
      <w:r>
        <w:rPr/>
        <w:t>4</w:t>
      </w:r>
      <w:r>
        <w:rPr>
          <w:rtl w:val="true"/>
        </w:rPr>
        <w:t xml:space="preserve">. </w:t>
      </w:r>
      <w:r>
        <w:rPr>
          <w:rtl w:val="true"/>
        </w:rPr>
        <w:t>نظريه ى تناسخ و ناتوانى از تبيين سرانجام انسان</w:t>
      </w:r>
      <w:bookmarkEnd w:id="126"/>
    </w:p>
    <w:p>
      <w:pPr>
        <w:pStyle w:val="BookText"/>
        <w:rPr/>
      </w:pPr>
      <w:r>
        <w:rPr>
          <w:rFonts w:ascii="IRNazanin" w:hAnsi="IRNazanin" w:eastAsia="IRNazanin"/>
          <w:color w:val="111111"/>
          <w:sz w:val="28"/>
          <w:sz w:val="28"/>
          <w:szCs w:val="28"/>
          <w:rtl w:val="true"/>
          <w:lang w:bidi="fa-IR"/>
        </w:rPr>
        <w:t>همان گونه كه گذشت، آيين هندو نه تنها از تبيين مبدأ عالم عاجز است و نمى تواند برنامه اى عملى براى زندگى دنيوى انسان ارائه دهد، از توضيح و تبيين سرانجام انسان نيز عاجز است و با طرح نظريه ى تناسخ، به تناقض و اوهام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ى هندوها روح انسان در هنگام مرگ و در همه ى احوال، جز در يك حالت كه روح در مقام اعلى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تام حاصل مى كند، به كالبد و يا جسم ديگرى انتقال پيدا كرده و يك سلسله تولد و تجديد حيات را طى مى كند و پس از هر تولد و زندگى دوباره، بار ديگر روح به بدنى ديگر حلول مى كند و اين تولدها ممكن است بى انتها بوده و ابدالدهر ادامه داشته باشد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نظريه كه خاستگاه آن ارواح پرستى و الوهيت ارواح است، نه تنها دليل منطقى و عقلى ندارد، بلكه موجب مى شود تا انسان در مقابل ظلم و ستم ديگران تنها خود را مقصر بداند و از مبارزه با آن و تلاش براى رسيدن به زندگى متعالى در اين دنيا نااميد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ى مصايب كنونى نتيجه ى عملكرد وى در زندگى قبلى بوده و تنها با مردن و حلول در كالبد ديگر مى تواند زندگى راحت ترى داشته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كتاب هاى كلامى و فلسفى در ردّ نظريه ى تناسخ بحث هاى متعددى صورت گرفته، ولى كافى است بدانيم كه اين نظريه را براى توجيه طبقات چهارگانه ى جامعه و منع از تداخل اين طبقات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اساس اين آموزه اگر كسى در طبقه ى نجس ها واقع شده، بدان جهت است كه در حيات قبلى خود گناه كرده، پس بايد به حيات در اين طبقه راضى باشد و شكرگزارى كند كه به شكل حيوان، گياه و سنگ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127" w:name="pg7528_66446"/>
    </w:p>
    <w:p>
      <w:pPr>
        <w:pStyle w:val="BookText"/>
        <w:rPr/>
      </w:pPr>
      <w:bookmarkEnd w:id="127"/>
      <w:r>
        <w:rPr>
          <w:rFonts w:ascii="IRNazanin" w:hAnsi="IRNazanin" w:eastAsia="IRNazanin"/>
          <w:color w:val="111111"/>
          <w:sz w:val="28"/>
          <w:sz w:val="28"/>
          <w:szCs w:val="28"/>
          <w:rtl w:val="true"/>
          <w:lang w:bidi="fa-IR"/>
        </w:rPr>
        <w:t>اگر تهذيب كند شايد در حيات بعدى به صورت پادشاه يا بازرگان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 كه، آيين هندو به دليل نداشتن اصول و فروع كلامى و موازين عقلى، به گونه اى با آرا و عقايد متناقض و خرافى اشباع شده و در ميان افسانه ها و خرافات غرق گشته و از تمييز بين حق و باطل عاجز است و نمى تواند براى سعادت دنيوى و اخروى انسان برنامه اى ارائه دهد</w:t>
      </w:r>
      <w:r>
        <w:rPr>
          <w:rFonts w:eastAsia="IRNazanin" w:cs="IRNazanin"/>
          <w:color w:val="111111"/>
          <w:sz w:val="28"/>
          <w:szCs w:val="28"/>
          <w:rtl w:val="true"/>
          <w:lang w:bidi="fa-IR"/>
        </w:rPr>
        <w:t>.</w:t>
      </w:r>
    </w:p>
    <w:p>
      <w:pPr>
        <w:pStyle w:val="Heading4"/>
        <w:numPr>
          <w:ilvl w:val="3"/>
          <w:numId w:val="1"/>
        </w:numPr>
        <w:rPr/>
      </w:pPr>
      <w:bookmarkStart w:id="128" w:name="__RefHeading___Toc2626904_1051229030"/>
      <w:bookmarkStart w:id="129" w:name="_Toc50"/>
      <w:bookmarkEnd w:id="128"/>
      <w:r>
        <w:rPr>
          <w:rtl w:val="true"/>
        </w:rPr>
        <w:t>آيا آيين هندو مى تواند برنامه اى براى زندگى انسان ارائه دهد؟اسماعيل روشن تن</w:t>
      </w:r>
      <w:bookmarkEnd w:id="129"/>
    </w:p>
    <w:p>
      <w:pPr>
        <w:pStyle w:val="BookText"/>
        <w:rPr/>
      </w:pPr>
      <w:r>
        <w:rPr>
          <w:rFonts w:ascii="IRNazanin" w:hAnsi="IRNazanin" w:eastAsia="IRNazanin"/>
          <w:color w:val="111111"/>
          <w:sz w:val="28"/>
          <w:sz w:val="28"/>
          <w:szCs w:val="28"/>
          <w:rtl w:val="true"/>
          <w:lang w:bidi="fa-IR"/>
        </w:rPr>
        <w:t>نام قديم آيين هندو، برهمايى، برگرفته از برهما، نام خداى هندوان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هندوئيسم شكل تكامل يافته ى آنيميسم</w:t>
      </w:r>
      <w:r>
        <w:rPr>
          <w:rStyle w:val="FootnoteAnchor"/>
          <w:rtl w:val="true"/>
        </w:rPr>
        <w:footnoteReference w:id="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بنيان گذار آن شناخته شده نيست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اين آيين گونه اى فرهنگ، آداب و سنن اجتماعى است كه با تهذيب نفس و رياضت همراه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گرچه به نظر برخى از دانشمندان هم هندوئيسم بيش از آن كه مجموعه اى از عقايد باشد، يك اسلوب و روش زيست است و تاريخ گواه بر چيرگى اين نحوه ى سلوك بر فرايض و سنن هندو است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ذكر اين مقدمه به سؤال مزبور پاسخ مى دهيم و ابتدا نيازهاى انسان را تاحدودى </w:t>
      </w:r>
    </w:p>
    <w:p>
      <w:pPr>
        <w:pStyle w:val="BookText"/>
        <w:rPr/>
      </w:pPr>
      <w:r>
        <w:rPr>
          <w:rFonts w:ascii="Amiri" w:hAnsi="Amiri" w:eastAsia="Amiri" w:cs="Amiri"/>
          <w:color w:val="111111"/>
          <w:sz w:val="28"/>
          <w:sz w:val="28"/>
          <w:szCs w:val="28"/>
          <w:rtl w:val="true"/>
          <w:lang w:bidi="ar-SA"/>
        </w:rPr>
        <w:t>بررسى مى كنيم، تا توانايى يا عدم توانايى آيين هندو را در برآوردن اين نيازها مشاهده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موجودى مركب از دو حيثيت طبيعى و فراطبيعى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حيثيت طبيعى انسان امرى مادى و زمانمند است، برخلاف حيثيت فراطبيعى كه خارج از محدوده ى زمان و مكان است و از آن به روح الهى ياد مى شود و شناخت حقيقت انسان به شناخت روح الهى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تنها مبدأيى كه انسان را به درستى مى شناسد و مى شناساند، خالق اوست چنان كه تأمين نيازهاى او را نيز به عهده دارد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اين در حالى است كه در آيين هندو با توجه به كثرت و تعدّد خدايان و انسان نما بودن آنها و شك و حيرت خدايان هندى در ارائه ى پاداش به ستايشگران، ساحت نيازهاى انسان مجهول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بعد انديشه، بسيارى از معارف و حقايق علمى را نمى داند و در بعد عمل نيز فاقد بسيارى از فضايل اخلاقى و عملى است و دين همان حقيقتى است كه حقايق علمى و فضايل اخلاقى را براى تحصيل كمال اختيارى در دست رس او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خداى سبحان راه نمايانى را براى تعليم معارف و حقايق علمى مورد نياز انسان و تكميل جهت نفسانى اش به سوى او مبعوث، و انسان با پذيرش اختيارى آن فضايل و معارف به سوى كمال حركت مى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چون با انبوهى از نقص ها همراه است و خودش توان برطرف نمودن آنها را ندارد، بايد براى تكميل اين نقص به معلم غيبى كه به نقص و نياز انسان آگاهى دارد، ايمان و اعتقاد داشته باشد و بداند كه آن معلم غيبى نياز او را به علم و معرفت تأمين و نقايص اخلاقى و عملى او را تكميل مى كند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آيين هندو چون به ساحت هاى نياز انسان علم </w:t>
      </w:r>
    </w:p>
    <w:p>
      <w:pPr>
        <w:pStyle w:val="BookText"/>
        <w:rPr/>
      </w:pPr>
      <w:r>
        <w:rPr>
          <w:rFonts w:ascii="Amiri" w:hAnsi="Amiri" w:eastAsia="Amiri" w:cs="Amiri"/>
          <w:color w:val="111111"/>
          <w:sz w:val="28"/>
          <w:sz w:val="28"/>
          <w:szCs w:val="28"/>
          <w:rtl w:val="true"/>
          <w:lang w:bidi="ar-SA"/>
        </w:rPr>
        <w:t>ندارد، با انكار بعثت انبيا و با رويكرد عقل مدارانه محال است كه بتواند تمام ملاكات سعادت را، بيان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روابط انسان ها، ارتباط با ديگران است و در اين ارتباط رعايت حقوق انسانى و اجراى عدالت از مؤلفه هاى بسيار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آيين هندو نظام طبقاتى شديدى حاكم است كه مدت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سايه ى سهمگين خود را بر هندوستان افكنده و به نام طبقات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كشاترياها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شاه زادگان و جنگاوران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و دهقانان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طبقه ى شودراها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معاشرت افراد يك طبقه با طبقات ديگر شرعاً و عرفاً ممنوع است</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و همين نظام طبقاتى منجر به تعطيلى فرصت ها و محروم شدن بيشتر مردم از حقوق خودشان است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روابط انسان در نظام هستى ارتباط او با خويشتن است و اين ارتباط براساس شناخت جايگاه واقعى خويش تنظيم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بداند كه از سويى خليفه ى خدا در زمين و داراى ظرفيت علمى گسترده و امانت دار خدا و برخوردار از فطرت خداآشناست و روى خود را با گرايش تمام به سوى او متوجه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آيين هندو چنين تعريف و ارتباطى از انسان با خويشتن نشده و براى دست يابى انسان به حقيقت، رياضت هاى طاقت فرسايى در نظر گرفته شده است</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حال آن كه سلوك در آن مشاهده ى حقيقت نيست، بلكه تسخير قواى طبيعى است كه اختصاص به هندوان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رويكردهاى دين مدارانه انسان بيهوده آفريده نشده است، بلكه مقدمه و مزرعه بودن دنيا براى آخرت از انديشه هاى دينى است و هر كسى حاصل عمل خود را در آخرت مى بيند و بيش از يك حيات و مرگ به سراغ انسان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ديدگاه هندو و بر اساس قانون كار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آدمى نتيجه ى اعمال خود را در دوره هاى بازگشت مجدّد خود در اين جهان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نيكوكاران در مرحله ى بعدى زندگى مرفه و خوشى دارند و بدكاران، در بازگشت، بينوا و بدبخت خواهند بود كه چه بسا به شكل حيوان درآيند</w:t>
      </w:r>
      <w:r>
        <w:rPr>
          <w:rStyle w:val="FootnoteAnchor"/>
          <w:rtl w:val="true"/>
        </w:rPr>
        <w:footnoteReference w:id="88"/>
      </w:r>
      <w:r>
        <w:rPr>
          <w:rFonts w:ascii="IRNazanin" w:hAnsi="IRNazanin" w:eastAsia="IRNazanin"/>
          <w:color w:val="111111"/>
          <w:sz w:val="28"/>
          <w:sz w:val="28"/>
          <w:szCs w:val="28"/>
          <w:rtl w:val="true"/>
          <w:lang w:bidi="fa-IR"/>
        </w:rPr>
        <w:t>و همواره آدمى در گردونه ى تناسخ و تولّدهاى مكرر در جهان پررنج گرفتار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حالى كه دين بايد راه هاى سعادت بشر را فراروى وى بگذارد نه اين كه او را در فرايند زمان دچار سازد و به جبر او را از اختيار سعادت باز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ى سخن اين كه، توجه و دقت در مقام و جايگاه انسان در نظام هستى و ابعاد وجودى او، روشن مى سازد كه انسان موجودى جاودانه و ابدى است و افزون بر حيثيت طبيعى و عقلانى، حيثيت فراطبيعى و احساسى نيز دارد و دين بايد به همه ى امورِ يادشده توجه و نيازهاى انسان را تأمين و روابط او را تنظيم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آيين هندو برنامه اى ارائه نمى دهد كه سعادتمندى انسان و زندگى او را تنظيم كند و جنبه هاى فردى و اجتماعى و شرايط زيست انسان را در لفافه هاى تقليدها و اسطوره ها پنهان داشته است</w:t>
      </w:r>
      <w:r>
        <w:rPr>
          <w:rFonts w:eastAsia="IRNazanin" w:cs="IRNazanin"/>
          <w:color w:val="111111"/>
          <w:sz w:val="28"/>
          <w:szCs w:val="28"/>
          <w:rtl w:val="true"/>
          <w:lang w:bidi="fa-IR"/>
        </w:rPr>
        <w:t xml:space="preserve">. </w:t>
      </w:r>
      <w:bookmarkStart w:id="130" w:name="pg7528_66450"/>
    </w:p>
    <w:p>
      <w:pPr>
        <w:pStyle w:val="Heading2"/>
        <w:numPr>
          <w:ilvl w:val="1"/>
          <w:numId w:val="1"/>
        </w:numPr>
        <w:rPr/>
      </w:pPr>
      <w:bookmarkStart w:id="131" w:name="__RefHeading___Toc2626906_1051229030"/>
      <w:bookmarkStart w:id="132" w:name="_Toc51"/>
      <w:bookmarkEnd w:id="130"/>
      <w:bookmarkEnd w:id="131"/>
      <w:r>
        <w:rPr>
          <w:rtl w:val="true"/>
        </w:rPr>
        <w:t>امامت و مهدويت</w:t>
      </w:r>
      <w:bookmarkEnd w:id="132"/>
    </w:p>
    <w:p>
      <w:pPr>
        <w:pStyle w:val="Heading3"/>
        <w:numPr>
          <w:ilvl w:val="2"/>
          <w:numId w:val="1"/>
        </w:numPr>
        <w:rPr/>
      </w:pPr>
      <w:bookmarkStart w:id="133" w:name="__RefHeading___Toc2626908_1051229030"/>
      <w:bookmarkStart w:id="134" w:name="_Toc52"/>
      <w:bookmarkEnd w:id="133"/>
      <w:r>
        <w:rPr>
          <w:rtl w:val="true"/>
        </w:rPr>
        <w:t>ظهور حضرت مهدى</w:t>
      </w:r>
      <w:r>
        <w:rPr>
          <w:rtl w:val="true"/>
        </w:rPr>
        <w:t>(</w:t>
      </w:r>
      <w:r>
        <w:rPr>
          <w:rtl w:val="true"/>
        </w:rPr>
        <w:t>عج</w:t>
      </w:r>
      <w:r>
        <w:rPr>
          <w:rtl w:val="true"/>
        </w:rPr>
        <w:t>)</w:t>
      </w:r>
      <w:bookmarkEnd w:id="13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2626910_1051229030"/>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برخى قايل اند كه فساد و ظلم، سبب نزديك تر شدن ظهور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درست است كه قبل از ظهور نبايد هيچ گونه حركت اصلاحى انجام داد و يا دست به قيام زد، تا ظلم و فساد همه جا را فراگيرد و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 گردد؟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بهروز محمدی منفرد </w:t>
      </w:r>
    </w:p>
    <w:p>
      <w:pPr>
        <w:pStyle w:val="BookText"/>
        <w:rPr/>
      </w:pPr>
      <w:r>
        <w:rPr>
          <w:rFonts w:ascii="Amiri" w:hAnsi="Amiri" w:eastAsia="Amiri" w:cs="Amiri"/>
          <w:color w:val="111111"/>
          <w:sz w:val="28"/>
          <w:sz w:val="28"/>
          <w:szCs w:val="28"/>
          <w:rtl w:val="true"/>
          <w:lang w:bidi="ar-SA"/>
        </w:rPr>
        <w:t>امامت و مهدويت</w:t>
      </w:r>
    </w:p>
    <w:p>
      <w:pPr>
        <w:pStyle w:val="BookText"/>
        <w:rPr/>
      </w:pPr>
      <w:r>
        <w:rPr>
          <w:rFonts w:ascii="IRNazanin" w:hAnsi="IRNazanin" w:eastAsia="IRNazanin"/>
          <w:color w:val="111111"/>
          <w:sz w:val="28"/>
          <w:sz w:val="28"/>
          <w:szCs w:val="28"/>
          <w:rtl w:val="true"/>
          <w:lang w:bidi="fa-IR"/>
        </w:rPr>
        <w:t>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همه ى اديان ابراهيمى و بسيارى از ديگر اديان همگى، چشم به راه ظهور منجى مصلحى هستند كه با خروج خود، عدالت و آسايش را در سراسر اين پهناى خاكى زمين مى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ايده ى شيعه ى اماميه بر آن است كه موعود آخرالزمان در قيد حيات بوده و در اين دنيا زندگى مى كند و به عبارتى حضورى در غيبت دارد و براى حضور و ظهور نهائى ايشان و تشكيل حكومت عدل محور و گسترش رفاه و آسايش و كلمه ى توحيد در ميان مردم، بايستى زمينه ها و شرائط آن مهيا شود كه از مهمترين زمينه هاى ظهور آن حضرت مى توان آمادگى جهانيان براى پذيرش آن منجى مصلح و مهيّا شدن يارانى كارآمد براى ايشان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كه نقش و تأثير اصلى آن به عهده ى خود مردم است اما برخى كج انديشان شبهاتى در مورد نقش مردم در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امورى كه ظهور را نزديك مى كند وارد كرده اند كه به برخى از اين شبهات پاسخ داده شده است</w:t>
      </w:r>
      <w:r>
        <w:rPr>
          <w:rFonts w:eastAsia="IRNazanin" w:cs="IRNazanin"/>
          <w:color w:val="111111"/>
          <w:sz w:val="28"/>
          <w:szCs w:val="28"/>
          <w:rtl w:val="true"/>
          <w:lang w:bidi="fa-IR"/>
        </w:rPr>
        <w:t xml:space="preserve">. </w:t>
      </w:r>
      <w:bookmarkStart w:id="137" w:name="pg7528_66453"/>
    </w:p>
    <w:p>
      <w:pPr>
        <w:pStyle w:val="Heading4"/>
        <w:numPr>
          <w:ilvl w:val="3"/>
          <w:numId w:val="1"/>
        </w:numPr>
        <w:rPr/>
      </w:pPr>
      <w:bookmarkStart w:id="138" w:name="__RefHeading___Toc2626912_1051229030"/>
      <w:bookmarkStart w:id="139" w:name="_Toc54"/>
      <w:bookmarkEnd w:id="137"/>
      <w:bookmarkEnd w:id="138"/>
      <w:r>
        <w:rPr>
          <w:rtl w:val="true"/>
        </w:rPr>
        <w:t>برخى قايل اند كه فساد و ظلم، سبب نزديك تر شدن ظهور مى شود</w:t>
      </w:r>
      <w:r>
        <w:rPr>
          <w:rtl w:val="true"/>
        </w:rPr>
        <w:t xml:space="preserve">; </w:t>
      </w:r>
      <w:r>
        <w:rPr>
          <w:rtl w:val="true"/>
        </w:rPr>
        <w:t>آيا اين سخن درست است كه قبل از ظهور نبايد هيچ گونه حركت اصلاحى انجام داد و يا دست به قيام زد، تا ظلم و فساد همه جا را فراگيرد و ظهور حضرت مهدى</w:t>
      </w:r>
      <w:r>
        <w:rPr>
          <w:rtl w:val="true"/>
        </w:rPr>
        <w:t>(</w:t>
      </w:r>
      <w:r>
        <w:rPr>
          <w:rtl w:val="true"/>
        </w:rPr>
        <w:t>عليه السلام</w:t>
      </w:r>
      <w:r>
        <w:rPr>
          <w:rtl w:val="true"/>
        </w:rPr>
        <w:t xml:space="preserve">) </w:t>
      </w:r>
      <w:r>
        <w:rPr>
          <w:rtl w:val="true"/>
        </w:rPr>
        <w:t>نزديك تر گردد؟بهروز محمدی منفرد</w:t>
      </w:r>
      <w:bookmarkEnd w:id="139"/>
    </w:p>
    <w:p>
      <w:pPr>
        <w:pStyle w:val="Heading5"/>
        <w:numPr>
          <w:ilvl w:val="4"/>
          <w:numId w:val="1"/>
        </w:numPr>
        <w:rPr/>
      </w:pPr>
      <w:bookmarkStart w:id="140" w:name="__RefHeading___Toc2626914_1051229030"/>
      <w:bookmarkStart w:id="141" w:name="_Toc55"/>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مأموريت اساسى بزرگ منجى عالم و تحقق بخش اهداف انبيا و اوليا، برپايى قسط و عدالت در سراسر اين كره ى خاكى و اشاعه ى يكتاپرستى و برچيدن هرگونه ظلم و جور و فساد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پرشمارى بيانگر آن اند كه اين انقلاب عظيم و سترگ آن گاه رخ مى دهد كه ظلم و فساد و تباهى جهان را فراگيرد و حكومت هاى دين ستيز و عدل ستيز و مستكبران، گستره ى زمين خاكى را تحت بيرق خود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يملا الارض قسطاً و عدلا كما ملئت ظلماً و جوراً</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پر از قسط و عدل مى شود، هم چنان كه پر از ظلم و جور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المهدى حتى يرقى الظلمة</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نمى كند مگر آن گاه كه ظلمت و تاريكى سراسر جهان را فراگيرد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يظهر المهدى الا على خوف شديد و زلزال و فتنة تصيب الناس و ما هون قبل ذلك و سيف قاطع بين العرب واختلاف شديد بين الناس و تشتّت فى دينهم و تغير فى مالهم حتى يتبين الموت صاحا و مساواً من عظم ما يرى من لكب الناس و</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برخى غيرمتخصصان و ناآشنايان با انديشه ى ژرف مهدويت، از اين روايات چنين برداشت كرده اند كه كثرت ظلم و فساد در جامعه، زمينه ساز ظهور و سبب تسريع در ظهور آن منجى مصلح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 ظالمان و مفسدان در زمين شايسته است، زيرا ظهور حضرت را نزديك مى كند و در مقابل، كسانى كه در صدد اصلاح جامعه هستند و جلوى فساد و تباهى را مى گيرند كارشان ناشايست است، زيرا ظهور حضرت را به تأخير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اينان، هر گناه و هر ظلم و هر تبعيض و هر حق كشى و هر بليه اى، به حكم اين كه مقدمه ى صلاح كلى است و انفجار را قريب الوقوع مى كند،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كمك به تسريع در ظهور و بهترين شكل انتظار، ترويج و اشاعه ى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طبعاً به مصلحان و مجاهدان و آمران به معروف و ناهيان از منكر با نوعى بغض و عداوت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را از تأخيراندازان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فساد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مقدمات ظهور را فراهم مى نمايند و برعكس، اگر خود هم اهل گناه نباشند، در عمق ضمير و انديشه، با نوعى رضايت به گناهكاران و عاملان فساد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مقدمات ظهور را فراهم مى آورند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البته چنين تفكرى تازگى ندارد و يكى از اصول فلسفه ى ماركس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ماركسيست ها مى گويند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قدر فسادش زيادتر باشد، زودتر دهن باز مى كند و منفجر </w:t>
      </w:r>
      <w:bookmarkStart w:id="142" w:name="pg7528_66455"/>
    </w:p>
    <w:p>
      <w:pPr>
        <w:pStyle w:val="BookText"/>
        <w:rPr/>
      </w:pPr>
      <w:bookmarkEnd w:id="142"/>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جامعه نيز براى به وجود آمدن انقلاب، بايد فساد را بيشتر كرد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اينان در فرضيه ى اصلاح يا انقلاب، مخالف اصلاح هستند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انقلاب را به تأخير مى اندازد، پس اصلاح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قايل به اخلال هستند و مى گويند نابسامانى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نابسامانى تضاد و كشمكش را بيشتر مى كند و وقتى كشمكش بيشتر شد، جنگ و مبارزه شديدتر شده، انقلاب سريع تر انجام مى 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ترديدى نيست كه انتشار چنين تفكر مسمومى سبب بسترسازى هايى براى مقابله با اصلاحات و آرمان هاى اسلام ناب مى گردد و فساد و تباهى را، كه بسيار با هواى نفس سازگار است، در ميان جامعه مى گستراند و لا ابالى گرى ها و بى بندوبارى ها و ظلم و ستم ها، رنگ و بوى دينى به خود مى گيرند و برخى با اين بهانه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وسيله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كارهاى خود را در راه رسيدن به آن انقلاب مقدس و متعالى، توجيه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پاسخ هاى اين انديشه ى باطل عبارت اند از</w:t>
      </w:r>
      <w:r>
        <w:rPr>
          <w:rFonts w:eastAsia="IRNazanin" w:cs="IRNazanin"/>
          <w:color w:val="111111"/>
          <w:sz w:val="28"/>
          <w:szCs w:val="28"/>
          <w:rtl w:val="true"/>
          <w:lang w:bidi="fa-IR"/>
        </w:rPr>
        <w:t>:</w:t>
      </w:r>
    </w:p>
    <w:p>
      <w:pPr>
        <w:pStyle w:val="Heading5"/>
        <w:numPr>
          <w:ilvl w:val="4"/>
          <w:numId w:val="1"/>
        </w:numPr>
        <w:rPr/>
      </w:pPr>
      <w:bookmarkStart w:id="143" w:name="__RefHeading___Toc2626916_1051229030"/>
      <w:bookmarkStart w:id="144" w:name="_Toc56"/>
      <w:bookmarkEnd w:id="143"/>
      <w:r>
        <w:rPr>
          <w:rtl w:val="true"/>
        </w:rPr>
        <w:t>الف</w:t>
      </w:r>
      <w:r>
        <w:rPr>
          <w:rtl w:val="true"/>
        </w:rPr>
        <w:t xml:space="preserve">) </w:t>
      </w:r>
      <w:r>
        <w:rPr>
          <w:rtl w:val="true"/>
        </w:rPr>
        <w:t>شرايط و زمينه هاى ايجاد هر پديده اى با علايم و نشانه هاى آن تفاوت دارد</w:t>
      </w:r>
      <w:r>
        <w:rPr>
          <w:rtl w:val="true"/>
        </w:rPr>
        <w:t>.</w:t>
      </w:r>
      <w:bookmarkEnd w:id="1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و شرايط ايجاد هر پديده، لازمه ى آن است و از آن جدايى ندارد و تا وجود پيدا نكند آن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 شرايط و زمينه هاى هر پديده با خود آن نسبت استلزامى و انفكاك ناپذيرى برقرار است و آن شرايط در شكل گيرى پديده، نقش كليدى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 ها و علايم يك پديده، تنها، از وقوع يا نزديكى وقوع آن پديده خبر مى دهند و هيچ نقشى در ايجاد آن ندارند و ممكن است پديده محقق شود بدون آن كه نشانه هاى وعده داده شده براى آن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روشن شود كه آيا گسترش فساد و ظلم در جامعه، </w:t>
      </w:r>
      <w:bookmarkStart w:id="145" w:name="pg7528_66456"/>
    </w:p>
    <w:p>
      <w:pPr>
        <w:pStyle w:val="BookText"/>
        <w:rPr/>
      </w:pPr>
      <w:bookmarkEnd w:id="145"/>
      <w:r>
        <w:rPr>
          <w:rFonts w:ascii="IRNazanin" w:hAnsi="IRNazanin" w:eastAsia="IRNazanin"/>
          <w:color w:val="111111"/>
          <w:sz w:val="28"/>
          <w:sz w:val="28"/>
          <w:szCs w:val="28"/>
          <w:rtl w:val="true"/>
          <w:lang w:bidi="fa-IR"/>
        </w:rPr>
        <w:t>شرط و زمينه ى ظهور است يا علامت و نشانه ى آن؟ با ژرف انديشى در روايات روشن مى گردد كه زياد شدن تباهى و فساد و ظلم از نشانه هاى ظهور به شمار مى آيد، نه زمينه و شرط و سبب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گسترش فساد و تباهى هيچ نقشى در اصل ظهور ندارد، تا آرمان تشكيل حكومت عدل گستر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قوام و تحقق پيدا كند، بلكه وجود اين ظلم ها و فسادها، همگان را از نزديكى ظهور يا وقوع آن آگاه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روايات، صرفاً، وضعيت زمان ظهور حضرت را توصيف مى كنند</w:t>
      </w:r>
      <w:r>
        <w:rPr>
          <w:rFonts w:eastAsia="IRNazanin" w:cs="IRNazanin"/>
          <w:color w:val="111111"/>
          <w:sz w:val="28"/>
          <w:szCs w:val="28"/>
          <w:rtl w:val="true"/>
          <w:lang w:bidi="fa-IR"/>
        </w:rPr>
        <w:t>.</w:t>
      </w:r>
    </w:p>
    <w:p>
      <w:pPr>
        <w:pStyle w:val="Heading5"/>
        <w:numPr>
          <w:ilvl w:val="4"/>
          <w:numId w:val="1"/>
        </w:numPr>
        <w:rPr/>
      </w:pPr>
      <w:bookmarkStart w:id="146" w:name="__RefHeading___Toc2626918_1051229030"/>
      <w:bookmarkStart w:id="147" w:name="_Toc57"/>
      <w:bookmarkEnd w:id="146"/>
      <w:r>
        <w:rPr>
          <w:rtl w:val="true"/>
        </w:rPr>
        <w:t>ب</w:t>
      </w:r>
      <w:r>
        <w:rPr>
          <w:rtl w:val="true"/>
        </w:rPr>
        <w:t xml:space="preserve">) </w:t>
      </w:r>
      <w:r>
        <w:rPr>
          <w:rtl w:val="true"/>
        </w:rPr>
        <w:t>اين گونه روايات حاكى از كثرت ظلم و فساد هستند، نه كثرت و فراوانى ظالمان و فاسدان</w:t>
      </w:r>
      <w:r>
        <w:rPr>
          <w:rtl w:val="true"/>
        </w:rPr>
        <w:t>;</w:t>
      </w:r>
      <w:bookmarkEnd w:id="147"/>
    </w:p>
    <w:p>
      <w:pPr>
        <w:pStyle w:val="BookText"/>
        <w:rPr/>
      </w:pPr>
      <w:r>
        <w:rPr>
          <w:rFonts w:ascii="IRNazanin" w:hAnsi="IRNazanin" w:eastAsia="IRNazanin"/>
          <w:color w:val="111111"/>
          <w:sz w:val="28"/>
          <w:sz w:val="28"/>
          <w:szCs w:val="28"/>
          <w:rtl w:val="true"/>
          <w:lang w:bidi="fa-IR"/>
        </w:rPr>
        <w:t>چه بسا تعداد كمى ظالم و فاسد در زمين وجود داشته باشند، ولى چنان ظلم و فسادى به پا كنند كه سراسر جهان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روايات، فراوانى ظلم و فساد مورد عنايت قرار گرفته است نه پرشمار بودن ظالمان و فاسدان و اين مطلب منافاتى با تلاش انسان ها و مؤمنين در ايجاد حركات اصلاحى و حكومت عدل و مخالفت با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مبنى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تحقق نمى پذيرد، مگر اين كه هر يك از شقى و سعيد به نهايت كار خود برسند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پس سخن در اين است كه گروه سُعدا و اشقيا هر كدام به نهايت كار خود برسند، سخن در اين نيست كه سعيدى در كار نباشد و فقط اشقيا به منتهى درجه ى شقاوت برسند</w:t>
      </w:r>
      <w:r>
        <w:rPr>
          <w:rFonts w:eastAsia="IRNazanin" w:cs="IRNazanin"/>
          <w:color w:val="111111"/>
          <w:sz w:val="28"/>
          <w:szCs w:val="28"/>
          <w:rtl w:val="true"/>
          <w:lang w:bidi="fa-IR"/>
        </w:rPr>
        <w:t>».</w:t>
      </w:r>
    </w:p>
    <w:p>
      <w:pPr>
        <w:pStyle w:val="Heading5"/>
        <w:numPr>
          <w:ilvl w:val="4"/>
          <w:numId w:val="1"/>
        </w:numPr>
        <w:rPr/>
      </w:pPr>
      <w:bookmarkStart w:id="148" w:name="__RefHeading___Toc2626920_1051229030"/>
      <w:bookmarkStart w:id="149" w:name="_Toc58"/>
      <w:bookmarkEnd w:id="148"/>
      <w:r>
        <w:rPr>
          <w:rtl w:val="true"/>
        </w:rPr>
        <w:t>ج</w:t>
      </w:r>
      <w:r>
        <w:rPr>
          <w:rtl w:val="true"/>
        </w:rPr>
        <w:t xml:space="preserve">) </w:t>
      </w:r>
      <w:r>
        <w:rPr>
          <w:rtl w:val="true"/>
        </w:rPr>
        <w:t>رواياتى كه تكاليف مؤمنين را در زمان غيبت بيان مى دارند</w:t>
      </w:r>
      <w:r>
        <w:rPr>
          <w:rtl w:val="true"/>
        </w:rPr>
        <w:t>;</w:t>
      </w:r>
      <w:bookmarkEnd w:id="1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پرشمارى، تكاليف و وظايف بسيارى را براى منتظران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غيبت و قبل از ظهور بيان مى كنند كه به برخى از آنها اشاره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خودسازى و تهذيب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دوست دارد از اصحاب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منتظر باشد و در اين حال به پرهيزكارى و اخلاق نيكو رفتار نمايد، در حالى كه منتظر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شدن براى از بين بردن فتنه ها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لشيعة قائمنا المنتظرين لظهور فى غيبته والمطيعين له فى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اولياء الله الذين لا خوف عليهم و لا هم يحزنون</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پيروان قائم ما، كسانى كه در دوران غيبتش منتظر ظهور ايشان اند و در زمان ظهورش، از او اطاعت مى كنند، ايشان اولياى الهى هستند، كسانى كه هيچ خوف و حزنى بر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وجود اين وظايف و تكاليف در عصر غيبت و قبل از ظهور، همگى با راضى و بى تفاوت بودن نسبت به فساد و ظلم و تباهى در جامعه منافات صريح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بايد ملتزم شد به اين كه بسيارى از تكاليف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 واجبات و ترك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نزديك نمودن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بخورد و در اين مقطع زمانى بسيارى از تكاليف از انسان ها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لازم باطل است، به اين معنا كه هيچ دليلى بر تخصيص خوردن تكاليف در اين عصر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ملزوم هم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مطهرى مى 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كردن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يك اصل قطعى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انتظار </w:t>
      </w:r>
      <w:bookmarkStart w:id="150" w:name="pg7528_66458"/>
    </w:p>
    <w:p>
      <w:pPr>
        <w:pStyle w:val="BookText"/>
        <w:rPr/>
      </w:pPr>
      <w:bookmarkEnd w:id="150"/>
      <w:r>
        <w:rPr>
          <w:rFonts w:ascii="IRNazanin" w:hAnsi="IRNazanin" w:eastAsia="IRNazanin"/>
          <w:color w:val="111111"/>
          <w:sz w:val="28"/>
          <w:sz w:val="28"/>
          <w:szCs w:val="28"/>
          <w:rtl w:val="true"/>
          <w:lang w:bidi="fa-IR"/>
        </w:rPr>
        <w:t>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تكليفى را از ما ساقط نمى كند، نه تكليف فردى و نه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شيعه و اهل تسنن، يك عالم پيدا نمى كنيد كه بگويد انتظار ظهور حضرت حجت يك تكليف كوچك را از ما ساقط مى كند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برعكس، دليل بر هميشگى بودن تكاليف داريم،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 محمد حلالٌ ابداً الى يومِ القيامة و حَرامُهُ حرامٌ ابداً الى يومِ القيامة</w:t>
      </w:r>
      <w:r>
        <w:rPr>
          <w:rFonts w:eastAsia="Amiri" w:cs="Amiri" w:ascii="Amiri" w:hAnsi="Amiri"/>
          <w:color w:val="111111"/>
          <w:sz w:val="28"/>
          <w:szCs w:val="28"/>
          <w:rtl w:val="true"/>
          <w:lang w:bidi="ar-SA"/>
        </w:rPr>
        <w:t>.</w:t>
      </w:r>
      <w:r>
        <w:rPr>
          <w:rStyle w:val="FootnoteAnchor"/>
          <w:rtl w:val="true"/>
        </w:rPr>
        <w:footnoteReference w:id="101"/>
      </w:r>
    </w:p>
    <w:p>
      <w:pPr>
        <w:pStyle w:val="Heading5"/>
        <w:numPr>
          <w:ilvl w:val="4"/>
          <w:numId w:val="1"/>
        </w:numPr>
        <w:rPr/>
      </w:pPr>
      <w:bookmarkStart w:id="151" w:name="__RefHeading___Toc2626922_1051229030"/>
      <w:bookmarkStart w:id="152" w:name="_Toc59"/>
      <w:bookmarkEnd w:id="151"/>
      <w:r>
        <w:rPr>
          <w:rtl w:val="true"/>
        </w:rPr>
        <w:t>د</w:t>
      </w:r>
      <w:r>
        <w:rPr>
          <w:rtl w:val="true"/>
        </w:rPr>
        <w:t xml:space="preserve">) </w:t>
      </w:r>
      <w:r>
        <w:rPr>
          <w:rtl w:val="true"/>
        </w:rPr>
        <w:t>مهدى ياوران</w:t>
      </w:r>
      <w:r>
        <w:rPr>
          <w:rtl w:val="true"/>
        </w:rPr>
        <w:t>:</w:t>
      </w:r>
      <w:bookmarkEnd w:id="152"/>
    </w:p>
    <w:p>
      <w:pPr>
        <w:pStyle w:val="BookText"/>
        <w:rPr/>
      </w:pPr>
      <w:r>
        <w:rPr>
          <w:rFonts w:ascii="IRNazanin" w:hAnsi="IRNazanin" w:eastAsia="IRNazanin"/>
          <w:color w:val="111111"/>
          <w:sz w:val="28"/>
          <w:sz w:val="28"/>
          <w:szCs w:val="28"/>
          <w:rtl w:val="true"/>
          <w:lang w:bidi="fa-IR"/>
        </w:rPr>
        <w:t>هر حركت اصلاحى و هر انقلابى براى محقق شدن بايد مسير طبيعى و عادى اش را طى كند و بلكه تحقق هر پديده اى در اين عالم هستى اسباب و مقدماتى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ابى الله أن يجرى الاشياء الا بأسباب</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ى خداوند به اين تعلق گرفته است كه هيچ چيزى جز به واسطه ى اسبابش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الهى بر آن تحقق گرفته است كه سرنوشت انسان ها به دست خودشان رقم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حكومت عدل محور و جهانى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قاعده مستثنا نيست و براى محقق شدن، نيازمند مقدمات و وسايلى از جمله وجود يارانى صالح و به دور از وسوسه هاى شيطانى و پاك از لوث پليدى ها و صاحب كرامات انسانى و سازماندهى ايشان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ايشان مى 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است كه استوارى دل هايشان براى دين خدا، همانند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ى آنها امام و پيشواى حق را يارى مى كند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اين امام بزرگوار در جاى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خداوند درباره ى آنها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يأتى الله بقوم يحبّهم و يحبّونه </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خداوند به زودى گروهى را خواهد آورد كه آنان را دوست دارد و آنان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مؤمنان فروتن و در برابر كافران با عزت و درشت خو و سخت گير هستند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مى توان گفت در زمان ظهور آن حضرت، دو جبهه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حق كه عبارت اند از ياران مخلص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جبهه ى باطل كه شامل فاسدان و ملحدان و ظالمان مى شود و ترديدى نيست كه هواپرستان و كج انديشانى كه در زمان قبل از ظهور حضرتش، خواست هاى شيطانى را در جامعه گسترش داده و يا راضى به اشاعه ى فساد و منكرند، از ياران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ويژگى هاى مهدى ياوران برخوردار نبوده و مشمول رواياتى كه خصايص ياران حضرت را ذكر مى كنند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عقيده اى كه دارند در جبهه ى مقابل قرار داشته و با برخورد قاطع و سركوب گرانه ى حضرت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قيام او يك حركت اصلاحى است و هر پديده اى كه در مقابل آن باشد مردود است، پس صاحبان چنين تفكر غلطى، اگر هم به خيال خود راست گفته باشند، اولين ضربه را خود متحمل خواهند شد و طعم خوارى را در مقابل مؤمنين خواهند چشيد</w:t>
      </w:r>
      <w:r>
        <w:rPr>
          <w:rFonts w:eastAsia="IRNazanin" w:cs="IRNazanin"/>
          <w:color w:val="111111"/>
          <w:sz w:val="28"/>
          <w:szCs w:val="28"/>
          <w:rtl w:val="true"/>
          <w:lang w:bidi="fa-IR"/>
        </w:rPr>
        <w:t xml:space="preserve">. </w:t>
      </w:r>
      <w:bookmarkStart w:id="153" w:name="pg7528_66460"/>
    </w:p>
    <w:p>
      <w:pPr>
        <w:pStyle w:val="Heading5"/>
        <w:numPr>
          <w:ilvl w:val="4"/>
          <w:numId w:val="1"/>
        </w:numPr>
        <w:rPr/>
      </w:pPr>
      <w:bookmarkStart w:id="154" w:name="__RefHeading___Toc2626924_1051229030"/>
      <w:bookmarkStart w:id="155" w:name="_Toc60"/>
      <w:bookmarkEnd w:id="153"/>
      <w:bookmarkEnd w:id="154"/>
      <w:r>
        <w:rPr>
          <w:rtl w:val="true"/>
        </w:rPr>
        <w:t>و</w:t>
      </w:r>
      <w:r>
        <w:rPr>
          <w:rtl w:val="true"/>
        </w:rPr>
        <w:t xml:space="preserve">) </w:t>
      </w:r>
      <w:r>
        <w:rPr>
          <w:rtl w:val="true"/>
        </w:rPr>
        <w:t>امر به معروف و نهى از منكر</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امّة أخرجت للنّاس تأمرون بالمعروف و تنهون عن المنكر و تؤمنون بالله</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بهترين امتى هستيد كه براى انسان ها پديدار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 كنيد و به خدا ايمان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معروف و نهى از منكر يكى از فروع دين و از ضروريات دين مبين اسلام به شمار مى آيد و روايات بسيارى بر وجوب آن دو فريضه ى الهى دلالت دارند</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بنابراين، بايد در مقابل هر فساد و ظلمى صف آرايى كرد و با تكيه بر قرآن و روايات، تا حد امكان، ريشه ى آنها را 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ى شريفه بر عموميت خود باقى است و هيچ دليلى يافت نمى شود كه اين حكم به مقطع خاصّى از زمان تخصيص بخورد، بلكه اين حكم با شرايط خاص خود، تمامى زمان ها، از جمله، زمان قبل از ظهور حضرت را هم در بر مى گيرد</w:t>
      </w:r>
      <w:r>
        <w:rPr>
          <w:rFonts w:eastAsia="IRNazanin" w:cs="IRNazanin"/>
          <w:color w:val="111111"/>
          <w:sz w:val="28"/>
          <w:szCs w:val="28"/>
          <w:rtl w:val="true"/>
          <w:lang w:bidi="fa-IR"/>
        </w:rPr>
        <w:t>.</w:t>
      </w:r>
    </w:p>
    <w:p>
      <w:pPr>
        <w:pStyle w:val="Heading5"/>
        <w:numPr>
          <w:ilvl w:val="4"/>
          <w:numId w:val="1"/>
        </w:numPr>
        <w:rPr/>
      </w:pPr>
      <w:bookmarkStart w:id="156" w:name="__RefHeading___Toc2626926_1051229030"/>
      <w:bookmarkStart w:id="157" w:name="_Toc61"/>
      <w:bookmarkEnd w:id="156"/>
      <w:r>
        <w:rPr>
          <w:rtl w:val="true"/>
        </w:rPr>
        <w:t>ز</w:t>
      </w:r>
      <w:r>
        <w:rPr>
          <w:rtl w:val="true"/>
        </w:rPr>
        <w:t xml:space="preserve">) </w:t>
      </w:r>
      <w:r>
        <w:rPr>
          <w:rtl w:val="true"/>
        </w:rPr>
        <w:t>غيبت امام به سبب طغيان شر و ظلم و فساد بوده است و اگر چنين نبود، امام</w:t>
      </w:r>
      <w:r>
        <w:rPr>
          <w:rtl w:val="true"/>
        </w:rPr>
        <w:t>(</w:t>
      </w:r>
      <w:r>
        <w:rPr>
          <w:rtl w:val="true"/>
        </w:rPr>
        <w:t>عج</w:t>
      </w:r>
      <w:r>
        <w:rPr>
          <w:rtl w:val="true"/>
        </w:rPr>
        <w:t xml:space="preserve">) </w:t>
      </w:r>
      <w:r>
        <w:rPr>
          <w:rtl w:val="true"/>
        </w:rPr>
        <w:t>غايب نمى شد</w:t>
      </w:r>
      <w:r>
        <w:rPr>
          <w:rtl w:val="true"/>
        </w:rPr>
        <w:t>;</w:t>
      </w:r>
      <w:bookmarkEnd w:id="157"/>
    </w:p>
    <w:p>
      <w:pPr>
        <w:pStyle w:val="BookText"/>
        <w:rPr/>
      </w:pPr>
      <w:r>
        <w:rPr>
          <w:rFonts w:ascii="IRNazanin" w:hAnsi="IRNazanin" w:eastAsia="IRNazanin"/>
          <w:color w:val="111111"/>
          <w:sz w:val="28"/>
          <w:sz w:val="28"/>
          <w:szCs w:val="28"/>
          <w:rtl w:val="true"/>
          <w:lang w:bidi="fa-IR"/>
        </w:rPr>
        <w:t>پس چگونه طغيان ظلم و فساد سبب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او از پرده ى غيبت مى شود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58" w:name="__RefHeading___Toc2626928_1051229030"/>
      <w:bookmarkStart w:id="159" w:name="_Toc62"/>
      <w:bookmarkEnd w:id="158"/>
      <w:r>
        <w:rPr>
          <w:rtl w:val="true"/>
        </w:rPr>
        <w:t>ح</w:t>
      </w:r>
      <w:r>
        <w:rPr>
          <w:rtl w:val="true"/>
        </w:rPr>
        <w:t xml:space="preserve">) </w:t>
      </w:r>
      <w:r>
        <w:rPr>
          <w:rtl w:val="true"/>
        </w:rPr>
        <w:t>مفهوم واقعى انتظار</w:t>
      </w:r>
      <w:r>
        <w:rPr>
          <w:rtl w:val="true"/>
        </w:rPr>
        <w:t>;</w:t>
      </w:r>
      <w:bookmarkEnd w:id="15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عده مفهوم واقعى انتظار را درك نكرده اند، و گمان نموده اند كه انتظار به اين معناست كه بايد مترصد و در كمين بود و دست روى دست گذاشت تا آن حضرت بيايد و حركت اصلاحى خود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حالى كه انتظار، حالت كسى است كه از وضع موجود ناراحت و براى ايجاد وضع بهترى تلاش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مسئله ى انتظار از دو عنصر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بيگانگى از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وضعيت مطلوب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كه در اين زمينه بايد بدانيم اين است كه معناى انتظار ظهور آن مصلح نجات بخش اين نيست كه مسلمانان در امر دين و احياى حق از يارى او دست بردارند و جهاد در راه دين و عمل به احكام آن را ترك كنند و دست روى دست بگذارند و وظيفه ى امر به معروف و نهى از منكر را تنها به آن حضرت واگذارند، بلكه هيچ وقت تكليف و عمل به احكام شرعى از دوش مسلمانان برداشته نمى شود و پيوسته بر آنان واجب است بكوشند حقيقت را درك كنند و راه هاى صحيح وصول به آن را به دست آورند و تا زمانى كه قدرت دارند، از زير بار مسئوليت امر به معروف و نهى از منكر شانه خالى نكنند و بر هيچ مسلمانى روا نيست به بهانه ى اين كه منتظر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اصلاحگر كل و راهنما و بشارت دهنده است از عمل به واجبات دست بردارد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بخواهد از ياران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بايد منتظر باشد و با پرهيزكارى و خوى هاى پسنديده عمل كند و اوست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بميرد و قائم پس از مردنش بپاخيزد، پاداش او مثل كسى است كه دوران حكومت آن حضرت را درك كرده باشد</w:t>
      </w:r>
      <w:r>
        <w:rPr>
          <w:rFonts w:eastAsia="IRNazanin" w:cs="IRNazanin"/>
          <w:color w:val="111111"/>
          <w:sz w:val="28"/>
          <w:szCs w:val="28"/>
          <w:rtl w:val="true"/>
          <w:lang w:bidi="fa-IR"/>
        </w:rPr>
        <w:t>.</w:t>
      </w:r>
      <w:r>
        <w:rPr>
          <w:rStyle w:val="FootnoteAnchor"/>
          <w:rtl w:val="true"/>
        </w:rPr>
        <w:footnoteReference w:id="11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انتظار، حركت و عمل و عامل مقاومت است و سكوت و رضايت و عدم حركت معناى واقعى انتظار نيست تا گروهى با چنين انتظارى جانب اباحيگرى را بگيرند و از حقيقت شريعت محمدى دور شوند</w:t>
      </w:r>
      <w:r>
        <w:rPr>
          <w:rFonts w:eastAsia="IRNazanin" w:cs="IRNazanin"/>
          <w:color w:val="111111"/>
          <w:sz w:val="28"/>
          <w:szCs w:val="28"/>
          <w:rtl w:val="true"/>
          <w:lang w:bidi="fa-IR"/>
        </w:rPr>
        <w:t xml:space="preserve">. </w:t>
      </w:r>
      <w:bookmarkStart w:id="160" w:name="pg7528_66462"/>
    </w:p>
    <w:p>
      <w:pPr>
        <w:pStyle w:val="Heading2"/>
        <w:numPr>
          <w:ilvl w:val="1"/>
          <w:numId w:val="1"/>
        </w:numPr>
        <w:rPr/>
      </w:pPr>
      <w:bookmarkStart w:id="161" w:name="__RefHeading___Toc2626930_1051229030"/>
      <w:bookmarkStart w:id="162" w:name="_Toc63"/>
      <w:bookmarkEnd w:id="160"/>
      <w:bookmarkEnd w:id="161"/>
      <w:r>
        <w:rPr>
          <w:rtl w:val="true"/>
        </w:rPr>
        <w:t>حقوق و سياست</w:t>
      </w:r>
      <w:bookmarkEnd w:id="162"/>
    </w:p>
    <w:p>
      <w:pPr>
        <w:pStyle w:val="Heading3"/>
        <w:numPr>
          <w:ilvl w:val="2"/>
          <w:numId w:val="1"/>
        </w:numPr>
        <w:rPr/>
      </w:pPr>
      <w:bookmarkStart w:id="163" w:name="__RefHeading___Toc2626932_1051229030"/>
      <w:bookmarkStart w:id="164" w:name="_Toc64"/>
      <w:bookmarkEnd w:id="163"/>
      <w:r>
        <w:rPr>
          <w:rtl w:val="true"/>
        </w:rPr>
        <w:t>حقوق بشر و دموكراسى</w:t>
      </w:r>
      <w:bookmarkEnd w:id="16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__RefHeading___Toc2626934_1051229030"/>
      <w:bookmarkStart w:id="166" w:name="_Toc65"/>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آيا اسلام، نظام دموكراسى را قبول دارد؟</w:t>
      </w:r>
    </w:p>
    <w:p>
      <w:pPr>
        <w:pStyle w:val="BookText"/>
        <w:rPr/>
      </w:pPr>
      <w:r>
        <w:rPr>
          <w:rFonts w:ascii="IRNazanin" w:hAnsi="IRNazanin" w:eastAsia="IRNazanin"/>
          <w:color w:val="111111"/>
          <w:sz w:val="28"/>
          <w:sz w:val="28"/>
          <w:szCs w:val="28"/>
          <w:rtl w:val="true"/>
          <w:lang w:bidi="fa-IR"/>
        </w:rPr>
        <w:t>مبناى حقوق بشر غربى چيست و چرا با اسلام سازگارى ندارد؟</w:t>
      </w:r>
    </w:p>
    <w:p>
      <w:pPr>
        <w:pStyle w:val="BookText"/>
        <w:rPr/>
      </w:pPr>
      <w:r>
        <w:rPr>
          <w:rFonts w:ascii="Amiri" w:hAnsi="Amiri" w:eastAsia="Amiri" w:cs="Amiri"/>
          <w:color w:val="111111"/>
          <w:sz w:val="28"/>
          <w:sz w:val="28"/>
          <w:szCs w:val="28"/>
          <w:rtl w:val="true"/>
          <w:lang w:bidi="ar-SA"/>
        </w:rPr>
        <w:t>عبدالحكيم سليمى</w:t>
      </w:r>
    </w:p>
    <w:p>
      <w:pPr>
        <w:pStyle w:val="BookText"/>
        <w:rPr/>
      </w:pPr>
      <w:r>
        <w:rPr>
          <w:rFonts w:ascii="Amiri" w:hAnsi="Amiri" w:eastAsia="Amiri" w:cs="Amiri"/>
          <w:color w:val="111111"/>
          <w:sz w:val="28"/>
          <w:sz w:val="28"/>
          <w:szCs w:val="28"/>
          <w:rtl w:val="true"/>
          <w:lang w:bidi="ar-SA"/>
        </w:rPr>
        <w:t>با توجه به اين كه مفاهيم حقوق بشر مربوط به عصر حاضر است، آيا مى توان آنها را از كتاب و سنت كه مربوط به عصر سابق اند، اصطياد نمود؟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رضائيان </w:t>
      </w:r>
    </w:p>
    <w:p>
      <w:pPr>
        <w:pStyle w:val="BookText"/>
        <w:rPr/>
      </w:pPr>
      <w:r>
        <w:rPr>
          <w:rFonts w:ascii="Amiri" w:hAnsi="Amiri" w:eastAsia="Amiri" w:cs="Amiri"/>
          <w:color w:val="111111"/>
          <w:sz w:val="28"/>
          <w:sz w:val="28"/>
          <w:szCs w:val="28"/>
          <w:rtl w:val="true"/>
          <w:lang w:bidi="ar-SA"/>
        </w:rPr>
        <w:t>حقوق و سياست</w:t>
      </w:r>
    </w:p>
    <w:p>
      <w:pPr>
        <w:pStyle w:val="BookText"/>
        <w:rPr/>
      </w:pPr>
      <w:r>
        <w:rPr>
          <w:rFonts w:ascii="Amiri" w:hAnsi="Amiri" w:eastAsia="Amiri" w:cs="Amiri"/>
          <w:color w:val="111111"/>
          <w:sz w:val="28"/>
          <w:sz w:val="28"/>
          <w:szCs w:val="28"/>
          <w:rtl w:val="true"/>
          <w:lang w:bidi="ar-SA"/>
        </w:rPr>
        <w:t>حقوق بشر و دموكراسى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بشر و دموكراسى دو مورد از مهمترين مفاهيم چالش برانگيز و بحث آفرين در نظام انديشه ى سياسى و حقوق معاصر هستند كه امروزه اذهان بسيارى را به خود مشغول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ى دينى نيز برخى به دنبال فهم رابطه ى اين دو مفهوم با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سؤالاتى در اين باره پاسخ داده شده است</w:t>
      </w:r>
      <w:r>
        <w:rPr>
          <w:rFonts w:eastAsia="IRNazanin" w:cs="IRNazanin"/>
          <w:color w:val="111111"/>
          <w:sz w:val="28"/>
          <w:szCs w:val="28"/>
          <w:rtl w:val="true"/>
          <w:lang w:bidi="fa-IR"/>
        </w:rPr>
        <w:t xml:space="preserve">. </w:t>
      </w:r>
      <w:bookmarkStart w:id="167" w:name="pg7528_66465"/>
    </w:p>
    <w:p>
      <w:pPr>
        <w:pStyle w:val="Heading4"/>
        <w:numPr>
          <w:ilvl w:val="3"/>
          <w:numId w:val="1"/>
        </w:numPr>
        <w:rPr/>
      </w:pPr>
      <w:bookmarkStart w:id="168" w:name="__RefHeading___Toc2626936_1051229030"/>
      <w:bookmarkStart w:id="169" w:name="_Toc66"/>
      <w:bookmarkEnd w:id="167"/>
      <w:bookmarkEnd w:id="168"/>
      <w:r>
        <w:rPr>
          <w:rtl w:val="true"/>
        </w:rPr>
        <w:t>آيا اسلام، نظام دموكراسى را قبول دارد؟</w:t>
      </w:r>
      <w:bookmarkEnd w:id="169"/>
    </w:p>
    <w:p>
      <w:pPr>
        <w:pStyle w:val="BookText"/>
        <w:rPr/>
      </w:pPr>
      <w:r>
        <w:rPr>
          <w:rFonts w:ascii="Amiri" w:hAnsi="Amiri" w:eastAsia="Amiri" w:cs="Amiri"/>
          <w:color w:val="111111"/>
          <w:sz w:val="28"/>
          <w:sz w:val="28"/>
          <w:szCs w:val="28"/>
          <w:rtl w:val="true"/>
          <w:lang w:bidi="ar-SA"/>
        </w:rPr>
        <w:t xml:space="preserve">دموكراسى </w:t>
      </w:r>
      <w:r>
        <w:rPr>
          <w:rFonts w:eastAsia="Times New Roman" w:cs="Times New Roman" w:ascii="Times New Roman" w:hAnsi="Times New Roman"/>
          <w:color w:val="111111"/>
          <w:sz w:val="28"/>
          <w:szCs w:val="28"/>
          <w:lang w:val="en-US" w:bidi="en-US"/>
        </w:rPr>
        <w:t>Demokracy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واژه اى است يونانى از ريشه ى </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Kratos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و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دموكراسى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مردم بر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معادل فارسى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سالارى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اما در اصطلاح، دموكراسى داراى تعاريف زيادى است و همچون بسيارى از مفاهيم علوم اجتماعى، تعريف جامع و مانعى ندارد عام ترين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فرصت ها براى افراد يك جامعه به منظور برخوردارى از آزادى و ارزش 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معناى محدودتر، شركت آزادانه ى افراد در گرفتن تصميم هايى است كه در زندگى فردى و اجتماعى مؤثر است و محدودترين معناى آن، شركت آزادانه ى افراد در گرفتن تصميم هاى سياسى مهم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 و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بدون شك از پايه هاى اساسى بلكه جوهره و مايه ى قوام دموكراسى، مشاركت سياسى است، به طورى كه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مشاركت سياسى شهروندان، دموكراسى محقق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مشاركت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مساعى سازمان يافته ى شهروندان براى انتخاب رهبران خويش، شركت مؤثر در فعاليت ها و امور اجتماعى و سياسى و تأثير گذاشتن بر صورت بندى و هدايت سياسى دولت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اما درباره ى رابطه ى اسلام و دموكراسى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دموكراسى نه سازگارى مطلق دارد و نه ناسازگارى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فتحى هويدى، هم كسانى كه اسلام را منطبق و مشابه با دموكراسى و هم كسانى كه آن را منافى با دموكراسى دانسته اند به اسلام ظلم كرده اند، اين ها نه هم پوشانى مطلق دارند و نه سازگارى مطلق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دموكراسى، اين است كه هر قانونى مردم وضع كنند مشروعيت و حقانيت و </w:t>
      </w:r>
    </w:p>
    <w:p>
      <w:pPr>
        <w:pStyle w:val="BookText"/>
        <w:rPr/>
      </w:pPr>
      <w:r>
        <w:rPr>
          <w:rFonts w:ascii="IRNazanin" w:hAnsi="IRNazanin" w:eastAsia="IRNazanin"/>
          <w:color w:val="111111"/>
          <w:sz w:val="28"/>
          <w:sz w:val="28"/>
          <w:szCs w:val="28"/>
          <w:rtl w:val="true"/>
          <w:lang w:bidi="fa-IR"/>
        </w:rPr>
        <w:t xml:space="preserve">اعتبار دارد و بايد محترم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مخالف با قوانين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مفهومى با دين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نظر دين، حق حاكميت و تشريع، مختص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فقط خداوند است كه همه ى مصالح و مفاسد انسان را به طور كامل مى شناسد و به عنوان خالق انسان و جهان، حق قانون گذارى و تصميم گيرى براى انسان را دارد و انسان ها بايد در مقابل امر و نهى الهى و قوانين دينى كه او ارسال كرده تسليم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عبوديت خداوند، عالى ترين درجه ى كمال است و اطاعت از دستورهاى الهى سعادت آدمى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مى كند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بنابراين، فرمان خدا و دين، بر رأى مردم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رأى مردم را بر حكم خدا ترجيح دهيم، عملا خدا را نپرستيده و ربوبيّت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قانون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ناديده گرفته ايم و اين با توحيد منافات 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افزون بر اين، به طور كلى مبانى فكرىِ تعريف شده براى دموكراسى، مثل عقل محورى، انسان محورى، علم محورى، تجربه گرايى، آزادى 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سازگارى با دين و اصول دين ندارند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اگر دموكراسى را بر اساس برخى تعاريف رايج و فارغ از مبانى فكرى آن در نظر بگيريم، و منظور از آن اين باشد كه مردم به رأى و خواست خود، نظامى را انتخاب كنند كه در چارچوب احكام الهى و قوانين شرعى، مشاركت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در تعيين </w:t>
      </w:r>
    </w:p>
    <w:p>
      <w:pPr>
        <w:pStyle w:val="BookText"/>
        <w:rPr/>
      </w:pPr>
      <w:r>
        <w:rPr>
          <w:rFonts w:ascii="IRNazanin" w:hAnsi="IRNazanin" w:eastAsia="IRNazanin"/>
          <w:color w:val="111111"/>
          <w:sz w:val="28"/>
          <w:sz w:val="28"/>
          <w:szCs w:val="28"/>
          <w:rtl w:val="true"/>
          <w:lang w:bidi="fa-IR"/>
        </w:rPr>
        <w:t>سرنوشت خويش سهيم و مؤثر باشند، و استخدام سياسى و گزينش رهبران و كارگزاران از طريق انتخابات باشد، چنين تعبير و برداشتى از دموكراسى با دين مخالفت ندارد و مى توان به وجود دموكراسى در اسلام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دموكراسى را به معناى حاكميت قانون و نفى استبداد، مشاركت سياسى و شركت آزادانه ى مردم در انتخابات توأم با رقابت و آزادى بيان، قلم، مطبوعات، اجتماعات و حق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قانون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اين با دين قابل جمع است و در قانون اساسى اين معنا به روشنى تأييد شده است و مقصود 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ميزان رأى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اين كه هرچه مردم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مخالف حكم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داشته باشد، هرگز با اصول تفكر سياسى امام امت سازگار نيست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اشاره به اين دارد كه امور جامعه ى اسلامى با فكر جمعى اداره شود، اما با توجه به آيات ديگر، اين امر مطلق نبوده و مردم مسلمان بايد در چارچوب شريعت، امور جامعه ى خود را سامان دهى كنند، نه اين كه در همه چيز بتوان اظهار نظر كرد و حلال و حرام خدا را با شور و گفتوگو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در احكامى كه از سوى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مؤمنان اختيار دخل و تصرف ندارند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جوهره ى دموكراسى را مشاركت سياسى بدانيم، بى شك اسلام نيز بر مشاركت </w:t>
      </w:r>
    </w:p>
    <w:p>
      <w:pPr>
        <w:pStyle w:val="BookText"/>
        <w:rPr/>
      </w:pPr>
      <w:r>
        <w:rPr>
          <w:rFonts w:ascii="Amiri" w:hAnsi="Amiri" w:eastAsia="Amiri" w:cs="Amiri"/>
          <w:color w:val="111111"/>
          <w:sz w:val="28"/>
          <w:sz w:val="28"/>
          <w:szCs w:val="28"/>
          <w:rtl w:val="true"/>
          <w:lang w:bidi="ar-SA"/>
        </w:rPr>
        <w:t>سياسى، تأكيد شايان توجهى دارد و مكانيزم هايى را نيز براى تحقق آن ارائه و تأييد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ملى در چارچوب امربه معروف و نهى ازمنكر يكى از كانال هاى مهم مشاركت سياسى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بهترين امتى بوديد كه به سود انسان ها آفريده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مؤمنان را به خاطر امر به معروف و نهى از منكر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از جمله فرايض بسيار مهم دينى است كه در شرع مقدس تأكيد فراوانى بر آن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تُقام ساير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واجبات دينى به واسطه ى امربه معروف و نهى از منكر اقامه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 به معروف و نهى از منكر، به عنوان سيستم نظارت ملى، اگر به خوبى اجرا شود همه ى عرصه هاى سياسى، اجتماعى، اقتصادى، فرهنگى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 گيرد و مى تواند جامعه را در مسير احكام الهى و اهداف تعيين شده پيش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شورا و مشورت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 فَإِذا عَزَمْتَ فَتَوَكَّلْ عَلَى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اساسى ترين پايه هاى استوااى حكومت در اسلام، گسترش دامنه ى مشورت در تمامى ابعاد زندگى، از جمله شؤون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در توصيف مؤمنان</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كارشان را با مشورت يكديگر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ادبى جنس است كه به ضمير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بنابراين شامل تمامى شؤون زندگى، به ويژه در رابطه با زندگى گروهى كه در رأس آن شؤون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مؤمنانى كه در تمامى ابعاد فردى و اجتماعى، شيوه ى مشورت را رهنمود خود قرار مى دهند مى ستايد و نيز رابطه ى تنگاتنگ ميان ايمان و ضرورت مشورت را گوشزد مى كند، و در حقيقت اين يك دستور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كارها به ويژه امور مربوط به مسائل جامعه، با مشورت انجام گيرد، احتمال خطاى آن كمتر خواهد بود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من شاور الرجال شاركهم فى عقولهم</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مردم مشورت كند خود را در عقل آنان شريك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شاور ذوى الباب دل على الرّشاد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صاحبان خرد به شور بنشيند، به راه راست هدايت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كانال هاى مشاركت سياسى و عامل نيرومند در جهت تقويت صلاح و سداد مسئولين نظام اسلامى و نيز مانع خطاها و اشتباهات در اجراى سياست هاى اتخاذ شده، 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النصيحة لائمة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نظارت همگانى بر مسئولان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وظيفه ى نظارت بر كار مسئولان و تلاش در جهت اصلاح نقايص آنان</w:t>
      </w:r>
    </w:p>
    <w:p>
      <w:pPr>
        <w:pStyle w:val="BookText"/>
        <w:rPr/>
      </w:pPr>
      <w:r>
        <w:rPr>
          <w:rFonts w:ascii="Amiri" w:hAnsi="Amiri" w:eastAsia="Amiri" w:cs="Amiri"/>
          <w:color w:val="111111"/>
          <w:sz w:val="28"/>
          <w:sz w:val="28"/>
          <w:szCs w:val="28"/>
          <w:rtl w:val="true"/>
          <w:lang w:bidi="ar-SA"/>
        </w:rPr>
        <w:t>متوجه يكايك آحاد جامعه است و از فرايض اسلامى به شمار مى رود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با اين كه نظارت بر مسئولان در امر به معروف و نهى از منكر هم تعبيه شده،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ويژه اى بر آن شده است و اين نشان دهنده ى اهتمام به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انتقاد سازنده از رهبران را امرى پسنديده و از فرايض و حتى از حقوق رهبر بر مردم شمرده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ترين راه هاى مشاركت سياسى در اسلام، 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به معناى تعهد و پيمان است، يعنى بيعت كننده به بيعت شونده، اظهار وفادارى مى كند و تعهد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از جانب مقام والايى درباره ى يك امر مهم پيشنهاد مى شود تا با يارى بيعت كننده و امكانات او، به آن امر مهم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بيعت شونده تعهد مى گيرد و بيعت كننده تعهد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بيعت و روند آن در نظام اسلامى گوياى اين واقعيت است كه رهبران جامعه ى اسلامى امر اداره ى جامعه را بر پايه ى اتكا به آرا و خواست و رضايت عمومى بنا مى نهند و هرگز خود را از مردم و رضايت آنان بى نياز نمى دانند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توجه داشت كه در عصر حضور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بيعت در تحقق امامت و زعامت نقشى ندارد و تنها در ايجاد توان و قدرت اجرايى براى زعامت قانونى و شرعى نقش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عصر غيبت، بيعت دو نقش را ايفا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فرد واجد شرايط براى رهبرى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توان و قدرت اجرايى براى تشكيل دولت و نظام</w:t>
      </w:r>
      <w:r>
        <w:rPr>
          <w:rFonts w:eastAsia="Amiri" w:cs="Amiri" w:ascii="Amiri" w:hAnsi="Amiri"/>
          <w:color w:val="111111"/>
          <w:sz w:val="28"/>
          <w:szCs w:val="28"/>
          <w:rtl w:val="true"/>
          <w:lang w:bidi="ar-SA"/>
        </w:rPr>
        <w:t xml:space="preserve">. </w:t>
      </w:r>
      <w:r>
        <w:rPr>
          <w:rStyle w:val="FootnoteAnchor"/>
          <w:rtl w:val="true"/>
        </w:rPr>
        <w:footnoteReference w:id="129"/>
      </w:r>
      <w:bookmarkStart w:id="170" w:name="pg7528_66471"/>
    </w:p>
    <w:p>
      <w:pPr>
        <w:pStyle w:val="BookText"/>
        <w:rPr/>
      </w:pPr>
      <w:bookmarkEnd w:id="170"/>
      <w:r>
        <w:rPr>
          <w:rFonts w:ascii="IRNazanin" w:hAnsi="IRNazanin" w:eastAsia="IRNazanin"/>
          <w:color w:val="111111"/>
          <w:sz w:val="28"/>
          <w:sz w:val="28"/>
          <w:szCs w:val="28"/>
          <w:rtl w:val="true"/>
          <w:lang w:bidi="fa-IR"/>
        </w:rPr>
        <w:t>نتيجه اين كه، اگر به دموكراسى از اين زاويه نگاه كنيم كه حاكيمت از آن مردم است و مردم به آن مشروعيت و حقانيت مى بخشند و آزادى ها به نفى حاكميت و مشروعيت الهى و نفى و طرد دين از عرصه ى سياست و حكومت بينجامد، بايد گفت كه چنين معنايى با اسلام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حاكميت ملت در طول حاكميت خدا و به اذن او باشد، به اين معنا كه مردم در چارچوب احكام دين در تعيين سرنوشت خويش و گزينش مسئولان و كارگزاران حكومت از طريق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كسب انواع آزادى هاى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بيان، مطبوعات، اجتماعات و حق اعتراض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حقوق عمومى و خصوصى خويش سهيم باشند، چنين مفهومى از دموكراسى با اسلام سازگار است</w:t>
      </w:r>
      <w:r>
        <w:rPr>
          <w:rFonts w:eastAsia="IRNazanin" w:cs="IRNazanin"/>
          <w:color w:val="111111"/>
          <w:sz w:val="28"/>
          <w:szCs w:val="28"/>
          <w:rtl w:val="true"/>
          <w:lang w:bidi="fa-IR"/>
        </w:rPr>
        <w:t>.</w:t>
      </w:r>
    </w:p>
    <w:p>
      <w:pPr>
        <w:pStyle w:val="Heading4"/>
        <w:numPr>
          <w:ilvl w:val="3"/>
          <w:numId w:val="1"/>
        </w:numPr>
        <w:rPr/>
      </w:pPr>
      <w:bookmarkStart w:id="171" w:name="__RefHeading___Toc2626938_1051229030"/>
      <w:bookmarkStart w:id="172" w:name="_Toc67"/>
      <w:bookmarkEnd w:id="171"/>
      <w:r>
        <w:rPr>
          <w:rtl w:val="true"/>
        </w:rPr>
        <w:t>مبناى حقوق بشر غربى چيست و چرا با اسلام سازگارى ندارد؟</w:t>
      </w:r>
      <w:bookmarkEnd w:id="172"/>
    </w:p>
    <w:p>
      <w:pPr>
        <w:pStyle w:val="BookText"/>
        <w:rPr/>
      </w:pPr>
      <w:r>
        <w:rPr>
          <w:rFonts w:ascii="Amiri" w:hAnsi="Amiri" w:eastAsia="Amiri" w:cs="Amiri"/>
          <w:color w:val="111111"/>
          <w:sz w:val="28"/>
          <w:sz w:val="28"/>
          <w:szCs w:val="28"/>
          <w:rtl w:val="true"/>
          <w:lang w:bidi="ar-SA"/>
        </w:rPr>
        <w:t>عبدالحكيم سليمى</w:t>
      </w:r>
    </w:p>
    <w:p>
      <w:pPr>
        <w:pStyle w:val="BookText"/>
        <w:rPr/>
      </w:pPr>
      <w:r>
        <w:rPr>
          <w:rFonts w:ascii="IRNazanin" w:hAnsi="IRNazanin" w:eastAsia="IRNazanin"/>
          <w:color w:val="111111"/>
          <w:sz w:val="28"/>
          <w:sz w:val="28"/>
          <w:szCs w:val="28"/>
          <w:rtl w:val="true"/>
          <w:lang w:bidi="fa-IR"/>
        </w:rPr>
        <w:t xml:space="preserve">حقوق بشر غربى بر مبانى نظرى خاصى، هم چون خردباورى علمى، فردگرايى، حقوق طبيعى و قرارداد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خردباورى علمى، باور كردن توانايى آدمى بر شناخت علمى هستى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كه تنها شناختِ قابل اعتماد، معرفت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علمى نيز شناختى اثبات پذير و يا ابطال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هاى علمى، از يافته هاى تجربى، كه از راه آزمايش به دست آمده اند، اخذ مى شود</w:t>
      </w:r>
      <w:r>
        <w:rPr>
          <w:rFonts w:eastAsia="IRNazanin" w:cs="IRNazanin"/>
          <w:color w:val="111111"/>
          <w:sz w:val="28"/>
          <w:szCs w:val="28"/>
          <w:rtl w:val="true"/>
          <w:lang w:bidi="fa-IR"/>
        </w:rPr>
        <w:t>.</w:t>
      </w:r>
      <w:r>
        <w:rPr>
          <w:rStyle w:val="FootnoteAnchor"/>
          <w:rtl w:val="true"/>
        </w:rPr>
        <w:footnoteReference w:id="13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رويكرد، اوّلاً، ماوراى ماده از حوزه ى شناخت انسان بيرون است و، در نتيجه، در عرصه ى تعريف حقوق بشر نقش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خردِ مبتنى بر روش علمى و تجربى، قادر به شناخت همه ى ابعاد هستى، از جمله انسان و نيازهاى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حقوق </w:t>
      </w:r>
    </w:p>
    <w:p>
      <w:pPr>
        <w:pStyle w:val="BookText"/>
        <w:rPr/>
      </w:pPr>
      <w:r>
        <w:rPr>
          <w:rFonts w:ascii="IRNazanin" w:hAnsi="IRNazanin" w:eastAsia="IRNazanin"/>
          <w:color w:val="111111"/>
          <w:sz w:val="28"/>
          <w:sz w:val="28"/>
          <w:szCs w:val="28"/>
          <w:rtl w:val="true"/>
          <w:lang w:bidi="fa-IR"/>
        </w:rPr>
        <w:t>بشر از حوزه ى انتظارات از دين، خارج و در قلمرو عقل بشرى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فردگرايى، برتر دانستن عقل و استدلال فردى بر همه چيز و كنار گذاردن خدا و شريعت الهى از صفحه ى حيات بشرى و خالى كردن آن براى جولان فرديت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از آثار خردباورى علمى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به بيان ديگر،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ى نوعى گرايش فكرى است كه بر اساس آن فرد به دور از دخالت و داورى ديگران، تصميم گرفته، روش خود را برمى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ى 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فردگرايى يعنى نفى هرگونه اصل عالى و برتر از فرديت و، در نتيجه، محدود كردن تمدن در جميع شئون به عواملى كه جنبه ى انسانى صرف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فردگرايى يعنى خوددارى از پذيرفتن اقتدارى برتر از فرد و نيز معرفتى برتر از عقل استدلالى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مى توان گفت كه در تفكر غربى، فرد براى خود يك كل است و با كل هاى ديگر مثل خود و يا محيط اجتماعى و طبيعى، در تقابل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به قول نيچه، چنين برداشتى از فرديت، نتيجه ى انكار خدا و زيستن در جهان بى خداست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ى فردگرايى پيامدهايى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حقوق انسان را داراى منشأ فردى و فرد انسانى را موضوع ارزش ها قلمداد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منظر مراد از حقوق طبيعى، حقوقى است كه ناشى از حيثيت ذاتى انسان است و هيچ كدام از عوارض انسانى، نظير زبان، نژاد، جنسيت و مذهب در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آزادى، برابرى و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حقوق طبيعى انسان بر تمايلات و غرايز بنيادى او نهاده شده و آنچه به صورت مطلق براى او وجود دارد همين حقوق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نيز در اين حوزه محدود مى شوند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مبانى معرفت شناختى غربيان و ديدگاه آنان در زمينه ى اصالت فرد و پذيرش حقوق طبيعى مطلق و بنيادى، موجب شد تا جامعه امرى اعتبارى و مبتنى بر قرارداد اجتماعى 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نگرش، قرارداد اجتماعى نقش ويژه اى در تنظيم قوانين و تفصيل مواد مربوط به حقوق بشر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داران اين رويكرد، قرارداد اجتماعى را تنها منبع حق مى دانند و معتقدند كه حقوق، پس از تشكيل جامعه، موضوعيت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جامعه بر اساس قرارداد تحقق مى يابد، حقوق نيز خاستگاهى جز قرارداد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اختلاف موجود درباره ى حقوق بشر، دليل بر فقدان مبناى واقعى براى آن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پس از آشنايى اجمالى با مبانى حقوق بشر غربى، در مى يابيم كه اين مبانى با اسلام سازگار نيستند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نظرمتفكران دينى، خردباورى به معناى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انسان به شناخت تام و جامع توانمندى ها و نيازهاى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نيست و چنين روشى نمى تواند ما را به شناخت واقعى انسان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علمى شناخت، به دليل محدوديت هايش در قالب استقراگرايى و ابطال پذيرى، صرفاً داراى ارزش عملى است و در مقام عمل سودمند خواهد بود، و از واقع نمايى و ارائه ى حقيقت نظام هستى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پوپر، فيلسوف مادى گراى </w:t>
      </w:r>
    </w:p>
    <w:p>
      <w:pPr>
        <w:pStyle w:val="BookText"/>
        <w:rPr/>
      </w:pPr>
      <w:r>
        <w:rPr>
          <w:rFonts w:ascii="IRNazanin" w:hAnsi="IRNazanin" w:eastAsia="IRNazanin"/>
          <w:color w:val="111111"/>
          <w:sz w:val="28"/>
          <w:sz w:val="28"/>
          <w:szCs w:val="28"/>
          <w:rtl w:val="true"/>
          <w:lang w:bidi="fa-IR"/>
        </w:rPr>
        <w:t>غرب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بنياد تجربى علم عينى هيچ چيز مطلقى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اساس مستحكمى استوار نيست و گويى مبناى تهورآميز نظريه هاى آن بر باتلاقى افراشته شده است و همانند ساختمانى است كه بر ستون هايى استوار شده كه در درون باتلاقى فرو رفته اند، اما نه به سوى شالوده اى طبيعى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فرو بردن عميق ستون ها بازمى ايستيم از آن رو نيست كه به زمين رصينى رسيده ايم، ما فقط توقف مى كنيم كه راضى شده باشيم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ما معتقديم كه تعيين حقوق بشر، از يك سو، مبتنى بر مقدماتى نظير شناخت نظام هستى و شناخت نيازهاى كاذب از نيازهاى واقعى است، و چنين شناختى، بدون استمداد از وحى، حتى براى خردمندان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تعيين حقوق جهانى براى بشر مبتنى بر وجود اصولى فراتر از ديدگاه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ها به دليل اختلاف علاقه ها، سليقه ها، و آداب و رسوم نمى توانند به وحدت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مرجع مشتركى كه فراتر از قراردادها و ديدگاه بشرى باشد نياز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بينش توحيدى، خداوند، هستىِ محض و مطلق است و همه ى عالم در هستى خود وابسته به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خداوند به تمام هستى و ابعاد حيات آدمى، توانايى ها، نيازمندى ها و استعدادها، تام و كامل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 خداوند است كه راه سعادت و مسير كمال بشر را مى داند و قادر به هدايت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دين شامل حقوق بشر نيز مى شود</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p>
    <w:p>
      <w:pPr>
        <w:pStyle w:val="BookText"/>
        <w:rPr/>
      </w:pPr>
      <w:r>
        <w:rPr>
          <w:rFonts w:ascii="Amiri" w:hAnsi="Amiri" w:eastAsia="Amiri" w:cs="Amiri"/>
          <w:color w:val="111111"/>
          <w:sz w:val="28"/>
          <w:sz w:val="28"/>
          <w:szCs w:val="28"/>
          <w:rtl w:val="true"/>
          <w:lang w:bidi="ar-SA"/>
        </w:rPr>
        <w:t>حقوق بشر در قلمرو انتظار از دين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فردگرايى غربى نيز با بينش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و با بينش توحيدى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فردگرايان، جنبه ى مادى حيات و تمايلات بشرى را اصيل مى دانند و منكر هرگونه اقتدار برتر از انسان هستند، در صورتى كه بنابر جهان بينى توحيدى، انسان در اصل هستى و تداوم حياتش، به موجود برتر از خويش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انسان، فاعل افعال خويش و در برابر آن مسئول است، ولى فاعليت وى افسارگسيخته نيست، بلكه در سلسله علل طولى به خداوند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فاعليت انسان از نظر حدوث و بقا در گرو اراده ى ذات حق است و بدون آن، هيچ امرى محقق نمى 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حقيقت اين است كه اومانيسم و فردگرايى در فلسفه ى غرب، به جاى احترام، باعث فروكاهى شخصيت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استاد شهيد مطهرى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ى غرب سال هاست كه انسان از ارزش و اعتبار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 يك ماشين تنزل كرده، روح و اصالت آن مورد انكار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برخى فلسفه هاى نيرومند غربى، انسان شيئى است كه محرك او جز منافع اقتصادى نيست، دين و اخلاق و فلسفه و علم و ادبيات و هنر هم روبناهايى هستند كه زيربناى آنها طرز توليد و پخش و تقسيم ثروت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تعارض روى كرد اصالت انسان با جهان بينى توحيدى، نگرش مزبور با تفسير 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نيز،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كريم انسان فقط حيوان مادى نيست، بلكه موجودى است برگزيده ى خداوند، مركب از روح و جسم، داراى فطرتى خدا آشنا، امانت دار خدا، مسئول خويشتن و جهان، مسلط بر طبيعت، آشنا به خير و شر، كمال پذير، برخوردار از كرامت ذاتى، شايسته ى بهره مندى از نعمت هاى الهى و مسئول </w:t>
      </w:r>
    </w:p>
    <w:p>
      <w:pPr>
        <w:pStyle w:val="BookText"/>
        <w:rPr/>
      </w:pPr>
      <w:r>
        <w:rPr>
          <w:rFonts w:ascii="Amiri" w:hAnsi="Amiri" w:eastAsia="Amiri" w:cs="Amiri"/>
          <w:color w:val="111111"/>
          <w:sz w:val="28"/>
          <w:sz w:val="28"/>
          <w:szCs w:val="28"/>
          <w:rtl w:val="true"/>
          <w:lang w:bidi="ar-SA"/>
        </w:rPr>
        <w:t>در برابر خداوند خويش</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اعتقاد به چنين مقام و منزلتى براى انسان با آنچه فردگرايان غرب و اومانيست ها به آن معتقدند، تفاوت بنيادين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انسان شناسى اسلام بر ديدگاه فردگرايان بخوبى مشخص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حقوق طبيعى اى كه در بينش اومانيستى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بشر فارغ از پيوندش با موجودى فراتر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حقوقى مطلق و بنيادى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با بينش اسلامى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طبيعت انسان، به خودى خود و صرف نظر از اتصال و پيوند آن با خداوند و هدف مندى وى، نمى تواند به وجود آورنده ى حقى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حقوق طبيعى از آن جا پيدا شده است كه دستگاه خلقت با روشن بينى و توجه به هدف، موجودات را به سوى كمالاتى كه استعداد آنها را در وجودشان نهفته است،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استعداد طبيعى منشأ يك حق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طبيعى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خلقت هر نوع از انواع موجودات را در مدارى مخصوص به خود قرار داده است و سعادت او را هم در اين قرار داده كه در مدار طبيعى خويش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آفرينش در اين كار خود هدف دارد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اسلام، آزادى بدون مسئوليت و در واقع حقوق بشر بدون الزامات و </w:t>
      </w:r>
    </w:p>
    <w:p>
      <w:pPr>
        <w:pStyle w:val="BookText"/>
        <w:rPr/>
      </w:pPr>
      <w:r>
        <w:rPr>
          <w:rFonts w:ascii="IRNazanin" w:hAnsi="IRNazanin" w:eastAsia="IRNazanin"/>
          <w:color w:val="111111"/>
          <w:sz w:val="28"/>
          <w:sz w:val="28"/>
          <w:szCs w:val="28"/>
          <w:rtl w:val="true"/>
          <w:lang w:bidi="fa-IR"/>
        </w:rPr>
        <w:t>تكاليف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كه انسان قطع نظر از پذيرفتن خداوند و عمل كردن به وظايف و مسئوليت هاى خليفة اللّهى بر روى زمين، از حقوق طبيعى يا ذاتى برخوردار باشد، به كلى با نگرش اسلامى بيگانه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اين ترتيب، حقوق طبيعى در قرائت اومانيسم دوران مدرن، بر اساس مبانى اسلامى توجيه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اين مبنا كه فقط قرارداد اجتماعى موجد حق باشد نيز،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ديدگاه اسلام حقوق فطرى بشر بر اساس حكمت الهى از سوى خداوند به انسان عنايت شده و هدف آن تحقق كمال انسانى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بخوبى روشن مى گردد كه مبناى حقوق بشر غربى با تفسير ويژه ى آن، با ديدگاه اسلام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برخلاف روى كرد اومانيسم، از ديدگاه اسلام، خدامحورى مورد قبول است و خرد بشر در عرصه ى شناخت خودكفا نيست، بلكه محتاج هدايت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انسان فطرتاً هم محِق است و هم مكلّف، و مكلّف بودنش با فرديت انسانى وى تنافى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استنباط حقوق بشر در اسلام، قرآن، سنت و عقل است نه قرارداد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قرارداد اجتماعى حق آفرين نيست و ايجاد استحقاق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اصل وجود و تداوم حياتش نيازمند وجودى مطلق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خالق جهان و انسان است، حقيقت انسان، سعه ى وجودى، استعدادها و نيازها و مسير سعادت و كمال او را مى شناسد، و مى تواند او را به سوى سعادت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ديگران نه حق جعل حقوق براى انسان را دارند و نه مى توانند حقوق متناسب با هويت انسان را بشناسند</w:t>
      </w:r>
      <w:r>
        <w:rPr>
          <w:rFonts w:eastAsia="IRNazanin" w:cs="IRNazanin"/>
          <w:color w:val="111111"/>
          <w:sz w:val="28"/>
          <w:szCs w:val="28"/>
          <w:rtl w:val="true"/>
          <w:lang w:bidi="fa-IR"/>
        </w:rPr>
        <w:t xml:space="preserve">. </w:t>
      </w:r>
      <w:bookmarkStart w:id="173" w:name="pg7528_66478"/>
    </w:p>
    <w:p>
      <w:pPr>
        <w:pStyle w:val="Heading4"/>
        <w:numPr>
          <w:ilvl w:val="3"/>
          <w:numId w:val="1"/>
        </w:numPr>
        <w:rPr/>
      </w:pPr>
      <w:bookmarkStart w:id="174" w:name="__RefHeading___Toc2626940_1051229030"/>
      <w:bookmarkStart w:id="175" w:name="_Toc68"/>
      <w:bookmarkEnd w:id="173"/>
      <w:bookmarkEnd w:id="174"/>
      <w:r>
        <w:rPr>
          <w:rtl w:val="true"/>
        </w:rPr>
        <w:t>با توجه به اين كه مفاهيم حقوق بشر مربوط به عصر حاضر است، آيا مى توان آنها را از كتاب و سنت كه مربوط به عصر سابق اند، اصطياد نمود؟ مرتضى رضائيان</w:t>
      </w:r>
      <w:bookmarkEnd w:id="175"/>
    </w:p>
    <w:p>
      <w:pPr>
        <w:pStyle w:val="BookText"/>
        <w:rPr/>
      </w:pPr>
      <w:r>
        <w:rPr>
          <w:rFonts w:ascii="IRNazanin" w:hAnsi="IRNazanin" w:eastAsia="IRNazanin"/>
          <w:color w:val="111111"/>
          <w:sz w:val="28"/>
          <w:sz w:val="28"/>
          <w:szCs w:val="28"/>
          <w:rtl w:val="true"/>
          <w:lang w:bidi="fa-IR"/>
        </w:rPr>
        <w:t xml:space="preserve">با مراجعه به نصوص اسلامى و تاريخ تحولات سياسى و اجتماعى جوامع اسلامى، مى توان به وضوح وجود يك تصور و انديشه ى مشخص اسلامى در زمينه ى مسائل حقوق بشر را دريافت و به اين حقيقت پى برد كه مسائل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تئورى و چه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تاريخ اسلام مطرح و مورد توجه بوده و تنها مذهبى كه به بهترين شيوه به دفاع از حقوق انسان ها پرداخته اسلام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اصولى چون كرامت انسان، آزادى، مساوات، تعليم و تربيت، حقوق زنان و كودكان و نظاير آن به بهترين نحو در كتاب و سنت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تبيين و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توضيح بيشتر در اين باره، توجه به چند نكته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حقوق بشر اختصاص به زمان حاضر ندارد و از زمان هاى كهن در ميان زمام داران و انديشمندان مطرح بوده و مورد بحث و ارزيابى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قرن پنجم قبل از ميلاد، زمانى كه قدرت هاى فاتح هيچ گونه رحم و شفقتى نسبت به ملل مغلوب نداشتند، كورش كبير پس از فتح بابل فرمان داد كه به مردم شهر آسيبى نرسد، همه ى مردم در پرستش خداى خود آزاد باشند و بى دينان تحت فشار قرار نگيرند، خانه هاى خراب شده را از نو ساخت و معابد را باز كرد و خدايان معابد را به جاى خود بازگردانيد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سقراط معتقد بود كه شهردولت، بايد جايى باشد كه افكار و استعدادهاى افراد در آن </w:t>
      </w:r>
    </w:p>
    <w:p>
      <w:pPr>
        <w:pStyle w:val="BookText"/>
        <w:rPr/>
      </w:pPr>
      <w:r>
        <w:rPr>
          <w:rFonts w:ascii="IRNazanin" w:hAnsi="IRNazanin" w:eastAsia="IRNazanin"/>
          <w:color w:val="111111"/>
          <w:sz w:val="28"/>
          <w:sz w:val="28"/>
          <w:szCs w:val="28"/>
          <w:rtl w:val="true"/>
          <w:lang w:bidi="fa-IR"/>
        </w:rPr>
        <w:t>جولان يابد و حيثيت و مقام فرد، محفوظ و محترم بماند و رشد و نمو كند، به طورى كه هر فرد بتواند در حدود و لياقت و استعداد خود ترقى و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ارسطو، وظيفه ى دولت تأمين نيازمندى هاى عمومى و پرورش استعدادهاست و اگر چنين نباشد خبيث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در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شامل يك سلسله حقوق انسانى و آزادى هاى عمومى، از قبيل احاله ى رسيدگى دعاوى به دادگاه ها و مراجع صالحه، منع توقيف غيرقانونى، تناسب ميان جرم و كيفر، لغو كار اجبارى و بيگارى، جواز رفت و آمد به كشور انگلستان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دنبال انقلاب كبير فرانسه در سال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مؤسسان اين كشور، موادى از اصول حقوق بشر را در قالب يك مقدمه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تنظيم 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اعلاميه ى حقوق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كرد كه اغلب مواد آن، با اعلاميه ى جهانى حقوق بشر توافق دارد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رسالت جهانى و دايمى اسلام، اختصاص آن به عصر سابق حرف نادرستى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ضمن اعلام ختم نبوت، جاويدان ماندن خويش را اعلام 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 حلالٌ الى يوم القيامة و حرامُ محمَّد حرامٌ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نكات اعجاب انگيز، استعداد پايان ناپذير منابع اسلامى به خصوص قرآن كريم، براى تحقيق و كشف و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قرآن زيبا و باطن آن ژرف است، آن را حدّ و نهايتى است و فوق آن حد و نهايتى ديگر است، شگفتى هاى آن پايان نمى يابد و تازه هاى آن كهنه نمى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رمزى در كار است كه قرآن هر چه بيشتر در ميان مردم پخش و قرائت مى گردد و هرچه بيشتر در آن بحث و فحص مى شود، جز بر طراوت و تازگى اش افزوده نمى گردد؟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براى زمان و عصر معين و مردم خاصى نازل نشده است، بلكه براى همه ى زمان ها و همه ى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همه ى زمان ها نو و براى همه ى مردمان تازه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مبانى فلسفى و عقيدتى بسيارى از اصولى كه امروزه به نام حقوق بشر مطرح مى شود و حتى مفاهيم برخى از اين اصول از ديدگاه اسلام با آنچه در تفكر غربى تحت همين عناوين ارائه مى شود متفاوت و احياناً فاقد مشتركات اصولى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به عنوان نمونه، امروزه اعتقاد مذهبى را نيز هم چون نژاد، رنگ، جنس و ملّيّت، عامل تبعيض و برترى طلبى و مخالف حقوق انسانى قلمداد مى كنند، در حالى كه حقوق و آزادى هاى فردى و اجتماعى انسان ها جز در قاموس مذهب، قابل تبيين و تفسير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حقوق بشر از ديدگاه غرب، موضوع فضيلت و كرامت ارزشى براى انسان ها ناديده گرفته شده و هيچ امتيازى براى انسان هاى با فضيلت و با تقوا مطرح نشده است، در حالى كه از ديدگاه اسلام، اين امتياز براى تشويق انسان ها و قرار گرفتن آن ها در موقعيت هاى شايسته ى زندگى اجتماعى ضرورى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گرامى ترين شما نزد خداوند، با تقواترين </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اعلاميه هاى حقوق بشر آمده، كاملاً مربوط به جنبه هاى مادّى زندگى بشر است و از حقوق اخلاقى و معنوى بشر خبرى نيست، در حالى كه مكتب اسلام هويت اجتماعى بشر را در اخلاق و اعتقادات او دانسته و معتقد است كه اگر قواعد اخلاقى و معنوى به عنوان حقوق حيات روحى در انسان تثبيت شود، حقوق مادى او را نيز به نحو مطلوبى حفظ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با بررسى عميق و همه جانبه ى قرآن كريم پى خواهيم برد كه در قرآن، حقوق انسان ها از جايگاه والايى برخوردار است و از اين روست كه مى توان آن را در مقايسه با آنچه امروز به عنوان حقوق بشر مطرح است، يكى از كهن ترين اسناد مدوّن در حقوق بشر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ى تحولات حقوق بشر در دوران حيات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نشان دهنده ى يك انقلاب سياسى و ارزشى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شخصيت برتر الهى، براى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رنگ و عقيده و طبقه 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بود و اعمال جاهليت را در زمينه هاى تحقير و تبعيض و ستم نسبت به انسان هاى محروم تقبيح نمود، در تاريخ بشر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جنازه ى يك يهودى از جا بلند مى شود و زنده به گور كردن دختران را يكى از زشت ترين صورت هاى تحقير بشر مى داند و ياران خود را به آزادگى و اظهار نظر، حتّى در برابر نظرات خود تشويق مى كند، تصويرى از تعالى حقوق بشر را در تاريخ عصر خود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شدگان مكتب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اين زمينه الگو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هر شخصيت اسلامى ديگرى در اين زمينه سخت گير و روشنگر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به برخى از رفتارهاى سياسى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قضايى با خصم خود در دادگاه عدل اسلامى و نفى تبعيض هاى ناشى از </w:t>
      </w:r>
    </w:p>
    <w:p>
      <w:pPr>
        <w:pStyle w:val="BookText"/>
        <w:rPr/>
      </w:pPr>
      <w:r>
        <w:rPr>
          <w:rFonts w:ascii="IRNazanin" w:hAnsi="IRNazanin" w:eastAsia="IRNazanin"/>
          <w:color w:val="111111"/>
          <w:sz w:val="28"/>
          <w:sz w:val="28"/>
          <w:szCs w:val="28"/>
          <w:rtl w:val="true"/>
          <w:lang w:bidi="fa-IR"/>
        </w:rPr>
        <w:t>انتساب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قريش و نيز دستور به تعيين جيره از بيت المال براى پيرمرد سائل نصرانى توجه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اين جا به اجمال به بررسى برخى از حقوق اساسى بشر در اسلام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مكتب اسلام اهميت خاصى براى حق حيات انسان قايل است و آن را در رأس همه ى حقوق ديگر قرار داده و كشتار انسان ها را به شدّت مذمت نموده است، به طورى كه كشتن يك انسان را برابر با كشتن همه ى انسان ها و نجات دادن جان يك فرد را همانند حفظ جان همه ى انسان ها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انسانى را بدون ارتكاب قتل يا فساد در روى زمين بكشد، چنان است كه گويى همه ى انسان ها را كشته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خودكشى و سقط جنين و نيز تشريع حكم قصاص نيز به منظور حفظ حيات بشر است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در قصاص، حيات و زندگى است، اى صاحبان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آزادى يك حقّ و ناشى از استعدادها و تمايلات عالى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به مفهوم اسلامى، نخست از درون آغاز مى شود و تا انسان از قيد و بند اسارت هاى درونى آزاد نگردد، از اسارت طاغوت ها و عوامل بيرونى رها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 xml:space="preserve">در عين اين كه با بيان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فى الدين</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احترام به فكر و آزادى عقيده را بيان مى كند، هرگز عقايدى را كه از راه تقليد كوركورانه و از طرق غير عقلانى بر انسان ها تحميل مى شود تأييد نمى كند و از همين رو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سرنگونى بت ها را صادر مى كرد و هرگز خرافات متكى به اوهام و تقليد و تحميل را نمى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همين آزادى فكر و عقيده بود كه علماى مذاهب و دانشمندان مادّى گرا آزادانه و فارغ از هرگونه رعب و هراس، با پيشوايان دينى و انديشمندان مسلمان به بحث و مناظره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اسلام هر كسى آزاد است و تا زمانى كه به اسلام و ديگران زيان نرساند مى تواند در شرايط سالم و به دور از توطئه، عقيده ى خود را مطرح و براى اثبات آن و جلب نظر ديگران تبليغ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اسلام تعارض افكار و انديشه ها را موجب رشد و تعالى جامعه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بده به بندگان من، همان كسانى كه سخنان را مى شنوند و از نيكوترين آنها پيروى مى كنند، آنان كسانى هستند كه خداوند هدايتشان كرده، و آنها خردمندان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اسلام، تفتيش عقايد را منع مى كند و اگر فردى، با زبان اقرار به قبول دين اسلام نمايد، مى پذيرد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أَلْقى إِلَيْكُمُ السَّلامَ لَسْتَ مُؤْمِناً</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اين كه سرمايه ى ناپايدار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آوريد، به كسى كه اظهار صلح و اسلام مى كند نگوييد مسلمان نيستى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حتى كسانى كه اسلام را نپذيرفته و طبق شرايطى حاضر به زندگى در كشور اسلامى هستند را حمايت كرده، به ترك عقايدشان وادار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اسلام آزادى عقيده و بيان را براى همگان محترم مى شمارد و از طرف داران جدى تبادل افكار و انديشه به شمار مى رود اين است كه از غنا و گستردگى خاصى برخوردار است و در تأمين نيازهاى متعدد افراد، ضعف و كمبودى در خود احساس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اسلام، هر كسى تا زمانى كه از آزادى سوء استفاده نكند و به هرج و مرج دامن نزند، مى تواند آزادانه حرف بزند و ابراز عقيده نمايد و در جريانات سياسى و اجتماعى نقش فعال داشته 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مساوات و برابرى، نخستين پايه ى نظام اجتماعى اسلام است و هيچ يك از اديان و مكتب هاى فلسفى ديگر، تا اين حدّ براى برابرى انسان ارزش قايل نشده اند و اين نوع تفاوت، از اختلاف بينش در شناخت شخصيت و ارزش هاى والاى انسان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هيچ تفاوتى، جز تقوا، نمى تواند معيار تبعيض و نابرابرى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بر اساس تقوا نيز معيارى در تقسيم وظايف و وسيله اى براى نيل به اهداف عاليه ى انسانى است، نه عامل تبعيض در برابر 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 إن ابائكم واحدٌ، كلّكم من آدم و آدم من تراب، إن اكرمكم عنداللّه أتقيكم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امتيازطلبى مبتنى بر ثروت و قدرت محكوم است و خصايص نژادى، در تقسيم عادلانه ى حقوق مردم نقشى ندارد و همه در برابر قانون يكسان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نيكو به فرمان داران خود دستور مى دهد كه حتّى در نگاه كردن به مردم نيز مساوات را رعايت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آس بينهم فى اللحظه و النظره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در كدام دين و مكتبى، ظريف ترين و دقيق ترين حقوق انسان ها مورد تأكيد و اهتمام قرار گرفته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احترام واقعى به انسان ملاك است، تحقق آن جز در سايه ى ى اسلام امكان پذير نيست</w:t>
      </w:r>
      <w:r>
        <w:rPr>
          <w:rFonts w:eastAsia="IRNazanin" w:cs="IRNazanin"/>
          <w:color w:val="111111"/>
          <w:sz w:val="28"/>
          <w:szCs w:val="28"/>
          <w:rtl w:val="true"/>
          <w:lang w:bidi="fa-IR"/>
        </w:rPr>
        <w:t>.»</w:t>
      </w:r>
      <w:r>
        <w:rPr>
          <w:rStyle w:val="FootnoteAnchor"/>
          <w:rtl w:val="true"/>
        </w:rPr>
        <w:footnoteReference w:id="160"/>
      </w:r>
      <w:bookmarkStart w:id="176" w:name="pg7528_66486"/>
    </w:p>
    <w:p>
      <w:pPr>
        <w:pStyle w:val="Heading2"/>
        <w:numPr>
          <w:ilvl w:val="1"/>
          <w:numId w:val="1"/>
        </w:numPr>
        <w:rPr/>
      </w:pPr>
      <w:bookmarkStart w:id="177" w:name="__RefHeading___Toc2626942_1051229030"/>
      <w:bookmarkStart w:id="178" w:name="_Toc69"/>
      <w:bookmarkEnd w:id="176"/>
      <w:bookmarkEnd w:id="177"/>
      <w:r>
        <w:rPr>
          <w:rtl w:val="true"/>
        </w:rPr>
        <w:t>تاريخ اسلام</w:t>
      </w:r>
      <w:bookmarkEnd w:id="178"/>
    </w:p>
    <w:p>
      <w:pPr>
        <w:pStyle w:val="Heading3"/>
        <w:numPr>
          <w:ilvl w:val="2"/>
          <w:numId w:val="1"/>
        </w:numPr>
        <w:rPr/>
      </w:pPr>
      <w:bookmarkStart w:id="179" w:name="__RefHeading___Toc2626944_1051229030"/>
      <w:bookmarkStart w:id="180" w:name="_Toc70"/>
      <w:bookmarkEnd w:id="179"/>
      <w:r>
        <w:rPr>
          <w:rtl w:val="true"/>
        </w:rPr>
        <w:t>گسترش اسلام در ايران</w:t>
      </w:r>
      <w:bookmarkEnd w:id="18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 w:name="__RefHeading___Toc2626946_1051229030"/>
      <w:bookmarkStart w:id="182" w:name="_Toc71"/>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شرايط فرهنگى، سياسى و اقتصادى ايران در صدر اسلام چگونه بود و آيا حمله ى مسلمانان به ايران ريشه ى سلطه طلبى و استعمارگرى داشته است؟</w:t>
      </w:r>
    </w:p>
    <w:p>
      <w:pPr>
        <w:pStyle w:val="BookText"/>
        <w:rPr/>
      </w:pPr>
      <w:r>
        <w:rPr>
          <w:rFonts w:ascii="IRNazanin" w:hAnsi="IRNazanin" w:eastAsia="IRNazanin"/>
          <w:color w:val="111111"/>
          <w:sz w:val="28"/>
          <w:sz w:val="28"/>
          <w:szCs w:val="28"/>
          <w:rtl w:val="true"/>
          <w:lang w:bidi="fa-IR"/>
        </w:rPr>
        <w:t>آيا گسترش اسلام در ايران به زور شمشير بود يا از طريق ابزارهاى فرهنگى؟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على حسنلو </w:t>
      </w:r>
    </w:p>
    <w:p>
      <w:pPr>
        <w:pStyle w:val="BookText"/>
        <w:rPr/>
      </w:pPr>
      <w:r>
        <w:rPr>
          <w:rFonts w:ascii="Amiri" w:hAnsi="Amiri" w:eastAsia="Amiri" w:cs="Amiri"/>
          <w:color w:val="111111"/>
          <w:sz w:val="28"/>
          <w:sz w:val="28"/>
          <w:szCs w:val="28"/>
          <w:rtl w:val="true"/>
          <w:lang w:bidi="ar-SA"/>
        </w:rPr>
        <w:t>تاريخ اسلام</w:t>
      </w:r>
    </w:p>
    <w:p>
      <w:pPr>
        <w:pStyle w:val="BookText"/>
        <w:rPr/>
      </w:pPr>
      <w:r>
        <w:rPr>
          <w:rFonts w:ascii="IRNazanin" w:hAnsi="IRNazanin" w:eastAsia="IRNazanin"/>
          <w:color w:val="111111"/>
          <w:sz w:val="28"/>
          <w:sz w:val="28"/>
          <w:szCs w:val="28"/>
          <w:rtl w:val="true"/>
          <w:lang w:bidi="fa-IR"/>
        </w:rPr>
        <w:t>گسترش اسلام در ايران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با برخوردارى از محتواى عالى درباره ى مصالح فطرى انسان قلوب انسان هاى آزاده را به خود جذب كرد و تحت تأثير اين فرهنگ متعالى و رفتار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 مدت فرهنگ جاهلى عربستان تغيير يافت و انوار هدايت در تمام جهان درخشيد و دل هاى رنجيده از زنجيرهاى اسارت را آزاد ساخت و تشنگان عدالت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آقاى امير على حسنلو به بررسى اجمالى اوضاع سياسى و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زمان طلوع اسلام و زمينه هاى استقبال مردم ايران از دين اسلام و كيفيت گسترش آن در اين سرزمين پرداخته است</w:t>
      </w:r>
      <w:r>
        <w:rPr>
          <w:rFonts w:eastAsia="IRNazanin" w:cs="IRNazanin"/>
          <w:color w:val="111111"/>
          <w:sz w:val="28"/>
          <w:szCs w:val="28"/>
          <w:rtl w:val="true"/>
          <w:lang w:bidi="fa-IR"/>
        </w:rPr>
        <w:t xml:space="preserve">. </w:t>
      </w:r>
      <w:bookmarkStart w:id="183" w:name="pg7528_66489"/>
    </w:p>
    <w:p>
      <w:pPr>
        <w:pStyle w:val="Heading4"/>
        <w:numPr>
          <w:ilvl w:val="3"/>
          <w:numId w:val="1"/>
        </w:numPr>
        <w:rPr/>
      </w:pPr>
      <w:bookmarkStart w:id="184" w:name="__RefHeading___Toc2626948_1051229030"/>
      <w:bookmarkStart w:id="185" w:name="_Toc72"/>
      <w:bookmarkEnd w:id="183"/>
      <w:bookmarkEnd w:id="184"/>
      <w:r>
        <w:rPr>
          <w:rtl w:val="true"/>
        </w:rPr>
        <w:t>شرايط فرهنگى، سياسى و اقتصادى ايران در صدر اسلام چگونه بود و آيا حمله ى مسلمانان به ايران ريشه ى سلطه طلبى و استعمارگرى داشته است؟</w:t>
      </w:r>
      <w:bookmarkEnd w:id="185"/>
    </w:p>
    <w:p>
      <w:pPr>
        <w:pStyle w:val="Heading5"/>
        <w:numPr>
          <w:ilvl w:val="4"/>
          <w:numId w:val="1"/>
        </w:numPr>
        <w:rPr/>
      </w:pPr>
      <w:bookmarkStart w:id="186" w:name="__RefHeading___Toc2626950_1051229030"/>
      <w:bookmarkStart w:id="187" w:name="_Toc73"/>
      <w:bookmarkEnd w:id="186"/>
      <w:r>
        <w:rPr>
          <w:rtl w:val="true"/>
        </w:rPr>
        <w:t>شرايط ايران در آستانه ى طلوع خورشيد اسلام</w:t>
      </w:r>
      <w:bookmarkEnd w:id="187"/>
    </w:p>
    <w:p>
      <w:pPr>
        <w:pStyle w:val="Heading6"/>
        <w:numPr>
          <w:ilvl w:val="5"/>
          <w:numId w:val="1"/>
        </w:numPr>
        <w:rPr/>
      </w:pPr>
      <w:bookmarkStart w:id="188" w:name="__RefHeading___Toc2626952_1051229030"/>
      <w:bookmarkStart w:id="189" w:name="_Toc74"/>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در آستانه ى ظهور اسلام، جهان پر از آشوب و ظلم و بى عدالتى بود و مردم جهان منتظر منجى آسمانى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خون ريزى، قتل و غارت، ظلم و استبداد و جوامع طبقاتى و اشرافيگرى فراگير شده بود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منطقه ى عربستان نيز از نقاط ديگر جهان مستثنا نبود، بلكه جهالت و سيطره ى خرافات و تضييع حقوق و جنگ هاى قبيله اى و زنده به گور كردن دختران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صحنه هاى حاكميت جهل در اين منطقه بود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نيز مانند ساير نقاط جهان در بى عدالتى كامل فرو رفته بود و مردم از استبداد طولانى شاهان ساسانى به ستوه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ايرانى به طبقات مختلف تقسيم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و طبقات فرودست استثمار مى شدند و نجبا و موبدان از امتيازات ديرينه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طى قرن ها، اكثر مردم ايران را در نوعى بندگى محنت بار نگه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ديوارهاى عظيم طبقاتى بين واستريوشان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با واسپوهران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موبدان و آزارتان فاصله اى عبورناپذير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سايه ى تاريكى كه قرن ها بر آنها افكنده شده بود خسته شده و كاسه ى صبرشان لبريز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فرار آخرين پادشاه ساسانى، از پايتخت كه در فكر تشكيل سپاه بود، نشان دهنده ى روى گردان شدن مردم ايران از اين سايه ى تاريك و وحشتناك استبداد </w:t>
      </w:r>
      <w:bookmarkStart w:id="190" w:name="pg7528_66490"/>
    </w:p>
    <w:p>
      <w:pPr>
        <w:pStyle w:val="BookText"/>
        <w:rPr/>
      </w:pPr>
      <w:bookmarkEnd w:id="190"/>
      <w:r>
        <w:rPr>
          <w:rFonts w:ascii="IRNazanin" w:hAnsi="IRNazanin" w:eastAsia="IRNazanin"/>
          <w:color w:val="111111"/>
          <w:sz w:val="28"/>
          <w:sz w:val="28"/>
          <w:szCs w:val="28"/>
          <w:rtl w:val="true"/>
          <w:lang w:bidi="fa-IR"/>
        </w:rPr>
        <w:t>ساسانى است، به طورى كه سرنوشت او و كشته شدنش به دست آسيابانى در مرو از اين حقيقت حكايت دارد كه مردم ايران حاضر نبودند از اين دولت مستبد حمايت كنند و قدرتشان را استمرار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ساسانيان پشتوانه ى مردمى خود را كاملا از دست داده بودند، به طورى كه شاه بدون حشم و خدم و حشمت پادشاهى، آواره ى شهرهاى ايران بود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جامعه ى ايرانى در طول حكومت ساسانيان بر دو ركن قائم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و 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نامه ى تنسر، مرزبندى بسيار محكم، نجبا و اشراف را از عوام الناس جدا مى كرد و امتياز آنان به لباس و مركب و سراى و بستان و زن و خدمتكار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قوانين ساسانى، هيچ كس نبايد خواهان درجه و طبقه اى برتر از آنچه گذشتگان و نسب او داشتند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ى امتيازات در اين جامعه ى ظلم گستر براساس وراثت و پيشينگى خانوادگى بود و دهقان زاده هرگز حق نداشت در طبقه اى ديگر حضور يابد و استعدادهاى خود را نشان دهد، بلكه در اين جامعه سرنوشت همه به اجبار براساس گذشته ى آنها مشخص مى شد، اشراف زاده اگر چه كودن باشد، حق حاكميت و برترى اش محفوظ بود و قانونى كاملا خشك حاكم بود و از عدالت هيچ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جامعه اى هيچ زمينه ى رشدى وجود نخواهد داشت، چون استعدادهاى مختلف انسان ها از بين مى رود</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191" w:name="__RefHeading___Toc2626954_1051229030"/>
      <w:bookmarkStart w:id="192" w:name="_Toc75"/>
      <w:bookmarkEnd w:id="191"/>
      <w:r>
        <w:rPr/>
        <w:t>1</w:t>
      </w:r>
      <w:r>
        <w:rPr>
          <w:rtl w:val="true"/>
        </w:rPr>
        <w:t xml:space="preserve">. </w:t>
      </w:r>
      <w:r>
        <w:rPr>
          <w:rtl w:val="true"/>
        </w:rPr>
        <w:t>وضع اقتصادى</w:t>
      </w:r>
      <w:bookmarkEnd w:id="19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هاى كشاورزى و باغ ها تحت اختيار خاندان بزرگ از اشراف مثل قارن و مهران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نظاميان بود و عده اى از دهقانان و فرودستان براى آنها در مزارع و باغ ها بيگارى </w:t>
      </w:r>
      <w:bookmarkStart w:id="193" w:name="pg7528_66491"/>
    </w:p>
    <w:p>
      <w:pPr>
        <w:pStyle w:val="BookText"/>
        <w:rPr/>
      </w:pPr>
      <w:bookmarkEnd w:id="193"/>
      <w:r>
        <w:rPr>
          <w:rFonts w:ascii="Amiri" w:hAnsi="Amiri" w:eastAsia="Amiri" w:cs="Amiri"/>
          <w:color w:val="111111"/>
          <w:sz w:val="28"/>
          <w:sz w:val="28"/>
          <w:szCs w:val="28"/>
          <w:rtl w:val="true"/>
          <w:lang w:bidi="ar-SA"/>
        </w:rPr>
        <w:t>مى كردند</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ماليات هاى سنگين بر مردم تحميل مى شد و حكومت ساسانى به خاطر وجود جنگ هاى طولانى بين ايران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حكومت ميلياتريسمى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نظاميگرى از طرف دربار تقويت مى شد و هزينه ى گزاف اين جنگ ها بار سنگينى بود بر دوش مردم ايران و همين عامل سبب رواج فساد و رشوه و گرانى در جامعه بود</w:t>
      </w:r>
      <w:r>
        <w:rPr>
          <w:rFonts w:eastAsia="IRNazanin" w:cs="IRNazanin"/>
          <w:color w:val="111111"/>
          <w:sz w:val="28"/>
          <w:szCs w:val="28"/>
          <w:rtl w:val="true"/>
          <w:lang w:bidi="fa-IR"/>
        </w:rPr>
        <w:t>.</w:t>
      </w:r>
      <w:r>
        <w:rPr>
          <w:rStyle w:val="FootnoteAnchor"/>
          <w:rtl w:val="true"/>
        </w:rPr>
        <w:footnoteReference w:id="166"/>
      </w:r>
    </w:p>
    <w:p>
      <w:pPr>
        <w:pStyle w:val="Heading6"/>
        <w:numPr>
          <w:ilvl w:val="5"/>
          <w:numId w:val="1"/>
        </w:numPr>
        <w:rPr/>
      </w:pPr>
      <w:bookmarkStart w:id="194" w:name="__RefHeading___Toc2626956_1051229030"/>
      <w:bookmarkStart w:id="195" w:name="_Toc76"/>
      <w:bookmarkEnd w:id="194"/>
      <w:r>
        <w:rPr/>
        <w:t>2</w:t>
      </w:r>
      <w:r>
        <w:rPr>
          <w:rtl w:val="true"/>
        </w:rPr>
        <w:t xml:space="preserve">. </w:t>
      </w:r>
      <w:r>
        <w:rPr>
          <w:rtl w:val="true"/>
        </w:rPr>
        <w:t>وضع فرهنگى</w:t>
      </w:r>
      <w:bookmarkEnd w:id="195"/>
    </w:p>
    <w:p>
      <w:pPr>
        <w:pStyle w:val="BookText"/>
        <w:rPr/>
      </w:pPr>
      <w:r>
        <w:rPr>
          <w:rFonts w:ascii="IRNazanin" w:hAnsi="IRNazanin" w:eastAsia="IRNazanin"/>
          <w:color w:val="111111"/>
          <w:sz w:val="28"/>
          <w:sz w:val="28"/>
          <w:szCs w:val="28"/>
          <w:rtl w:val="true"/>
          <w:lang w:bidi="fa-IR"/>
        </w:rPr>
        <w:t>علم و هنر و مسائل فرهنگى، به خاطر ساختار طبقاتى، در اختيار گروهى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به عنوان حاكمان شرع، فرهنگ خرافاتى آتش پرستى را ترويج و به مردم تحميل مى نمودند و هيچ كس حق رشد و ترقى در علم و فرهنگ را بدون ميل و خواسته ى شاه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قليل از تجار شهرها قرائت و كتابت حساب مى دانستند و عامه ى مردم از حيث ادب و سواد و علم بضاعتى نداشتند و قسمتى از تعليمات عاليه در دست مغان بود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دختران حق خواندن و باسواد شدن را نداشتند، مگر زنان طبقات خاص از اشراف و</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لذا پس از اسلام آثار علمى و هنرى و فرهنگى ايران اسلامى با گذشته ى آن هرگز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بناهاى اسلامى، مثلا مسجد شيخ لطف اللّه اصفهان، جهان رياضيات را در برابر چشم انسان به نمايش مى گذارد كه در دوره ى ساسانى و پيش از آن چنين آثارى در تاريخ ايران سراغ نداريم و اين اثرِ مستقيم وحى اسلامى بر روح ايرانيان است</w:t>
      </w:r>
      <w:r>
        <w:rPr>
          <w:rFonts w:eastAsia="IRNazanin" w:cs="IRNazanin"/>
          <w:color w:val="111111"/>
          <w:sz w:val="28"/>
          <w:szCs w:val="28"/>
          <w:rtl w:val="true"/>
          <w:lang w:bidi="fa-IR"/>
        </w:rPr>
        <w:t xml:space="preserve">. </w:t>
      </w:r>
      <w:bookmarkStart w:id="196" w:name="pg7528_66492"/>
    </w:p>
    <w:p>
      <w:pPr>
        <w:pStyle w:val="Heading6"/>
        <w:numPr>
          <w:ilvl w:val="5"/>
          <w:numId w:val="1"/>
        </w:numPr>
        <w:rPr/>
      </w:pPr>
      <w:bookmarkStart w:id="197" w:name="__RefHeading___Toc2626958_1051229030"/>
      <w:bookmarkStart w:id="198" w:name="_Toc77"/>
      <w:bookmarkEnd w:id="196"/>
      <w:bookmarkEnd w:id="197"/>
      <w:r>
        <w:rPr/>
        <w:t>3</w:t>
      </w:r>
      <w:r>
        <w:rPr>
          <w:rtl w:val="true"/>
        </w:rPr>
        <w:t xml:space="preserve">. </w:t>
      </w:r>
      <w:r>
        <w:rPr>
          <w:rtl w:val="true"/>
        </w:rPr>
        <w:t>وضع سياسى</w:t>
      </w:r>
      <w:bookmarkEnd w:id="198"/>
    </w:p>
    <w:p>
      <w:pPr>
        <w:pStyle w:val="BookText"/>
        <w:rPr/>
      </w:pPr>
      <w:r>
        <w:rPr>
          <w:rFonts w:ascii="IRNazanin" w:hAnsi="IRNazanin" w:eastAsia="IRNazanin"/>
          <w:color w:val="111111"/>
          <w:sz w:val="28"/>
          <w:sz w:val="28"/>
          <w:szCs w:val="28"/>
          <w:rtl w:val="true"/>
          <w:lang w:bidi="fa-IR"/>
        </w:rPr>
        <w:t>ساختار سياسى حكومت در عهد ساسانيان بر محور قدرت افسارگسسته ى آن سلطانى بود كه تاج و تخت را به ميراث تصاحب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رأس هرم قدرت قرار داشت و فرمان هاى او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ساختار سياسى سبب بى عدالتى ها و ناهنجارى هاى اجتماعى و 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نوع حكومت خدمت گزار دولت و تأمين كننده ى هزينه هاى نظامى سنگين و جشن هاى كذايى و خوش گذرانى هاى شاه و درباريان بودند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استمرار اين سيستمِ تحميلى سبب شده بود كه پايگاه مردمى ساسانيان از بين برود</w:t>
      </w:r>
      <w:r>
        <w:rPr>
          <w:rFonts w:eastAsia="IRNazanin" w:cs="IRNazanin"/>
          <w:color w:val="111111"/>
          <w:sz w:val="28"/>
          <w:szCs w:val="28"/>
          <w:rtl w:val="true"/>
          <w:lang w:bidi="fa-IR"/>
        </w:rPr>
        <w:t>.</w:t>
      </w:r>
    </w:p>
    <w:p>
      <w:pPr>
        <w:pStyle w:val="Heading6"/>
        <w:numPr>
          <w:ilvl w:val="5"/>
          <w:numId w:val="1"/>
        </w:numPr>
        <w:rPr/>
      </w:pPr>
      <w:bookmarkStart w:id="199" w:name="__RefHeading___Toc2626960_1051229030"/>
      <w:bookmarkStart w:id="200" w:name="_Toc78"/>
      <w:bookmarkEnd w:id="199"/>
      <w:r>
        <w:rPr>
          <w:rtl w:val="true"/>
        </w:rPr>
        <w:t>علل حمله ى مسلمانان به ايران</w:t>
      </w:r>
      <w:bookmarkEnd w:id="200"/>
    </w:p>
    <w:p>
      <w:pPr>
        <w:pStyle w:val="BookText"/>
        <w:rPr/>
      </w:pPr>
      <w:r>
        <w:rPr>
          <w:rFonts w:ascii="IRNazanin" w:hAnsi="IRNazanin" w:eastAsia="IRNazanin"/>
          <w:color w:val="111111"/>
          <w:sz w:val="28"/>
          <w:sz w:val="28"/>
          <w:szCs w:val="28"/>
          <w:rtl w:val="true"/>
          <w:lang w:bidi="fa-IR"/>
        </w:rPr>
        <w:t>دين اسلام و رسالت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لِلنّاسِ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 وَنَذِيراًوَل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أَكْثَرَ النّاسِ لا يَعْلَمُونَ</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براى همه ى مردم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پاداش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 تر مردم 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اين اساس بود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از جمله خسرو پرويز، شاه ايران را به اسلام دعوت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گستاخى او نسبت به دعوت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مسلمانان به دستور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براى جنگ با ايران تجهيز كنند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بشارت فتح ايران را به مسلمانان داده بود</w:t>
      </w:r>
      <w:r>
        <w:rPr>
          <w:rStyle w:val="FootnoteAnchor"/>
          <w:rtl w:val="true"/>
        </w:rPr>
        <w:footnoteReference w:id="171"/>
      </w:r>
      <w:r>
        <w:rPr>
          <w:rFonts w:ascii="IRNazanin" w:hAnsi="IRNazanin" w:eastAsia="IRNazanin"/>
          <w:color w:val="111111"/>
          <w:sz w:val="28"/>
          <w:sz w:val="28"/>
          <w:szCs w:val="28"/>
          <w:rtl w:val="true"/>
          <w:lang w:bidi="fa-IR"/>
        </w:rPr>
        <w:t>كه دومين انگيزه ى حمله ى مسلمانان به ايران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ى ديگر برداشتن مرزهاى بين اسلام و ساير نقاط دوردست بود كه پس از حمله ى مسلمين اين مقصود نيز حاصل شد و بسيارى از شاهان كشورهاى مجاور و دور به اسلام گرويدند و براى دفاع از اسلام و ترويج آن با ديگران جنگيدند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 ترين علل حمله ى مسلمانان به ايران و ساير نقاط جهان، پيشدستى در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اوج گيرى دامنه ى اسلام در تمام جزيرة العرب، قدرت هاى بزرگ جهانى آن روز كه دو امپراطور بزرگ ايران و روم بودند، براى مقابله با آن تدابيرى انديشيده و خواهان نابودى اسلام در آغاز 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با مشورت هاى بزرگان اسلام، خصوصاً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تدابيرى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ديده بود، آمادگى لازم را براى دفاع از اسلام و گسترش آن بهوجود آوردند، مرزهاى طبيعى و معنوى را گشودند و پيام اسلام را در تمام نقاط طنين انداز كردند</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حمايت هاى اميرمؤمنان در اين فتوحات، نقش بسيار مهمى در رونق اسلام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علل ديگر حمله كه برخى از مورخان به آن اشاره كردند، مشغول كردن مردم به فتوحات خارجى بود كه نتيجه ى آن كاهش يافتن آشوب هاى داخلى، مانند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مدعيان نبوت و دل گرمى مردم به فتوحات و غنايم جنگى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كه خليفه ى اول براى انتقال دادن بحران هاى داخلى و اختلافاتى كه بر سر خلافت و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شورش هاى قبيله اى شروع شده بود، به بيرون از مرزهاى </w:t>
      </w:r>
    </w:p>
    <w:p>
      <w:pPr>
        <w:pStyle w:val="BookText"/>
        <w:rPr/>
      </w:pPr>
      <w:r>
        <w:rPr>
          <w:rFonts w:ascii="IRNazanin" w:hAnsi="IRNazanin" w:eastAsia="IRNazanin"/>
          <w:color w:val="111111"/>
          <w:sz w:val="28"/>
          <w:sz w:val="28"/>
          <w:szCs w:val="28"/>
          <w:rtl w:val="true"/>
          <w:lang w:bidi="fa-IR"/>
        </w:rPr>
        <w:t>عربستان، و سرگرم كردن مردم با جنگ به منظور محكم كردن حكومت خويش اقدام به حمله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تحليل واقعيت داشته باشد، بايد گفت كه خليفه ى اول در اين اقدام، از شيوه 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 آن حضرت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در آخرين روزهاى عمر خود سپاه اسامه را تجهيز و عده اى را تصريحاً نامزد حضور در اين سپاه كرد، تا پس از رحلت ايشان در خلافت و جانشينى او اختلاف افكنى ننموده و بر اساس انتخاب واقعه ى غدير كارها پيش رود، ولى عده اى از اين دستور سرپيچى كردند كه از جمله ى آنها خليفه ى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ى اول و هم فكرانش با هم دستى خلافت را ربودند و بر مسند قدرت نشستند و براى رهايى از بحران بهوجود آمده و فرافكنى بحران هاى داخلى فتوحات را زمينه سازى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كردند كه فرماندهى فاتحان را عهده دار شود و شخصاً در جنگ حضور يابد كه آن حضرت نپذيرفت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آيا در اين حمله روحيه ى اشغالگرى وجود داشت، روحيه ى اشغالگرى و استعمار با غارت و منفعت طلبى سازگار است كه از ظلم و استثمار به وجود مى آيد در حالى كه دين اسلام با هر گونه ظلم و ستمگرى و استعمار مخالف است و هيچ مرتبه اى از ظلم را، حتى در حق حيوانات، نمى پذيرد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شعارهاى اسلام، مانند عدالت، آزادى، مساوات</w:t>
      </w:r>
      <w:r>
        <w:rPr>
          <w:rStyle w:val="FootnoteAnchor"/>
          <w:rtl w:val="true"/>
        </w:rPr>
        <w:footnoteReference w:id="177"/>
      </w:r>
      <w:r>
        <w:rPr>
          <w:rFonts w:ascii="IRNazanin" w:hAnsi="IRNazanin" w:eastAsia="IRNazanin"/>
          <w:color w:val="111111"/>
          <w:sz w:val="28"/>
          <w:sz w:val="28"/>
          <w:szCs w:val="28"/>
          <w:rtl w:val="true"/>
          <w:lang w:bidi="fa-IR"/>
        </w:rPr>
        <w:t>، ظلم ستيزى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بار معنايى </w:t>
      </w:r>
    </w:p>
    <w:p>
      <w:pPr>
        <w:pStyle w:val="BookText"/>
        <w:rPr/>
      </w:pPr>
      <w:r>
        <w:rPr>
          <w:rFonts w:ascii="IRNazanin" w:hAnsi="IRNazanin" w:eastAsia="IRNazanin"/>
          <w:color w:val="111111"/>
          <w:sz w:val="28"/>
          <w:sz w:val="28"/>
          <w:szCs w:val="28"/>
          <w:rtl w:val="true"/>
          <w:lang w:bidi="fa-IR"/>
        </w:rPr>
        <w:t>استعمارگرى را در خود ندارد و مسلمانان اوليه كه ياران و صحابه ى بزرگ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 آنها حضور داشتند، هرگز در پى چنين هدفى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ايران از همان آغاز از مسلمانان استقبال كردند و گروه زيادى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مردم ايران از دين اسلام كه محتواى آن شامل پيام هاى عالى اخلاقى انسانى بود، كاملا مغاير با استعمار و استثمارگرى بود، نتايج حضور اسلام در ايران </w:t>
      </w:r>
      <w:r>
        <w:rPr>
          <w:rStyle w:val="FootnoteAnchor"/>
          <w:rtl w:val="true"/>
        </w:rPr>
        <w:footnoteReference w:id="178"/>
      </w:r>
      <w:r>
        <w:rPr>
          <w:rFonts w:ascii="IRNazanin" w:hAnsi="IRNazanin" w:eastAsia="IRNazanin"/>
          <w:color w:val="111111"/>
          <w:sz w:val="28"/>
          <w:sz w:val="28"/>
          <w:szCs w:val="28"/>
          <w:rtl w:val="true"/>
          <w:lang w:bidi="fa-IR"/>
        </w:rPr>
        <w:t>بهترين دليل بر نفى هر گونه استعمار از طرف دين اسلام و مسلمين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بعدها مدعيان دروغين اسلام و مسلمانى اهداف خود را تغيير دادند و به شيوه ى استعمارگران عمل نمودند كه مردم ايران در مقابل آنها چهره ى ضد استعمارى به خود گرفتند</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برخورد برخى از خلفا و فرماندهان نظامى و امويان با موالى و مردم ايران به قدرى تبعيض آميز بود كه به شعارهاى اسلامى لطمه مى زد</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اما مردم ايران با توجه به هوشيارى كم نظير خود، حساب اسلام اصيل را با سلطه جويان و مدعيان دروغين اسلام، جدا كردند و با شايستگى خود در راه رشد اسلام راستين كوشيدند و خدمات ارزنده اى به اسلام عزيز ارائه دادند و دانشمندان بزرگى را پروراند و با پناه گرفتن در دامن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ابدى خويش را به دست آوردند</w:t>
      </w:r>
      <w:r>
        <w:rPr>
          <w:rFonts w:eastAsia="IRNazanin" w:cs="IRNazanin"/>
          <w:color w:val="111111"/>
          <w:sz w:val="28"/>
          <w:szCs w:val="28"/>
          <w:rtl w:val="true"/>
          <w:lang w:bidi="fa-IR"/>
        </w:rPr>
        <w:t xml:space="preserve">. </w:t>
      </w:r>
      <w:bookmarkStart w:id="201" w:name="pg7528_66496"/>
    </w:p>
    <w:p>
      <w:pPr>
        <w:pStyle w:val="Heading4"/>
        <w:numPr>
          <w:ilvl w:val="3"/>
          <w:numId w:val="1"/>
        </w:numPr>
        <w:rPr/>
      </w:pPr>
      <w:bookmarkStart w:id="202" w:name="__RefHeading___Toc2626962_1051229030"/>
      <w:bookmarkStart w:id="203" w:name="_Toc79"/>
      <w:bookmarkEnd w:id="201"/>
      <w:bookmarkEnd w:id="202"/>
      <w:r>
        <w:rPr>
          <w:rtl w:val="true"/>
        </w:rPr>
        <w:t>آيا گسترش اسلام در ايران به زور شمشير بود يا از طريق ابزارهاى فرهنگى؟</w:t>
      </w:r>
      <w:bookmarkEnd w:id="203"/>
    </w:p>
    <w:p>
      <w:pPr>
        <w:pStyle w:val="BookText"/>
        <w:rPr/>
      </w:pPr>
      <w:r>
        <w:rPr>
          <w:rFonts w:ascii="IRNazanin" w:hAnsi="IRNazanin" w:eastAsia="IRNazanin"/>
          <w:color w:val="111111"/>
          <w:sz w:val="28"/>
          <w:sz w:val="28"/>
          <w:szCs w:val="28"/>
          <w:rtl w:val="true"/>
          <w:lang w:bidi="fa-IR"/>
        </w:rPr>
        <w:t>فرهنگ مجموعه اى از عناصر عينى و ذهنى است كه ميراث نسل هاى متوالى و داراى عناصرى مثل علم و 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ابزارهاى مختلف آموزشى و تبليغى در شكل گيرى و استمرار آن نقش اساسى دارند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انسان با ويژگى ها و احساسات خاص و پيچيده، مانند حس برترى، كمال جويى، آزادى خواهى، سلطه گريزى و اختيار، در فرايند فرهنگ سازى نقش اول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ى تمام فرهنگ ها دين و ايدئولوژى است، كه در پيام انبياى الهى نهفته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با مراجعه به سيره 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درمى يابيم كه تمام اقدامات آن حضرت براى گسترش دين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 نظامى و دفاعى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فرهنگى بوده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درباره ى ساير كشورها نيز عملكرد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رسالت جهانى اش،</w:t>
      </w:r>
      <w:r>
        <w:rPr>
          <w:rStyle w:val="FootnoteAnchor"/>
          <w:rtl w:val="true"/>
        </w:rPr>
        <w:footnoteReference w:id="184"/>
      </w:r>
      <w:r>
        <w:rPr>
          <w:rFonts w:ascii="IRNazanin" w:hAnsi="IRNazanin" w:eastAsia="IRNazanin"/>
          <w:color w:val="111111"/>
          <w:sz w:val="28"/>
          <w:sz w:val="28"/>
          <w:szCs w:val="28"/>
          <w:rtl w:val="true"/>
          <w:lang w:bidi="fa-IR"/>
        </w:rPr>
        <w:t>دعوت آنها به اسلام توسط نامه صورت گرفته كه محتواى نامه موجود و دليل محوريت فرهنگى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در مدت كوتاهى با انقلاب فرهنگى در جامعه ى </w:t>
      </w:r>
    </w:p>
    <w:p>
      <w:pPr>
        <w:pStyle w:val="BookText"/>
        <w:rPr/>
      </w:pPr>
      <w:r>
        <w:rPr>
          <w:rFonts w:ascii="IRNazanin" w:hAnsi="IRNazanin" w:eastAsia="IRNazanin"/>
          <w:color w:val="111111"/>
          <w:sz w:val="28"/>
          <w:sz w:val="28"/>
          <w:szCs w:val="28"/>
          <w:rtl w:val="true"/>
          <w:lang w:bidi="fa-IR"/>
        </w:rPr>
        <w:t>جاهلى</w:t>
      </w:r>
      <w:r>
        <w:rPr>
          <w:rStyle w:val="FootnoteAnchor"/>
          <w:rtl w:val="true"/>
        </w:rPr>
        <w:footnoteReference w:id="186"/>
      </w:r>
      <w:r>
        <w:rPr>
          <w:rFonts w:ascii="IRNazanin" w:hAnsi="IRNazanin" w:eastAsia="IRNazanin"/>
          <w:color w:val="111111"/>
          <w:sz w:val="28"/>
          <w:sz w:val="28"/>
          <w:szCs w:val="28"/>
          <w:rtl w:val="true"/>
          <w:lang w:bidi="fa-IR"/>
        </w:rPr>
        <w:t>افرادى را تربيت كند كه در راه گسترش اسلام جان فشانى نمايند و به مراتب عالى معنوى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مسلمين براى دفاع از كيان اسلام و نشر فرهنگ اسلام به فراسوى جهان، مرزهاى جغرافيايى را كه مانع رسيدن فرهنگ و شعارهاى اسلام بود برچيدند و زمينه هاى گسترش اسلام در ايران را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گسترش اسلام و پايدارى و بالندگى آن پس از گشوده شدن دروازه هاى ايران به روى اسلام را به اختصار مى توان اين گونه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اجتماعى، سياسى و فرهنگى ايران سبب شده بود كه مردم ايران به استقبال دين اسلام بروند و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بسيارى از شهرها، حاكمان بدون جنگ و درگيرى به خاطر عدم مقاومت مردم در مقابل سپاه اسلام پرداخت جزيه را مى پذيرفتند و صلح مى نمودند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تشريع قانون جزيه از طرف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آن و مختار بودن مردم در پذيرش دين يا پرداخت جزيه كه در تمام مناطق فتح شده اعمال مى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تخريب نكردن آتشكده هاى مجوس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گزارش شده است، يكى از سرداران عرب فرمان داد تا به يك امام جماعت و مؤذن او تازيانه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معابد زرتشى را ويران كرده بودند و سنگ هاى آن را در بناى مسجد به كار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ده ميلادى، يعنى سه قرن پس از فتح ايران، آتشكده هاى زرتشتيان در عراق و فارس و كرمان </w:t>
      </w:r>
    </w:p>
    <w:p>
      <w:pPr>
        <w:pStyle w:val="BookText"/>
        <w:rPr/>
      </w:pPr>
      <w:r>
        <w:rPr>
          <w:rFonts w:ascii="IRNazanin" w:hAnsi="IRNazanin" w:eastAsia="IRNazanin"/>
          <w:color w:val="111111"/>
          <w:sz w:val="28"/>
          <w:sz w:val="28"/>
          <w:szCs w:val="28"/>
          <w:rtl w:val="true"/>
          <w:lang w:bidi="fa-IR"/>
        </w:rPr>
        <w:t>و سيستان و خراسان و آذربايجان و در سراسر ايران برپا بود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پيروان دين زرتشت به تدريج و به اختيار خود به دين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پيروان زرتشتى در ايران تا عصر حاضر و آزادى آنان در اجراى مراسم دينى، بهترين دليل بر نبود اجبار و زور در پذيرش دين است</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شدن بسيارى از ايرانيان، قبل از فتح ايران، كه در يمن و بحرين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پس از جنگ قادسيه، چهار هزار ديلمى به اختيار به دين اسلام گرويدند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ايرانيان به اسلام و توليد و توسعه ى علوم اسلامى و تدوين هزاران كتاب در زمينه ى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بزرگ ترين صاحب نظران در علوم مختلف، دانشمندان بزرگ اسلام از شيعه و سنى، از ايران برخاسته بودند و ايرانيان با اندك فاصله پس از رسيدن اسلام به ايران، در زمينه ى علوم اسلامى، اعم از سيره، تاريخ، فقه، حديث، رجال، و علوم قرآنى و علوم عقلى و فنى و تجربى با نوآورى هاى شگفت به توليد علم پرداختند و اين شيوه ى فرهنگ سازى را به كشورهاى غربى انتقال دادند و مؤثرترين قدم ها را در تكامل علوم اسلامى برداشتند</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ايرانيان مى فرمايد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علم به ستاره ى ثريا آويخته بود، گروهى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w:t>
      </w:r>
    </w:p>
    <w:p>
      <w:pPr>
        <w:pStyle w:val="BookText"/>
        <w:rPr/>
      </w:pPr>
      <w:r>
        <w:rPr>
          <w:rFonts w:ascii="Amiri" w:hAnsi="Amiri" w:eastAsia="Amiri" w:cs="Amiri"/>
          <w:color w:val="111111"/>
          <w:sz w:val="28"/>
          <w:sz w:val="28"/>
          <w:szCs w:val="28"/>
          <w:rtl w:val="true"/>
          <w:lang w:bidi="ar-SA"/>
        </w:rPr>
        <w:t>مى يافتند</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تاريخ ايران باستان دوره ى هخامنشى، كه اسكندر مقدونى سراسر ايران را به زور شمشير فتح كرد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 و سال ها بر سراسر ايران حكومت كردند، نتوانستند فرهنگ يونانى و غربى را بر ايرانيان تحميل كنند، بلكه از فرهنگ و معمارى ايرانيان تأثير پذيرفتند و ايرانيان هرگز دچار خودباختگى فرهنگى و بى هويتى نشدند و به ترويج اين فرهنگ ها نيز نپرداختند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پس از اسلام نيز مردم ايران شاهد تهاجم اقوام مختلف از ماوراء النهر و مغولستان با فرهنگ هاى مختلف بودند، ولى هرگز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شمنى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ترويج ندادند، بلكه مهاجمان را مغلوب فرهنگ اسلامى خويش ساختند، با اين كه مسلم است كه شمشير مغولان از شمشير اعراب برنده تر و تيزتر و قتل و جنايت آنها در طول تاريخ ايران بى نظير بوده است و اعراب مسلمان هرگز چنين جناياتى را در ايران مرتكب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هرگز نمى توان گسترش دين اسلام در ايران را به زور شمشير دانست، بلكه در علل زير بايد جستوجو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غنى بودن محتواى دين اسلام و فرهنگ انسان دوستانه و ضد تبعيض و عدالت محور آن كه با فطرت انسان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گشوده شدن مرزها، ارتباط مردم ايران با مسلمانان تنگاتنگ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خود به نوعى در ترويج دين اسلام مؤثر بود و ايرانيان از نزديك شاهد جامعه ى مسلمانان بودند كه با حكومت اشرافى و جامعه ى طبقاتى ساسانى متفاوت بود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اسراى جنگى ايرانى كه به همراه خانواده و فرزندان به مدينه و شهرهاى ديگر منتقل شده و در كنار مسلمانان زندگى مى كردند، تحت تأثير جامعه ى مسلمين، مجذوب اسلام مى شدند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ايرانيانى كه قرن ها شاهد اشرافيگرى شاهان ساسانى و محروميت طبقات ديگر جامعه از امكانات اوليه ى زندگى بودند، با مشاهده ى ساده زيستى خلفاى اسلامى، از جمله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عاملان آنها در شهرهاى ايران كه مثل پايين ترين طبقات مردم زندگى مى كردند، به پذيرش آيين اسلام ترغيب شدند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صحابه ى بزرگ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و فتوحات ايران و قبول مسئوليت فرمان دارى در نواحى مختلف ايران نيز يكى از عواملى بود كه در ترويج اسلام در ايران تأثير بسزايى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وقتى از طرف خليفه براى فرمان دارى مداين اعزام شد، مردم آنجا منتظر بودند كه او با تشريفات خاصى وارد شهر شود اما سلمان سوار بر درازگوشى برهنه براى اداره ى امور مردم آن ديار وارد اين شهر شد و خدمات ارزنده اى به مردم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از مهم ترين عوامل ترويج اسلام در ايران بود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شهرها نيز، از عوامل مهم ترويج اسلام در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مشهور است در برخى از فتوحات كه فرماندهى سپاه اسلام با سلمان بود،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حضور داشتند و به دروازه ى هر شهرى كه مى رسيدند مردم آن </w:t>
      </w:r>
      <w:bookmarkStart w:id="204" w:name="pg7528_66501"/>
    </w:p>
    <w:p>
      <w:pPr>
        <w:pStyle w:val="BookText"/>
        <w:rPr/>
      </w:pPr>
      <w:bookmarkEnd w:id="204"/>
      <w:r>
        <w:rPr>
          <w:rFonts w:ascii="IRNazanin" w:hAnsi="IRNazanin" w:eastAsia="IRNazanin"/>
          <w:color w:val="111111"/>
          <w:sz w:val="28"/>
          <w:sz w:val="28"/>
          <w:szCs w:val="28"/>
          <w:rtl w:val="true"/>
          <w:lang w:bidi="fa-IR"/>
        </w:rPr>
        <w:t>شهر بدون درگيرى اسلام را مى پذيرفتند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205" w:name="__RefHeading___Toc2626964_1051229030"/>
      <w:bookmarkStart w:id="206" w:name="_Toc80"/>
      <w:bookmarkEnd w:id="205"/>
      <w:r>
        <w:rPr>
          <w:rtl w:val="true"/>
        </w:rPr>
        <w:t>خاتمه</w:t>
      </w:r>
      <w:r>
        <w:rPr>
          <w:rtl w:val="true"/>
        </w:rPr>
        <w:t>:</w:t>
      </w:r>
      <w:bookmarkEnd w:id="206"/>
    </w:p>
    <w:p>
      <w:pPr>
        <w:pStyle w:val="BookText"/>
        <w:rPr/>
      </w:pPr>
      <w:r>
        <w:rPr>
          <w:rFonts w:ascii="IRNazanin" w:hAnsi="IRNazanin" w:eastAsia="IRNazanin"/>
          <w:color w:val="111111"/>
          <w:sz w:val="28"/>
          <w:sz w:val="28"/>
          <w:szCs w:val="28"/>
          <w:rtl w:val="true"/>
          <w:lang w:bidi="fa-IR"/>
        </w:rPr>
        <w:t>در پايان لازم است به چند نكته توجه داشته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اسلام و پايدارى آن در ايران و صدور آن از اين كشور به ساير كشورهاى جهان كه هيچ فتحى در آنها انجام نشده بود، علل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حكومت ظالمانه و مستبدانه ى بنى اميه و بنى عباس از عهده ى اين مسئوليت سنگين برنمى آمدند و عملكرد آنها به عنوان خليفه در جامعه ى ايران، پاسخ و نتيجه ى مثبتى نداشت كه در رشد و پايدارى اسلام تأثيرگذار باشد، بلكه برعكس، مردم ايران با ديدن رفتار تبعيض آميز كارگزاران خلفا و حتى برخى از خلفاى اولين، درباره ى آنها دچار ترديد شدند و فرقه هاى مختلفى پس از ورود اسلام به ايران به وجود آمد كه ناشى از عملكرد منفى مدعيان دروغين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عنايت و توجه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مؤمنان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ايرانيان و رفع تبعيض از موالى كه در دوره ى خلفاى پيشين رواج داشت</w:t>
      </w:r>
      <w:r>
        <w:rPr>
          <w:rStyle w:val="FootnoteAnchor"/>
          <w:rtl w:val="true"/>
        </w:rPr>
        <w:footnoteReference w:id="201"/>
      </w:r>
      <w:r>
        <w:rPr>
          <w:rFonts w:ascii="IRNazanin" w:hAnsi="IRNazanin" w:eastAsia="IRNazanin"/>
          <w:color w:val="111111"/>
          <w:sz w:val="28"/>
          <w:sz w:val="28"/>
          <w:szCs w:val="28"/>
          <w:rtl w:val="true"/>
          <w:lang w:bidi="fa-IR"/>
        </w:rPr>
        <w:t>سبب مى شد كه ايرانيان روزبه روز شيفته و شيداى اسلام راستين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تا اسلام را نمى شناختند در برابر آن جنگيدند و چون شناختند در </w:t>
      </w:r>
    </w:p>
    <w:p>
      <w:pPr>
        <w:pStyle w:val="BookText"/>
        <w:rPr/>
      </w:pPr>
      <w:r>
        <w:rPr>
          <w:rFonts w:ascii="IRNazanin" w:hAnsi="IRNazanin" w:eastAsia="IRNazanin"/>
          <w:color w:val="111111"/>
          <w:sz w:val="28"/>
          <w:sz w:val="28"/>
          <w:szCs w:val="28"/>
          <w:rtl w:val="true"/>
          <w:lang w:bidi="fa-IR"/>
        </w:rPr>
        <w:t>راه آن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مايه ى سرافرازى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بيچارگى هاى ايرانيان اين است كه تاريخ خود را نمى دانند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اعتبار همين اسلام راستين، بر مبنا و محوريت اهل بيت بود كه پس از نهضت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ايرانيان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سپاه مختار براى انتقام حضور 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انديشه را به ايران و فراسوى منطقه ى مركزى، همچون خراسان و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دادند و بنى عباس با زيركى از همين موج سود جست و امويان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سادات از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با عشق مردم ايران به خاندان نبوت كه چشمه ى جوشان اسلام ناب بودند، گسترش اسلام به اوج خود رسيد و پيش از حضور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دوره ى اختناق امويان بود، ايران بهترين مأمن خاندان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ى وقوع اختلاف و آشوب بين بنى اميه و بنى عباس كه معاصر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رابطه ى ايرانيانبا چشمه هاى زلال دين و دانش برقرار بود و خردمندان و انديشمندان ايرانى پيام اسلام را مى گرفتند و در ايران به ترويج و بسط آن مى پرداختند و با انديشه هاى انحرافى و اختلاف انگيزِ تزريق شده از سوى دستگاه اموى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از عقايد راستين اسلام پاسدارى مى كردند و با بسيارى از شبهات كه از سوى دستگاه حكومت براى نابودى اسلام بر اصول اعتقادات و كلام الهى وارد مى شد برخورد علمى مى نمودند و به آنها پاسخ مى دادند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مهم ترين عوامل پايدارى و گسترش اسلام در ايران عشق و علاقه ى مردم ايران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مناطقى كه توسط امويان و عباسيان فتح شده بود پس از انقراض حكومت آنها اثرى از دين اسلام برجا نماند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اين خود بهترين دليل بر ردّ نظريه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و گسترش اسلام به زور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دين در قلوب مردم رسوخ كرد و جزئى از فرهنگ و زندگى آنان شد هرگز رنگ نيستى و زوال نخواهد پذيرفت</w:t>
      </w:r>
      <w:r>
        <w:rPr>
          <w:rFonts w:eastAsia="IRNazanin" w:cs="IRNazanin"/>
          <w:color w:val="111111"/>
          <w:sz w:val="28"/>
          <w:szCs w:val="28"/>
          <w:rtl w:val="true"/>
          <w:lang w:bidi="fa-IR"/>
        </w:rPr>
        <w:t xml:space="preserve">. </w:t>
      </w:r>
      <w:bookmarkStart w:id="207" w:name="pg7528_66504"/>
    </w:p>
    <w:p>
      <w:pPr>
        <w:pStyle w:val="Heading2"/>
        <w:numPr>
          <w:ilvl w:val="1"/>
          <w:numId w:val="1"/>
        </w:numPr>
        <w:rPr/>
      </w:pPr>
      <w:bookmarkStart w:id="208" w:name="__RefHeading___Toc2626966_1051229030"/>
      <w:bookmarkStart w:id="209" w:name="_Toc81"/>
      <w:bookmarkEnd w:id="207"/>
      <w:bookmarkEnd w:id="208"/>
      <w:r>
        <w:rPr>
          <w:rtl w:val="true"/>
        </w:rPr>
        <w:t>تاريخ معاصر</w:t>
      </w:r>
      <w:bookmarkEnd w:id="209"/>
    </w:p>
    <w:p>
      <w:pPr>
        <w:pStyle w:val="Heading3"/>
        <w:numPr>
          <w:ilvl w:val="2"/>
          <w:numId w:val="1"/>
        </w:numPr>
        <w:rPr/>
      </w:pPr>
      <w:bookmarkStart w:id="210" w:name="__RefHeading___Toc2626968_1051229030"/>
      <w:bookmarkStart w:id="211" w:name="_Toc82"/>
      <w:bookmarkEnd w:id="210"/>
      <w:r>
        <w:rPr>
          <w:rtl w:val="true"/>
        </w:rPr>
        <w:t xml:space="preserve">نهضت آزادى </w:t>
      </w:r>
      <w:r>
        <w:rPr>
          <w:rtl w:val="true"/>
        </w:rPr>
        <w:t>(</w:t>
      </w:r>
      <w:r>
        <w:rPr>
          <w:rtl w:val="true"/>
        </w:rPr>
        <w:t>قسمت دوم</w:t>
      </w:r>
      <w:r>
        <w:rPr>
          <w:rtl w:val="true"/>
        </w:rPr>
        <w:t>)</w:t>
      </w:r>
      <w:bookmarkEnd w:id="2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2" w:name="__RefHeading___Toc2626970_1051229030"/>
      <w:bookmarkStart w:id="213" w:name="_Toc83"/>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ارتباط نهضت آزادى با كشورهاى خارجى به چه نحو بوده است؟</w:t>
      </w:r>
    </w:p>
    <w:p>
      <w:pPr>
        <w:pStyle w:val="BookText"/>
        <w:rPr/>
      </w:pPr>
      <w:r>
        <w:rPr>
          <w:rFonts w:ascii="IRNazanin" w:hAnsi="IRNazanin" w:eastAsia="IRNazanin"/>
          <w:color w:val="111111"/>
          <w:sz w:val="28"/>
          <w:sz w:val="28"/>
          <w:szCs w:val="28"/>
          <w:rtl w:val="true"/>
          <w:lang w:bidi="fa-IR"/>
        </w:rPr>
        <w:t>حسن صادقى پناه</w:t>
      </w:r>
    </w:p>
    <w:p>
      <w:pPr>
        <w:pStyle w:val="BookText"/>
        <w:rPr/>
      </w:pPr>
      <w:r>
        <w:rPr>
          <w:rFonts w:ascii="IRNazanin" w:hAnsi="IRNazanin" w:eastAsia="IRNazanin"/>
          <w:color w:val="111111"/>
          <w:sz w:val="28"/>
          <w:sz w:val="28"/>
          <w:szCs w:val="28"/>
          <w:rtl w:val="true"/>
          <w:lang w:bidi="fa-IR"/>
        </w:rPr>
        <w:t>نهضت آزادى از آغاز تأسيس تاكنون چه انشعاباتى داشته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على حسنلو </w:t>
      </w:r>
    </w:p>
    <w:p>
      <w:pPr>
        <w:pStyle w:val="BookText"/>
        <w:rPr/>
      </w:pPr>
      <w:r>
        <w:rPr>
          <w:rFonts w:ascii="Amiri" w:hAnsi="Amiri" w:eastAsia="Amiri" w:cs="Amiri"/>
          <w:color w:val="111111"/>
          <w:sz w:val="28"/>
          <w:sz w:val="28"/>
          <w:szCs w:val="28"/>
          <w:rtl w:val="true"/>
          <w:lang w:bidi="ar-SA"/>
        </w:rPr>
        <w:t>تاريخ معاصر</w:t>
      </w:r>
    </w:p>
    <w:p>
      <w:pPr>
        <w:pStyle w:val="BookText"/>
        <w:rPr/>
      </w:pPr>
      <w:r>
        <w:rPr>
          <w:rFonts w:ascii="IRNazanin" w:hAnsi="IRNazanin" w:eastAsia="IRNazanin"/>
          <w:color w:val="111111"/>
          <w:sz w:val="28"/>
          <w:sz w:val="28"/>
          <w:szCs w:val="28"/>
          <w:rtl w:val="true"/>
          <w:lang w:bidi="fa-IR"/>
        </w:rPr>
        <w:t xml:space="preserve">نهضت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پيروزى انقلاب اسلامى، گروه ها و احزاب مختلفى براى مبارزه با استعمارگران و استبداد داخلى شكل گرفتند، كه بعداً به مرور زمان به دليل اختلاف هاى فكرى و سليقه اى انشعاب پيدا كردند و گاهى گروه هاى منشعب، از پايه و اساس، گروه هاى اصلى را زير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احزاب و گروه ها نهضت آزادى بود كه با جبهه ى ملى مبناى مشترك داشت و شخصيت هاى مختلفى در تأسيس آن دخيل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ضمن پاسخ به دو سؤال به ارتباط خارجى نهضت آزادى و انشعابات اين حزب اشاره خواهد شد</w:t>
      </w:r>
      <w:r>
        <w:rPr>
          <w:rFonts w:eastAsia="IRNazanin" w:cs="IRNazanin"/>
          <w:color w:val="111111"/>
          <w:sz w:val="28"/>
          <w:szCs w:val="28"/>
          <w:rtl w:val="true"/>
          <w:lang w:bidi="fa-IR"/>
        </w:rPr>
        <w:t xml:space="preserve">. </w:t>
      </w:r>
      <w:bookmarkStart w:id="214" w:name="pg7528_66507"/>
    </w:p>
    <w:p>
      <w:pPr>
        <w:pStyle w:val="Heading4"/>
        <w:numPr>
          <w:ilvl w:val="3"/>
          <w:numId w:val="1"/>
        </w:numPr>
        <w:rPr/>
      </w:pPr>
      <w:bookmarkStart w:id="215" w:name="__RefHeading___Toc2626972_1051229030"/>
      <w:bookmarkStart w:id="216" w:name="_Toc84"/>
      <w:bookmarkEnd w:id="214"/>
      <w:bookmarkEnd w:id="215"/>
      <w:r>
        <w:rPr>
          <w:rtl w:val="true"/>
        </w:rPr>
        <w:t>ارتباط نهضت آزادى با كشورهاى خارجى به چه نحو بوده است؟حسن صادقى پناه</w:t>
      </w:r>
      <w:bookmarkEnd w:id="216"/>
    </w:p>
    <w:p>
      <w:pPr>
        <w:pStyle w:val="Heading5"/>
        <w:numPr>
          <w:ilvl w:val="4"/>
          <w:numId w:val="1"/>
        </w:numPr>
        <w:rPr/>
      </w:pPr>
      <w:bookmarkStart w:id="217" w:name="__RefHeading___Toc2626974_1051229030"/>
      <w:bookmarkStart w:id="218" w:name="_Toc85"/>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ارتباط خارجى نهضت آزادى از مسائلى است كه همواره سؤالات و نظرات گوناگون و بسيارى را در سطح جامعه برانگيخته و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سؤالات با وجود تفاوت هاى اساسى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ى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آمدها و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مضرّات و فوايد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بردارى هاى ممكن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على رغم افراط و تفريط ها و نقاط ضعف و قوت خود، همگى نهضت آزادى را در اين باره با پرسش هاى اساسى روبرو مى سازند</w:t>
      </w:r>
      <w:r>
        <w:rPr>
          <w:rFonts w:eastAsia="IRNazanin" w:cs="IRNazanin"/>
          <w:color w:val="111111"/>
          <w:sz w:val="28"/>
          <w:szCs w:val="28"/>
          <w:rtl w:val="true"/>
          <w:lang w:bidi="fa-IR"/>
        </w:rPr>
        <w:t>.</w:t>
      </w:r>
    </w:p>
    <w:p>
      <w:pPr>
        <w:pStyle w:val="Heading5"/>
        <w:numPr>
          <w:ilvl w:val="4"/>
          <w:numId w:val="1"/>
        </w:numPr>
        <w:rPr/>
      </w:pPr>
      <w:bookmarkStart w:id="219" w:name="__RefHeading___Toc2626976_1051229030"/>
      <w:bookmarkStart w:id="220" w:name="_Toc86"/>
      <w:bookmarkEnd w:id="219"/>
      <w:r>
        <w:rPr>
          <w:rtl w:val="true"/>
        </w:rPr>
        <w:t>ريشه هاى غربزدگى نهضت آزادى</w:t>
      </w:r>
      <w:bookmarkEnd w:id="220"/>
    </w:p>
    <w:p>
      <w:pPr>
        <w:pStyle w:val="BookText"/>
        <w:rPr/>
      </w:pPr>
      <w:r>
        <w:rPr>
          <w:rFonts w:ascii="IRNazanin" w:hAnsi="IRNazanin" w:eastAsia="IRNazanin"/>
          <w:color w:val="111111"/>
          <w:sz w:val="28"/>
          <w:sz w:val="28"/>
          <w:szCs w:val="28"/>
          <w:rtl w:val="true"/>
          <w:lang w:bidi="fa-IR"/>
        </w:rPr>
        <w:t xml:space="preserve">ريشه ى تفكرات نهضت آزادى را بايد در جبهه ى ملى جستوجو كرد و از مختصات فكرى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روح حاكم بر محتويات مرامنامه ى نهضت آزادى به روشنى نشان مى دهد كه بر عناصرى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ايرانيت، تبعيت از قانون اساسى و مصداق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عرضى و حاشيه اى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اركان اصلى ايدئولوژى سياسى نهضت آزادى، ملى گرايى، احترام به قانون اساسى و پيروى از فردى كه ظاهراً پايبندى او به اصول دموكراسى و پارلمانتيزم، اصلى ترين مشخصه اش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مواد و عناصرى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هاى فرهنگى خود از طريق استعمار، در قاموس جامعه ى ايرانى وارد ساخته بود و البتّه اين نه از روى دلسوزى، بلكه براى جلوگيرى از نُضج و تقويت تفكرات اصيل استقلال طلبانه و آزاديخواهانه با تكيه بر فرهنگ اسلامى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فريبنده اى بود در مقابل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غرب براى آزاديخواهان غربزده ساخته و پرداخته بود تا در صورت وقوع اجتناب ناپذير انقلاب سياسى، موقعيت بعدى مطلوبِ استعمارگران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دغلكارى بسيار آراسته شده بود، اصلى ترين تأثير سياسى فرهنگ غرب بر 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رفته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21" w:name="pg7528_66508"/>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بهشتى درباره ى نهضت آزادى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نهضت آزادى تشكيل شد با خوشحالى از اين خبر استقبال كردم و وقتى در اساسنامه از اسلام به عنوان يك مكتب و از نهضت آزادى به عنوان يك حزب اسلامى تمام عيار ياد نشده بود به دوستان بنيانگذار نهضت آزادى انتقاد كردم و گفتم كه اين حزب مكتبى نيست، اسمش را هم گذاشته ايد نهضت آزادى، آزادى كه همه ى اسلام نيست، از مسائل مهم بشرى است و از اركان اسلام، ولى همه ى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ما مى خواستيم آنهايى كه روى عنوان اسلام آلرژى دارند از اين تشكيلات فرار نكنند، ولى حقيقتش اين كه قصد فقط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اين بود كه مرامنامه نشان مى داد كه يك عده مسلمان آمده اند يك حزب درست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تشكيلات سياسى، اسلام را به عنوان يك مكتب تمام عيار مطرح نكرده اند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222" w:name="__RefHeading___Toc2626978_1051229030"/>
      <w:bookmarkStart w:id="223" w:name="_Toc87"/>
      <w:bookmarkEnd w:id="222"/>
      <w:r>
        <w:rPr>
          <w:rtl w:val="true"/>
        </w:rPr>
        <w:t>روابط نهضت آزادى و آمريكايى ها</w:t>
      </w:r>
      <w:bookmarkEnd w:id="223"/>
    </w:p>
    <w:p>
      <w:pPr>
        <w:pStyle w:val="BookText"/>
        <w:rPr/>
      </w:pPr>
      <w:r>
        <w:rPr>
          <w:rFonts w:ascii="IRNazanin" w:hAnsi="IRNazanin" w:eastAsia="IRNazanin"/>
          <w:color w:val="111111"/>
          <w:sz w:val="28"/>
          <w:sz w:val="28"/>
          <w:szCs w:val="28"/>
          <w:rtl w:val="true"/>
          <w:lang w:bidi="fa-IR"/>
        </w:rPr>
        <w:t>در اين بخش به تشريح چند اصل مهمّ، همراه با تحليلى از حوادث تاريخى در رابطه با انقلاب اسلامى و عملكرد نهضت آزادى پرداخته مى شود كه در حقيقت راهنماى تشخيص ماهيت سياسى اين گروه است</w:t>
      </w:r>
      <w:r>
        <w:rPr>
          <w:rFonts w:eastAsia="IRNazanin" w:cs="IRNazanin"/>
          <w:color w:val="111111"/>
          <w:sz w:val="28"/>
          <w:szCs w:val="28"/>
          <w:rtl w:val="true"/>
          <w:lang w:bidi="fa-IR"/>
        </w:rPr>
        <w:t>.</w:t>
      </w:r>
    </w:p>
    <w:p>
      <w:pPr>
        <w:pStyle w:val="Heading5"/>
        <w:numPr>
          <w:ilvl w:val="4"/>
          <w:numId w:val="1"/>
        </w:numPr>
        <w:rPr/>
      </w:pPr>
      <w:bookmarkStart w:id="224" w:name="__RefHeading___Toc2626980_1051229030"/>
      <w:bookmarkStart w:id="225" w:name="_Toc88"/>
      <w:bookmarkEnd w:id="224"/>
      <w:r>
        <w:rPr>
          <w:rtl w:val="true"/>
        </w:rPr>
        <w:t xml:space="preserve">انقلاب و تز </w:t>
      </w:r>
      <w:r>
        <w:rPr>
          <w:rtl w:val="true"/>
        </w:rPr>
        <w:t>«</w:t>
      </w:r>
      <w:r>
        <w:rPr>
          <w:rtl w:val="true"/>
        </w:rPr>
        <w:t>سلطنت</w:t>
      </w:r>
      <w:r>
        <w:rPr>
          <w:rtl w:val="true"/>
        </w:rPr>
        <w:t xml:space="preserve">» </w:t>
      </w:r>
      <w:r>
        <w:rPr>
          <w:rtl w:val="true"/>
        </w:rPr>
        <w:t>نه حكومت</w:t>
      </w:r>
      <w:bookmarkEnd w:id="22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سلطنت كند نه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اساسى ترين چهارچوب فعاليت سياسى نهضت </w:t>
      </w:r>
    </w:p>
    <w:p>
      <w:pPr>
        <w:pStyle w:val="BookText"/>
        <w:rPr/>
      </w:pPr>
      <w:r>
        <w:rPr>
          <w:rFonts w:ascii="IRNazanin" w:hAnsi="IRNazanin" w:eastAsia="IRNazanin"/>
          <w:color w:val="111111"/>
          <w:sz w:val="28"/>
          <w:sz w:val="28"/>
          <w:szCs w:val="28"/>
          <w:rtl w:val="true"/>
          <w:lang w:bidi="fa-IR"/>
        </w:rPr>
        <w:t>آزادى و جبهه ى ملى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شعار نه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واقع به منزله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اين گروه ها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هدف آنها، استقرار دموكراسى و آزادى بود، آن را در سايه ى هر نظامى صرف نظر از ماهيت آن 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اينان در واقع نه به حكومت اسلامى معتقد بودند و نه هدفشان سرنگونى سلطنت بود، بلكه براى آنان استقرار دموكراسى در سايه ى شاه و آمريكا، غايت مطلوب به شمار مى رفت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 برهمين اساس بود كه نه تنها در سال هاى اوج گيرى انقلاب دست از اين شعار برنداشتند، بلكه حتى پس از سرنگونى رژيم سلطنتى نيز در حسرت دموكراسى در سايه ى شاه و آمريكا و دوران طلايى اعطاى آزادى هاى آمريكايى به سر مى بردند</w:t>
      </w:r>
      <w:r>
        <w:rPr>
          <w:rStyle w:val="FootnoteAnchor"/>
          <w:rtl w:val="true"/>
        </w:rPr>
        <w:footnoteReference w:id="206"/>
      </w:r>
      <w:r>
        <w:rPr>
          <w:rFonts w:ascii="IRNazanin" w:hAnsi="IRNazanin" w:eastAsia="IRNazanin"/>
          <w:color w:val="111111"/>
          <w:sz w:val="28"/>
          <w:sz w:val="28"/>
          <w:szCs w:val="28"/>
          <w:rtl w:val="true"/>
          <w:lang w:bidi="fa-IR"/>
        </w:rPr>
        <w:t>و سعى مى كردند در هر مقطعى مبارزات نهضت را در همان حدّ متوقف سازند، بر آن مهار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اسناد لانه ى جاسوسى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اعترافات و مواضع علنى رهبران 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هدفى را برملا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خوبى آشكار مى گردد كه چگونه اين گروه، با سوار شدن بر موج انقلاب سعى داشتند با مذاكرات پشت پرده با لانه ى جاسوسى، به حاكميت رسيده، قدرت را به چنگ آورند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حادثه 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و شكست توطئه ى مذاكره با امام در نجف و در نتيجه، اخراج امام از عراق به پاريس، استكبار جهانى اميد داشت با احاطه ى امام در پاريس توسط عناصر غرب زده و به اصطلاح ميانه رو، راه حلى براى بحران پيش آمده پيدا نمايد و مانع از سرنگونى رژيم سلطنتى وابسته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اعضاى نهضت آزادى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چه پس از مدتى آمريكا با روى كارآوردن دولت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 ستاد مشترك ارتش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شكست تشكيل دولت ائتلافى و لزوم تشكيل دولت سركوب و خفقان تأكيد </w:t>
      </w:r>
    </w:p>
    <w:p>
      <w:pPr>
        <w:pStyle w:val="BookText"/>
        <w:rPr/>
      </w:pPr>
      <w:r>
        <w:rPr>
          <w:rFonts w:ascii="Amiri" w:hAnsi="Amiri" w:eastAsia="Amiri" w:cs="Amiri"/>
          <w:color w:val="111111"/>
          <w:sz w:val="28"/>
          <w:sz w:val="28"/>
          <w:szCs w:val="28"/>
          <w:rtl w:val="true"/>
          <w:lang w:bidi="ar-SA"/>
        </w:rPr>
        <w:t>كرد</w:t>
      </w:r>
      <w:r>
        <w:rPr>
          <w:rStyle w:val="FootnoteAnchor"/>
          <w:rtl w:val="true"/>
        </w:rPr>
        <w:footnoteReference w:id="207"/>
      </w:r>
      <w:r>
        <w:rPr>
          <w:rFonts w:ascii="IRNazanin" w:hAnsi="IRNazanin" w:eastAsia="IRNazanin"/>
          <w:color w:val="111111"/>
          <w:sz w:val="28"/>
          <w:sz w:val="28"/>
          <w:szCs w:val="28"/>
          <w:rtl w:val="true"/>
          <w:lang w:bidi="fa-IR"/>
        </w:rPr>
        <w:t>، ولى مجدّداً با شكست اين استراتژى و با هدف روى كارآوردن دولت ائتلافى، بختيار را سر كار آورد و از او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اسناد لانه ى جاسوسى، گزارشى در مورد مواضع نهضت آزادى آمده كه قابل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بختيار مقابله و رقابت نخواهد كرد، تا رفتن شاه هر چقدر ممكن باشد آرام صورت گيرد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لذا نهضت آزادى كه در صدد بود جايگاه بالايى در دولت بختيار به دست آورد، تماس هاى خود را با سفارت آمريكا افزايش داد و در آغاز به بهانه ى پيش افتادن بر گروه هاى چپى به فكر گرفتن امتياز بيشترى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 از سفارت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وارد شدن نهضت آزادى در دولت بايد سريع تر انجام گيرد، تا جلوى نفوذ چپى ها گرفته شود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سرعت گرفتن انقلاب و فراهم شدن زمينه براى به قدرت رسيدن گروه هاى مذهبى، نهضت آزادى، بهترين و مطلوب ترين متحد به شمار آمد و اين هدف با ورود امام به تهران و شرايط آن روز محقق گرديد و آمريكا را خوشبين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آمريكا در برخورد با انقلاب دچار ترديد شد و با همين ترديد بود كه ناگهان با عمل انسجام شده اى نظير قيام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پيروزى انقلاب اسلامى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نهضت آزادى در راستاى همكارى با آمريكا، پس از پيروزى سعى كرد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كناره گيرى كند، چنانكه در گزارش سفارت آمريكا آمده است</w:t>
      </w:r>
      <w:r>
        <w:rPr>
          <w:rFonts w:eastAsia="IRNazanin" w:cs="IRNazanin"/>
          <w:color w:val="111111"/>
          <w:sz w:val="28"/>
          <w:szCs w:val="28"/>
          <w:rtl w:val="true"/>
          <w:lang w:bidi="fa-IR"/>
        </w:rPr>
        <w:t xml:space="preserve">: </w:t>
      </w:r>
      <w:bookmarkStart w:id="226" w:name="pg7528_66511"/>
    </w:p>
    <w:p>
      <w:pPr>
        <w:pStyle w:val="BookText"/>
        <w:rPr/>
      </w:pPr>
      <w:bookmarkEnd w:id="2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ها چنين بر مى آيد كه اعضاى نهضت آزادى ايران در عمل از موضع آشتى ناپذير و سركش خمينى به تنگ آمده اند و اميدوارند او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شايد نتوانند كاملاً موفق شوند، ولى در اطراف خمينى فشارهايى از جانب ميانه روهاى مذهبى در جريان است كه ممكن است او را به بازگشت به قم به عنوان جزيى از مصالحه ى همگانى هدايت كند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پس همكارى نهضت آزادى با آمريكا و نقش سوپاپ اطمينان بودن در حكومت شاه، ناشى از اصول آن نهضت بوده كه در پناه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سلطنت كند، نه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pStyle w:val="Heading5"/>
        <w:numPr>
          <w:ilvl w:val="4"/>
          <w:numId w:val="1"/>
        </w:numPr>
        <w:rPr/>
      </w:pPr>
      <w:bookmarkStart w:id="227" w:name="__RefHeading___Toc2626982_1051229030"/>
      <w:bookmarkStart w:id="228" w:name="_Toc89"/>
      <w:bookmarkEnd w:id="227"/>
      <w:r>
        <w:rPr>
          <w:rtl w:val="true"/>
        </w:rPr>
        <w:t>موازنه ى منفى و اتكا به امپرياليسم</w:t>
      </w:r>
      <w:bookmarkEnd w:id="228"/>
    </w:p>
    <w:p>
      <w:pPr>
        <w:pStyle w:val="BookText"/>
        <w:rPr/>
      </w:pPr>
      <w:r>
        <w:rPr>
          <w:rFonts w:ascii="IRNazanin" w:hAnsi="IRNazanin" w:eastAsia="IRNazanin"/>
          <w:color w:val="111111"/>
          <w:sz w:val="28"/>
          <w:sz w:val="28"/>
          <w:szCs w:val="28"/>
          <w:rtl w:val="true"/>
          <w:lang w:bidi="fa-IR"/>
        </w:rPr>
        <w:t xml:space="preserve">يكى ديگر از اصول نهضت آزادى،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ى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اساس سياست مصدق، رهبر جبهه ى ملى را تشكيل مى داد، و در عملكرد نهضت آزادى و مواضع آنها در قبال امپرياليسم مؤثر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آزادى از يك سو واقعيّتى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نفى كرده و آن را از القائات كمونيست ها شمرده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و از سوى ديگر، بر اساس بينش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رسميت شناختن استكبار غرب را لازم دانسته و براى توجيه اتكاى خود به امپرياليسم،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تضاد دو ابرقدرت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كرده كه البته در عمل، ماهيت اين تز، چيزى جز مبارزه با ابرقدرت رقيب غرب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شوروى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گيرى از كمك هاى آمريكا نبود</w:t>
      </w:r>
      <w:r>
        <w:rPr>
          <w:rFonts w:eastAsia="IRNazanin" w:cs="IRNazanin"/>
          <w:color w:val="111111"/>
          <w:sz w:val="28"/>
          <w:szCs w:val="28"/>
          <w:rtl w:val="true"/>
          <w:lang w:bidi="fa-IR"/>
        </w:rPr>
        <w:t>.</w:t>
      </w:r>
      <w:r>
        <w:rPr>
          <w:rStyle w:val="FootnoteAnchor"/>
          <w:rtl w:val="true"/>
        </w:rPr>
        <w:footnoteReference w:id="212"/>
      </w:r>
      <w:bookmarkStart w:id="229" w:name="pg7528_66512"/>
    </w:p>
    <w:p>
      <w:pPr>
        <w:pStyle w:val="BookText"/>
        <w:rPr/>
      </w:pPr>
      <w:bookmarkEnd w:id="229"/>
      <w:r>
        <w:rPr>
          <w:rFonts w:ascii="IRNazanin" w:hAnsi="IRNazanin" w:eastAsia="IRNazanin"/>
          <w:color w:val="111111"/>
          <w:sz w:val="28"/>
          <w:sz w:val="28"/>
          <w:szCs w:val="28"/>
          <w:rtl w:val="true"/>
          <w:lang w:bidi="fa-IR"/>
        </w:rPr>
        <w:t xml:space="preserve">حال اگر اين مواضع حكايت از وابستگى ندارد، آيا حكايت از دفاع از امپرياليسم و حركت در جهت منافع آن هم ندارد؟اين مواضع نشان دهنده ى عملكرد سياسى نهضت آزادى است و نفس عملكرد اين گروه، چه قبل از پيروزى انقلاب كه نقشى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چه پس از پيروزى انقلاب كه تمام توان خود را در جهت توقف انقلاب و جلوگيرى از ارتقاى آن به كار گرفته اند خود براى افشاى اين گروه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مسئله باعث شد تا نهضت آزادى و گروه هايى نظير آن، كشش و توان حركت در جهت انقلاب را نداشته باشند و در همان اوان پيروزى، در جا بزنند و به جاى افزايش استعداد و توان خود، به مخالفت با پيشرفت انقلاب بپردازند</w:t>
      </w:r>
      <w:r>
        <w:rPr>
          <w:rFonts w:eastAsia="IRNazanin" w:cs="IRNazanin"/>
          <w:color w:val="111111"/>
          <w:sz w:val="28"/>
          <w:szCs w:val="28"/>
          <w:rtl w:val="true"/>
          <w:lang w:bidi="fa-IR"/>
        </w:rPr>
        <w:t>.</w:t>
      </w:r>
    </w:p>
    <w:p>
      <w:pPr>
        <w:pStyle w:val="Heading4"/>
        <w:numPr>
          <w:ilvl w:val="3"/>
          <w:numId w:val="1"/>
        </w:numPr>
        <w:rPr/>
      </w:pPr>
      <w:bookmarkStart w:id="230" w:name="__RefHeading___Toc2626984_1051229030"/>
      <w:bookmarkStart w:id="231" w:name="_Toc90"/>
      <w:bookmarkEnd w:id="230"/>
      <w:r>
        <w:rPr>
          <w:rtl w:val="true"/>
        </w:rPr>
        <w:t>نهضت آزادى از آغاز تأسيس تاكنون چه انشعاباتى داشته است؟امير على حسنلو</w:t>
      </w:r>
      <w:bookmarkEnd w:id="231"/>
    </w:p>
    <w:p>
      <w:pPr>
        <w:pStyle w:val="BookText"/>
        <w:rPr/>
      </w:pPr>
      <w:r>
        <w:rPr>
          <w:rFonts w:ascii="IRNazanin" w:hAnsi="IRNazanin" w:eastAsia="IRNazanin"/>
          <w:color w:val="111111"/>
          <w:sz w:val="28"/>
          <w:sz w:val="28"/>
          <w:szCs w:val="28"/>
          <w:rtl w:val="true"/>
          <w:lang w:bidi="fa-IR"/>
        </w:rPr>
        <w:t>يكى از عوامل مؤثر در شكل گيرى يك گروه و يا يك حزب، هم فكرى و همسويى در اهداف است، تا زمانى كه اين عامل استمرار داشته باشد، حزب يا گروه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هدف ها متغير و از هم جدا باشد و هر يك از اعضا هدف خاصى را دنبال كند، گروه و حزب از هم خواهد پاشيد، چون افكار و انديشه ها هدف واحدى را دنبال نمى كنند و موجب اختلاف و انشعاب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برخى از موارد انشعاب ريشه در اختلاف ندارد، بلكه گروه منشعب شده حافظ اهداف گروه مركز و مورد حمايت آن 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آزادى يكى از احزابى است كه با حضور تعدادى از افراد مذهبى و علمى تشكيل شد و هدف مشترك آنها مبارزه ى سياسى و فرهنگى با رژيم طاغوت و دفاع از آزاديخواهى و اسلامگرايى و استقلال مردم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منابع يكى از علل شكل گيرى اين </w:t>
      </w:r>
    </w:p>
    <w:p>
      <w:pPr>
        <w:pStyle w:val="BookText"/>
        <w:rPr/>
      </w:pPr>
      <w:r>
        <w:rPr>
          <w:rFonts w:ascii="Amiri" w:hAnsi="Amiri" w:eastAsia="Amiri" w:cs="Amiri"/>
          <w:color w:val="111111"/>
          <w:sz w:val="28"/>
          <w:sz w:val="28"/>
          <w:szCs w:val="28"/>
          <w:rtl w:val="true"/>
          <w:lang w:bidi="ar-SA"/>
        </w:rPr>
        <w:t>حزب را اختلاف رهبران تشكيل دهنده ى آن با رهبران جبهه ى ملى و نهضت مقاومت ملى دانسته اند</w:t>
      </w:r>
      <w:r>
        <w:rPr>
          <w:rStyle w:val="FootnoteAnchor"/>
          <w:rtl w:val="true"/>
        </w:rPr>
        <w:footnoteReference w:id="213"/>
      </w:r>
      <w:r>
        <w:rPr>
          <w:rFonts w:ascii="IRNazanin" w:hAnsi="IRNazanin" w:eastAsia="IRNazanin"/>
          <w:color w:val="111111"/>
          <w:sz w:val="28"/>
          <w:sz w:val="28"/>
          <w:szCs w:val="28"/>
          <w:rtl w:val="true"/>
          <w:lang w:bidi="fa-IR"/>
        </w:rPr>
        <w:t>، و نويسنده ى كتاب خط سازش ممانعت از عضويت مهندس بازرگان در هسته ى مركزى جبهه ملى را علت تشكيل اين حزب دانسته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برخى از تحليل گران و محققين، معتقدند كه جبهه ى ملى اساس نهضت آزادى و نهضت مقاومت ملى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تاريخ </w:t>
      </w:r>
      <w:r>
        <w:rPr>
          <w:rFonts w:eastAsia="IRNazanin" w:cs="IRNazanin"/>
          <w:color w:val="111111"/>
          <w:sz w:val="28"/>
          <w:szCs w:val="28"/>
          <w:lang w:bidi="fa-IR"/>
        </w:rPr>
        <w:t>25/3/1340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آزادى از جبهه ى ملى منشعب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مؤسسين آن مهندس بازرگان و مهندس يدالله سحابى بودند و فعاليتش را در عرصه هاى فرهنگى آغاز كرد، از جمله فعالان فرهنگى آن كه در بين دانشگاهيان نيز نفوذ داشته و در جذب آنها مؤثر بوده، آيت الله طالقانى و مهندس بازرگان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كلاس هاى تفسير آيت الله طالقانى مورد استقبال فراوان دانشجويان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آزادى چون ريشه در جبهه ى ملى و افكار مصدق داشته و در طول آن قرار گرفته، همواره بر اهداف جبهه ى ملى تأكيد ورزيده و برخى از رهبران آن مثل بازرگان بارها گفته اند كه ما مصدقى هستيم و مثل او فكر مى كنيم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تنها تفاوتى كه بين نهضت آزادى و نهضت مقاومت ملى و جبهه ى ملى وجود دارد، گرايش ضعيفى است كه نهضت آزادى نسبت به دين دارد برخى از اعضاى نهضت آزادى يكى از علل گرايش به مذهب را از بين بردن حساسيت مذهبيون نسبت به نهضت آزادى دانسته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خاطر آلرژى داشتن بعضى افراد آورده اند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همان آغاز تشكيل نهضت، جريان هاى مختلفى در آن وجود داشت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مذهبى طالقانى و سحابى و 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سياسى كه به جبهه ى ملى نزديك بود، مانند </w:t>
      </w:r>
    </w:p>
    <w:p>
      <w:pPr>
        <w:pStyle w:val="BookText"/>
        <w:rPr/>
      </w:pPr>
      <w:r>
        <w:rPr>
          <w:rFonts w:ascii="IRNazanin" w:hAnsi="IRNazanin" w:eastAsia="IRNazanin"/>
          <w:color w:val="111111"/>
          <w:sz w:val="28"/>
          <w:sz w:val="28"/>
          <w:szCs w:val="28"/>
          <w:rtl w:val="true"/>
          <w:lang w:bidi="fa-IR"/>
        </w:rPr>
        <w:t xml:space="preserve">حسن نزيه،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مذهبى سياسى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گرايشات زمينه براى اختلاف كاملاً مساعد بود، چون سه فكر و گرايش با هم سازگارى نداشتند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بعداً آيت الله طالقانى به خاطر هدفى الهى اى كه دنبال مى كرد به طور طبيعى از آنها جدا شد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هرچه زمان، جهت و شكل مبارزه با نظام سياسى حاكم روشن تر، و رويارويى با نظام حاكم شديدتر مى شد، افراد به حسب گرايشات و اهداف خود از حزب نهضت آزادى جدا مى شدند، جدائى و اختلافات فردى، سبب انشعاب گروهى نمى شد، اما اگر گروهى از اعضاى نهضت به خاطر اختلاف با جهت و شكل مبارزه و يا رهبران از نهضت جدا مى شدند و اقدام به تشكيل يك حزب و گروهى مى كردند، انشعاب محقق مى شد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با توجه به اين كه در دوره ى جوانى و دانشجويى روحيه ى مبارزه بسيار زنده است گروه هاى 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ماركسيست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سوء استفاده از اين احساسات به فعاليت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احتمال داشت برخى از دانشجويان با گرايشات كمونيستى جذب نهضت آزادى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چنان كه مهندس ميثمى در خاطراتش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چندين نفر بوديم كه دنبال آگاهى بيشتر بوديم و نسبت به برخى فعاليت هاى نهضت آزادى اعتراض كرديم</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همين اختلافات ابتدايى بود كه در سال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اى كه معتقد به مبارزه ى مسلحانه با نظام حاكم بودند را مصمم نمود تا يك سازمان مسلح را تشكيل دهند</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درحالى كه رهبران نهضت آزادى به </w:t>
      </w:r>
    </w:p>
    <w:p>
      <w:pPr>
        <w:pStyle w:val="BookText"/>
        <w:rPr/>
      </w:pPr>
      <w:r>
        <w:rPr>
          <w:rFonts w:ascii="IRNazanin" w:hAnsi="IRNazanin" w:eastAsia="IRNazanin"/>
          <w:color w:val="111111"/>
          <w:sz w:val="28"/>
          <w:sz w:val="28"/>
          <w:szCs w:val="28"/>
          <w:rtl w:val="true"/>
          <w:lang w:bidi="fa-IR"/>
        </w:rPr>
        <w:t>فعاليت و مبارزه ى فرهنگى تأكيد مىورزيدند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برداشت هاى غلط افراد غير متخصص از متون دينى نظير نهج البلاغه، آموزش هاى ماركسيستى و آموزش هاى ناصحيح و غيرمتقن درباره ى مذهب، اين گروه را بر آن داشت تا با يك فكر و گرايش ماركسيستى و منحرف به اسلام و مسائل مذهبى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گروه هاى منشعب از نهضت آزادى، سازمان مجاهدين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حنيف نژاد، سعيد محسن و على اصغر بديع زادگان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بعد از آنها گروه هاى ديگرى نيز از آن منشعب شده اند، بر اساس برخى از گزارشات، گروه فدائيان خلق كه گرايشات كاملاً كمونيستى داشتند و گروه سياهكل نيز به نهضت آزادى وابسته بوده كه البته بعداً از آن جدا شده اند بر اساس گزارش برخى از منابع، اعضاى فعال اسلامگراى جدا شده از سازمان مجاهدين خلق و گروه هاى هفت گانه، پس از پيروزى انقلاب اسلامى سازمان مجاهدين انقلاب اسلامى را تأسيس نمودند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علائم بيان واقعيت هستند فدائيان خلق، گروه سياهكل، مجاهدين خلق،</w:t>
      </w:r>
      <w:r>
        <w:rPr>
          <w:rStyle w:val="FootnoteAnchor"/>
          <w:rtl w:val="true"/>
        </w:rPr>
        <w:footnoteReference w:id="225"/>
      </w:r>
      <w:r>
        <w:rPr>
          <w:rFonts w:ascii="Amiri" w:hAnsi="Amiri" w:eastAsia="Amiri" w:cs="Amiri"/>
          <w:color w:val="111111"/>
          <w:sz w:val="28"/>
          <w:sz w:val="28"/>
          <w:szCs w:val="28"/>
          <w:rtl w:val="true"/>
          <w:lang w:bidi="ar-SA"/>
        </w:rPr>
        <w:t>حزب مردم ايران و حزب ملل اسلامى</w:t>
      </w:r>
      <w:r>
        <w:rPr>
          <w:rStyle w:val="FootnoteAnchor"/>
          <w:rtl w:val="true"/>
        </w:rPr>
        <w:footnoteReference w:id="226"/>
      </w:r>
      <w:r>
        <w:rPr>
          <w:rFonts w:ascii="IRNazanin" w:hAnsi="IRNazanin" w:eastAsia="IRNazanin"/>
          <w:color w:val="111111"/>
          <w:sz w:val="28"/>
          <w:sz w:val="28"/>
          <w:szCs w:val="28"/>
          <w:rtl w:val="true"/>
          <w:lang w:bidi="fa-IR"/>
        </w:rPr>
        <w:t>و جاما از جمله فرزندان خلف نهضت آزادى شمرده شده اند كه به مبارزه ى مسلحانه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دكتر شريعتى به مبارزه ى ايدئولوژيك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تر اين احزاب،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قيام خونين مردم ايران جدى تر شد، سران نهضت آزادى هم چنان به فعاليت </w:t>
      </w:r>
    </w:p>
    <w:p>
      <w:pPr>
        <w:pStyle w:val="BookText"/>
        <w:rPr/>
      </w:pPr>
      <w:r>
        <w:rPr>
          <w:rFonts w:ascii="IRNazanin" w:hAnsi="IRNazanin" w:eastAsia="IRNazanin"/>
          <w:color w:val="111111"/>
          <w:sz w:val="28"/>
          <w:sz w:val="28"/>
          <w:szCs w:val="28"/>
          <w:rtl w:val="true"/>
          <w:lang w:bidi="fa-IR"/>
        </w:rPr>
        <w:t>فرهنگى معتقد بودند، و حال آن كه برخى از جوانان دانشجو با الهام از مبارزان چريكى جهان نظير كاسترو و علاقه ى مفرط به چريك هاى كمونيستى و مطالعه ى آثار آنها، افكار آنها را به سوى انديشه هاى انحرافى و به مبارزه ى چريكى و مسلحانه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از افراد نهضت آزادى درباره انشعاب اين احزاب از نهضت آزادى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نهضت آزادى بخش ملت ما، به يمن بركت فداكارى ها و خون شهيدان عزيز از مجاهدين و فدايى، بر مرحله ى خونين وارد شده، على رغم شهادت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بهترين فرزندان خلق ما از فدايى و مجاهد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به اين نتيجه مى رسيم كه نهضت آزادى با گذشت زمان از آرمان هاى اصيل و ارزش هاى انقلاب اسلامى فاصله گرفته، و با وجود گرايش هاى فكرى مختلف دچار انشعاباتى شده كه منفورترين آن جريان فكرى سازمان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ارتكاب خيانت هاى بزرگ بر عليه جهان اسلام و ملت شريف ايران و همكارى با استكبار جهانى هيچ جايگاهى در بين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جنايات اين گروه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شخصيت ها و انديشمندان بزرگ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شهيد بهشتى و شهيد مطهرى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با دشمنان ملت ايران، به ويژه آمريكا و صهيونيسم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با رژيم بعثى در جنگ هشت ساله عليه ايران كه بسيارى از جوانان پاك اين مرز و بوم را به خاك و خون كشيدند و تأسيسات اقتصادى و زيربنايى را ويران نموده و مانع پيشبرد اهداف انقلاب بزرگ مردم ايران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همكارى با حكومت بعثى عراق در ترور مراجع تقليد بزرگ جهان اسلام و شركت </w:t>
      </w:r>
    </w:p>
    <w:p>
      <w:pPr>
        <w:pStyle w:val="BookText"/>
        <w:rPr/>
      </w:pPr>
      <w:r>
        <w:rPr>
          <w:rFonts w:ascii="IRNazanin" w:hAnsi="IRNazanin" w:eastAsia="IRNazanin"/>
          <w:color w:val="111111"/>
          <w:sz w:val="28"/>
          <w:sz w:val="28"/>
          <w:szCs w:val="28"/>
          <w:rtl w:val="true"/>
          <w:lang w:bidi="fa-IR"/>
        </w:rPr>
        <w:t>در عمليات تخريبى حوزه ى مقدس نجف و مشاهد متبرك و مراكز فرهنگى شيعه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مراكز مهم تشيع محسوب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فعاليت هاى ضد فرهنگى بر عليه ارزشهاى اسلامى و بدنام كردن مسلمانان به اعمال خشونت آميز مثل ترور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اغفال جوانان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نيز برخى از اعضاى اين نهضت با هم دستى منافقين در مقابل نظام اسلامى كارشكنى و مخالفت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فرهنگى و سياسى بر عليه فرهنگ اسلامى و تماميت و استقلال سياسى به فعاليتهاى تخريبى ادامه مى دهند و در داخل و خارج مشكلاتى را براى جمهورى اسلامى به وجود مى آورند و با همه ى اين خيانت ها مدعى ميهن دوستى و مذهبى بودن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نفاق و منافق همين است</w:t>
      </w:r>
      <w:r>
        <w:rPr>
          <w:rFonts w:eastAsia="IRNazanin" w:cs="IRNazanin"/>
          <w:color w:val="111111"/>
          <w:sz w:val="28"/>
          <w:szCs w:val="28"/>
          <w:rtl w:val="true"/>
          <w:lang w:bidi="fa-IR"/>
        </w:rPr>
        <w:t xml:space="preserve">. </w:t>
      </w:r>
      <w:bookmarkStart w:id="232" w:name="pg7528_66518"/>
    </w:p>
    <w:p>
      <w:pPr>
        <w:pStyle w:val="Heading2"/>
        <w:numPr>
          <w:ilvl w:val="1"/>
          <w:numId w:val="1"/>
        </w:numPr>
        <w:rPr/>
      </w:pPr>
      <w:bookmarkStart w:id="233" w:name="__RefHeading___Toc2626986_1051229030"/>
      <w:bookmarkStart w:id="234" w:name="_Toc91"/>
      <w:bookmarkEnd w:id="232"/>
      <w:bookmarkEnd w:id="233"/>
      <w:r>
        <w:rPr>
          <w:rtl w:val="true"/>
        </w:rPr>
        <w:t>دين پژوهى</w:t>
      </w:r>
      <w:bookmarkEnd w:id="234"/>
    </w:p>
    <w:p>
      <w:pPr>
        <w:pStyle w:val="Heading3"/>
        <w:numPr>
          <w:ilvl w:val="2"/>
          <w:numId w:val="1"/>
        </w:numPr>
        <w:rPr/>
      </w:pPr>
      <w:bookmarkStart w:id="235" w:name="__RefHeading___Toc2626988_1051229030"/>
      <w:bookmarkStart w:id="236" w:name="_Toc92"/>
      <w:bookmarkEnd w:id="235"/>
      <w:r>
        <w:rPr>
          <w:rtl w:val="true"/>
        </w:rPr>
        <w:t>تجربه ى دينى</w:t>
      </w:r>
      <w:bookmarkEnd w:id="2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2626990_1051229030"/>
      <w:bookmarkStart w:id="238" w:name="_Toc93"/>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تجربه دينى چيست؟ مهم ترين ديدگاه ها درباره ى حقيقت و چيستى آن را بررسى نماييد؟</w:t>
      </w:r>
    </w:p>
    <w:p>
      <w:pPr>
        <w:pStyle w:val="BookText"/>
        <w:rPr/>
      </w:pPr>
      <w:r>
        <w:rPr>
          <w:rFonts w:ascii="Amiri" w:hAnsi="Amiri" w:eastAsia="Amiri" w:cs="Amiri"/>
          <w:color w:val="111111"/>
          <w:sz w:val="28"/>
          <w:sz w:val="28"/>
          <w:szCs w:val="28"/>
          <w:rtl w:val="true"/>
          <w:lang w:bidi="ar-SA"/>
        </w:rPr>
        <w:t>تفاوت هاى مهم تجربه ى دينى و وحى كدام اند؟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مهدى صالحى اميرى </w:t>
      </w:r>
    </w:p>
    <w:p>
      <w:pPr>
        <w:pStyle w:val="BookText"/>
        <w:rPr/>
      </w:pPr>
      <w:r>
        <w:rPr>
          <w:rFonts w:ascii="IRNazanin" w:hAnsi="IRNazanin" w:eastAsia="IRNazanin"/>
          <w:color w:val="111111"/>
          <w:sz w:val="28"/>
          <w:sz w:val="28"/>
          <w:szCs w:val="28"/>
          <w:rtl w:val="true"/>
          <w:lang w:bidi="fa-IR"/>
        </w:rPr>
        <w:t>دين پژوهى</w:t>
      </w:r>
    </w:p>
    <w:p>
      <w:pPr>
        <w:pStyle w:val="BookText"/>
        <w:rPr/>
      </w:pPr>
      <w:r>
        <w:rPr>
          <w:rFonts w:ascii="Amiri" w:hAnsi="Amiri" w:eastAsia="Amiri" w:cs="Amiri"/>
          <w:color w:val="111111"/>
          <w:sz w:val="28"/>
          <w:sz w:val="28"/>
          <w:szCs w:val="28"/>
          <w:rtl w:val="true"/>
          <w:lang w:bidi="ar-SA"/>
        </w:rPr>
        <w:t>تجربه ى دينى</w:t>
      </w:r>
    </w:p>
    <w:p>
      <w:pPr>
        <w:pStyle w:val="BookText"/>
        <w:rPr/>
      </w:pPr>
      <w:r>
        <w:rPr>
          <w:rFonts w:ascii="IRNazanin" w:hAnsi="IRNazanin" w:eastAsia="IRNazanin"/>
          <w:color w:val="111111"/>
          <w:sz w:val="28"/>
          <w:sz w:val="28"/>
          <w:szCs w:val="28"/>
          <w:rtl w:val="true"/>
          <w:lang w:bidi="fa-IR"/>
        </w:rPr>
        <w:t>با توجه به مبهم بودن حقيقت و چيستى تجربه ى دينى، برخى از انديشمندان غربى و هواداران شرقى آنها خواستند با عموميت بخشيدن به معناى آن، حتى وحى بر انبياى الهى را نيز امرى بشرى و قابل تجربه براى همگان شمرده و با يكسان انگارى وحى با تجربه ى دينى عصمت پيامبران را در ابلاغ وحى زير سؤال برده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پاسخ به اين قبيل شبهات آقاى سيد مهدى صالحى اميرى سعى كرده نخست به تبيين حقيقت تجربه دينى پرداخته سپس تفاوت هاى مهم بين تجربه دينى و وحى را برشمارد</w:t>
      </w:r>
      <w:r>
        <w:rPr>
          <w:rFonts w:eastAsia="IRNazanin" w:cs="IRNazanin"/>
          <w:color w:val="111111"/>
          <w:sz w:val="28"/>
          <w:szCs w:val="28"/>
          <w:rtl w:val="true"/>
          <w:lang w:bidi="fa-IR"/>
        </w:rPr>
        <w:t xml:space="preserve">. </w:t>
      </w:r>
      <w:bookmarkStart w:id="239" w:name="pg7528_66521"/>
    </w:p>
    <w:p>
      <w:pPr>
        <w:pStyle w:val="Heading4"/>
        <w:numPr>
          <w:ilvl w:val="3"/>
          <w:numId w:val="1"/>
        </w:numPr>
        <w:rPr/>
      </w:pPr>
      <w:bookmarkStart w:id="240" w:name="__RefHeading___Toc2626992_1051229030"/>
      <w:bookmarkStart w:id="241" w:name="_Toc94"/>
      <w:bookmarkEnd w:id="239"/>
      <w:bookmarkEnd w:id="240"/>
      <w:r>
        <w:rPr>
          <w:rtl w:val="true"/>
        </w:rPr>
        <w:t>تجربه دينى چيست؟ مهم ترين ديدگاه ها درباره ى حقيقت و چيستى آن را بررسى نماييد؟سيد مهدى صالحى اميرى</w:t>
      </w:r>
      <w:bookmarkEnd w:id="241"/>
    </w:p>
    <w:p>
      <w:pPr>
        <w:pStyle w:val="Heading5"/>
        <w:numPr>
          <w:ilvl w:val="4"/>
          <w:numId w:val="1"/>
        </w:numPr>
        <w:rPr/>
      </w:pPr>
      <w:bookmarkStart w:id="242" w:name="__RefHeading___Toc2626994_1051229030"/>
      <w:bookmarkStart w:id="243" w:name="_Toc95"/>
      <w:bookmarkEnd w:id="242"/>
      <w:r>
        <w:rPr>
          <w:rtl w:val="true"/>
        </w:rPr>
        <w:t>مفهوم تجربه ى دينى</w:t>
      </w:r>
      <w:bookmarkEnd w:id="243"/>
    </w:p>
    <w:p>
      <w:pPr>
        <w:pStyle w:val="BookText"/>
        <w:rPr/>
      </w:pPr>
      <w:r>
        <w:rPr>
          <w:rFonts w:ascii="IRNazanin" w:hAnsi="IRNazanin" w:eastAsia="IRNazanin"/>
          <w:color w:val="111111"/>
          <w:sz w:val="28"/>
          <w:sz w:val="28"/>
          <w:szCs w:val="28"/>
          <w:rtl w:val="true"/>
          <w:lang w:bidi="fa-IR"/>
        </w:rPr>
        <w:t xml:space="preserve">تجربه واقعه اى است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عامل يا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مى گذراند و از آن آگاه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تجربه انواع و دامنه ى بسيار گسترده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زيباشناختى، تجربه ى اخلاقى، تجربه ى لذايذ، تجربه ى حسى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تجربه ى دينى غير از تجربه هاى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اين تجربه، موجود يا حضورى مافوق طبيعى، يا مرتبط با ماوراى طبيعت يا حقيقت غايى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تجربه ى خداوند يا تجلّى خدا در چيزى يا شخصى مانند مسيح يا مريم عذرا، يا ديدن فرشته يا سخن گفتن با او و مانند آن</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مثل تجربه ى خداوند يا تجلى خدا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 تجربه ى دينى، شخص تجربه گر معتقد است كه تبيين آن تجربه بر مبناى امور طبيعى، تبيينى نارسا و ناكافى است و بايد بر اساس آموزه هاى دينى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دين داران تعبيرى دينى از تجربه ى خود به دست مى دهند و آن را بر اساس آموزه هاى دينى توصيف و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دينى شدن تجربه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در محدوده ى دين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 كه فاعل تجربه، در توصيف حالات خود از مفاهيم دينى بهره ببرد</w:t>
      </w:r>
      <w:r>
        <w:rPr>
          <w:rFonts w:eastAsia="IRNazanin" w:cs="IRNazanin"/>
          <w:color w:val="111111"/>
          <w:sz w:val="28"/>
          <w:szCs w:val="28"/>
          <w:rtl w:val="true"/>
          <w:lang w:bidi="fa-IR"/>
        </w:rPr>
        <w:t>.</w:t>
      </w:r>
      <w:r>
        <w:rPr>
          <w:rStyle w:val="FootnoteAnchor"/>
          <w:rtl w:val="true"/>
        </w:rPr>
        <w:footnoteReference w:id="230"/>
      </w:r>
      <w:bookmarkStart w:id="244" w:name="pg7528_66522"/>
    </w:p>
    <w:p>
      <w:pPr>
        <w:pStyle w:val="Heading5"/>
        <w:numPr>
          <w:ilvl w:val="4"/>
          <w:numId w:val="1"/>
        </w:numPr>
        <w:rPr/>
      </w:pPr>
      <w:bookmarkStart w:id="245" w:name="__RefHeading___Toc2626996_1051229030"/>
      <w:bookmarkStart w:id="246" w:name="_Toc96"/>
      <w:bookmarkEnd w:id="244"/>
      <w:bookmarkEnd w:id="245"/>
      <w:r>
        <w:rPr>
          <w:rtl w:val="true"/>
        </w:rPr>
        <w:t>حقيقت و چيستى تجربه ى دينى</w:t>
      </w:r>
      <w:bookmarkEnd w:id="246"/>
    </w:p>
    <w:p>
      <w:pPr>
        <w:pStyle w:val="BookText"/>
        <w:rPr/>
      </w:pPr>
      <w:r>
        <w:rPr>
          <w:rFonts w:ascii="IRNazanin" w:hAnsi="IRNazanin" w:eastAsia="IRNazanin"/>
          <w:color w:val="111111"/>
          <w:sz w:val="28"/>
          <w:sz w:val="28"/>
          <w:szCs w:val="28"/>
          <w:rtl w:val="true"/>
          <w:lang w:bidi="fa-IR"/>
        </w:rPr>
        <w:t>درباره ى چيستى تجربه ى دينى سه نظريه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ى دينى نوعى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فردريك شلاير ماخر در آثار خود مدعى شد كه تجربه ى دينى، معرفت بخش و حاوى بار معرفتى و شناختارى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اتكاى مطلق و يكپارچه به مبدأ يا قدرتى متمايز از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او، اين تجربه، تجربه اى شهودى است كه اعتبارش قائم به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مستقل از مفاهيم، تصورات، اعتقادات يا اعمال است و چون اين تجربه، نوعى احساس است و از حدّ تمايزات مفهومى فراتر مى رود، نمى توانيم آن را توصيف كنيم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ردولف اتو از ديگر متفكرانى است كه تجربه ى دينى را از سنخ احساسات، احوال و عواطف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اين باور است كه بعد غيرعقلانى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بسى ژرف تر از بعد عقلانى اوست، مى توان در سه نوع احساس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وابستگى مطلق، احساس خشيت و خوف و احساس شوق و 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قدسيت خداوند از طريق اين احساسات درك مى شود، نه از طريق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نيز مى تواند اوصافى از خداوند را بيابد و مفاهيمى براى اشاره به او داشته باشد و آنها را تحليل و تعريف كند، اما هيچ كدام نمى تواند ما را به عمق ذات خداوند رهنمون كند و جز از طريق احساس نمى توان به آن حريم بار يافت</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خلاصه آن كه، تجربه ى دينى نوعى احساس است نه معرفت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ى دينى از سنخ تجارب ادراك 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تجربه ى دينى از سنخ تجربه ى حسّى است و تقريباً همان ويژگى هاى تجربه ى حسى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آلستون معتقد است كه اين گونه تجارب، ساختى مانند تجربه ى حسى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تجربه ى حسى سه عنصر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مُدرِك يا شخصى كه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شخص يا شيئى كه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پديدار يا جلوه و ظاهر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دينى نيز از اين سه ركن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صاحب تجربه يا شخصى كه تجربه ى دينى را از سر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متعلق تجربه يا خداوند كه به تجربه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پديدار تجربى يا ظهور و جلوه ى خداوند در دل صاحب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آلستون با وجود انتقادهايى كه به او شده است، به تأكيد مى گويد كه اوصاف الهى حسى نيستند، اما مى توانيم آنها را همانند داده هاى حسى تجربه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اعتقادش بر اين است كه خداوند در خلال تجربه ى دينى، چنان خود و افعالش را به انسان مى نماياند كه آدمى مى تواند وى و افعالش را بشناسد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ى دينى ارائه ى نوعى تبيين فوق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اين ديدگاه تجربه هاى دينى را از سنخ تجربه هاى حسّى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يك تجربه ى حسى اولاً، شىء مدرَك وجود دارد و ثانياً، اين شىء علّت واقعى تجربه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شخصى پرنده اى را ديد، اولاً، فرض گرفته است كه پرنده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اين پرنده علّت رؤيت او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بخواهيم تجربه ى دينى را از سنخ تجربه ى حسى به شمار آوريم، لازم است دو شرط مذكور در مورد آن نيز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اولاً، متعلّق تجربه در 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آن متعلق، علت واقعى پيدايش تجربه ى دينى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صورت تنها يكى از انواع متعارض تجربه ى دينى مى تواند تجربه اى واقعى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نيست هم خداى واحدِ اديان توحيدى واقعى باشد و هم خدايانِ متعدد اديان شرك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p>
    <w:p>
      <w:pPr>
        <w:pStyle w:val="BookText"/>
        <w:rPr/>
      </w:pPr>
      <w:r>
        <w:rPr>
          <w:rFonts w:ascii="IRNazanin" w:hAnsi="IRNazanin" w:eastAsia="IRNazanin"/>
          <w:color w:val="111111"/>
          <w:sz w:val="28"/>
          <w:sz w:val="28"/>
          <w:szCs w:val="28"/>
          <w:rtl w:val="true"/>
          <w:lang w:bidi="fa-IR"/>
        </w:rPr>
        <w:t>ديگر نمى توان پيروان اديان مختلف را صاحب تجربه ى دينى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 پراودفوت براى فرار از اين اشكال، تجربه ى دينى را به گونه اى توصيف مى كند كه جامع باشد، تا هم بتوان پيروان اديان ديگر را نيز صاحب تجربه ى دينى به شمار آورد وهم تصديق كردن متعلّقات فوق طبيعى آن تجربه ها لازم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از نظر وى، تجربه اى دينى است كه شخص صاحب تجربه، آن را دينى تلقى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تجربه گر معتقد باشد كه نمى توان آن تجربه را بر اساس امور طبيعى تبيين كرد و نياز است كه به ماوراى طبيعت توسل جست و پاى موجودى فراتر از طبيعت را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صرفاً تلقّى شخص تجربه گر باشد و هيچ مابازايى در مقابل آن تجربه در عالم واقع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تجربه ى دينى اثبات كننده ى متعلق خود نيست، بلكه تنها بيانگر آن است كه تجربه گر متعلّق تجربه را واقعى مى پندارد، خواه در واقع نيز گمان او درست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پراودفوت ميان مقام توصيف و مقام تبيين تجربه ى دينى تفكيك قايل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توصيف، نمى توان تجربه ى دينى را بدون ملاحظه ى ديدگاه هاى شخص تجربه گر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تجربه ى دينى متضمّن نوعى تفسير است و در اين تفسير، وجود موجودى فراطبيعى مفروض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درمقام تبيين تجربه ى دينى، مى توان از نظام باورها و گرايش هاى شخص تجربه گر بيرون آمد و هيچ لزومى ندارد كه علت پديد آمدن تجربه ى دينى واقعاً همان چيزى باشد كه تجربه گر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اصلاً چنان واقعيتى كه تجربه گر توصيف كرده بود، وجود نداشته باشد و عوامل ديگرى سبب حصول چنان تجربه اى شده باشند</w:t>
      </w:r>
      <w:r>
        <w:rPr>
          <w:rFonts w:eastAsia="IRNazanin" w:cs="IRNazanin"/>
          <w:color w:val="111111"/>
          <w:sz w:val="28"/>
          <w:szCs w:val="28"/>
          <w:rtl w:val="true"/>
          <w:lang w:bidi="fa-IR"/>
        </w:rPr>
        <w:t>.</w:t>
      </w:r>
      <w:r>
        <w:rPr>
          <w:rStyle w:val="FootnoteAnchor"/>
          <w:rtl w:val="true"/>
        </w:rPr>
        <w:footnoteReference w:id="233"/>
      </w:r>
      <w:bookmarkStart w:id="247" w:name="pg7528_66525"/>
    </w:p>
    <w:p>
      <w:pPr>
        <w:pStyle w:val="BookText"/>
        <w:rPr/>
      </w:pPr>
      <w:bookmarkEnd w:id="247"/>
      <w:r>
        <w:rPr>
          <w:rFonts w:ascii="IRNazanin" w:hAnsi="IRNazanin" w:eastAsia="IRNazanin"/>
          <w:color w:val="111111"/>
          <w:sz w:val="28"/>
          <w:sz w:val="28"/>
          <w:szCs w:val="28"/>
          <w:rtl w:val="true"/>
          <w:lang w:bidi="fa-IR"/>
        </w:rPr>
        <w:t>نكته ى آخر اين كه ما در اين مختصر فقط به دنبال حقيقت و چيستى تجربه ى دينى بوديم و نقد و بررسى اين نظريات احتياج به مجال ديگرى دارد</w:t>
      </w:r>
      <w:r>
        <w:rPr>
          <w:rFonts w:eastAsia="IRNazanin" w:cs="IRNazanin"/>
          <w:color w:val="111111"/>
          <w:sz w:val="28"/>
          <w:szCs w:val="28"/>
          <w:rtl w:val="true"/>
          <w:lang w:bidi="fa-IR"/>
        </w:rPr>
        <w:t>.</w:t>
      </w:r>
    </w:p>
    <w:p>
      <w:pPr>
        <w:pStyle w:val="Heading5"/>
        <w:numPr>
          <w:ilvl w:val="4"/>
          <w:numId w:val="1"/>
        </w:numPr>
        <w:rPr/>
      </w:pPr>
      <w:bookmarkStart w:id="248" w:name="__RefHeading___Toc2626998_1051229030"/>
      <w:bookmarkStart w:id="249" w:name="_Toc97"/>
      <w:bookmarkEnd w:id="248"/>
      <w:r>
        <w:rPr>
          <w:rtl w:val="true"/>
        </w:rPr>
        <w:t>نظريه ى برگزيده ى ما درباره ى تجربه ى دينى</w:t>
      </w:r>
      <w:bookmarkEnd w:id="249"/>
    </w:p>
    <w:p>
      <w:pPr>
        <w:pStyle w:val="BookText"/>
        <w:rPr/>
      </w:pPr>
      <w:r>
        <w:rPr>
          <w:rFonts w:ascii="IRNazanin" w:hAnsi="IRNazanin" w:eastAsia="IRNazanin"/>
          <w:color w:val="111111"/>
          <w:sz w:val="28"/>
          <w:sz w:val="28"/>
          <w:szCs w:val="28"/>
          <w:rtl w:val="true"/>
          <w:lang w:bidi="fa-IR"/>
        </w:rPr>
        <w:t>تجربه ى دينى نوعى مواجهه با خداوند يا امور ماوراى طبيعى يا مقدس است و مواجهه به معناى شناخت مستقيم، حضورى و بىواسطه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عجز و محدوديت و وابستگى به يك قدرت و كمال برتر و احساس وجود آن قدرت و ميل به او، نمونه هايى از تجربه ى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ى دينى، تجربه اى است كه نه تنها در اعتقاد صاحب تجربه، بلكه در واقع هم، بر اساس امور طبيعى تبيين پذير نباشد و براى تبيين آن، نيازمند موجودى ماوراى طبيعى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منكر ماوراى طبيعت اند، فوق مادى بودن تجربه ى دينى را نيز نمى پذيرند و به صورت هاى گوناگون در پى استناد آن به علتى طبيعى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تاكنون هيچ تبيين طبيعى قانع كننده اى براى حصول چنان تجربه هاى كوبنده، روشن، پرشور و تحول سازى كه در طول تاريخ براى عارفان پديده آمده اند ارائه نداده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مؤمنين كه به ماوراى طبيعت اعتقاد و ايمان دارند، تجربه ى دينى را فوق مادى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اين معنا كه تجربه ى دينى لزوماً تجربه 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تنها مادى بودن تجربه ى دينى را نفى مى كند و تبيين طبيعى آن را غير ممكن مى داند، اما ممكن است اين تجربه شيطانى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امكان هم وجود دارد كه تجربه اى كه به گمان تجربه كننده، دينى است، واقعاً فوق مادى نباشد و، در نتيجه، تجربه ى دينى واقعى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ممكن است شخصى در تجارب حسى به جاى آب سراب ببيند، در تجارب به ظاهر دينى هم امكان خطا و اشتباه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هم خطاست كه تمام تجارب ادعا شده را مادى و نتيجه ى نوعى خيال پردازى و يا فرافكنى و يا چيزهايى از اين قبيل بدانيم</w:t>
      </w:r>
      <w:r>
        <w:rPr>
          <w:rFonts w:eastAsia="IRNazanin" w:cs="IRNazanin"/>
          <w:color w:val="111111"/>
          <w:sz w:val="28"/>
          <w:szCs w:val="28"/>
          <w:rtl w:val="true"/>
          <w:lang w:bidi="fa-IR"/>
        </w:rPr>
        <w:t>.</w:t>
      </w:r>
      <w:r>
        <w:rPr>
          <w:rStyle w:val="FootnoteAnchor"/>
          <w:rtl w:val="true"/>
        </w:rPr>
        <w:footnoteReference w:id="234"/>
      </w:r>
      <w:bookmarkStart w:id="250" w:name="pg7528_66526"/>
    </w:p>
    <w:p>
      <w:pPr>
        <w:pStyle w:val="Heading4"/>
        <w:numPr>
          <w:ilvl w:val="3"/>
          <w:numId w:val="1"/>
        </w:numPr>
        <w:rPr/>
      </w:pPr>
      <w:bookmarkStart w:id="251" w:name="__RefHeading___Toc2627000_1051229030"/>
      <w:bookmarkStart w:id="252" w:name="_Toc98"/>
      <w:bookmarkEnd w:id="250"/>
      <w:bookmarkEnd w:id="251"/>
      <w:r>
        <w:rPr>
          <w:rtl w:val="true"/>
        </w:rPr>
        <w:t>تفاوت هاى مهم تجربه ى دينى و وحى كدام اند؟</w:t>
      </w:r>
      <w:bookmarkEnd w:id="252"/>
    </w:p>
    <w:p>
      <w:pPr>
        <w:pStyle w:val="Heading5"/>
        <w:numPr>
          <w:ilvl w:val="4"/>
          <w:numId w:val="1"/>
        </w:numPr>
        <w:rPr/>
      </w:pPr>
      <w:bookmarkStart w:id="253" w:name="__RefHeading___Toc2627002_1051229030"/>
      <w:bookmarkStart w:id="254" w:name="_Toc99"/>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قبل از بيان تفاوت هاى وحى و تجربه ى دينى، تذكر چند نكته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گستردگى معناى وحى، آنچه در اين جا مورد بحث قرار مى گيرد فقط نسبت ميان وحى تشريعى و تجربه ى دينى است، و منظور از تجربه ى دينى نيز اعم از تجربه ى عرفانى و معرفت شهودى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بودن وحى با تجربه ها، مشاهدات و مكاشفات عارفان از چيزهايى است كه خود عرفا به آن معترف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ابن عربى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لنا من الله الالهام لا الوحى،فان سبيل الوحى قد انقطع بموت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براى ما از جانب خدا تنها الهام است، نه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راه وحى، با مرگ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هم چنين قيصرى در شرح فصوص الحكم </w:t>
      </w:r>
      <w:r>
        <w:rPr>
          <w:rStyle w:val="FootnoteAnchor"/>
          <w:rtl w:val="true"/>
        </w:rPr>
        <w:footnoteReference w:id="236"/>
      </w:r>
      <w:r>
        <w:rPr>
          <w:rFonts w:ascii="Amiri" w:hAnsi="Amiri" w:eastAsia="Amiri" w:cs="Amiri"/>
          <w:color w:val="111111"/>
          <w:sz w:val="28"/>
          <w:sz w:val="28"/>
          <w:szCs w:val="28"/>
          <w:rtl w:val="true"/>
          <w:lang w:bidi="ar-SA"/>
        </w:rPr>
        <w:t>و سيد حيدر آملى در جامع الاسرار و منبع الانوار</w:t>
      </w:r>
      <w:r>
        <w:rPr>
          <w:rStyle w:val="FootnoteAnchor"/>
          <w:rtl w:val="true"/>
        </w:rPr>
        <w:footnoteReference w:id="237"/>
      </w:r>
      <w:r>
        <w:rPr>
          <w:rFonts w:ascii="IRNazanin" w:hAnsi="IRNazanin" w:eastAsia="IRNazanin"/>
          <w:color w:val="111111"/>
          <w:sz w:val="28"/>
          <w:sz w:val="28"/>
          <w:szCs w:val="28"/>
          <w:rtl w:val="true"/>
          <w:lang w:bidi="fa-IR"/>
        </w:rPr>
        <w:t>وحى را از اختصاصات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تفاوت هاى وحى و تجريه ى دينى، ناظر به بعضى از ديدگاه هاى مطرح شده در تجربه ى دينى است</w:t>
      </w:r>
      <w:r>
        <w:rPr>
          <w:rFonts w:eastAsia="IRNazanin" w:cs="IRNazanin"/>
          <w:color w:val="111111"/>
          <w:sz w:val="28"/>
          <w:szCs w:val="28"/>
          <w:rtl w:val="true"/>
          <w:lang w:bidi="fa-IR"/>
        </w:rPr>
        <w:t xml:space="preserve">. </w:t>
      </w:r>
      <w:bookmarkStart w:id="255" w:name="pg7528_66527"/>
    </w:p>
    <w:p>
      <w:pPr>
        <w:pStyle w:val="Heading5"/>
        <w:numPr>
          <w:ilvl w:val="4"/>
          <w:numId w:val="1"/>
        </w:numPr>
        <w:rPr/>
      </w:pPr>
      <w:bookmarkStart w:id="256" w:name="__RefHeading___Toc2627004_1051229030"/>
      <w:bookmarkStart w:id="257" w:name="_Toc100"/>
      <w:bookmarkEnd w:id="255"/>
      <w:bookmarkEnd w:id="256"/>
      <w:r>
        <w:rPr/>
        <w:t>1</w:t>
      </w:r>
      <w:r>
        <w:rPr>
          <w:rtl w:val="true"/>
        </w:rPr>
        <w:t xml:space="preserve">. </w:t>
      </w:r>
      <w:r>
        <w:rPr>
          <w:rtl w:val="true"/>
        </w:rPr>
        <w:t>تأثير فرهنگ زمانه در تجربه ى دينى و جهت نيافتگى وحى از آن</w:t>
      </w:r>
      <w:bookmarkEnd w:id="257"/>
    </w:p>
    <w:p>
      <w:pPr>
        <w:pStyle w:val="BookText"/>
        <w:rPr/>
      </w:pPr>
      <w:r>
        <w:rPr>
          <w:rFonts w:ascii="IRNazanin" w:hAnsi="IRNazanin" w:eastAsia="IRNazanin"/>
          <w:color w:val="111111"/>
          <w:sz w:val="28"/>
          <w:sz w:val="28"/>
          <w:szCs w:val="28"/>
          <w:rtl w:val="true"/>
          <w:lang w:bidi="fa-IR"/>
        </w:rPr>
        <w:t>طبق برخى ديدگاه ها، تجربه ى دينى تحت تأثير فرهنگ زمانه است و در قيد و بند فرهنگى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هيچ تجربه اى بدون واسطه ى مفاهيم و اعتقادات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پيش از تجربه در شكل دادن به تجربه مؤثر نيست، بلكه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پراود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ساختار، جزئى از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تجربه هاى عرفانى عارف هندو، هندوگونه، تجربه هاى عارف يهودى، يهودىوار و تجربه هاى عارف مسلمان،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عارف پيش از حصول تجربه، افكار و انديشه هاى يك مسيحى را داشته باشد، تجربه هاى او در چارچوب انديشه هاى مسيحى شكل مى گيرد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حالى كه مجموعه ى تعاليم و فرمان هايى كه انبيا به عنوان وحى در اختيار بشر قرار داده اند، معمولاً با فرهنگ زمان انبيا در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معمولاً با سنت ها و انديشه هاى پوچ و خرافى و منحط حاكم بر جامعه ى خود به مبارزه برمى خاستند و سنت ها و انديشه هاى تازه اى را جاى گزين آنها مى كردند كه اين تحول بخشى از معارفى ناشى مى شد كه به نام وحى از سوى خداوند دريافت مى كردند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علاوه بر آن كه وحى الهى از هرگونه تصرف مصون و محفوظ است و خواهش هاى نفسانى و عوامل بيرونى، از جمله افكار و عقايد، هيچ گونه تأثيرى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ى الهى از هنگام صدور تا ابلاغ نهايى وحى به مردم از آن نگهبانى مى كنند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258" w:name="__RefHeading___Toc2627006_1051229030"/>
      <w:bookmarkStart w:id="259" w:name="_Toc101"/>
      <w:bookmarkEnd w:id="258"/>
      <w:r>
        <w:rPr/>
        <w:t>2</w:t>
      </w:r>
      <w:r>
        <w:rPr>
          <w:rtl w:val="true"/>
        </w:rPr>
        <w:t xml:space="preserve"> . </w:t>
      </w:r>
      <w:r>
        <w:rPr>
          <w:rtl w:val="true"/>
        </w:rPr>
        <w:t>شريعت آفرينى وحى</w:t>
      </w:r>
      <w:bookmarkEnd w:id="25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برخى از وحى هاى نازل شده بر انبياى الهى شريعت آفرين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حامل دستورالعمل هايى از جانب خداوند براى زندگى فردى و اجتماعى پيروان آنها هستند، در </w:t>
      </w:r>
      <w:bookmarkStart w:id="260" w:name="pg7528_66528"/>
    </w:p>
    <w:p>
      <w:pPr>
        <w:pStyle w:val="BookText"/>
        <w:rPr/>
      </w:pPr>
      <w:bookmarkEnd w:id="260"/>
      <w:r>
        <w:rPr>
          <w:rFonts w:ascii="IRNazanin" w:hAnsi="IRNazanin" w:eastAsia="IRNazanin"/>
          <w:color w:val="111111"/>
          <w:sz w:val="28"/>
          <w:sz w:val="28"/>
          <w:szCs w:val="28"/>
          <w:rtl w:val="true"/>
          <w:lang w:bidi="fa-IR"/>
        </w:rPr>
        <w:t>حالى كه در تجربه هاى دينى و عرفانى چنين چيزى مشاهده نمى شود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بر همين اساس ابن عربى دركلمات خود تصريح مى كند كه فرشته براى نبى، شريعت مستقل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عارف كه اگر هم امرى در محدوده ى شريعت بر او نازل شود، يا از باب آگاه ساختن وى از احكام شريعتى است كه بر پيامبر نازل شده و او از آن بى اطلاع است و يا به خاطر خطاى در اجتهادى است كه او خلاف آن را باور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امكان ندارد كه به عارفى كه تابع پيامبرى است، حكمى الهام شود كه برخلاف شريعت واقعى آن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حكم الهام شده، مخالف فتاواى مجتهدان باشد، كه همين امر از خطاى آنان در استنباط حكم مذكور حكايت مى كند</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261" w:name="__RefHeading___Toc2627008_1051229030"/>
      <w:bookmarkStart w:id="262" w:name="_Toc102"/>
      <w:bookmarkEnd w:id="261"/>
      <w:r>
        <w:rPr/>
        <w:t>3</w:t>
      </w:r>
      <w:r>
        <w:rPr>
          <w:rtl w:val="true"/>
        </w:rPr>
        <w:t xml:space="preserve">. </w:t>
      </w:r>
      <w:r>
        <w:rPr>
          <w:rtl w:val="true"/>
        </w:rPr>
        <w:t>تأثيرپذيرى تجربه ى دينى از القائات شيطانى</w:t>
      </w:r>
      <w:bookmarkEnd w:id="262"/>
    </w:p>
    <w:p>
      <w:pPr>
        <w:pStyle w:val="BookText"/>
        <w:rPr/>
      </w:pPr>
      <w:r>
        <w:rPr>
          <w:rFonts w:ascii="IRNazanin" w:hAnsi="IRNazanin" w:eastAsia="IRNazanin"/>
          <w:color w:val="111111"/>
          <w:sz w:val="28"/>
          <w:sz w:val="28"/>
          <w:szCs w:val="28"/>
          <w:rtl w:val="true"/>
          <w:lang w:bidi="fa-IR"/>
        </w:rPr>
        <w:t>در تجربه هاى عرفانى، مشاهدات و مكاشفات عرفا در معرض نوعى انحراف و سقوط و القائات خطا و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عرفا براى صحت و سقم مكاشفاتشان رعايت موازينى را لازم و ضرورى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در اين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ى القائات بر اوليا، ربانى نبوده، بلكه گاهى شيطان براى سالك تمثل يافته، باطلى را بر قلب او القا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كاملاً هوشيار باشد و آنچه بر قلب او القا مى شود با ميزان كتاب و سنت بسنجد و چنان چه ميان آنها ناسازگارى يافت، بداند كه آن القا شيطانى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وحى همواره مصون از تلبيس ابليس است و پيامبران در همه ى مراحل فهم </w:t>
      </w:r>
      <w:bookmarkStart w:id="263" w:name="pg7528_66529"/>
    </w:p>
    <w:p>
      <w:pPr>
        <w:pStyle w:val="BookText"/>
        <w:rPr/>
      </w:pPr>
      <w:bookmarkEnd w:id="263"/>
      <w:r>
        <w:rPr>
          <w:rFonts w:ascii="IRNazanin" w:hAnsi="IRNazanin" w:eastAsia="IRNazanin"/>
          <w:color w:val="111111"/>
          <w:sz w:val="28"/>
          <w:sz w:val="28"/>
          <w:szCs w:val="28"/>
          <w:rtl w:val="true"/>
          <w:lang w:bidi="fa-IR"/>
        </w:rPr>
        <w:t>و درك و دريافت آن در عصمت الهى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حالتى سرشار از اطمينان به صدقش در پيامبر ايجاد مى كند، به طورى كه جاى هيچ شك و شبهه اى نسبت به صدق آن باقى نمى ماند</w:t>
      </w:r>
      <w:r>
        <w:rPr>
          <w:rFonts w:eastAsia="IRNazanin" w:cs="IRNazanin"/>
          <w:color w:val="111111"/>
          <w:sz w:val="28"/>
          <w:szCs w:val="28"/>
          <w:rtl w:val="true"/>
          <w:lang w:bidi="fa-IR"/>
        </w:rPr>
        <w:t>.</w:t>
      </w:r>
    </w:p>
    <w:p>
      <w:pPr>
        <w:pStyle w:val="Heading5"/>
        <w:numPr>
          <w:ilvl w:val="4"/>
          <w:numId w:val="1"/>
        </w:numPr>
        <w:rPr/>
      </w:pPr>
      <w:bookmarkStart w:id="264" w:name="__RefHeading___Toc2627010_1051229030"/>
      <w:bookmarkStart w:id="265" w:name="_Toc103"/>
      <w:bookmarkEnd w:id="264"/>
      <w:r>
        <w:rPr/>
        <w:t>4</w:t>
      </w:r>
      <w:r>
        <w:rPr>
          <w:rtl w:val="true"/>
        </w:rPr>
        <w:t xml:space="preserve">. </w:t>
      </w:r>
      <w:r>
        <w:rPr>
          <w:rtl w:val="true"/>
        </w:rPr>
        <w:t>تأثير دينى و خطاپذيرى در تعبير</w:t>
      </w:r>
      <w:bookmarkEnd w:id="265"/>
    </w:p>
    <w:p>
      <w:pPr>
        <w:pStyle w:val="BookText"/>
        <w:rPr/>
      </w:pPr>
      <w:r>
        <w:rPr>
          <w:rFonts w:ascii="IRNazanin" w:hAnsi="IRNazanin" w:eastAsia="IRNazanin"/>
          <w:color w:val="111111"/>
          <w:sz w:val="28"/>
          <w:sz w:val="28"/>
          <w:szCs w:val="28"/>
          <w:rtl w:val="true"/>
          <w:lang w:bidi="fa-IR"/>
        </w:rPr>
        <w:t>ممكن است ارباب تجربه ى دينى در تعبير مشاهداتشان دچار اشتباه گردند، هرچند در شهود خود امر حقى را مشاهده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ابن عربى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سالك در تعبير خود دچار خطا مى گردد، هر چند شهودش درست 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در مشاهدات ظاهرى، در تاريكى شب شخصى را مشاهده مى كند كه از ديوار خانه اى بالا رفت، آن 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وارد آن خانه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او همان صاحب خانه بوده كه كليدش را گم كرده به ناچار از ديوار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كه ديده كسى از ديوار خانه اى بالا رفته خطا نكرده و آنچه ديده، در خارج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گزارش خود دچار خطا گرديده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پس ممكن است عارف در تعبير و تفسير كشف، دچار خطا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كه هم لفظ و هم معناى وحى قرآنى از طرف خداوند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نه اين كه معانى نازل شده باشد و الفاظ، ساخته ى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زيادى از قرآن بر اين مطلب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 قَوْلاً 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به زودى بر تو گفتارى گران بها القا مى كنيم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قرآن قول ثقيل ناميده شده و اين خود دلالت بر اين دارد كه لفظ بر </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 لِتَعْجَلَ بِهِ إِنَّ عَلَيْنا جَمْعَهُ وَقُرْآنَهُ فَإِذا قَرَأْناهُ فَاتَّبِ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قُرْآنَهُ</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به حركت درنياور كه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كنى چرا كه گردآوردن و خواندن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آن را 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خواندن آن پيروى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اللّهِ نَتْلُوها عَلَيْكَ بِالحَقِّ</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ها آيات خداست كه به حق بر تو مى 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اين آيات، قرائت و تلاوت قرآن را در هنگام وحى به خود نسبت داده كه اين نشانگر نزول لفظ قرآن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با توجه به اعجاز قرآن در فصاحت و بلاغت، روشن مى گردد كه هم لفظ و هم معناى آن از سوى خداوند متعال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اختصاصى بودن وحى تشريعى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وحى، يك ارتباط ويژه بين پيامبر و خداوند مى باشد و در واقع يك موهبت الهى است كه خداوند متعال براى هدايت انسان و براى نيل به سعادت به انسانهاى والا و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مى كند بنابراين وحى اختصاص به پيامبران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اين امر را نه تنها آيات و روايات كثيرى اثبات مى كند بلكه عقل مستقلا برآن صحه مى گذارد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در صورتى كه تجارب دينى به فرد خاصى اختصاص نداشته و ويژگى خاص آن عام البلوى </w:t>
      </w:r>
    </w:p>
    <w:p>
      <w:pPr>
        <w:pStyle w:val="BookText"/>
        <w:rPr/>
      </w:pPr>
      <w:r>
        <w:rPr>
          <w:rFonts w:ascii="IRNazanin" w:hAnsi="IRNazanin" w:eastAsia="IRNazanin"/>
          <w:color w:val="111111"/>
          <w:sz w:val="28"/>
          <w:sz w:val="28"/>
          <w:szCs w:val="28"/>
          <w:rtl w:val="true"/>
          <w:lang w:bidi="fa-IR"/>
        </w:rPr>
        <w:t>بودن آن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تفاوت هاى ديگرى نيز بين وحى و تجربه ى دينى وجود دارد و ما در اين نوشتار تنها به برخى از آنها پرداختيم چرا كه تفصيل آن ها نياز به كتاب مستقلى دارد و آنچه در اين جا حايز اهميت است اين است كه تفاوت هاى بين وحى و تجربه ى دينى بيش از آن است كه بتوان آنها را يكسان پنداشت</w:t>
      </w:r>
      <w:r>
        <w:rPr>
          <w:rFonts w:eastAsia="IRNazanin" w:cs="IRNazanin"/>
          <w:color w:val="111111"/>
          <w:sz w:val="28"/>
          <w:szCs w:val="28"/>
          <w:rtl w:val="true"/>
          <w:lang w:bidi="fa-IR"/>
        </w:rPr>
        <w:t xml:space="preserve">. </w:t>
      </w:r>
      <w:bookmarkStart w:id="266" w:name="pg7528_66532"/>
    </w:p>
    <w:p>
      <w:pPr>
        <w:pStyle w:val="Heading2"/>
        <w:numPr>
          <w:ilvl w:val="1"/>
          <w:numId w:val="1"/>
        </w:numPr>
        <w:rPr/>
      </w:pPr>
      <w:bookmarkStart w:id="267" w:name="__RefHeading___Toc2627012_1051229030"/>
      <w:bookmarkStart w:id="268" w:name="_Toc104"/>
      <w:bookmarkEnd w:id="266"/>
      <w:bookmarkEnd w:id="267"/>
      <w:r>
        <w:rPr>
          <w:rtl w:val="true"/>
        </w:rPr>
        <w:t>اينترنت</w:t>
      </w:r>
      <w:bookmarkEnd w:id="268"/>
    </w:p>
    <w:p>
      <w:pPr>
        <w:pStyle w:val="Heading3"/>
        <w:numPr>
          <w:ilvl w:val="2"/>
          <w:numId w:val="1"/>
        </w:numPr>
        <w:rPr/>
      </w:pPr>
      <w:bookmarkStart w:id="269" w:name="__RefHeading___Toc2627014_1051229030"/>
      <w:bookmarkStart w:id="270" w:name="_Toc105"/>
      <w:bookmarkEnd w:id="269"/>
      <w:r>
        <w:rPr>
          <w:rtl w:val="true"/>
        </w:rPr>
        <w:t>انديشه قم</w:t>
      </w:r>
      <w:bookmarkEnd w:id="27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__RefHeading___Toc2627016_1051229030"/>
      <w:bookmarkStart w:id="272" w:name="_Toc106"/>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معرفی سایت انديشه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مطالعات و پژوهش هاى فرهنگى حوزه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منتظرى </w:t>
      </w:r>
    </w:p>
    <w:p>
      <w:pPr>
        <w:pStyle w:val="BookText"/>
        <w:rPr/>
      </w:pPr>
      <w:r>
        <w:rPr>
          <w:rFonts w:ascii="Amiri" w:hAnsi="Amiri" w:eastAsia="Amiri" w:cs="Amiri"/>
          <w:color w:val="111111"/>
          <w:sz w:val="28"/>
          <w:sz w:val="28"/>
          <w:szCs w:val="28"/>
          <w:rtl w:val="true"/>
          <w:lang w:bidi="ar-SA"/>
        </w:rPr>
        <w:t>اينترنت</w:t>
      </w:r>
    </w:p>
    <w:p>
      <w:pPr>
        <w:pStyle w:val="BookText"/>
        <w:rPr/>
      </w:pPr>
      <w:r>
        <w:rPr>
          <w:rFonts w:ascii="IRNazanin" w:hAnsi="IRNazanin" w:eastAsia="IRNazanin"/>
          <w:color w:val="111111"/>
          <w:sz w:val="28"/>
          <w:sz w:val="28"/>
          <w:szCs w:val="28"/>
          <w:rtl w:val="true"/>
          <w:lang w:bidi="fa-IR"/>
        </w:rPr>
        <w:t>سایت انديشه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مطالعات و پژوهش هاى فرهنگى حوزه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معرفى سايت انديشه قم</w:t>
      </w:r>
    </w:p>
    <w:p>
      <w:pPr>
        <w:pStyle w:val="BookText"/>
        <w:rPr/>
      </w:pPr>
      <w:r>
        <w:rPr>
          <w:rFonts w:ascii="IRNazanin" w:hAnsi="IRNazanin" w:eastAsia="IRNazanin"/>
          <w:color w:val="111111"/>
          <w:sz w:val="28"/>
          <w:sz w:val="28"/>
          <w:szCs w:val="28"/>
          <w:rtl w:val="true"/>
          <w:lang w:bidi="fa-IR"/>
        </w:rPr>
        <w:t>حسن منتظرى</w:t>
      </w:r>
    </w:p>
    <w:p>
      <w:pPr>
        <w:pStyle w:val="BookText"/>
        <w:rPr/>
      </w:pPr>
      <w:r>
        <w:rPr>
          <w:rFonts w:ascii="IRNazanin" w:hAnsi="IRNazanin" w:eastAsia="IRNazanin"/>
          <w:color w:val="111111"/>
          <w:sz w:val="28"/>
          <w:sz w:val="28"/>
          <w:szCs w:val="28"/>
          <w:rtl w:val="true"/>
          <w:lang w:bidi="fa-IR"/>
        </w:rPr>
        <w:t xml:space="preserve">پايگاه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مركز مطالعات و پژوهش هاى فرهنگى حوزه علميه مى باشد كه پس از برنامه ريزى هاى كارشناسانه و تصويب شوراى عالى حوزه علميه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در شبكه اينترنت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اوليه راه اندازى اين سايت، پاسخگويى به سئوالات و شبهات دينى كاربران اينترنت و تبيين معارف دينى از طريق عرضه محصولات علمى مركز در اينترنت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سايت بحمدالله با استقبال چشمگيرى از سوى كاربران اينترنتى مواجه شد كه با توجه به جديد و كاربردى بودن مباحث آن، استقبال گسترده اى از سوى اقشار مختلف به عمل آمد، لذا به دلايل زير در پى گسترش و توسعه كمى، كيفى و فنى سايت برآمديم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جدى كاربران اينترنت به معارف دينى در حد گسترده و در موضوعات مختلف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نياز سنجى و مخاطب شناسى كارشناسانه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عرضه معارف دينى با هدف تبيين جامعيت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برنامه نويسى سايت با استفاده از زبان هاى جديد و پيشرفته برنامه نويسى صفحات 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دلايل و با توجه به اينكه سايت انديشه قم سايتى است حوزوى، و در سطح اينترنت پايگاهى كه نيازهاى جدى معارف شيعه را از جهات مختلف و در حد گسترده تبيين نمايد خلأ آن محسوس بود، لذا جهت رشد، توسعه و گسترش سايت انديشه قم با پيگيرى هاى كارشناسانه و از طريق نياز سنجى و مخاطب شناسى ميدانى در اينترنت، طرح جامعى تدوين شد كه پس از بررسى مسئولان مركز به تصويب رسيد و به اجرا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جديد سايت انديشه قم با يكى از مناسب ترين زبان هاى برنامه نويسى وب در قالب پروژه اى گسترده با مشاوران متخصص و پيگيرى و تلاش مستمر مسئولان فنى اين سايت، انجام و پس از رفع اشكالات و تكميل، آماده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شامل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لينك اصلى مى باشد كه توسط واحد پشتيبانى علمى اينترنت، با همكارى معاونت تحقيقات و گروه هاى علمى مركز و با بهره مندى از محققان توانمند و متخصص در زمينه هاى مربوطه، محتواى آن تهيه و پس از طى فرآيند آماده سازى و تكميل، با نظارت نهايى مدير بخش رايانه مركز به سايت انديشه قم عرضه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لينك به عنوان لينك هاى اصلى ايندكس هستند كه هر لينك با هدف جامعيت در موضوع مربوطه، طرحى گسترده با عناوين اصلى دارند كه هر كدام از عناوين، زيرمجموعه هاى علمى كاربردى لازم را در بر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محتواى سايت انديشه قم را مى توان به سه قسمت كلى تقسيم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محصولات و آثار مركز</w:t>
      </w:r>
      <w:r>
        <w:rPr>
          <w:rFonts w:eastAsia="Amiri" w:cs="Amiri" w:ascii="Amiri" w:hAnsi="Amiri"/>
          <w:color w:val="111111"/>
          <w:sz w:val="28"/>
          <w:szCs w:val="28"/>
          <w:rtl w:val="true"/>
          <w:lang w:bidi="ar-SA"/>
        </w:rPr>
        <w:t>.</w:t>
      </w:r>
      <w:bookmarkStart w:id="273" w:name="pg7528_66536"/>
    </w:p>
    <w:p>
      <w:pPr>
        <w:pStyle w:val="BookText"/>
        <w:rPr/>
      </w:pPr>
      <w:bookmarkEnd w:id="2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اطلاع رسانى علمى در عرصه ى معارف دينى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خدمات جانبى و مفيد</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2627018_1051229030"/>
      <w:bookmarkStart w:id="275" w:name="_Toc107"/>
      <w:bookmarkEnd w:id="274"/>
      <w:r>
        <w:rPr>
          <w:rtl w:val="true"/>
        </w:rPr>
        <w:t>الف</w:t>
      </w:r>
      <w:r>
        <w:rPr>
          <w:rtl w:val="true"/>
        </w:rPr>
        <w:t xml:space="preserve">) </w:t>
      </w:r>
      <w:r>
        <w:rPr>
          <w:rtl w:val="true"/>
        </w:rPr>
        <w:t>محصولات و آثار مركز</w:t>
      </w:r>
      <w:r>
        <w:rPr>
          <w:rtl w:val="true"/>
        </w:rPr>
        <w:t>:</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مطالعات تاكنون به چندين هزار پرسش اقشار مختلف جامعه، در زمينه هاى مختلف دينى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پرسش و پاسخ ها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كلى و به صورت نمودار درختى در حال بازسازى، تدوين و آماده سازى نهايى است كه به سايت عرضه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كانون گفتمان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از طرف اين مركز، با حضور انديشمندان حوزه و دانشگاه در عرصه ى معارف دين و مسايل جديد در مدرسه ى فيضيه برگزار مى شود محتواى جلسات پس از تنظيم و ويرايش، هر جلسه در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 سخنرانى، پرسش و پاسخ، تدوين شده كه به همراه تصوير سخنران و صوت با امكان پخش و دريافت، عرضه شده است، همچنين قابليت استفاده موضوعى از گفتمان ها نيز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برگزار شده، در سايت موجود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بررسى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لينك شبهاتى كه از مطبوعات مختلف استخراج مى گردد، پس از پاسخ دهى كارشناسان مربوطه، در دو بخش مقالات نقد و مقالات مستقل، عرضه شده كه تاكنون بيش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كلى با تعيين زير مجموعه هاى لازم براى هر موضوع قرار گرفته است كه شبهات مطرح در رسانه ها خصوصاً اينترنت و مجامع علمى مختلف، استخراج، شناسايى و پس از پاسخ دهى كارشناسانه محققان مركز، در اين لينك عرضه مى شود</w:t>
      </w:r>
      <w:r>
        <w:rPr>
          <w:rFonts w:eastAsia="IRNazanin" w:cs="IRNazanin"/>
          <w:color w:val="111111"/>
          <w:sz w:val="28"/>
          <w:szCs w:val="28"/>
          <w:rtl w:val="true"/>
          <w:lang w:bidi="fa-IR"/>
        </w:rPr>
        <w:t xml:space="preserve">. </w:t>
      </w:r>
      <w:bookmarkStart w:id="276" w:name="pg7528_66537"/>
    </w:p>
    <w:p>
      <w:pPr>
        <w:pStyle w:val="BookText"/>
        <w:rPr/>
      </w:pPr>
      <w:bookmarkEnd w:id="27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مجله تنها نشريه تخصصى پاسخ به سئوالات دينى است كه به صورت فصلنامه منتشر مى شود، تاكنون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منتشر شده، كه متن كامل آنها در سايت عرضه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شامل كتاب، جزوه و نرم افزار است كه به محض آماده سازى آثار، متن كامل كتاب ها و جزوات در سايت عرضه مى گردد كه اكنون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به همراه مجله صباح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هاى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هدف بررسى شبهات روز، در قالب جلساتى كارشناسانه با حضور صاحب نظران برگزار شده و در نهايت نظريه تخصصى دينى مطرح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جلسات در سايت عرضه شده است</w:t>
      </w:r>
      <w:r>
        <w:rPr>
          <w:rFonts w:eastAsia="IRNazanin" w:cs="IRNazanin"/>
          <w:color w:val="111111"/>
          <w:sz w:val="28"/>
          <w:szCs w:val="28"/>
          <w:rtl w:val="true"/>
          <w:lang w:bidi="fa-IR"/>
        </w:rPr>
        <w:t>.</w:t>
      </w:r>
    </w:p>
    <w:p>
      <w:pPr>
        <w:pStyle w:val="Heading4"/>
        <w:numPr>
          <w:ilvl w:val="3"/>
          <w:numId w:val="1"/>
        </w:numPr>
        <w:rPr/>
      </w:pPr>
      <w:bookmarkStart w:id="277" w:name="__RefHeading___Toc2627020_1051229030"/>
      <w:bookmarkStart w:id="278" w:name="_Toc108"/>
      <w:bookmarkEnd w:id="277"/>
      <w:r>
        <w:rPr>
          <w:rtl w:val="true"/>
        </w:rPr>
        <w:t>ب</w:t>
      </w:r>
      <w:r>
        <w:rPr>
          <w:rtl w:val="true"/>
        </w:rPr>
        <w:t xml:space="preserve">( </w:t>
      </w:r>
      <w:r>
        <w:rPr>
          <w:rtl w:val="true"/>
        </w:rPr>
        <w:t>اطلاع رسانى علمى</w:t>
      </w:r>
      <w:bookmarkEnd w:id="278"/>
    </w:p>
    <w:p>
      <w:pPr>
        <w:pStyle w:val="BookText"/>
        <w:rPr/>
      </w:pPr>
      <w:r>
        <w:rPr>
          <w:rFonts w:ascii="IRNazanin" w:hAnsi="IRNazanin" w:eastAsia="IRNazanin"/>
          <w:color w:val="111111"/>
          <w:sz w:val="28"/>
          <w:sz w:val="28"/>
          <w:szCs w:val="28"/>
          <w:rtl w:val="true"/>
          <w:lang w:bidi="fa-IR"/>
        </w:rPr>
        <w:t>اين مجموعه توسط پشتيبانى علمى اينترنت مركز و با هماهنگى و همكارى معاونت تحقيقات و گروه هاى علمى و محققان توانمند، محتواى آن آماده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لينك ها بحمدالله در حد گسترده با هدف جامعيت در هر موضوع، طرح آن تدوين و بخش عمده اى از محتواى آن آماده، تكميل و عرضه شده و بخشى از آن در حال آماده سازى و تكميل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اصلى اين لينك ها عبارتنداز</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شناسى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نهج البلاغه آشنايى با صحيفه سجاديه اسلام شناسى شيعه كيست؟ آشنايى با علوم اسلامى حديث شناسى فقه و احكام شرعى عقايد اسلامى فلسفه اسلامى كلام جديد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مهدويت تاريخ اسلام نماز و عبادت دعا شناسى اخلاق و تربيت اسلامى حوزه علميه علماى شيعه انقلاب اسلامى ولايت فقيه امام خمينى مقام معظم رهبرى مناظرات علمى سخنرانى هاى مذهبى 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مجله گلستان قرآن،وزارت فرهنگ و ارشاد اسلامی ش</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هشتم، یادنامه استاد کمالی دزفولی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کمالی دزفولی، شناخت قرآن،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اسوه،چ سوم،</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رعد آیه</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کمالی دزفولی، همان، 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فصلت آیات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w:t>
      </w:r>
      <w:r>
        <w:rPr>
          <w:rFonts w:eastAsia="IRNazanin" w:cs="IRNazanin"/>
          <w:b w:val="false"/>
          <w:bCs w:val="false"/>
          <w:i w:val="false"/>
          <w:iCs w:val="false"/>
          <w:color w:val="333333"/>
          <w:sz w:val="20"/>
          <w:szCs w:val="20"/>
        </w:rPr>
        <w:t>75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کمالی دزفولی 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w:t>
      </w:r>
      <w:r>
        <w:rPr>
          <w:rFonts w:eastAsia="IRNazanin" w:cs="IRNazanin"/>
          <w:b w:val="false"/>
          <w:bCs w:val="false"/>
          <w:i w:val="false"/>
          <w:iCs w:val="false"/>
          <w:color w:val="333333"/>
          <w:sz w:val="20"/>
          <w:szCs w:val="20"/>
        </w:rPr>
        <w:t>256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انعام، آیه</w:t>
      </w:r>
      <w:r>
        <w:rPr>
          <w:rFonts w:eastAsia="IRNazanin" w:cs="IRNazanin"/>
          <w:b w:val="false"/>
          <w:bCs w:val="false"/>
          <w:i w:val="false"/>
          <w:iCs w:val="false"/>
          <w:color w:val="333333"/>
          <w:sz w:val="20"/>
          <w:szCs w:val="20"/>
        </w:rPr>
        <w:t>153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کمالی دزفولی،همان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کمالی دزفولی،همان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مائده، آیه</w:t>
      </w:r>
      <w:r>
        <w:rPr>
          <w:rFonts w:eastAsia="IRNazanin" w:cs="IRNazanin"/>
          <w:b w:val="false"/>
          <w:bCs w:val="false"/>
          <w:i w:val="false"/>
          <w:iCs w:val="false"/>
          <w:color w:val="333333"/>
          <w:sz w:val="20"/>
          <w:szCs w:val="20"/>
        </w:rPr>
        <w:t>100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انعام، آیه</w:t>
      </w:r>
      <w:r>
        <w:rPr>
          <w:rFonts w:eastAsia="IRNazanin" w:cs="IRNazanin"/>
          <w:b w:val="false"/>
          <w:bCs w:val="false"/>
          <w:i w:val="false"/>
          <w:iCs w:val="false"/>
          <w:color w:val="333333"/>
          <w:sz w:val="20"/>
          <w:szCs w:val="20"/>
        </w:rPr>
        <w:t>116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اعراف، آیه</w:t>
      </w:r>
      <w:r>
        <w:rPr>
          <w:rFonts w:eastAsia="IRNazanin" w:cs="IRNazanin"/>
          <w:b w:val="false"/>
          <w:bCs w:val="false"/>
          <w:i w:val="false"/>
          <w:iCs w:val="false"/>
          <w:color w:val="333333"/>
          <w:sz w:val="20"/>
          <w:szCs w:val="20"/>
        </w:rPr>
        <w:t>102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یوسف، آیه</w:t>
      </w:r>
      <w:r>
        <w:rPr>
          <w:rFonts w:eastAsia="IRNazanin" w:cs="IRNazanin"/>
          <w:b w:val="false"/>
          <w:bCs w:val="false"/>
          <w:i w:val="false"/>
          <w:iCs w:val="false"/>
          <w:color w:val="333333"/>
          <w:sz w:val="20"/>
          <w:szCs w:val="20"/>
        </w:rPr>
        <w:t>102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کمالی دزفولی،همان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آموزش عقاید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چاپ و نشر بین الملل سازمان تبلیغات اسلامی چ پنجم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معاد در قرآن تفسیر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نشر اسراء،</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صدرا چ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عبدالله جوادی آملی،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مطهری همان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عبدالله جوادی آملی، همان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مطهری همان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طبابایی،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ی مطبوعاتی اسماعیلیان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انسان از آغاز تا 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الزهراء، چاپ دوم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جوادی آملی، همان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اسراء، آیه ی</w:t>
      </w:r>
      <w:r>
        <w:rPr>
          <w:rFonts w:eastAsia="IRNazanin" w:cs="IRNazanin"/>
          <w:b w:val="false"/>
          <w:bCs w:val="false"/>
          <w:i w:val="false"/>
          <w:iCs w:val="false"/>
          <w:color w:val="333333"/>
          <w:sz w:val="20"/>
          <w:szCs w:val="20"/>
        </w:rPr>
        <w:t>13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110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284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لقمان، آیه ی</w:t>
      </w:r>
      <w:r>
        <w:rPr>
          <w:rFonts w:eastAsia="IRNazanin" w:cs="IRNazanin"/>
          <w:b w:val="false"/>
          <w:bCs w:val="false"/>
          <w:i w:val="false"/>
          <w:iCs w:val="false"/>
          <w:color w:val="333333"/>
          <w:sz w:val="20"/>
          <w:szCs w:val="20"/>
        </w:rPr>
        <w:t>16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 آیه ی</w:t>
      </w:r>
      <w:r>
        <w:rPr>
          <w:rFonts w:eastAsia="IRNazanin" w:cs="IRNazanin"/>
          <w:b w:val="false"/>
          <w:bCs w:val="false"/>
          <w:i w:val="false"/>
          <w:iCs w:val="false"/>
          <w:color w:val="333333"/>
          <w:sz w:val="20"/>
          <w:szCs w:val="20"/>
        </w:rPr>
        <w:t>180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نساء، آیه ی</w:t>
      </w:r>
      <w:r>
        <w:rPr>
          <w:rFonts w:eastAsia="IRNazanin" w:cs="IRNazanin"/>
          <w:b w:val="false"/>
          <w:bCs w:val="false"/>
          <w:i w:val="false"/>
          <w:iCs w:val="false"/>
          <w:color w:val="333333"/>
          <w:sz w:val="20"/>
          <w:szCs w:val="20"/>
        </w:rPr>
        <w:t>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 آیه ی</w:t>
      </w:r>
      <w:r>
        <w:rPr>
          <w:rFonts w:eastAsia="IRNazanin" w:cs="IRNazanin"/>
          <w:b w:val="false"/>
          <w:bCs w:val="false"/>
          <w:i w:val="false"/>
          <w:iCs w:val="false"/>
          <w:color w:val="333333"/>
          <w:sz w:val="20"/>
          <w:szCs w:val="20"/>
        </w:rPr>
        <w:t>10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24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نباء، آیه ی</w:t>
      </w:r>
      <w:r>
        <w:rPr>
          <w:rFonts w:eastAsia="IRNazanin" w:cs="IRNazanin"/>
          <w:b w:val="false"/>
          <w:bCs w:val="false"/>
          <w:i w:val="false"/>
          <w:iCs w:val="false"/>
          <w:color w:val="333333"/>
          <w:sz w:val="20"/>
          <w:szCs w:val="20"/>
        </w:rPr>
        <w:t>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جمعة العروس الحویزی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ی مطبوعاتی اسماعیلیان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محمدتقی مصباح یزدی معارف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همان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از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الَّذِينَ يَكْسِبُونَ الْإِثْمَ سَيُجْزَوْنَ بِمَا كَانُوا يَقْتَرِفُونَ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سوره ی نساء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مائده آیه ی </w:t>
      </w:r>
      <w:r>
        <w:rPr>
          <w:rFonts w:eastAsia="IRNazanin" w:cs="IRNazanin"/>
          <w:b w:val="false"/>
          <w:bCs w:val="false"/>
          <w:i w:val="false"/>
          <w:iCs w:val="false"/>
          <w:color w:val="333333"/>
          <w:sz w:val="20"/>
          <w:szCs w:val="20"/>
        </w:rPr>
        <w:t>85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آیاتی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الَّذِينَ يَأْكُلُونَ أَمْوَالَ الْيَتَامَى ظُلْمًا إِنَّمَا يَأْكُلُونَ فِي بُطُونِهِمْ نَارًا وَسَيَصْلَوْنَ سَعِيرًا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سوره ی توبه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آل عمران آیه ی </w:t>
      </w:r>
      <w:r>
        <w:rPr>
          <w:rFonts w:eastAsia="IRNazanin" w:cs="IRNazanin"/>
          <w:b w:val="false"/>
          <w:bCs w:val="false"/>
          <w:i w:val="false"/>
          <w:iCs w:val="false"/>
          <w:color w:val="333333"/>
          <w:sz w:val="20"/>
          <w:szCs w:val="20"/>
        </w:rPr>
        <w:t>180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محمدتقی مصباح یزدی ، همان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261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صدرالمتالهین 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نشر دارالحیاء التراث العربی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همان ص</w:t>
      </w:r>
      <w:r>
        <w:rPr>
          <w:rFonts w:eastAsia="IRNazanin" w:cs="IRNazanin"/>
          <w:b w:val="false"/>
          <w:bCs w:val="false"/>
          <w:i w:val="false"/>
          <w:iCs w:val="false"/>
          <w:color w:val="333333"/>
          <w:sz w:val="20"/>
          <w:szCs w:val="20"/>
        </w:rPr>
        <w:t>502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نشر شرکت سهامی انتشار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 آیه</w:t>
      </w:r>
      <w:r>
        <w:rPr>
          <w:rFonts w:eastAsia="IRNazanin" w:cs="IRNazanin"/>
          <w:b w:val="false"/>
          <w:bCs w:val="false"/>
          <w:i w:val="false"/>
          <w:iCs w:val="false"/>
          <w:color w:val="333333"/>
          <w:sz w:val="20"/>
          <w:szCs w:val="20"/>
        </w:rPr>
        <w:t>30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همان ص </w:t>
      </w:r>
      <w:r>
        <w:rPr>
          <w:rFonts w:eastAsia="IRNazanin" w:cs="IRNazanin"/>
          <w:b w:val="false"/>
          <w:bCs w:val="false"/>
          <w:i w:val="false"/>
          <w:iCs w:val="false"/>
          <w:color w:val="333333"/>
          <w:sz w:val="20"/>
          <w:szCs w:val="20"/>
        </w:rPr>
        <w:t>213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معاد از دیدگاه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موسسه تنظیم و نشر آثار امام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شرح حدیث جنود عقل و 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موسسه ی تنظیم و نشر آثار امام چاپ سوم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از دیدگاه امام خمینی ص</w:t>
      </w:r>
      <w:r>
        <w:rPr>
          <w:rFonts w:eastAsia="IRNazanin" w:cs="IRNazanin"/>
          <w:b w:val="false"/>
          <w:bCs w:val="false"/>
          <w:i w:val="false"/>
          <w:iCs w:val="false"/>
          <w:color w:val="333333"/>
          <w:sz w:val="20"/>
          <w:szCs w:val="20"/>
        </w:rPr>
        <w:t>319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موسسه ی تنظیم و نشر آثار امام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معاد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مرکز نشر اسراء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باب الاطفال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انتشارات جامعه ی مدرسین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همان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واژه ی 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18145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آوای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انتصاری، بحران ها و درمان ها در دوره 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گرگان، چاپ اول،</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حدیث زندگی،ش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ربانی ، 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محمدی ری شهری، تخلیص سید حمید حسینی، ترجمه ی حمید رضا شیخی، ج دوم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انتشارات دارالحدیث قم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مریس هالبواکس، طرح روانشناسی طبقات اجتماعی ، ترجمه ی علیمحمد کاردان،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دانشگاه تهران، چاپ چهارم،</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بقره،آیه ی</w:t>
      </w:r>
      <w:r>
        <w:rPr>
          <w:rFonts w:eastAsia="IRNazanin" w:cs="IRNazanin"/>
          <w:b w:val="false"/>
          <w:bCs w:val="false"/>
          <w:i w:val="false"/>
          <w:iCs w:val="false"/>
          <w:color w:val="333333"/>
          <w:sz w:val="20"/>
          <w:szCs w:val="20"/>
        </w:rPr>
        <w:t>44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بحارالانوار،موسسه الوفاء بیروت چاپ دوم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نگرش به منابع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همکاری حوزه و دانشگاه انتشارات 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توفیقی،آشنایی با ادیان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سمت،چاپ اول،</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بی ناس، تاریخ جامع ادیان، ترجمه ی علی اصغر حکمت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اموزش انقلاب اسلامی، چاپ پنجم،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توفیقی، همان، ص</w:t>
      </w:r>
      <w:r>
        <w:rPr>
          <w:rFonts w:eastAsia="IRNazanin" w:cs="IRNazanin"/>
          <w:b w:val="false"/>
          <w:bCs w:val="false"/>
          <w:i w:val="false"/>
          <w:iCs w:val="false"/>
          <w:color w:val="333333"/>
          <w:sz w:val="20"/>
          <w:szCs w:val="20"/>
        </w:rPr>
        <w:t>32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بی ناس، همان،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توفیقی، 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آسیا، ویراسته ی فرید هلم هاردی، ترجمه ی عبدالرحیم گواهی،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فرهنگ اسلامی، چاپ دوم،</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آریا، آشنایی با تاریخ 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پایه، چاپ سومف</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باستانی بسیاری از اقوام گذشته جان پرستی یا آنیمیسم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آیین همه ی مظاهر طبیعت روح دارند و برای بهره برداری از آنها باید به نیایش وسپاس و ستایش آنها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توفیقی ، آشنایی با ادیان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انتشارات سمت، چاپ اول،</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شلبی، مقارنة الادیان،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النهضة المصریه،چاپ سوم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جوادی آملی،انتظار بشر از دین،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توفیقی، 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شلبی، همان،ص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ج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دارالحدیث، ج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پاسخ به پرسشهای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فلسفه ی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موسوی اصفهانی،مکیال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نگین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ترجمه فیض الاسلام، خطبه ی </w:t>
      </w:r>
      <w:r>
        <w:rPr>
          <w:rFonts w:eastAsia="IRNazanin" w:cs="IRNazanin"/>
          <w:b w:val="false"/>
          <w:bCs w:val="false"/>
          <w:i w:val="false"/>
          <w:iCs w:val="false"/>
          <w:color w:val="333333"/>
          <w:sz w:val="20"/>
          <w:szCs w:val="20"/>
        </w:rPr>
        <w:t>150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،باب ما روی عن الصادق،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سیری در سیره ی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محمد باقر مجلسی،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الوفاء،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رعد،آیه ی</w:t>
      </w:r>
      <w:r>
        <w:rPr>
          <w:rFonts w:eastAsia="IRNazanin" w:cs="IRNazanin"/>
          <w:b w:val="false"/>
          <w:bCs w:val="false"/>
          <w:i w:val="false"/>
          <w:iCs w:val="false"/>
          <w:color w:val="333333"/>
          <w:sz w:val="20"/>
          <w:szCs w:val="20"/>
        </w:rPr>
        <w:t>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همان،ج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همان،ج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 آیه ی</w:t>
      </w:r>
      <w:r>
        <w:rPr>
          <w:rFonts w:eastAsia="IRNazanin" w:cs="IRNazanin"/>
          <w:b w:val="false"/>
          <w:bCs w:val="false"/>
          <w:i w:val="false"/>
          <w:iCs w:val="false"/>
          <w:color w:val="333333"/>
          <w:sz w:val="20"/>
          <w:szCs w:val="20"/>
        </w:rPr>
        <w:t>110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محسن خرلزی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مدیریت حوزه ی علمیه،</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موسوی اصفهانی،همان،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عالمف بنیادهای علم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نی،</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فرهنگ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مروارید،چاپ یازدهم،</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آقا بخشی، فرهنگ علوم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اطلاعاتو مدارک علمی ایران،</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حاکمیت از آن خداوند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پرسشها و پاسخها،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ی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مومنان کارشان را با کشورت یکدیگر انجام می دهند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مرد و زن با ایمانی حق ندارند هنگامی که خدا و پیامبرش امری را لازم می دانند با آن مخالفت نمایند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همان، ص</w:t>
      </w:r>
      <w:r>
        <w:rPr>
          <w:rFonts w:eastAsia="IRNazanin" w:cs="IRNazanin"/>
          <w:b w:val="false"/>
          <w:bCs w:val="false"/>
          <w:i w:val="false"/>
          <w:iCs w:val="false"/>
          <w:color w:val="333333"/>
          <w:sz w:val="20"/>
          <w:szCs w:val="20"/>
        </w:rPr>
        <w:t>41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عمران،آیه ی </w:t>
      </w:r>
      <w:r>
        <w:rPr>
          <w:rFonts w:eastAsia="IRNazanin" w:cs="IRNazanin"/>
          <w:b w:val="false"/>
          <w:bCs w:val="false"/>
          <w:i w:val="false"/>
          <w:iCs w:val="false"/>
          <w:color w:val="333333"/>
          <w:sz w:val="20"/>
          <w:szCs w:val="20"/>
        </w:rPr>
        <w:t>110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38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معرفت،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موسسه ی انتشاراتی التمهید، چاپ دوم،</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 در سایه ولایت فقیه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 الحکم،</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با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کارآزموده مشورت کند، از خرد وکاردانی آنها بهره ی کامل برده است</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موسسه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کنزالفوائد کراچکی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همان، ص</w:t>
      </w:r>
      <w:r>
        <w:rPr>
          <w:rFonts w:eastAsia="IRNazanin" w:cs="IRNazanin"/>
          <w:b w:val="false"/>
          <w:bCs w:val="false"/>
          <w:i w:val="false"/>
          <w:iCs w:val="false"/>
          <w:color w:val="333333"/>
          <w:sz w:val="20"/>
          <w:szCs w:val="20"/>
        </w:rPr>
        <w:t>109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همان، ص</w:t>
      </w:r>
      <w:r>
        <w:rPr>
          <w:rFonts w:eastAsia="IRNazanin" w:cs="IRNazanin"/>
          <w:b w:val="false"/>
          <w:bCs w:val="false"/>
          <w:i w:val="false"/>
          <w:iCs w:val="false"/>
          <w:color w:val="333333"/>
          <w:sz w:val="20"/>
          <w:szCs w:val="20"/>
        </w:rPr>
        <w:t>69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بیشتر در مسئله ی بیعت،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چالمرز، چیستی علم، ترجمه ی سعید زیبا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علمی فرهنگی،</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سیدصادق حقیقت و سید علی میرموسوی، مبانی حقوق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موسسه ی فرهنگی دانش و اندیشه معاصر،</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رنه گنون، بحران دنیای متجدد، ترجمه ی ضیاءالدین دهشیری،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امیرکبیر،</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دانیل لیتل، تبیین در علوم اجتماعی، ترجمه ی عبدالکریم سروش،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موسسه ی فرهنگی صراط،</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بابک احمدی،مدرنیته و اندیشه ی انتقادی،ص</w:t>
      </w:r>
      <w:r>
        <w:rPr>
          <w:rFonts w:eastAsia="IRNazanin" w:cs="IRNazanin"/>
          <w:b w:val="false"/>
          <w:bCs w:val="false"/>
          <w:i w:val="false"/>
          <w:iCs w:val="false"/>
          <w:color w:val="333333"/>
          <w:sz w:val="20"/>
          <w:szCs w:val="20"/>
        </w:rPr>
        <w:t>61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صادق حقیقت و سید علی میرموسوی،همان،ص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چالمرز،همان،ص</w:t>
      </w:r>
      <w:r>
        <w:rPr>
          <w:rFonts w:eastAsia="IRNazanin" w:cs="IRNazanin"/>
          <w:b w:val="false"/>
          <w:bCs w:val="false"/>
          <w:i w:val="false"/>
          <w:iCs w:val="false"/>
          <w:color w:val="333333"/>
          <w:sz w:val="20"/>
          <w:szCs w:val="20"/>
        </w:rPr>
        <w:t>90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عبداله جوادی آملی، فلسفه ی حقوق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اسراء،</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صادق حقیقت و سید علی میرموسوی،همان،ص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نظام حقوق زن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صدرا، چاپ هشتم،</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همو،مقدمه ای بر جهان بینی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همو،نظام حقوق زن در اسلام،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جوان مسلمان و دنیای متجدد، ترجمه ی مرتضی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طرح نو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آنچه به نام حقوق بشر امروزه مطرح می شود در تاریخ اسلام مطرح و مورد توجه بوده است ولی مفاهیم و مبانی فلسفی و عقیدتی بسیاری از این اصول از دیدگاه اسلام با آنچه در تفکر غربی تحت همین عنوان ارائه میشود متفاوت است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منصوری لاریجانی،سیرتحول حقوق بشر و بررسی تطبیقی آن با اصول تفسیری حقوق بشر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تابان،</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 العابدین قربانی، اسلام و 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دفتر نشر فرهنگ اسلامی،</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مبانی امدیشه ی سیاسی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پژوهشگاه فرهنگ و اندیشه ی اسلامی،</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جعفری، تحقیق در دو نظام حقوق بشر از دیدگاه اسلام و غرب و تطبیق آن دو با یکدیگر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خدمات حقوقی بین المللی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حجرات، آیه ی</w:t>
      </w:r>
      <w:r>
        <w:rPr>
          <w:rFonts w:eastAsia="IRNazanin" w:cs="IRNazanin"/>
          <w:b w:val="false"/>
          <w:bCs w:val="false"/>
          <w:i w:val="false"/>
          <w:iCs w:val="false"/>
          <w:color w:val="333333"/>
          <w:sz w:val="20"/>
          <w:szCs w:val="20"/>
        </w:rPr>
        <w:t>13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همان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مائده، آیه ی</w:t>
      </w:r>
      <w:r>
        <w:rPr>
          <w:rFonts w:eastAsia="IRNazanin" w:cs="IRNazanin"/>
          <w:b w:val="false"/>
          <w:bCs w:val="false"/>
          <w:i w:val="false"/>
          <w:iCs w:val="false"/>
          <w:color w:val="333333"/>
          <w:sz w:val="20"/>
          <w:szCs w:val="20"/>
        </w:rPr>
        <w:t>32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جعفری، همان،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اسماعیل منصوری لاریجانی، همان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179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256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زمر، آیه ی</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نساء، آیه ی</w:t>
      </w:r>
      <w:r>
        <w:rPr>
          <w:rFonts w:eastAsia="IRNazanin" w:cs="IRNazanin"/>
          <w:b w:val="false"/>
          <w:bCs w:val="false"/>
          <w:i w:val="false"/>
          <w:iCs w:val="false"/>
          <w:color w:val="333333"/>
          <w:sz w:val="20"/>
          <w:szCs w:val="20"/>
        </w:rPr>
        <w:t>94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منصوری لاریجانی، همان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حجرات، آیه ی</w:t>
      </w:r>
      <w:r>
        <w:rPr>
          <w:rFonts w:eastAsia="IRNazanin" w:cs="IRNazanin"/>
          <w:b w:val="false"/>
          <w:bCs w:val="false"/>
          <w:i w:val="false"/>
          <w:iCs w:val="false"/>
          <w:color w:val="333333"/>
          <w:sz w:val="20"/>
          <w:szCs w:val="20"/>
        </w:rPr>
        <w:t>13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همان، ص</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ولايت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مدارک فرهنگی انقلاب اسلامی،</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ادوارد گیبون، انحطاط و سقوط امپراطوری رومف ترجمه طاهری،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علمی فرهنگی، چاپ سوم،</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ی فتح، آیه ی</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،سوره ی مائده، آیه ی</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،سوره ی آل عمران، آیه ی</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،سوره ی نحل، آیه ی</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،نهج البلاغه،خ</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؛شوقی ضیف، العصر الجاهلی، ترجمه ی قراگزلو،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امیرکبیر،چاپ اول،</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،مرتضی مطهری،مسئله ی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همو،چاپ دوم،</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زرین کوب،تاریخ مردم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امیرکبیر،چاپ سوم،</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کریستن سن،ایران در زمان ساسانیان،ترجمه ی رشید یاسمی،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کتاب، چاپ سوم،</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طبری،تاریخ، ترجمه ی پاینده،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اساطیر،چاپ چهارم،</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کریستن سن،همان،ص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پیرنیا،ایران باستان،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کتاب، چاپ،</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سباء، آیه ی </w:t>
      </w:r>
      <w:r>
        <w:rPr>
          <w:rFonts w:eastAsia="IRNazanin" w:cs="IRNazanin"/>
          <w:b w:val="false"/>
          <w:bCs w:val="false"/>
          <w:i w:val="false"/>
          <w:iCs w:val="false"/>
          <w:color w:val="333333"/>
          <w:sz w:val="20"/>
          <w:szCs w:val="20"/>
        </w:rPr>
        <w:t>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تاریخ و الرسل و الملوک ترجمه پاینده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اساطیر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1286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و آموزش انقلاب اسلامی چاپ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نحل آیه ی</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،سوره ی طورآیه ی</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سوره ی آل عمران آیه ی</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سوره ی نساء آیه ی</w:t>
      </w:r>
      <w:r>
        <w:rPr>
          <w:rFonts w:eastAsia="IRNazanin" w:cs="IRNazanin"/>
          <w:b w:val="false"/>
          <w:bCs w:val="false"/>
          <w:i w:val="false"/>
          <w:iCs w:val="false"/>
          <w:color w:val="333333"/>
          <w:sz w:val="20"/>
          <w:szCs w:val="20"/>
        </w:rPr>
        <w:t>30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تهران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عثمان بنی امیه زمین های زراعی مردم را تصاحب نموده و بسیاری از اصحاب به جمع طلا و ثروت های گزاف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ترجمه ی پاینده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علمی فرهنگی، چاپ چهارم،</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عبدالحسین زرین کوب 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جعفریان تاریخ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سازمان تبلیغات چاپ سوم</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 گوتن،مبانی جامعه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انتشارات سمت چاپ چهارم</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وَيُزَكِّيكُمْ وَيُعَلِّمُكُمُ الْكِتَابَ وَالْحِكْمَةَ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157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اسلامیه چاپ چهارم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یعقوبی تاریخ ترجمه آیتی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علمی فرهنگی چاپ هفتم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آیتی، تاریخ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دانشگاه چاپ ششم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جعفریان تاریخ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انتشارات دلیل چاپ دوم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در مدینه اقلیت های دینی و اسرای مشترکین را در انتخاب پرداخت جزیه و قبول اسلام آزاد می گذاشت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بهترین دلیل بر به کار نگرفتن زور و استبداد در قبولاندن دین اسلام توسط پیامبر صلی الله علیه و آله است</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؛سوره ی سباء، آیه 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؛سوره ی قلم، آیه 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احمدی میانجی مکاتیب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یاسین چاپ اول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اخلاق تحسین‌برانگیز حیرت‌آور پیامبر اکرم صلی الله علیه و آله که در ترویج دین اسلام نقش اول را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وسوره ی قلم، آیه 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تاریخ مردم ایران پس از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امیرکبیر چاپ سوم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 لوبون، تمدن اسلام و عرب، ترجمه فخر داعی گیلانی،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چاپ چهارم،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ترجمه پاینده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علمی فرهنگی چاپ چاپ چهارم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جریر طبری تاریخ الطبری ترجمه ی پاینده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اساطیر چاپ چهارم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 دورانت تاریخ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علمی فرهنگی چاپ چهارم،ج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جاویدان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مشکور و رجب نیا تاریخ سیاسی و اجتماعی ایران اشکانیان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دنیای کتاب چاپ سوم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پیرنیا ایران باستان تهران دنیای کتاب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بامداد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امیرکبیر چاپ ششم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ویل دورانت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کریستن سن ایران در زمان ساسانیان ترجمه رشید یاسمی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دنیای کتاب چاپ نهم،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حسن تاریخ سیاسی اسلام تهران دنیای کتاب چه هشتم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نفس الرحمان فضیلت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آفاق، چاپ 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همان </w:t>
      </w:r>
      <w:r>
        <w:rPr>
          <w:rFonts w:eastAsia="IRNazanin" w:cs="IRNazanin"/>
          <w:b w:val="false"/>
          <w:bCs w:val="false"/>
          <w:i w:val="false"/>
          <w:iCs w:val="false"/>
          <w:color w:val="333333"/>
          <w:sz w:val="20"/>
          <w:szCs w:val="20"/>
        </w:rPr>
        <w:t>288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تبعیض خلیفه اول در تقسیم بیت المال به اعراب از هزار درهم و به عجم های اهل ایران دو هزار درهم داد محدث‌نوری 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در نامه‌ای به ابن زیاد می نویسد درباره ایرانیان به سنت عمر عمل کن که هر یک از آنها مسلمان شد خوارش کن و نگذار با عرب ازدواج کنند و از عرب ارث ببرند ولی از آنها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کار سخت بکش در نماز نگذار از عرب جلوتر باشد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موالی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نصف دیه عرب تعیین کرد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در نامه‌ای به سلمان نوشت تو با کارهایت در مدائن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سلمان تواضع داشت و با مردم مهربان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 را تضعیف کرده ای او در جواب نوشت تو‌میدانی که پیامبر صلی الله علیه و آله نیز با مردم الفت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سیدعلی خانه شیرازی الدرجات الرفیعه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قم،نشر بصیرتی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برای استانداری مدائن از امیرالمومنان اجازه گرفت</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احمدکسروی، در پیرامون تاریخ،تصحیح عزیز علی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فردوس،</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گوستاولوبون همان،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اشاره به اخراج مسلمین از جزیره ی سیسیل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 نمونه ی دیگر انقراض حکومت در آندلس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زور شمشیر تمام مناطق شده بود ولی اکنون فقط آثاری تخریب شده از این دوران برجای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قرن آندلس از دست اعراب خارج شد و حکومتی که در آنجا از هشتصد سال به این طرف داشتند با تمدنشان هر دو به تمام خاتمه پیدا کرد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بازیابی ارزشها،ج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؛انقلاب ایران در دو حرکت،ص</w:t>
      </w:r>
      <w:r>
        <w:rPr>
          <w:rFonts w:eastAsia="IRNazanin" w:cs="IRNazanin"/>
          <w:b w:val="false"/>
          <w:bCs w:val="false"/>
          <w:i w:val="false"/>
          <w:iCs w:val="false"/>
          <w:color w:val="333333"/>
          <w:sz w:val="20"/>
          <w:szCs w:val="20"/>
        </w:rPr>
        <w:t>160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یزدی، آخرین تلاشها، آخرین روزها،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نهضت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بازرگان،انقلاب ایران در دو حرکت،ص</w:t>
      </w:r>
      <w:r>
        <w:rPr>
          <w:rFonts w:eastAsia="IRNazanin" w:cs="IRNazanin"/>
          <w:b w:val="false"/>
          <w:bCs w:val="false"/>
          <w:i w:val="false"/>
          <w:iCs w:val="false"/>
          <w:color w:val="333333"/>
          <w:sz w:val="20"/>
          <w:szCs w:val="20"/>
        </w:rPr>
        <w:t>31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تلاش ها،آخرین روزها،ص</w:t>
      </w:r>
      <w:r>
        <w:rPr>
          <w:rFonts w:eastAsia="IRNazanin" w:cs="IRNazanin"/>
          <w:b w:val="false"/>
          <w:bCs w:val="false"/>
          <w:i w:val="false"/>
          <w:iCs w:val="false"/>
          <w:color w:val="333333"/>
          <w:sz w:val="20"/>
          <w:szCs w:val="20"/>
        </w:rPr>
        <w:t>36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لانه ی جاسوسی،ش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لانه ی جاسوسی،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لانه ی جاسوسی،ش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بازرگان، انقلاب در دو حرکت، سراسر کتاب توجیه این مطلب است که نهضت ایران صرفادر بعد ضد استبدادی خلاصه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گونه داعیه ی ضد استکباری نداشته و لذا حرکت های اخیر رهبری انقلاب و مردم انحراف از اصول و خط اولیه نهضت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یزدی آخرین تلاشها در آخرین روزها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نیز نشریات راه مصدق و ضمائم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نهضت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سلطانی خط سازش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مرکز چاپ و نشر سازمان تبلیغات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آزادی در اندیشه و عمل قم دفتر تبلیغات اسلامی،ج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آزادی ماهنامه بیستمین سالگرد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سلطانی ،پیشین، ص</w:t>
      </w:r>
      <w:r>
        <w:rPr>
          <w:rFonts w:eastAsia="IRNazanin" w:cs="IRNazanin"/>
          <w:b w:val="false"/>
          <w:bCs w:val="false"/>
          <w:i w:val="false"/>
          <w:iCs w:val="false"/>
          <w:color w:val="333333"/>
          <w:sz w:val="20"/>
          <w:szCs w:val="20"/>
        </w:rPr>
        <w:t>360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میثمی خاطرات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نهضت آزادی تا مجاهدین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صمدیه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رضوی نیا نهضت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کتاب صبح،چ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اسناد نهضت آزادی، ج</w:t>
      </w:r>
      <w:r>
        <w:rPr>
          <w:rFonts w:eastAsia="IRNazanin" w:cs="IRNazanin"/>
          <w:b w:val="false"/>
          <w:bCs w:val="false"/>
          <w:i w:val="false"/>
          <w:iCs w:val="false"/>
          <w:color w:val="333333"/>
          <w:sz w:val="20"/>
          <w:szCs w:val="20"/>
        </w:rPr>
        <w:t>48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رضوی نیا همان ص</w:t>
      </w:r>
      <w:r>
        <w:rPr>
          <w:rFonts w:eastAsia="IRNazanin" w:cs="IRNazanin"/>
          <w:b w:val="false"/>
          <w:bCs w:val="false"/>
          <w:i w:val="false"/>
          <w:iCs w:val="false"/>
          <w:color w:val="333333"/>
          <w:sz w:val="20"/>
          <w:szCs w:val="20"/>
        </w:rPr>
        <w:t>48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میثمی از نهضت آزادی تا مجاهدین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نامه نهضت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خبائث و انحراف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پیام مجاهد 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مدنی تاریخ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انتشارات جامعه مدرسین بی تا 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نهضت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مرکز اسناد انقلاب اسلامی،چ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جلال الدین مدنی 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شادلو، اطلاعاتی درباره احزاب سیاسی و جناح های سیاسی ایران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نشر گستر،چ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علائم بیان واقعیت هستند تحلیلی بر نهضت آزادی ایران خارج از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موعودبی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یادنامه بیستمین سالگردص</w:t>
      </w:r>
      <w:r>
        <w:rPr>
          <w:rFonts w:eastAsia="IRNazanin" w:cs="IRNazanin"/>
          <w:b w:val="false"/>
          <w:bCs w:val="false"/>
          <w:i w:val="false"/>
          <w:iCs w:val="false"/>
          <w:color w:val="333333"/>
          <w:sz w:val="20"/>
          <w:szCs w:val="20"/>
        </w:rPr>
        <w:t>21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علائم،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یادنامه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پترسون و دیگران، عقل و اعتقاد دینی،ترجمه ی حمید نراقی و ابراهیم سلطانی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طرح نو، چاپ سوم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هادی صادقی، درآمدی بر کلام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طه و نشر معرف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صادقی، درآمدی بر کلام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طه و نشر معرف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علیرضا قائمی نیا تجربه دینی و گوهر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بوستان کتاب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پترسون و دیگران،همان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علیرضا قائمی نیا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پترسون و دیگران،همان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علیرضا قائمی نیا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صادقی، همان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الفتوحات المکیه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دار صادر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قیصری، شرح فصوص الحکم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حيدر آملى در جامع الاسرار و منبع الانوار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هادی صادقی، درآمدی بر کلام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طه و نشر معرف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جن،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صادقی، همان </w:t>
      </w:r>
      <w:r>
        <w:rPr>
          <w:rFonts w:eastAsia="IRNazanin" w:cs="IRNazanin"/>
          <w:b w:val="false"/>
          <w:bCs w:val="false"/>
          <w:i w:val="false"/>
          <w:iCs w:val="false"/>
          <w:color w:val="333333"/>
          <w:sz w:val="20"/>
          <w:szCs w:val="20"/>
        </w:rPr>
        <w:t>247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همان، ص</w:t>
      </w:r>
      <w:r>
        <w:rPr>
          <w:rFonts w:eastAsia="IRNazanin" w:cs="IRNazanin"/>
          <w:b w:val="false"/>
          <w:bCs w:val="false"/>
          <w:i w:val="false"/>
          <w:iCs w:val="false"/>
          <w:color w:val="333333"/>
          <w:sz w:val="20"/>
          <w:szCs w:val="20"/>
        </w:rPr>
        <w:t>316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مزمل، آیه ی </w:t>
      </w:r>
      <w:r>
        <w:rPr>
          <w:rFonts w:eastAsia="IRNazanin" w:cs="IRNazanin"/>
          <w:b w:val="false"/>
          <w:bCs w:val="false"/>
          <w:i w:val="false"/>
          <w:iCs w:val="false"/>
          <w:color w:val="333333"/>
          <w:sz w:val="20"/>
          <w:szCs w:val="20"/>
        </w:rPr>
        <w:t>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قیامت، آیه 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 آیه ی</w:t>
      </w:r>
      <w:r>
        <w:rPr>
          <w:rFonts w:eastAsia="IRNazanin" w:cs="IRNazanin"/>
          <w:b w:val="false"/>
          <w:bCs w:val="false"/>
          <w:i w:val="false"/>
          <w:iCs w:val="false"/>
          <w:color w:val="333333"/>
          <w:sz w:val="20"/>
          <w:szCs w:val="20"/>
        </w:rPr>
        <w:t>252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سعیدی روشن تحلیل وحی از دیدگاه اسلام تهران پژوهشکده فرهنگ و اندیشه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35063</Words>
  <Characters>135151</Characters>
  <CharactersWithSpaces>169255</CharactersWithSpaces>
  <Paragraphs>1431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2026-08-27T09:55:31Z</dcterms:created>
  <dc:creator>ghaemiyeh.com</dc:creator>
  <dc:description/>
  <dc:language>en-US</dc:language>
  <cp:lastModifiedBy/>
  <dcterms:modified xsi:type="dcterms:W3CDTF">2026-08-27T13:25:37Z</dcterms:modified>
  <cp:revision>1</cp:revision>
  <dc:subject/>
  <dc:title>مجله صباح - فصلنامه پژوهشی پرسش ها و پاسخ های دینی-سال چهارم- شماره 15-16- بهار و تابستان 1384</dc:title>
</cp:coreProperties>
</file>

<file path=docProps/custom.xml><?xml version="1.0" encoding="utf-8"?>
<Properties xmlns="http://schemas.openxmlformats.org/officeDocument/2006/custom-properties" xmlns:vt="http://schemas.openxmlformats.org/officeDocument/2006/docPropsVTypes"/>
</file>