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al-bAbu l-hAdI ASHAR</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6877020_1280447820">
            <w:r>
              <w:rPr>
                <w:webHidden/>
                <w:rStyle w:val="IndexLink"/>
              </w:rPr>
              <w:t>book id</w:t>
              <w:tab/>
              <w:t>5</w:t>
            </w:r>
          </w:hyperlink>
        </w:p>
        <w:p>
          <w:pPr>
            <w:pStyle w:val="Contents2"/>
            <w:tabs>
              <w:tab w:val="clear" w:pos="8743"/>
              <w:tab w:val="right" w:pos="9026" w:leader="dot"/>
            </w:tabs>
            <w:bidi w:val="0"/>
            <w:rPr/>
          </w:pPr>
          <w:hyperlink w:anchor="__RefHeading___Toc16877022_1280447820">
            <w:r>
              <w:rPr>
                <w:webHidden/>
                <w:rStyle w:val="IndexLink"/>
              </w:rPr>
              <w:t>Point</w:t>
              <w:tab/>
              <w:t>5</w:t>
            </w:r>
          </w:hyperlink>
        </w:p>
        <w:p>
          <w:pPr>
            <w:pStyle w:val="Contents2"/>
            <w:tabs>
              <w:tab w:val="clear" w:pos="8743"/>
              <w:tab w:val="right" w:pos="9026" w:leader="dot"/>
            </w:tabs>
            <w:bidi w:val="0"/>
            <w:rPr/>
          </w:pPr>
          <w:hyperlink w:anchor="__RefHeading___Toc16877024_1280447820">
            <w:r>
              <w:rPr>
                <w:webHidden/>
                <w:rStyle w:val="IndexLink"/>
              </w:rPr>
              <w:t>FOREWORD</w:t>
              <w:tab/>
              <w:t>14</w:t>
            </w:r>
          </w:hyperlink>
        </w:p>
        <w:p>
          <w:pPr>
            <w:pStyle w:val="Contents2"/>
            <w:tabs>
              <w:tab w:val="clear" w:pos="8743"/>
              <w:tab w:val="right" w:pos="9026" w:leader="dot"/>
            </w:tabs>
            <w:bidi w:val="0"/>
            <w:rPr/>
          </w:pPr>
          <w:hyperlink w:anchor="__RefHeading___Toc16877026_1280447820">
            <w:r>
              <w:rPr>
                <w:webHidden/>
                <w:rStyle w:val="IndexLink"/>
              </w:rPr>
              <w:t>TABLE OF CONTENTS</w:t>
              <w:tab/>
              <w:t>16</w:t>
            </w:r>
          </w:hyperlink>
        </w:p>
        <w:p>
          <w:pPr>
            <w:pStyle w:val="Contents2"/>
            <w:tabs>
              <w:tab w:val="clear" w:pos="8743"/>
              <w:tab w:val="right" w:pos="9026" w:leader="dot"/>
            </w:tabs>
            <w:bidi w:val="0"/>
            <w:rPr/>
          </w:pPr>
          <w:hyperlink w:anchor="__RefHeading___Toc16877028_1280447820">
            <w:r>
              <w:rPr>
                <w:webHidden/>
                <w:rStyle w:val="IndexLink"/>
              </w:rPr>
              <w:t>SKETCH OF ‘ALLAMA-I-HILLI</w:t>
              <w:tab/>
              <w:t>18</w:t>
            </w:r>
          </w:hyperlink>
        </w:p>
        <w:p>
          <w:pPr>
            <w:pStyle w:val="Contents2"/>
            <w:tabs>
              <w:tab w:val="clear" w:pos="8743"/>
              <w:tab w:val="right" w:pos="9026" w:leader="dot"/>
            </w:tabs>
            <w:bidi w:val="0"/>
            <w:rPr/>
          </w:pPr>
          <w:hyperlink w:anchor="__RefHeading___Toc16877030_1280447820">
            <w:r>
              <w:rPr>
                <w:webHidden/>
                <w:rStyle w:val="IndexLink"/>
              </w:rPr>
              <w:t>Introduction by the Commentator (1 and 2)</w:t>
              <w:tab/>
              <w:t>22</w:t>
            </w:r>
          </w:hyperlink>
        </w:p>
        <w:p>
          <w:pPr>
            <w:pStyle w:val="Contents2"/>
            <w:tabs>
              <w:tab w:val="clear" w:pos="8743"/>
              <w:tab w:val="right" w:pos="9026" w:leader="dot"/>
            </w:tabs>
            <w:bidi w:val="0"/>
            <w:rPr/>
          </w:pPr>
          <w:hyperlink w:anchor="__RefHeading___Toc16877032_1280447820">
            <w:r>
              <w:rPr>
                <w:webHidden/>
                <w:rStyle w:val="IndexLink"/>
              </w:rPr>
              <w:t>The Necessity of the Knowledge of the Principles of Religion (3-20)</w:t>
              <w:tab/>
              <w:t>24</w:t>
            </w:r>
          </w:hyperlink>
        </w:p>
        <w:p>
          <w:pPr>
            <w:pStyle w:val="Contents2"/>
            <w:tabs>
              <w:tab w:val="clear" w:pos="8743"/>
              <w:tab w:val="right" w:pos="9026" w:leader="dot"/>
            </w:tabs>
            <w:bidi w:val="0"/>
            <w:rPr/>
          </w:pPr>
          <w:hyperlink w:anchor="__RefHeading___Toc16877034_1280447820">
            <w:r>
              <w:rPr>
                <w:webHidden/>
                <w:rStyle w:val="IndexLink"/>
              </w:rPr>
              <w:t>I. Section One: The Proof of the Self-Existent (21-37)</w:t>
              <w:tab/>
              <w:t>30</w:t>
            </w:r>
          </w:hyperlink>
        </w:p>
        <w:p>
          <w:pPr>
            <w:pStyle w:val="Contents2"/>
            <w:tabs>
              <w:tab w:val="clear" w:pos="8743"/>
              <w:tab w:val="right" w:pos="9026" w:leader="dot"/>
            </w:tabs>
            <w:bidi w:val="0"/>
            <w:rPr/>
          </w:pPr>
          <w:hyperlink w:anchor="__RefHeading___Toc16877036_1280447820">
            <w:r>
              <w:rPr>
                <w:webHidden/>
                <w:rStyle w:val="IndexLink"/>
              </w:rPr>
              <w:t>II. Section Two: Allah’s Positive Qualities (38-82)</w:t>
              <w:tab/>
              <w:t>36</w:t>
            </w:r>
          </w:hyperlink>
        </w:p>
        <w:p>
          <w:pPr>
            <w:pStyle w:val="Contents3"/>
            <w:tabs>
              <w:tab w:val="clear" w:pos="8459"/>
              <w:tab w:val="right" w:pos="9026" w:leader="dot"/>
            </w:tabs>
            <w:bidi w:val="0"/>
            <w:rPr/>
          </w:pPr>
          <w:hyperlink w:anchor="__RefHeading___Toc16877038_1280447820">
            <w:r>
              <w:rPr>
                <w:webHidden/>
                <w:rStyle w:val="IndexLink"/>
                <w:rtl w:val="true"/>
              </w:rPr>
              <w:t>اشاره</w:t>
            </w:r>
            <w:r>
              <w:rPr>
                <w:rStyle w:val="IndexLink"/>
              </w:rPr>
              <w:tab/>
            </w:r>
            <w:r>
              <w:rPr>
                <w:rStyle w:val="IndexLink"/>
              </w:rPr>
              <w:t>36</w:t>
            </w:r>
          </w:hyperlink>
        </w:p>
        <w:p>
          <w:pPr>
            <w:pStyle w:val="Contents3"/>
            <w:tabs>
              <w:tab w:val="clear" w:pos="8459"/>
              <w:tab w:val="right" w:pos="9026" w:leader="dot"/>
            </w:tabs>
            <w:bidi w:val="0"/>
            <w:rPr/>
          </w:pPr>
          <w:hyperlink w:anchor="__RefHeading___Toc16877040_1280447820">
            <w:r>
              <w:rPr>
                <w:webHidden/>
                <w:rStyle w:val="IndexLink"/>
              </w:rPr>
              <w:t>(1) He is Powerful and Free (38-50)</w:t>
              <w:tab/>
              <w:t>36</w:t>
            </w:r>
          </w:hyperlink>
        </w:p>
        <w:p>
          <w:pPr>
            <w:pStyle w:val="Contents3"/>
            <w:tabs>
              <w:tab w:val="clear" w:pos="8459"/>
              <w:tab w:val="right" w:pos="9026" w:leader="dot"/>
            </w:tabs>
            <w:bidi w:val="0"/>
            <w:rPr/>
          </w:pPr>
          <w:hyperlink w:anchor="__RefHeading___Toc16877042_1280447820">
            <w:r>
              <w:rPr>
                <w:webHidden/>
                <w:rStyle w:val="IndexLink"/>
              </w:rPr>
              <w:t>(2) He is Knowing (51-56)</w:t>
              <w:tab/>
              <w:t>40</w:t>
            </w:r>
          </w:hyperlink>
        </w:p>
        <w:p>
          <w:pPr>
            <w:pStyle w:val="Contents3"/>
            <w:tabs>
              <w:tab w:val="clear" w:pos="8459"/>
              <w:tab w:val="right" w:pos="9026" w:leader="dot"/>
            </w:tabs>
            <w:bidi w:val="0"/>
            <w:rPr/>
          </w:pPr>
          <w:hyperlink w:anchor="__RefHeading___Toc16877044_1280447820">
            <w:r>
              <w:rPr>
                <w:webHidden/>
                <w:rStyle w:val="IndexLink"/>
              </w:rPr>
              <w:t>(3) He is Living (57-58)</w:t>
              <w:tab/>
              <w:t>42</w:t>
            </w:r>
          </w:hyperlink>
        </w:p>
        <w:p>
          <w:pPr>
            <w:pStyle w:val="Contents3"/>
            <w:tabs>
              <w:tab w:val="clear" w:pos="8459"/>
              <w:tab w:val="right" w:pos="9026" w:leader="dot"/>
            </w:tabs>
            <w:bidi w:val="0"/>
            <w:rPr/>
          </w:pPr>
          <w:hyperlink w:anchor="__RefHeading___Toc16877046_1280447820">
            <w:r>
              <w:rPr>
                <w:webHidden/>
                <w:rStyle w:val="IndexLink"/>
              </w:rPr>
              <w:t>(4) He is a Willer and a Disliker (59-65)</w:t>
              <w:tab/>
              <w:t>43</w:t>
            </w:r>
          </w:hyperlink>
        </w:p>
        <w:p>
          <w:pPr>
            <w:pStyle w:val="Contents3"/>
            <w:tabs>
              <w:tab w:val="clear" w:pos="8459"/>
              <w:tab w:val="right" w:pos="9026" w:leader="dot"/>
            </w:tabs>
            <w:bidi w:val="0"/>
            <w:rPr/>
          </w:pPr>
          <w:hyperlink w:anchor="__RefHeading___Toc16877048_1280447820">
            <w:r>
              <w:rPr>
                <w:webHidden/>
                <w:rStyle w:val="IndexLink"/>
              </w:rPr>
              <w:t>(5) He is a Perceiver (66-68)</w:t>
              <w:tab/>
              <w:t>45</w:t>
            </w:r>
          </w:hyperlink>
        </w:p>
        <w:p>
          <w:pPr>
            <w:pStyle w:val="Contents3"/>
            <w:tabs>
              <w:tab w:val="clear" w:pos="8459"/>
              <w:tab w:val="right" w:pos="9026" w:leader="dot"/>
            </w:tabs>
            <w:bidi w:val="0"/>
            <w:rPr/>
          </w:pPr>
          <w:hyperlink w:anchor="__RefHeading___Toc16877050_1280447820">
            <w:r>
              <w:rPr>
                <w:webHidden/>
                <w:rStyle w:val="IndexLink"/>
              </w:rPr>
              <w:t>(6) He is Eternal (69-71)</w:t>
              <w:tab/>
              <w:t>45</w:t>
            </w:r>
          </w:hyperlink>
        </w:p>
        <w:p>
          <w:pPr>
            <w:pStyle w:val="Contents3"/>
            <w:tabs>
              <w:tab w:val="clear" w:pos="8459"/>
              <w:tab w:val="right" w:pos="9026" w:leader="dot"/>
            </w:tabs>
            <w:bidi w:val="0"/>
            <w:rPr/>
          </w:pPr>
          <w:hyperlink w:anchor="__RefHeading___Toc16877052_1280447820">
            <w:r>
              <w:rPr>
                <w:webHidden/>
                <w:rStyle w:val="IndexLink"/>
              </w:rPr>
              <w:t>(7) He is a Speaker (72-80)</w:t>
              <w:tab/>
              <w:t>46</w:t>
            </w:r>
          </w:hyperlink>
        </w:p>
        <w:p>
          <w:pPr>
            <w:pStyle w:val="Contents3"/>
            <w:tabs>
              <w:tab w:val="clear" w:pos="8459"/>
              <w:tab w:val="right" w:pos="9026" w:leader="dot"/>
            </w:tabs>
            <w:bidi w:val="0"/>
            <w:rPr/>
          </w:pPr>
          <w:hyperlink w:anchor="__RefHeading___Toc16877054_1280447820">
            <w:r>
              <w:rPr>
                <w:webHidden/>
                <w:rStyle w:val="IndexLink"/>
              </w:rPr>
              <w:t>(8) He is Veracious (81-82)</w:t>
              <w:tab/>
              <w:t>49</w:t>
            </w:r>
          </w:hyperlink>
        </w:p>
        <w:p>
          <w:pPr>
            <w:pStyle w:val="Contents2"/>
            <w:tabs>
              <w:tab w:val="clear" w:pos="8743"/>
              <w:tab w:val="right" w:pos="9026" w:leader="dot"/>
            </w:tabs>
            <w:bidi w:val="0"/>
            <w:rPr/>
          </w:pPr>
          <w:hyperlink w:anchor="__RefHeading___Toc16877056_1280447820">
            <w:r>
              <w:rPr>
                <w:webHidden/>
                <w:rStyle w:val="IndexLink"/>
              </w:rPr>
              <w:t>III. Section Three: Allah’s Privative Qualities (83-110)</w:t>
              <w:tab/>
              <w:t>51</w:t>
            </w:r>
          </w:hyperlink>
        </w:p>
        <w:p>
          <w:pPr>
            <w:pStyle w:val="Contents3"/>
            <w:tabs>
              <w:tab w:val="clear" w:pos="8459"/>
              <w:tab w:val="right" w:pos="9026" w:leader="dot"/>
            </w:tabs>
            <w:bidi w:val="0"/>
            <w:rPr/>
          </w:pPr>
          <w:hyperlink w:anchor="__RefHeading___Toc16877058_1280447820">
            <w:r>
              <w:rPr>
                <w:webHidden/>
                <w:rStyle w:val="IndexLink"/>
                <w:rtl w:val="true"/>
              </w:rPr>
              <w:t>اشاره</w:t>
            </w:r>
            <w:r>
              <w:rPr>
                <w:rStyle w:val="IndexLink"/>
              </w:rPr>
              <w:tab/>
            </w:r>
            <w:r>
              <w:rPr>
                <w:rStyle w:val="IndexLink"/>
              </w:rPr>
              <w:t>51</w:t>
            </w:r>
          </w:hyperlink>
        </w:p>
        <w:p>
          <w:pPr>
            <w:pStyle w:val="Contents3"/>
            <w:tabs>
              <w:tab w:val="clear" w:pos="8459"/>
              <w:tab w:val="right" w:pos="9026" w:leader="dot"/>
            </w:tabs>
            <w:bidi w:val="0"/>
            <w:rPr/>
          </w:pPr>
          <w:hyperlink w:anchor="__RefHeading___Toc16877060_1280447820">
            <w:r>
              <w:rPr>
                <w:webHidden/>
                <w:rStyle w:val="IndexLink"/>
              </w:rPr>
              <w:t>(1) He is not compounded (83-86)</w:t>
              <w:tab/>
              <w:t>51</w:t>
            </w:r>
          </w:hyperlink>
        </w:p>
        <w:p>
          <w:pPr>
            <w:pStyle w:val="Contents3"/>
            <w:tabs>
              <w:tab w:val="clear" w:pos="8459"/>
              <w:tab w:val="right" w:pos="9026" w:leader="dot"/>
            </w:tabs>
            <w:bidi w:val="0"/>
            <w:rPr/>
          </w:pPr>
          <w:hyperlink w:anchor="__RefHeading___Toc16877062_1280447820">
            <w:r>
              <w:rPr>
                <w:webHidden/>
                <w:rStyle w:val="IndexLink"/>
              </w:rPr>
              <w:t>(2) He is not a body (86-96)</w:t>
              <w:tab/>
              <w:t>52</w:t>
            </w:r>
          </w:hyperlink>
        </w:p>
        <w:p>
          <w:pPr>
            <w:pStyle w:val="Contents3"/>
            <w:tabs>
              <w:tab w:val="clear" w:pos="8459"/>
              <w:tab w:val="right" w:pos="9026" w:leader="dot"/>
            </w:tabs>
            <w:bidi w:val="0"/>
            <w:rPr/>
          </w:pPr>
          <w:hyperlink w:anchor="__RefHeading___Toc16877064_1280447820">
            <w:r>
              <w:rPr>
                <w:webHidden/>
                <w:rStyle w:val="IndexLink"/>
              </w:rPr>
              <w:t>(3) He is not a locus for originated things (97-99)</w:t>
              <w:tab/>
              <w:t>55</w:t>
            </w:r>
          </w:hyperlink>
        </w:p>
        <w:p>
          <w:pPr>
            <w:pStyle w:val="Contents3"/>
            <w:tabs>
              <w:tab w:val="clear" w:pos="8459"/>
              <w:tab w:val="right" w:pos="9026" w:leader="dot"/>
            </w:tabs>
            <w:bidi w:val="0"/>
            <w:rPr/>
          </w:pPr>
          <w:hyperlink w:anchor="__RefHeading___Toc16877066_1280447820">
            <w:r>
              <w:rPr>
                <w:webHidden/>
                <w:rStyle w:val="IndexLink"/>
              </w:rPr>
              <w:t>(4) He is not visible (100-102)</w:t>
              <w:tab/>
              <w:t>56</w:t>
            </w:r>
          </w:hyperlink>
        </w:p>
        <w:p>
          <w:pPr>
            <w:pStyle w:val="Contents3"/>
            <w:tabs>
              <w:tab w:val="clear" w:pos="8459"/>
              <w:tab w:val="right" w:pos="9026" w:leader="dot"/>
            </w:tabs>
            <w:bidi w:val="0"/>
            <w:rPr/>
          </w:pPr>
          <w:hyperlink w:anchor="__RefHeading___Toc16877068_1280447820">
            <w:r>
              <w:rPr>
                <w:webHidden/>
                <w:rStyle w:val="IndexLink"/>
              </w:rPr>
              <w:t>(5) He has no partner (103-105)</w:t>
              <w:tab/>
              <w:t>58</w:t>
            </w:r>
          </w:hyperlink>
        </w:p>
        <w:p>
          <w:pPr>
            <w:pStyle w:val="Contents3"/>
            <w:tabs>
              <w:tab w:val="clear" w:pos="8459"/>
              <w:tab w:val="right" w:pos="9026" w:leader="dot"/>
            </w:tabs>
            <w:bidi w:val="0"/>
            <w:rPr/>
          </w:pPr>
          <w:hyperlink w:anchor="__RefHeading___Toc16877070_1280447820">
            <w:r>
              <w:rPr>
                <w:webHidden/>
                <w:rStyle w:val="IndexLink"/>
              </w:rPr>
              <w:t>(6) He has no ideas and states (106-108)</w:t>
              <w:tab/>
              <w:t>59</w:t>
            </w:r>
          </w:hyperlink>
        </w:p>
        <w:p>
          <w:pPr>
            <w:pStyle w:val="Contents3"/>
            <w:tabs>
              <w:tab w:val="clear" w:pos="8459"/>
              <w:tab w:val="right" w:pos="9026" w:leader="dot"/>
            </w:tabs>
            <w:bidi w:val="0"/>
            <w:rPr/>
          </w:pPr>
          <w:hyperlink w:anchor="__RefHeading___Toc16877072_1280447820">
            <w:r>
              <w:rPr>
                <w:webHidden/>
                <w:rStyle w:val="IndexLink"/>
              </w:rPr>
              <w:t>(7) He has no need (109-110)</w:t>
              <w:tab/>
              <w:t>60</w:t>
            </w:r>
          </w:hyperlink>
        </w:p>
        <w:p>
          <w:pPr>
            <w:pStyle w:val="Contents2"/>
            <w:tabs>
              <w:tab w:val="clear" w:pos="8743"/>
              <w:tab w:val="right" w:pos="9026" w:leader="dot"/>
            </w:tabs>
            <w:bidi w:val="0"/>
            <w:rPr/>
          </w:pPr>
          <w:hyperlink w:anchor="__RefHeading___Toc16877074_1280447820">
            <w:r>
              <w:rPr>
                <w:webHidden/>
                <w:rStyle w:val="IndexLink"/>
              </w:rPr>
              <w:t>IV. Section Four: Allah’s Justice (111-151)</w:t>
              <w:tab/>
              <w:t>61</w:t>
            </w:r>
          </w:hyperlink>
        </w:p>
        <w:p>
          <w:pPr>
            <w:pStyle w:val="Contents3"/>
            <w:tabs>
              <w:tab w:val="clear" w:pos="8459"/>
              <w:tab w:val="right" w:pos="9026" w:leader="dot"/>
            </w:tabs>
            <w:bidi w:val="0"/>
            <w:rPr/>
          </w:pPr>
          <w:hyperlink w:anchor="__RefHeading___Toc16877076_1280447820">
            <w:r>
              <w:rPr>
                <w:webHidden/>
                <w:rStyle w:val="IndexLink"/>
                <w:rtl w:val="true"/>
              </w:rPr>
              <w:t>اشاره</w:t>
            </w:r>
            <w:r>
              <w:rPr>
                <w:rStyle w:val="IndexLink"/>
              </w:rPr>
              <w:tab/>
            </w:r>
            <w:r>
              <w:rPr>
                <w:rStyle w:val="IndexLink"/>
              </w:rPr>
              <w:t>61</w:t>
            </w:r>
          </w:hyperlink>
        </w:p>
        <w:p>
          <w:pPr>
            <w:pStyle w:val="Contents3"/>
            <w:tabs>
              <w:tab w:val="clear" w:pos="8459"/>
              <w:tab w:val="right" w:pos="9026" w:leader="dot"/>
            </w:tabs>
            <w:bidi w:val="0"/>
            <w:rPr/>
          </w:pPr>
          <w:hyperlink w:anchor="__RefHeading___Toc16877078_1280447820">
            <w:r>
              <w:rPr>
                <w:webHidden/>
                <w:rStyle w:val="IndexLink"/>
              </w:rPr>
              <w:t>(1) Reason is the judge as to good and evil (111-117)</w:t>
              <w:tab/>
              <w:t>61</w:t>
            </w:r>
          </w:hyperlink>
        </w:p>
        <w:p>
          <w:pPr>
            <w:pStyle w:val="Contents3"/>
            <w:tabs>
              <w:tab w:val="clear" w:pos="8459"/>
              <w:tab w:val="right" w:pos="9026" w:leader="dot"/>
            </w:tabs>
            <w:bidi w:val="0"/>
            <w:rPr/>
          </w:pPr>
          <w:hyperlink w:anchor="__RefHeading___Toc16877080_1280447820">
            <w:r>
              <w:rPr>
                <w:webHidden/>
                <w:rStyle w:val="IndexLink"/>
              </w:rPr>
              <w:t>(2) Men are free agents (118-122)</w:t>
              <w:tab/>
              <w:t>63</w:t>
            </w:r>
          </w:hyperlink>
        </w:p>
        <w:p>
          <w:pPr>
            <w:pStyle w:val="Contents3"/>
            <w:tabs>
              <w:tab w:val="clear" w:pos="8459"/>
              <w:tab w:val="right" w:pos="9026" w:leader="dot"/>
            </w:tabs>
            <w:bidi w:val="0"/>
            <w:rPr/>
          </w:pPr>
          <w:hyperlink w:anchor="__RefHeading___Toc16877082_1280447820">
            <w:r>
              <w:rPr>
                <w:webHidden/>
                <w:rStyle w:val="IndexLink"/>
              </w:rPr>
              <w:t>(3) Evil is impossible in Allah (123-126)</w:t>
              <w:tab/>
              <w:t>65</w:t>
            </w:r>
          </w:hyperlink>
        </w:p>
        <w:p>
          <w:pPr>
            <w:pStyle w:val="Contents3"/>
            <w:tabs>
              <w:tab w:val="clear" w:pos="8459"/>
              <w:tab w:val="right" w:pos="9026" w:leader="dot"/>
            </w:tabs>
            <w:bidi w:val="0"/>
            <w:rPr/>
          </w:pPr>
          <w:hyperlink w:anchor="__RefHeading___Toc16877084_1280447820">
            <w:r>
              <w:rPr>
                <w:webHidden/>
                <w:rStyle w:val="IndexLink"/>
              </w:rPr>
              <w:t>(4) Allah acts with an aim (127-143)</w:t>
              <w:tab/>
              <w:t>66</w:t>
            </w:r>
          </w:hyperlink>
        </w:p>
        <w:p>
          <w:pPr>
            <w:pStyle w:val="Contents4"/>
            <w:tabs>
              <w:tab w:val="clear" w:pos="8176"/>
              <w:tab w:val="right" w:pos="9026" w:leader="dot"/>
            </w:tabs>
            <w:bidi w:val="0"/>
            <w:rPr/>
          </w:pPr>
          <w:hyperlink w:anchor="__RefHeading___Toc16877086_1280447820">
            <w:r>
              <w:rPr>
                <w:webHidden/>
                <w:rStyle w:val="IndexLink"/>
                <w:rtl w:val="true"/>
              </w:rPr>
              <w:t>اشاره</w:t>
            </w:r>
            <w:r>
              <w:rPr>
                <w:rStyle w:val="IndexLink"/>
              </w:rPr>
              <w:tab/>
            </w:r>
            <w:r>
              <w:rPr>
                <w:rStyle w:val="IndexLink"/>
              </w:rPr>
              <w:t>66</w:t>
            </w:r>
          </w:hyperlink>
        </w:p>
        <w:p>
          <w:pPr>
            <w:pStyle w:val="Contents4"/>
            <w:tabs>
              <w:tab w:val="clear" w:pos="8176"/>
              <w:tab w:val="right" w:pos="9026" w:leader="dot"/>
            </w:tabs>
            <w:bidi w:val="0"/>
            <w:rPr/>
          </w:pPr>
          <w:hyperlink w:anchor="__RefHeading___Toc16877088_1280447820">
            <w:r>
              <w:rPr>
                <w:webHidden/>
                <w:rStyle w:val="IndexLink"/>
              </w:rPr>
              <w:t>(a) This aim is man’s advantage (129-130)</w:t>
              <w:tab/>
              <w:t>67</w:t>
            </w:r>
          </w:hyperlink>
        </w:p>
        <w:p>
          <w:pPr>
            <w:pStyle w:val="Contents4"/>
            <w:tabs>
              <w:tab w:val="clear" w:pos="8176"/>
              <w:tab w:val="right" w:pos="9026" w:leader="dot"/>
            </w:tabs>
            <w:bidi w:val="0"/>
            <w:rPr/>
          </w:pPr>
          <w:hyperlink w:anchor="__RefHeading___Toc16877090_1280447820">
            <w:r>
              <w:rPr>
                <w:webHidden/>
                <w:rStyle w:val="IndexLink"/>
              </w:rPr>
              <w:t>(b) Taklif is necessary (131-143)</w:t>
              <w:tab/>
              <w:t>68</w:t>
            </w:r>
          </w:hyperlink>
        </w:p>
        <w:p>
          <w:pPr>
            <w:pStyle w:val="Contents3"/>
            <w:tabs>
              <w:tab w:val="clear" w:pos="8459"/>
              <w:tab w:val="right" w:pos="9026" w:leader="dot"/>
            </w:tabs>
            <w:bidi w:val="0"/>
            <w:rPr/>
          </w:pPr>
          <w:hyperlink w:anchor="__RefHeading___Toc16877092_1280447820">
            <w:r>
              <w:rPr>
                <w:webHidden/>
                <w:rStyle w:val="IndexLink"/>
              </w:rPr>
              <w:t>(5) Kindness is incumbent upon Allah (144-148)</w:t>
              <w:tab/>
              <w:t>71</w:t>
            </w:r>
          </w:hyperlink>
        </w:p>
        <w:p>
          <w:pPr>
            <w:pStyle w:val="Contents3"/>
            <w:tabs>
              <w:tab w:val="clear" w:pos="8459"/>
              <w:tab w:val="right" w:pos="9026" w:leader="dot"/>
            </w:tabs>
            <w:bidi w:val="0"/>
            <w:rPr/>
          </w:pPr>
          <w:hyperlink w:anchor="__RefHeading___Toc16877094_1280447820">
            <w:r>
              <w:rPr>
                <w:webHidden/>
                <w:rStyle w:val="IndexLink"/>
              </w:rPr>
              <w:t>(6) Recompense for suffering is incumbent upon Allah (149-151)</w:t>
              <w:tab/>
              <w:t>73</w:t>
            </w:r>
          </w:hyperlink>
        </w:p>
        <w:p>
          <w:pPr>
            <w:pStyle w:val="Contents2"/>
            <w:tabs>
              <w:tab w:val="clear" w:pos="8743"/>
              <w:tab w:val="right" w:pos="9026" w:leader="dot"/>
            </w:tabs>
            <w:bidi w:val="0"/>
            <w:rPr/>
          </w:pPr>
          <w:hyperlink w:anchor="__RefHeading___Toc16877096_1280447820">
            <w:r>
              <w:rPr>
                <w:webHidden/>
                <w:rStyle w:val="IndexLink"/>
              </w:rPr>
              <w:t>V. Section Five: Prophecy (152-173)</w:t>
              <w:tab/>
              <w:t>75</w:t>
            </w:r>
          </w:hyperlink>
        </w:p>
        <w:p>
          <w:pPr>
            <w:pStyle w:val="Contents3"/>
            <w:tabs>
              <w:tab w:val="clear" w:pos="8459"/>
              <w:tab w:val="right" w:pos="9026" w:leader="dot"/>
            </w:tabs>
            <w:bidi w:val="0"/>
            <w:rPr/>
          </w:pPr>
          <w:hyperlink w:anchor="__RefHeading___Toc16877098_1280447820">
            <w:r>
              <w:rPr>
                <w:webHidden/>
                <w:rStyle w:val="IndexLink"/>
                <w:rtl w:val="true"/>
              </w:rPr>
              <w:t>اشاره</w:t>
            </w:r>
            <w:r>
              <w:rPr>
                <w:rStyle w:val="IndexLink"/>
              </w:rPr>
              <w:tab/>
            </w:r>
            <w:r>
              <w:rPr>
                <w:rStyle w:val="IndexLink"/>
              </w:rPr>
              <w:t>75</w:t>
            </w:r>
          </w:hyperlink>
        </w:p>
        <w:p>
          <w:pPr>
            <w:pStyle w:val="Contents3"/>
            <w:tabs>
              <w:tab w:val="clear" w:pos="8459"/>
              <w:tab w:val="right" w:pos="9026" w:leader="dot"/>
            </w:tabs>
            <w:bidi w:val="0"/>
            <w:rPr/>
          </w:pPr>
          <w:hyperlink w:anchor="__RefHeading___Toc16877100_1280447820">
            <w:r>
              <w:rPr>
                <w:webHidden/>
                <w:rStyle w:val="IndexLink"/>
              </w:rPr>
              <w:t>(1) Proof of the mission of Muhammad (157-163)</w:t>
              <w:tab/>
              <w:t>77</w:t>
            </w:r>
          </w:hyperlink>
        </w:p>
        <w:p>
          <w:pPr>
            <w:pStyle w:val="Contents3"/>
            <w:tabs>
              <w:tab w:val="clear" w:pos="8459"/>
              <w:tab w:val="right" w:pos="9026" w:leader="dot"/>
            </w:tabs>
            <w:bidi w:val="0"/>
            <w:rPr/>
          </w:pPr>
          <w:hyperlink w:anchor="__RefHeading___Toc16877102_1280447820">
            <w:r>
              <w:rPr>
                <w:webHidden/>
                <w:rStyle w:val="IndexLink"/>
              </w:rPr>
              <w:t>(2) The Prophet must be immune to sin (164-166)</w:t>
              <w:tab/>
              <w:t>79</w:t>
            </w:r>
          </w:hyperlink>
        </w:p>
        <w:p>
          <w:pPr>
            <w:pStyle w:val="Contents3"/>
            <w:tabs>
              <w:tab w:val="clear" w:pos="8459"/>
              <w:tab w:val="right" w:pos="9026" w:leader="dot"/>
            </w:tabs>
            <w:bidi w:val="0"/>
            <w:rPr/>
          </w:pPr>
          <w:hyperlink w:anchor="__RefHeading___Toc16877104_1280447820">
            <w:r>
              <w:rPr>
                <w:webHidden/>
                <w:rStyle w:val="IndexLink"/>
              </w:rPr>
              <w:t>(3) The Prophet must be all his life immune to sin (167-169)</w:t>
              <w:tab/>
              <w:t>80</w:t>
            </w:r>
          </w:hyperlink>
        </w:p>
        <w:p>
          <w:pPr>
            <w:pStyle w:val="Contents3"/>
            <w:tabs>
              <w:tab w:val="clear" w:pos="8459"/>
              <w:tab w:val="right" w:pos="9026" w:leader="dot"/>
            </w:tabs>
            <w:bidi w:val="0"/>
            <w:rPr/>
          </w:pPr>
          <w:hyperlink w:anchor="__RefHeading___Toc16877106_1280447820">
            <w:r>
              <w:rPr>
                <w:webHidden/>
                <w:rStyle w:val="IndexLink"/>
              </w:rPr>
              <w:t>(4) The Prophet must be the best of the people of his age (170, 171)</w:t>
              <w:tab/>
              <w:t>81</w:t>
            </w:r>
          </w:hyperlink>
        </w:p>
        <w:p>
          <w:pPr>
            <w:pStyle w:val="Contents3"/>
            <w:tabs>
              <w:tab w:val="clear" w:pos="8459"/>
              <w:tab w:val="right" w:pos="9026" w:leader="dot"/>
            </w:tabs>
            <w:bidi w:val="0"/>
            <w:rPr/>
          </w:pPr>
          <w:hyperlink w:anchor="__RefHeading___Toc16877108_1280447820">
            <w:r>
              <w:rPr>
                <w:webHidden/>
                <w:rStyle w:val="IndexLink"/>
              </w:rPr>
              <w:t>(5) The Prophet must be free from all defects (172-173)</w:t>
              <w:tab/>
              <w:t>81</w:t>
            </w:r>
          </w:hyperlink>
        </w:p>
        <w:p>
          <w:pPr>
            <w:pStyle w:val="Contents2"/>
            <w:tabs>
              <w:tab w:val="clear" w:pos="8743"/>
              <w:tab w:val="right" w:pos="9026" w:leader="dot"/>
            </w:tabs>
            <w:bidi w:val="0"/>
            <w:rPr/>
          </w:pPr>
          <w:hyperlink w:anchor="__RefHeading___Toc16877110_1280447820">
            <w:r>
              <w:rPr>
                <w:webHidden/>
                <w:rStyle w:val="IndexLink"/>
              </w:rPr>
              <w:t>VI. Section Six: The Imamate (174-218)</w:t>
              <w:tab/>
              <w:t>83</w:t>
            </w:r>
          </w:hyperlink>
        </w:p>
        <w:p>
          <w:pPr>
            <w:pStyle w:val="Contents3"/>
            <w:tabs>
              <w:tab w:val="clear" w:pos="8459"/>
              <w:tab w:val="right" w:pos="9026" w:leader="dot"/>
            </w:tabs>
            <w:bidi w:val="0"/>
            <w:rPr/>
          </w:pPr>
          <w:hyperlink w:anchor="__RefHeading___Toc16877112_1280447820">
            <w:r>
              <w:rPr>
                <w:webHidden/>
                <w:rStyle w:val="IndexLink"/>
                <w:rtl w:val="true"/>
              </w:rPr>
              <w:t>اشاره</w:t>
            </w:r>
            <w:r>
              <w:rPr>
                <w:rStyle w:val="IndexLink"/>
              </w:rPr>
              <w:tab/>
            </w:r>
            <w:r>
              <w:rPr>
                <w:rStyle w:val="IndexLink"/>
              </w:rPr>
              <w:t>83</w:t>
            </w:r>
          </w:hyperlink>
        </w:p>
        <w:p>
          <w:pPr>
            <w:pStyle w:val="Contents3"/>
            <w:tabs>
              <w:tab w:val="clear" w:pos="8459"/>
              <w:tab w:val="right" w:pos="9026" w:leader="dot"/>
            </w:tabs>
            <w:bidi w:val="0"/>
            <w:rPr/>
          </w:pPr>
          <w:hyperlink w:anchor="__RefHeading___Toc16877114_1280447820">
            <w:r>
              <w:rPr>
                <w:webHidden/>
                <w:rStyle w:val="IndexLink"/>
              </w:rPr>
              <w:t>(1) The Imamate is necessary (174-178)</w:t>
              <w:tab/>
              <w:t>83</w:t>
            </w:r>
          </w:hyperlink>
        </w:p>
        <w:p>
          <w:pPr>
            <w:pStyle w:val="Contents3"/>
            <w:tabs>
              <w:tab w:val="clear" w:pos="8459"/>
              <w:tab w:val="right" w:pos="9026" w:leader="dot"/>
            </w:tabs>
            <w:bidi w:val="0"/>
            <w:rPr/>
          </w:pPr>
          <w:hyperlink w:anchor="__RefHeading___Toc16877116_1280447820">
            <w:r>
              <w:rPr>
                <w:webHidden/>
                <w:rStyle w:val="IndexLink"/>
              </w:rPr>
              <w:t>(2) The Imam must be immune to sin (179-185)</w:t>
              <w:tab/>
              <w:t>85</w:t>
            </w:r>
          </w:hyperlink>
        </w:p>
        <w:p>
          <w:pPr>
            <w:pStyle w:val="Contents3"/>
            <w:tabs>
              <w:tab w:val="clear" w:pos="8459"/>
              <w:tab w:val="right" w:pos="9026" w:leader="dot"/>
            </w:tabs>
            <w:bidi w:val="0"/>
            <w:rPr/>
          </w:pPr>
          <w:hyperlink w:anchor="__RefHeading___Toc16877118_1280447820">
            <w:r>
              <w:rPr>
                <w:webHidden/>
                <w:rStyle w:val="IndexLink"/>
              </w:rPr>
              <w:t>(3) The Imam must be specified (186-188)</w:t>
              <w:tab/>
              <w:t>89</w:t>
            </w:r>
          </w:hyperlink>
        </w:p>
        <w:p>
          <w:pPr>
            <w:pStyle w:val="Contents3"/>
            <w:tabs>
              <w:tab w:val="clear" w:pos="8459"/>
              <w:tab w:val="right" w:pos="9026" w:leader="dot"/>
            </w:tabs>
            <w:bidi w:val="0"/>
            <w:rPr/>
          </w:pPr>
          <w:hyperlink w:anchor="__RefHeading___Toc16877120_1280447820">
            <w:r>
              <w:rPr>
                <w:webHidden/>
                <w:rStyle w:val="IndexLink"/>
              </w:rPr>
              <w:t>(4) The Imam must be the best of the people of his age (189-190)</w:t>
              <w:tab/>
              <w:t>90</w:t>
            </w:r>
          </w:hyperlink>
        </w:p>
        <w:p>
          <w:pPr>
            <w:pStyle w:val="Contents3"/>
            <w:tabs>
              <w:tab w:val="clear" w:pos="8459"/>
              <w:tab w:val="right" w:pos="9026" w:leader="dot"/>
            </w:tabs>
            <w:bidi w:val="0"/>
            <w:rPr/>
          </w:pPr>
          <w:hyperlink w:anchor="__RefHeading___Toc16877122_1280447820">
            <w:r>
              <w:rPr>
                <w:webHidden/>
                <w:rStyle w:val="IndexLink"/>
              </w:rPr>
              <w:t>(5) The Imams after Muhammad are ‘Ali (191-209) and his eleven descendants (210-218)</w:t>
              <w:tab/>
              <w:t>90</w:t>
            </w:r>
          </w:hyperlink>
        </w:p>
        <w:p>
          <w:pPr>
            <w:pStyle w:val="Contents2"/>
            <w:tabs>
              <w:tab w:val="clear" w:pos="8743"/>
              <w:tab w:val="right" w:pos="9026" w:leader="dot"/>
            </w:tabs>
            <w:bidi w:val="0"/>
            <w:rPr/>
          </w:pPr>
          <w:hyperlink w:anchor="__RefHeading___Toc16877124_1280447820">
            <w:r>
              <w:rPr>
                <w:webHidden/>
                <w:rStyle w:val="IndexLink"/>
              </w:rPr>
              <w:t>VII. Section Seven: The Return (219-244)</w:t>
              <w:tab/>
              <w:t>103</w:t>
            </w:r>
          </w:hyperlink>
        </w:p>
        <w:p>
          <w:pPr>
            <w:pStyle w:val="Contents3"/>
            <w:tabs>
              <w:tab w:val="clear" w:pos="8459"/>
              <w:tab w:val="right" w:pos="9026" w:leader="dot"/>
            </w:tabs>
            <w:bidi w:val="0"/>
            <w:rPr/>
          </w:pPr>
          <w:hyperlink w:anchor="__RefHeading___Toc16877126_1280447820">
            <w:r>
              <w:rPr>
                <w:webHidden/>
                <w:rStyle w:val="IndexLink"/>
                <w:rtl w:val="true"/>
              </w:rPr>
              <w:t>اشاره</w:t>
            </w:r>
            <w:r>
              <w:rPr>
                <w:rStyle w:val="IndexLink"/>
              </w:rPr>
              <w:tab/>
            </w:r>
            <w:r>
              <w:rPr>
                <w:rStyle w:val="IndexLink"/>
              </w:rPr>
              <w:t>103</w:t>
            </w:r>
          </w:hyperlink>
        </w:p>
        <w:p>
          <w:pPr>
            <w:pStyle w:val="Contents3"/>
            <w:tabs>
              <w:tab w:val="clear" w:pos="8459"/>
              <w:tab w:val="right" w:pos="9026" w:leader="dot"/>
            </w:tabs>
            <w:bidi w:val="0"/>
            <w:rPr/>
          </w:pPr>
          <w:hyperlink w:anchor="__RefHeading___Toc16877128_1280447820">
            <w:r>
              <w:rPr>
                <w:webHidden/>
                <w:rStyle w:val="IndexLink"/>
              </w:rPr>
              <w:t>(1) The Resurrection, Bridge, Scales, etc., must be accepted (219-226)</w:t>
              <w:tab/>
              <w:t>103</w:t>
            </w:r>
          </w:hyperlink>
        </w:p>
        <w:p>
          <w:pPr>
            <w:pStyle w:val="Contents3"/>
            <w:tabs>
              <w:tab w:val="clear" w:pos="8459"/>
              <w:tab w:val="right" w:pos="9026" w:leader="dot"/>
            </w:tabs>
            <w:bidi w:val="0"/>
            <w:rPr/>
          </w:pPr>
          <w:hyperlink w:anchor="__RefHeading___Toc16877130_1280447820">
            <w:r>
              <w:rPr>
                <w:webHidden/>
                <w:rStyle w:val="IndexLink"/>
              </w:rPr>
              <w:t>(2) Reward and Punishment (226-236)</w:t>
              <w:tab/>
              <w:t>105</w:t>
            </w:r>
          </w:hyperlink>
        </w:p>
        <w:p>
          <w:pPr>
            <w:pStyle w:val="Contents3"/>
            <w:tabs>
              <w:tab w:val="clear" w:pos="8459"/>
              <w:tab w:val="right" w:pos="9026" w:leader="dot"/>
            </w:tabs>
            <w:bidi w:val="0"/>
            <w:rPr/>
          </w:pPr>
          <w:hyperlink w:anchor="__RefHeading___Toc16877132_1280447820">
            <w:r>
              <w:rPr>
                <w:webHidden/>
                <w:rStyle w:val="IndexLink"/>
              </w:rPr>
              <w:t>(3) Repentance (237-240)</w:t>
              <w:tab/>
              <w:t>109</w:t>
            </w:r>
          </w:hyperlink>
        </w:p>
        <w:p>
          <w:pPr>
            <w:pStyle w:val="Contents3"/>
            <w:tabs>
              <w:tab w:val="clear" w:pos="8459"/>
              <w:tab w:val="right" w:pos="9026" w:leader="dot"/>
            </w:tabs>
            <w:bidi w:val="0"/>
            <w:rPr/>
          </w:pPr>
          <w:hyperlink w:anchor="__RefHeading___Toc16877134_1280447820">
            <w:r>
              <w:rPr>
                <w:webHidden/>
                <w:rStyle w:val="IndexLink"/>
              </w:rPr>
              <w:t>(4) Command and Prohibition (241-244)</w:t>
              <w:tab/>
              <w:t>110</w:t>
            </w:r>
          </w:hyperlink>
        </w:p>
        <w:p>
          <w:pPr>
            <w:pStyle w:val="Contents2"/>
            <w:tabs>
              <w:tab w:val="clear" w:pos="8743"/>
              <w:tab w:val="right" w:pos="9026" w:leader="dot"/>
            </w:tabs>
            <w:bidi w:val="0"/>
            <w:rPr/>
          </w:pPr>
          <w:hyperlink w:anchor="__RefHeading___Toc16877136_1280447820">
            <w:r>
              <w:rPr>
                <w:webHidden/>
                <w:rStyle w:val="IndexLink"/>
              </w:rPr>
              <w:t>Notes on the Text (by the Translator)</w:t>
              <w:tab/>
              <w:t>113</w:t>
            </w:r>
          </w:hyperlink>
        </w:p>
        <w:p>
          <w:pPr>
            <w:pStyle w:val="Contents2"/>
            <w:tabs>
              <w:tab w:val="clear" w:pos="8743"/>
              <w:tab w:val="right" w:pos="9026" w:leader="dot"/>
            </w:tabs>
            <w:bidi w:val="0"/>
            <w:rPr/>
          </w:pPr>
          <w:hyperlink w:anchor="__RefHeading___Toc16877138_1280447820">
            <w:r>
              <w:rPr>
                <w:webHidden/>
                <w:rStyle w:val="IndexLink"/>
              </w:rPr>
              <w:t>Index of Names and Important Arabic Words</w:t>
              <w:tab/>
              <w:t>127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8964_203139"/>
      <w:bookmarkStart w:id="1" w:name="pg18964_203139"/>
      <w:bookmarkEnd w:id="1"/>
    </w:p>
    <w:p>
      <w:pPr>
        <w:pStyle w:val="Heading2"/>
        <w:numPr>
          <w:ilvl w:val="1"/>
          <w:numId w:val="1"/>
        </w:numPr>
        <w:bidi w:val="0"/>
        <w:jc w:val="left"/>
        <w:rPr/>
      </w:pPr>
      <w:bookmarkStart w:id="2" w:name="pg18964_203139"/>
      <w:bookmarkStart w:id="3" w:name="__RefHeading___Toc16877020_128044782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al-bAbu ’l-hAdI ‘ASHAR</w:t>
      </w:r>
    </w:p>
    <w:p>
      <w:pPr>
        <w:pStyle w:val="BookText"/>
        <w:bidi w:val="0"/>
        <w:jc w:val="both"/>
        <w:rPr/>
      </w:pPr>
      <w:r>
        <w:rPr>
          <w:rFonts w:eastAsia="Times New Roman" w:cs="Times New Roman" w:ascii="Times New Roman" w:hAnsi="Times New Roman"/>
          <w:color w:val="111111"/>
          <w:sz w:val="28"/>
          <w:szCs w:val="28"/>
          <w:lang w:val="en-US"/>
        </w:rPr>
        <w:t>A TREATISE ON THE PRINCIPLES OF SHI'ITE THEOLOGY</w:t>
      </w:r>
    </w:p>
    <w:p>
      <w:pPr>
        <w:pStyle w:val="BookText"/>
        <w:bidi w:val="0"/>
        <w:jc w:val="both"/>
        <w:rPr/>
      </w:pPr>
      <w:r>
        <w:rPr>
          <w:rFonts w:eastAsia="Times New Roman" w:cs="Times New Roman" w:ascii="Times New Roman" w:hAnsi="Times New Roman"/>
          <w:color w:val="111111"/>
          <w:sz w:val="28"/>
          <w:szCs w:val="28"/>
          <w:lang w:val="en-US"/>
        </w:rPr>
        <w:t>BY</w:t>
      </w:r>
    </w:p>
    <w:p>
      <w:pPr>
        <w:pStyle w:val="BookText"/>
        <w:bidi w:val="0"/>
        <w:jc w:val="both"/>
        <w:rPr/>
      </w:pPr>
      <w:r>
        <w:rPr>
          <w:rFonts w:eastAsia="Times New Roman" w:cs="Times New Roman" w:ascii="Times New Roman" w:hAnsi="Times New Roman"/>
          <w:color w:val="111111"/>
          <w:sz w:val="28"/>
          <w:szCs w:val="28"/>
          <w:lang w:val="en-US"/>
        </w:rPr>
        <w:t>HASAN B. YUSUF 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IBNU’L-MUTAHHAR AL-HILLI</w:t>
      </w:r>
    </w:p>
    <w:p>
      <w:pPr>
        <w:pStyle w:val="BookText"/>
        <w:bidi w:val="0"/>
        <w:jc w:val="both"/>
        <w:rPr/>
      </w:pPr>
      <w:r>
        <w:rPr>
          <w:rFonts w:eastAsia="Times New Roman" w:cs="Times New Roman" w:ascii="Times New Roman" w:hAnsi="Times New Roman"/>
          <w:color w:val="111111"/>
          <w:sz w:val="28"/>
          <w:szCs w:val="28"/>
          <w:lang w:val="en-US"/>
        </w:rPr>
        <w:t>WITH COMMENTARY BY</w:t>
      </w:r>
    </w:p>
    <w:p>
      <w:pPr>
        <w:pStyle w:val="BookText"/>
        <w:bidi w:val="0"/>
        <w:jc w:val="both"/>
        <w:rPr/>
      </w:pPr>
      <w:r>
        <w:rPr>
          <w:rFonts w:eastAsia="Times New Roman" w:cs="Times New Roman" w:ascii="Times New Roman" w:hAnsi="Times New Roman"/>
          <w:color w:val="111111"/>
          <w:sz w:val="28"/>
          <w:szCs w:val="28"/>
          <w:lang w:val="en-US"/>
        </w:rPr>
        <w:t>MIQDAD-I FADIL AL-HILLI</w:t>
      </w:r>
    </w:p>
    <w:p>
      <w:pPr>
        <w:pStyle w:val="BookText"/>
        <w:bidi w:val="0"/>
        <w:jc w:val="both"/>
        <w:rPr/>
      </w:pPr>
      <w:r>
        <w:rPr>
          <w:rFonts w:eastAsia="Times New Roman" w:cs="Times New Roman" w:ascii="Times New Roman" w:hAnsi="Times New Roman"/>
          <w:color w:val="111111"/>
          <w:sz w:val="28"/>
          <w:szCs w:val="28"/>
          <w:lang w:val="en-US"/>
        </w:rPr>
        <w:t>TRANSLATED FROM THE ARABIC BY</w:t>
      </w:r>
    </w:p>
    <w:p>
      <w:pPr>
        <w:pStyle w:val="BookText"/>
        <w:bidi w:val="0"/>
        <w:jc w:val="both"/>
        <w:rPr/>
      </w:pPr>
      <w:r>
        <w:rPr>
          <w:rFonts w:eastAsia="Times New Roman" w:cs="Times New Roman" w:ascii="Times New Roman" w:hAnsi="Times New Roman"/>
          <w:color w:val="111111"/>
          <w:sz w:val="28"/>
          <w:szCs w:val="28"/>
          <w:lang w:val="en-US"/>
        </w:rPr>
        <w:t>WILLIAM McELWEE MILLER, M.A., B.D.</w:t>
      </w:r>
    </w:p>
    <w:p>
      <w:pPr>
        <w:pStyle w:val="BookText"/>
        <w:bidi w:val="0"/>
        <w:jc w:val="both"/>
        <w:rPr/>
      </w:pPr>
      <w:r>
        <w:rPr>
          <w:rFonts w:eastAsia="Times New Roman" w:cs="Times New Roman" w:ascii="Times New Roman" w:hAnsi="Times New Roman"/>
          <w:color w:val="111111"/>
          <w:sz w:val="28"/>
          <w:szCs w:val="28"/>
          <w:lang w:val="en-US"/>
        </w:rPr>
        <w:t>MESHHED, PERSIA</w:t>
      </w:r>
    </w:p>
    <w:p>
      <w:pPr>
        <w:pStyle w:val="BookText"/>
        <w:bidi w:val="0"/>
        <w:jc w:val="both"/>
        <w:rPr/>
      </w:pPr>
      <w:r>
        <w:rPr>
          <w:rFonts w:eastAsia="Times New Roman" w:cs="Times New Roman" w:ascii="Times New Roman" w:hAnsi="Times New Roman"/>
          <w:color w:val="111111"/>
          <w:sz w:val="28"/>
          <w:szCs w:val="28"/>
          <w:lang w:val="en-US"/>
        </w:rPr>
        <w:t>LONDON</w:t>
      </w:r>
    </w:p>
    <w:p>
      <w:pPr>
        <w:pStyle w:val="BookText"/>
        <w:bidi w:val="0"/>
        <w:jc w:val="both"/>
        <w:rPr/>
      </w:pPr>
      <w:r>
        <w:rPr>
          <w:rFonts w:eastAsia="Times New Roman" w:cs="Times New Roman" w:ascii="Times New Roman" w:hAnsi="Times New Roman"/>
          <w:color w:val="111111"/>
          <w:sz w:val="28"/>
          <w:szCs w:val="28"/>
          <w:lang w:val="en-US"/>
        </w:rPr>
        <w:t>PUBLISHED BY THE ROYAL ASIATIC SOCIETY</w:t>
      </w:r>
    </w:p>
    <w:p>
      <w:pPr>
        <w:pStyle w:val="BookText"/>
        <w:bidi w:val="0"/>
        <w:jc w:val="both"/>
        <w:rPr/>
      </w:pPr>
      <w:r>
        <w:rPr>
          <w:rFonts w:eastAsia="Times New Roman" w:cs="Times New Roman" w:ascii="Times New Roman" w:hAnsi="Times New Roman"/>
          <w:color w:val="111111"/>
          <w:sz w:val="28"/>
          <w:szCs w:val="28"/>
          <w:lang w:val="en-US"/>
        </w:rPr>
        <w:t>74, GROSVENOR STREET, W.1</w:t>
      </w:r>
    </w:p>
    <w:p>
      <w:pPr>
        <w:pStyle w:val="BookText"/>
        <w:bidi w:val="0"/>
        <w:jc w:val="both"/>
        <w:rPr/>
      </w:pPr>
      <w:r>
        <w:rPr>
          <w:rFonts w:eastAsia="Times New Roman" w:cs="Times New Roman" w:ascii="Times New Roman" w:hAnsi="Times New Roman"/>
          <w:color w:val="111111"/>
          <w:sz w:val="28"/>
          <w:szCs w:val="28"/>
          <w:lang w:val="en-US"/>
        </w:rPr>
        <w:t>1928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16877022_1280447820"/>
      <w:bookmarkStart w:id="6" w:name="_Toc2"/>
      <w:bookmarkEnd w:id="5"/>
      <w:r>
        <w:rPr/>
        <w:t>Point</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AL-BABU ’L-HADI ‘ASHAR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TREATISE ON THE PRINCIPLES OF SHI‘ITE THEOLOGY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al-bAbu ’l-hAdI ‘ASHAR</w:t>
      </w:r>
    </w:p>
    <w:p>
      <w:pPr>
        <w:pStyle w:val="BookText"/>
        <w:bidi w:val="0"/>
        <w:jc w:val="both"/>
        <w:rPr/>
      </w:pPr>
      <w:r>
        <w:rPr>
          <w:rFonts w:eastAsia="Times New Roman" w:cs="Times New Roman" w:ascii="Times New Roman" w:hAnsi="Times New Roman"/>
          <w:color w:val="111111"/>
          <w:sz w:val="28"/>
          <w:szCs w:val="28"/>
          <w:lang w:val="en-US"/>
        </w:rPr>
        <w:t>A TREATISE ON THE PRINCIPLES OF SHI'ITE THEOLOGY</w:t>
      </w:r>
    </w:p>
    <w:p>
      <w:pPr>
        <w:pStyle w:val="BookText"/>
        <w:bidi w:val="0"/>
        <w:jc w:val="both"/>
        <w:rPr/>
      </w:pPr>
      <w:r>
        <w:rPr>
          <w:rFonts w:eastAsia="Times New Roman" w:cs="Times New Roman" w:ascii="Times New Roman" w:hAnsi="Times New Roman"/>
          <w:color w:val="111111"/>
          <w:sz w:val="28"/>
          <w:szCs w:val="28"/>
          <w:lang w:val="en-US"/>
        </w:rPr>
        <w:t>BY</w:t>
      </w:r>
    </w:p>
    <w:p>
      <w:pPr>
        <w:pStyle w:val="BookText"/>
        <w:bidi w:val="0"/>
        <w:jc w:val="both"/>
        <w:rPr/>
      </w:pPr>
      <w:r>
        <w:rPr>
          <w:rFonts w:eastAsia="Times New Roman" w:cs="Times New Roman" w:ascii="Times New Roman" w:hAnsi="Times New Roman"/>
          <w:color w:val="111111"/>
          <w:sz w:val="28"/>
          <w:szCs w:val="28"/>
          <w:lang w:val="en-US"/>
        </w:rPr>
        <w:t>HASAN B. YUSUF 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IBNU’L-MUTAHHAR AL-HILLI</w:t>
      </w:r>
    </w:p>
    <w:p>
      <w:pPr>
        <w:pStyle w:val="BookText"/>
        <w:bidi w:val="0"/>
        <w:jc w:val="both"/>
        <w:rPr/>
      </w:pPr>
      <w:r>
        <w:rPr>
          <w:rFonts w:eastAsia="Times New Roman" w:cs="Times New Roman" w:ascii="Times New Roman" w:hAnsi="Times New Roman"/>
          <w:color w:val="111111"/>
          <w:sz w:val="28"/>
          <w:szCs w:val="28"/>
          <w:lang w:val="en-US"/>
        </w:rPr>
        <w:t>WITH COMMENTARY BY</w:t>
      </w:r>
    </w:p>
    <w:p>
      <w:pPr>
        <w:pStyle w:val="BookText"/>
        <w:bidi w:val="0"/>
        <w:jc w:val="both"/>
        <w:rPr/>
      </w:pPr>
      <w:r>
        <w:rPr>
          <w:rFonts w:eastAsia="Times New Roman" w:cs="Times New Roman" w:ascii="Times New Roman" w:hAnsi="Times New Roman"/>
          <w:color w:val="111111"/>
          <w:sz w:val="28"/>
          <w:szCs w:val="28"/>
          <w:lang w:val="en-US"/>
        </w:rPr>
        <w:t>MIQDAD-I FADIL AL-HILLI</w:t>
      </w:r>
    </w:p>
    <w:p>
      <w:pPr>
        <w:pStyle w:val="BookText"/>
        <w:bidi w:val="0"/>
        <w:jc w:val="both"/>
        <w:rPr/>
      </w:pPr>
      <w:r>
        <w:rPr>
          <w:rFonts w:eastAsia="Times New Roman" w:cs="Times New Roman" w:ascii="Times New Roman" w:hAnsi="Times New Roman"/>
          <w:color w:val="111111"/>
          <w:sz w:val="28"/>
          <w:szCs w:val="28"/>
          <w:lang w:val="en-US"/>
        </w:rPr>
        <w:t>TRANSLATED FROM THE ARABIC BY</w:t>
      </w:r>
    </w:p>
    <w:p>
      <w:pPr>
        <w:pStyle w:val="BookText"/>
        <w:bidi w:val="0"/>
        <w:jc w:val="both"/>
        <w:rPr/>
      </w:pPr>
      <w:r>
        <w:rPr>
          <w:rFonts w:eastAsia="Times New Roman" w:cs="Times New Roman" w:ascii="Times New Roman" w:hAnsi="Times New Roman"/>
          <w:color w:val="111111"/>
          <w:sz w:val="28"/>
          <w:szCs w:val="28"/>
          <w:lang w:val="en-US"/>
        </w:rPr>
        <w:t>WILLIAM McELWEE MILLER, M.A., B.D.</w:t>
      </w:r>
    </w:p>
    <w:p>
      <w:pPr>
        <w:pStyle w:val="BookText"/>
        <w:bidi w:val="0"/>
        <w:jc w:val="both"/>
        <w:rPr/>
      </w:pPr>
      <w:r>
        <w:rPr>
          <w:rFonts w:eastAsia="Times New Roman" w:cs="Times New Roman" w:ascii="Times New Roman" w:hAnsi="Times New Roman"/>
          <w:color w:val="111111"/>
          <w:sz w:val="28"/>
          <w:szCs w:val="28"/>
          <w:lang w:val="en-US"/>
        </w:rPr>
        <w:t>MESHHED, PERSIA</w:t>
      </w:r>
    </w:p>
    <w:p>
      <w:pPr>
        <w:pStyle w:val="BookText"/>
        <w:bidi w:val="0"/>
        <w:jc w:val="both"/>
        <w:rPr/>
      </w:pPr>
      <w:r>
        <w:rPr>
          <w:rFonts w:eastAsia="Times New Roman" w:cs="Times New Roman" w:ascii="Times New Roman" w:hAnsi="Times New Roman"/>
          <w:color w:val="111111"/>
          <w:sz w:val="28"/>
          <w:szCs w:val="28"/>
          <w:lang w:val="en-US"/>
        </w:rPr>
        <w:t>LONDON</w:t>
      </w:r>
    </w:p>
    <w:p>
      <w:pPr>
        <w:pStyle w:val="BookText"/>
        <w:bidi w:val="0"/>
        <w:jc w:val="both"/>
        <w:rPr/>
      </w:pPr>
      <w:r>
        <w:rPr>
          <w:rFonts w:eastAsia="Times New Roman" w:cs="Times New Roman" w:ascii="Times New Roman" w:hAnsi="Times New Roman"/>
          <w:color w:val="111111"/>
          <w:sz w:val="28"/>
          <w:szCs w:val="28"/>
          <w:lang w:val="en-US"/>
        </w:rPr>
        <w:t>PUBLISHED BY THE ROYAL ASIATIC SOCIETY</w:t>
      </w:r>
    </w:p>
    <w:p>
      <w:pPr>
        <w:pStyle w:val="BookText"/>
        <w:bidi w:val="0"/>
        <w:jc w:val="both"/>
        <w:rPr/>
      </w:pPr>
      <w:r>
        <w:rPr>
          <w:rFonts w:eastAsia="Times New Roman" w:cs="Times New Roman" w:ascii="Times New Roman" w:hAnsi="Times New Roman"/>
          <w:color w:val="111111"/>
          <w:sz w:val="28"/>
          <w:szCs w:val="28"/>
          <w:lang w:val="en-US"/>
        </w:rPr>
        <w:t>74, GROSVENOR STREET, W.1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1928 </w:t>
      </w:r>
    </w:p>
    <w:p>
      <w:pPr>
        <w:pStyle w:val="BookText"/>
        <w:bidi w:val="0"/>
        <w:rPr/>
      </w:pPr>
      <w:r>
        <w:rPr>
          <w:rFonts w:eastAsia="Times New Roman" w:cs="Times New Roman" w:ascii="Times New Roman" w:hAnsi="Times New Roman"/>
          <w:color w:val="111111"/>
          <w:sz w:val="28"/>
          <w:szCs w:val="28"/>
          <w:lang w:val="en-US"/>
        </w:rPr>
        <w:t>PRINTED IN GREAT BRITAIN BY</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BILLING AND SONS, LTD., GUILDFORD AND ESHER </w:t>
      </w:r>
    </w:p>
    <w:p>
      <w:pPr>
        <w:pStyle w:val="BookText"/>
        <w:bidi w:val="0"/>
        <w:rPr/>
      </w:pPr>
      <w:r>
        <w:rPr>
          <w:rFonts w:eastAsia="Times New Roman" w:cs="Times New Roman" w:ascii="Times New Roman" w:hAnsi="Times New Roman"/>
          <w:color w:val="111111"/>
          <w:sz w:val="28"/>
          <w:szCs w:val="28"/>
          <w:lang w:val="en-US"/>
        </w:rPr>
        <w:t>DEDICATED</w:t>
      </w:r>
    </w:p>
    <w:p>
      <w:pPr>
        <w:pStyle w:val="BookText"/>
        <w:bidi w:val="0"/>
        <w:jc w:val="both"/>
        <w:rPr/>
      </w:pPr>
      <w:r>
        <w:rPr>
          <w:rFonts w:eastAsia="Times New Roman" w:cs="Times New Roman" w:ascii="Times New Roman" w:hAnsi="Times New Roman"/>
          <w:color w:val="111111"/>
          <w:sz w:val="28"/>
          <w:szCs w:val="28"/>
          <w:lang w:val="en-US"/>
        </w:rPr>
        <w:t>TO</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DUNCAN BLACK MACDONALD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7" w:name="pg18964_203148"/>
      <w:bookmarkStart w:id="8" w:name="pg18964_203148"/>
      <w:bookmarkEnd w:id="8"/>
    </w:p>
    <w:p>
      <w:pPr>
        <w:pStyle w:val="Heading2"/>
        <w:numPr>
          <w:ilvl w:val="1"/>
          <w:numId w:val="1"/>
        </w:numPr>
        <w:bidi w:val="0"/>
        <w:jc w:val="left"/>
        <w:rPr/>
      </w:pPr>
      <w:bookmarkStart w:id="9" w:name="pg18964_203148"/>
      <w:bookmarkStart w:id="10" w:name="__RefHeading___Toc16877024_1280447820"/>
      <w:bookmarkStart w:id="11" w:name="_Toc3"/>
      <w:bookmarkEnd w:id="9"/>
      <w:bookmarkEnd w:id="10"/>
      <w:r>
        <w:rPr/>
        <w:t>FOREWORD</w:t>
      </w:r>
      <w:bookmarkEnd w:id="11"/>
    </w:p>
    <w:p>
      <w:pPr>
        <w:pStyle w:val="BookText"/>
        <w:bidi w:val="0"/>
        <w:jc w:val="both"/>
        <w:rPr/>
      </w:pPr>
      <w:r>
        <w:rPr>
          <w:rFonts w:eastAsia="Times New Roman" w:cs="Times New Roman" w:ascii="Times New Roman" w:hAnsi="Times New Roman"/>
          <w:color w:val="111111"/>
          <w:sz w:val="28"/>
          <w:szCs w:val="28"/>
          <w:lang w:val="en-US"/>
        </w:rPr>
        <w:t>In the year 1924 I had the privilege of studying for a few months under Dr. Duncan B. Macdonald of Hartford Theo- logical Seminary, and of reading with him the Arabic creed of An-Nasafi, a concise statement of the tenets of the Sunnite Muslims. Before leaving Hartford I asked Dr. Macdonald to outline a course of study which I might profitably follow after returning to my work in Persia. He suggested that I should try to find a Shi‘ite creed, similar to that of An-Nasafi, and translate it into English, since no adequate statement of the Shi‘ite doctrines was available for English readers.</w:t>
      </w:r>
    </w:p>
    <w:p>
      <w:pPr>
        <w:pStyle w:val="BookText"/>
        <w:bidi w:val="0"/>
        <w:jc w:val="both"/>
        <w:rPr/>
      </w:pPr>
      <w:r>
        <w:rPr>
          <w:rFonts w:eastAsia="Times New Roman" w:cs="Times New Roman" w:ascii="Times New Roman" w:hAnsi="Times New Roman"/>
          <w:color w:val="111111"/>
          <w:sz w:val="28"/>
          <w:szCs w:val="28"/>
          <w:lang w:val="en-US"/>
        </w:rPr>
        <w:t>Accordingly, on reaching Meshed I began to make inquiries in order to discover some such creed which was generally accepted by the Shi‘ite doctors. For some time I was un- successful, but at last one of my Mulla friends suggested to me “ Al-Babu ’l-Hadi ‘Ashar,” assuring me that it was just the book that I was seeking. He said that it was widely used in the madrasas of Meshed as an introduction to scholastic theology and the Usul (the ‘‘ principles ’’ of the faith), and was generally accepted as a correct exposition of the Shi‘ite doctrines. I secured a copy of the book, a very poor litho- graph dated 1320 a.h., and began to read it with the Mulla, without whose assistance I could have made but little headway in it.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found that the work consisted of a brief statement of the Shi‘ite ‘‘ principles ’’ and a detailed commentary on the same, all in Arabic. The text (matn) alone was too condensed to be of much value to the student. The commentary was some- what long, but the argument was in most places so close that it would have been difficult to condense, so I decided to translate it in full. At Dr. Macdonald’s suggestion I have added a few notes, principally in order to explain the differences between the Shi‘ite and Sunnite doctrines. In my translation </w:t>
      </w:r>
    </w:p>
    <w:p>
      <w:pPr>
        <w:pStyle w:val="BookText"/>
        <w:bidi w:val="0"/>
        <w:rPr/>
      </w:pPr>
      <w:r>
        <w:rPr>
          <w:rFonts w:eastAsia="Times New Roman" w:cs="Times New Roman" w:ascii="Times New Roman" w:hAnsi="Times New Roman"/>
          <w:color w:val="111111"/>
          <w:sz w:val="28"/>
          <w:szCs w:val="28"/>
          <w:lang w:val="en-US"/>
        </w:rPr>
        <w:t>I have endeavoured to adhere as closely as possible to the original. In quoting the Koranic verses I have followed Rodwell’s translation, except that, for the sake of uniformity, I have always used the terms Allah and Messenger (rasul) instead of God and Apostle.</w:t>
      </w:r>
    </w:p>
    <w:p>
      <w:pPr>
        <w:pStyle w:val="BookText"/>
        <w:bidi w:val="0"/>
        <w:jc w:val="both"/>
        <w:rPr/>
      </w:pPr>
      <w:r>
        <w:rPr>
          <w:rFonts w:eastAsia="Times New Roman" w:cs="Times New Roman" w:ascii="Times New Roman" w:hAnsi="Times New Roman"/>
          <w:color w:val="111111"/>
          <w:sz w:val="28"/>
          <w:szCs w:val="28"/>
          <w:lang w:val="en-US"/>
        </w:rPr>
        <w:t>I wish to express here my deep appreciation to Dr. Mac- donald, who inspired me to undertake this task and aided me in performing it. I am also indebted to Dr. R. A. Nicholson of Cambridge University for his great kindness in correcting my manuscript and securing its publication.</w:t>
      </w:r>
    </w:p>
    <w:p>
      <w:pPr>
        <w:pStyle w:val="BookText"/>
        <w:bidi w:val="0"/>
        <w:jc w:val="both"/>
        <w:rPr/>
      </w:pPr>
      <w:r>
        <w:rPr>
          <w:rFonts w:eastAsia="Times New Roman" w:cs="Times New Roman" w:ascii="Times New Roman" w:hAnsi="Times New Roman"/>
          <w:color w:val="111111"/>
          <w:sz w:val="28"/>
          <w:szCs w:val="28"/>
          <w:lang w:val="en-US"/>
        </w:rPr>
        <w:t>WILLIAM McE. MILLER.</w:t>
      </w:r>
    </w:p>
    <w:p>
      <w:pPr>
        <w:pStyle w:val="BookText"/>
        <w:bidi w:val="0"/>
        <w:jc w:val="both"/>
        <w:rPr/>
      </w:pPr>
      <w:r>
        <w:rPr>
          <w:rFonts w:eastAsia="Times New Roman" w:cs="Times New Roman" w:ascii="Times New Roman" w:hAnsi="Times New Roman"/>
          <w:color w:val="111111"/>
          <w:sz w:val="28"/>
          <w:szCs w:val="28"/>
          <w:lang w:val="en-US"/>
        </w:rPr>
        <w:t>The American Presbyterian Mission,</w:t>
      </w:r>
    </w:p>
    <w:p>
      <w:pPr>
        <w:pStyle w:val="BookText"/>
        <w:bidi w:val="0"/>
        <w:jc w:val="both"/>
        <w:rPr/>
      </w:pPr>
      <w:r>
        <w:rPr>
          <w:rFonts w:eastAsia="Times New Roman" w:cs="Times New Roman" w:ascii="Times New Roman" w:hAnsi="Times New Roman"/>
          <w:color w:val="111111"/>
          <w:sz w:val="28"/>
          <w:szCs w:val="28"/>
          <w:lang w:val="en-US"/>
        </w:rPr>
        <w:t>Meshed, Persia,</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December 23, 1927. </w:t>
      </w:r>
      <w:bookmarkStart w:id="12" w:name="pg18964_203150"/>
    </w:p>
    <w:p>
      <w:pPr>
        <w:pStyle w:val="Heading2"/>
        <w:numPr>
          <w:ilvl w:val="1"/>
          <w:numId w:val="1"/>
        </w:numPr>
        <w:bidi w:val="0"/>
        <w:jc w:val="left"/>
        <w:rPr/>
      </w:pPr>
      <w:bookmarkStart w:id="13" w:name="__RefHeading___Toc16877026_1280447820"/>
      <w:bookmarkStart w:id="14" w:name="_Toc4"/>
      <w:bookmarkEnd w:id="12"/>
      <w:bookmarkEnd w:id="13"/>
      <w:r>
        <w:rPr/>
        <w:t>TABLE OF CONTENTS</w:t>
      </w:r>
      <w:bookmarkEnd w:id="14"/>
    </w:p>
    <w:p>
      <w:pPr>
        <w:pStyle w:val="BookText"/>
        <w:bidi w:val="0"/>
        <w:jc w:val="both"/>
        <w:rPr/>
      </w:pPr>
      <w:r>
        <w:rPr>
          <w:rFonts w:eastAsia="Times New Roman" w:cs="Times New Roman" w:ascii="Times New Roman" w:hAnsi="Times New Roman"/>
          <w:color w:val="111111"/>
          <w:sz w:val="28"/>
          <w:szCs w:val="28"/>
          <w:lang w:val="en-US"/>
        </w:rPr>
        <w:t>SECTION OF ‘ALLĀMA-I-ḤILLĪ (by the TRANSLATOR) ... XI</w:t>
      </w:r>
    </w:p>
    <w:p>
      <w:pPr>
        <w:pStyle w:val="BookText"/>
        <w:bidi w:val="0"/>
        <w:jc w:val="both"/>
        <w:rPr/>
      </w:pPr>
      <w:r>
        <w:rPr>
          <w:rFonts w:eastAsia="Times New Roman" w:cs="Times New Roman" w:ascii="Times New Roman" w:hAnsi="Times New Roman"/>
          <w:color w:val="111111"/>
          <w:sz w:val="28"/>
          <w:szCs w:val="28"/>
          <w:lang w:val="en-US"/>
        </w:rPr>
        <w:t>Introduction by the Commentator (1 and 2) .. 1</w:t>
      </w:r>
    </w:p>
    <w:p>
      <w:pPr>
        <w:pStyle w:val="BookText"/>
        <w:bidi w:val="0"/>
        <w:jc w:val="both"/>
        <w:rPr/>
      </w:pPr>
      <w:r>
        <w:rPr>
          <w:rFonts w:eastAsia="Times New Roman" w:cs="Times New Roman" w:ascii="Times New Roman" w:hAnsi="Times New Roman"/>
          <w:color w:val="111111"/>
          <w:sz w:val="28"/>
          <w:szCs w:val="28"/>
          <w:lang w:val="en-US"/>
        </w:rPr>
        <w:t>The Necessity of the Knowledge of the Principles of Religion (3-20) ...3</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Section One: The Proof of the Self-Existent (21-37)... 9</w:t>
      </w:r>
    </w:p>
    <w:p>
      <w:pPr>
        <w:pStyle w:val="BookText"/>
        <w:bidi w:val="0"/>
        <w:jc w:val="both"/>
        <w:rPr/>
      </w:pPr>
      <w:r>
        <w:rPr>
          <w:rFonts w:eastAsia="Times New Roman" w:cs="Times New Roman" w:ascii="Times New Roman" w:hAnsi="Times New Roman"/>
          <w:color w:val="111111"/>
          <w:sz w:val="28"/>
          <w:szCs w:val="28"/>
          <w:lang w:val="en-US"/>
        </w:rPr>
        <w:t>II. Section Two: Allah’s Positive Qualities (38-82) ... 16</w:t>
      </w:r>
    </w:p>
    <w:p>
      <w:pPr>
        <w:pStyle w:val="BookText"/>
        <w:bidi w:val="0"/>
        <w:jc w:val="both"/>
        <w:rPr/>
      </w:pPr>
      <w:r>
        <w:rPr>
          <w:rFonts w:eastAsia="Times New Roman" w:cs="Times New Roman" w:ascii="Times New Roman" w:hAnsi="Times New Roman"/>
          <w:color w:val="111111"/>
          <w:sz w:val="28"/>
          <w:szCs w:val="28"/>
          <w:lang w:val="en-US"/>
        </w:rPr>
        <w:t>(1) He is Powerful and Free (38-50) ... 16</w:t>
      </w:r>
    </w:p>
    <w:p>
      <w:pPr>
        <w:pStyle w:val="BookText"/>
        <w:bidi w:val="0"/>
        <w:jc w:val="both"/>
        <w:rPr/>
      </w:pPr>
      <w:r>
        <w:rPr>
          <w:rFonts w:eastAsia="Times New Roman" w:cs="Times New Roman" w:ascii="Times New Roman" w:hAnsi="Times New Roman"/>
          <w:color w:val="111111"/>
          <w:sz w:val="28"/>
          <w:szCs w:val="28"/>
          <w:lang w:val="en-US"/>
        </w:rPr>
        <w:t>(2) He is Knowing (51-56) ... 19</w:t>
      </w:r>
    </w:p>
    <w:p>
      <w:pPr>
        <w:pStyle w:val="BookText"/>
        <w:bidi w:val="0"/>
        <w:jc w:val="both"/>
        <w:rPr/>
      </w:pPr>
      <w:r>
        <w:rPr>
          <w:rFonts w:eastAsia="Times New Roman" w:cs="Times New Roman" w:ascii="Times New Roman" w:hAnsi="Times New Roman"/>
          <w:color w:val="111111"/>
          <w:sz w:val="28"/>
          <w:szCs w:val="28"/>
          <w:lang w:val="en-US"/>
        </w:rPr>
        <w:t>(3) He is Living (57-58) ... 21</w:t>
      </w:r>
    </w:p>
    <w:p>
      <w:pPr>
        <w:pStyle w:val="BookText"/>
        <w:bidi w:val="0"/>
        <w:jc w:val="both"/>
        <w:rPr/>
      </w:pPr>
      <w:r>
        <w:rPr>
          <w:rFonts w:eastAsia="Times New Roman" w:cs="Times New Roman" w:ascii="Times New Roman" w:hAnsi="Times New Roman"/>
          <w:color w:val="111111"/>
          <w:sz w:val="28"/>
          <w:szCs w:val="28"/>
          <w:lang w:val="en-US"/>
        </w:rPr>
        <w:t>(4) He is a Willer and a Disliker (59-66) ...22</w:t>
      </w:r>
    </w:p>
    <w:p>
      <w:pPr>
        <w:pStyle w:val="BookText"/>
        <w:bidi w:val="0"/>
        <w:jc w:val="both"/>
        <w:rPr/>
      </w:pPr>
      <w:r>
        <w:rPr>
          <w:rFonts w:eastAsia="Times New Roman" w:cs="Times New Roman" w:ascii="Times New Roman" w:hAnsi="Times New Roman"/>
          <w:color w:val="111111"/>
          <w:sz w:val="28"/>
          <w:szCs w:val="28"/>
          <w:lang w:val="en-US"/>
        </w:rPr>
        <w:t>(5) He is a Perceiver (66-68) ... 24</w:t>
      </w:r>
    </w:p>
    <w:p>
      <w:pPr>
        <w:pStyle w:val="BookText"/>
        <w:bidi w:val="0"/>
        <w:jc w:val="both"/>
        <w:rPr/>
      </w:pPr>
      <w:r>
        <w:rPr>
          <w:rFonts w:eastAsia="Times New Roman" w:cs="Times New Roman" w:ascii="Times New Roman" w:hAnsi="Times New Roman"/>
          <w:color w:val="111111"/>
          <w:sz w:val="28"/>
          <w:szCs w:val="28"/>
          <w:lang w:val="en-US"/>
        </w:rPr>
        <w:t>(6) He is Eternal (69-71) ... 24</w:t>
      </w:r>
    </w:p>
    <w:p>
      <w:pPr>
        <w:pStyle w:val="BookText"/>
        <w:bidi w:val="0"/>
        <w:jc w:val="both"/>
        <w:rPr/>
      </w:pPr>
      <w:r>
        <w:rPr>
          <w:rFonts w:eastAsia="Times New Roman" w:cs="Times New Roman" w:ascii="Times New Roman" w:hAnsi="Times New Roman"/>
          <w:color w:val="111111"/>
          <w:sz w:val="28"/>
          <w:szCs w:val="28"/>
          <w:lang w:val="en-US"/>
        </w:rPr>
        <w:t>(7) He is a Speaker (72-80) ... 26</w:t>
      </w:r>
    </w:p>
    <w:p>
      <w:pPr>
        <w:pStyle w:val="BookText"/>
        <w:bidi w:val="0"/>
        <w:jc w:val="both"/>
        <w:rPr/>
      </w:pPr>
      <w:r>
        <w:rPr>
          <w:rFonts w:eastAsia="Times New Roman" w:cs="Times New Roman" w:ascii="Times New Roman" w:hAnsi="Times New Roman"/>
          <w:color w:val="111111"/>
          <w:sz w:val="28"/>
          <w:szCs w:val="28"/>
          <w:lang w:val="en-US"/>
        </w:rPr>
        <w:t>(8) He is Veracious (81-82) ... 28</w:t>
      </w:r>
    </w:p>
    <w:p>
      <w:pPr>
        <w:pStyle w:val="BookText"/>
        <w:bidi w:val="0"/>
        <w:jc w:val="both"/>
        <w:rPr/>
      </w:pPr>
      <w:r>
        <w:rPr>
          <w:rFonts w:eastAsia="Times New Roman" w:cs="Times New Roman" w:ascii="Times New Roman" w:hAnsi="Times New Roman"/>
          <w:color w:val="111111"/>
          <w:sz w:val="28"/>
          <w:szCs w:val="28"/>
          <w:lang w:val="en-US"/>
        </w:rPr>
        <w:t>III. Section Three: Allah’s Privative Qualities (83-110) ...30</w:t>
      </w:r>
    </w:p>
    <w:p>
      <w:pPr>
        <w:pStyle w:val="BookText"/>
        <w:bidi w:val="0"/>
        <w:jc w:val="both"/>
        <w:rPr/>
      </w:pPr>
      <w:r>
        <w:rPr>
          <w:rFonts w:eastAsia="Times New Roman" w:cs="Times New Roman" w:ascii="Times New Roman" w:hAnsi="Times New Roman"/>
          <w:color w:val="111111"/>
          <w:sz w:val="28"/>
          <w:szCs w:val="28"/>
          <w:lang w:val="en-US"/>
        </w:rPr>
        <w:t>(1) He is not compounded (83-86) ... 30</w:t>
      </w:r>
    </w:p>
    <w:p>
      <w:pPr>
        <w:pStyle w:val="BookText"/>
        <w:bidi w:val="0"/>
        <w:jc w:val="both"/>
        <w:rPr/>
      </w:pPr>
      <w:r>
        <w:rPr>
          <w:rFonts w:eastAsia="Times New Roman" w:cs="Times New Roman" w:ascii="Times New Roman" w:hAnsi="Times New Roman"/>
          <w:color w:val="111111"/>
          <w:sz w:val="28"/>
          <w:szCs w:val="28"/>
          <w:lang w:val="en-US"/>
        </w:rPr>
        <w:t>(2) He is not a body (86-96) ... 31</w:t>
      </w:r>
    </w:p>
    <w:p>
      <w:pPr>
        <w:pStyle w:val="BookText"/>
        <w:bidi w:val="0"/>
        <w:jc w:val="both"/>
        <w:rPr/>
      </w:pPr>
      <w:r>
        <w:rPr>
          <w:rFonts w:eastAsia="Times New Roman" w:cs="Times New Roman" w:ascii="Times New Roman" w:hAnsi="Times New Roman"/>
          <w:color w:val="111111"/>
          <w:sz w:val="28"/>
          <w:szCs w:val="28"/>
          <w:lang w:val="en-US"/>
        </w:rPr>
        <w:t>(3) He is not a locus for originated things (97-99)... 34</w:t>
      </w:r>
    </w:p>
    <w:p>
      <w:pPr>
        <w:pStyle w:val="BookText"/>
        <w:bidi w:val="0"/>
        <w:jc w:val="both"/>
        <w:rPr/>
      </w:pPr>
      <w:r>
        <w:rPr>
          <w:rFonts w:eastAsia="Times New Roman" w:cs="Times New Roman" w:ascii="Times New Roman" w:hAnsi="Times New Roman"/>
          <w:color w:val="111111"/>
          <w:sz w:val="28"/>
          <w:szCs w:val="28"/>
          <w:lang w:val="en-US"/>
        </w:rPr>
        <w:t>(4) He is not visible (100-102) ...36</w:t>
      </w:r>
    </w:p>
    <w:p>
      <w:pPr>
        <w:pStyle w:val="BookText"/>
        <w:bidi w:val="0"/>
        <w:jc w:val="both"/>
        <w:rPr/>
      </w:pPr>
      <w:r>
        <w:rPr>
          <w:rFonts w:eastAsia="Times New Roman" w:cs="Times New Roman" w:ascii="Times New Roman" w:hAnsi="Times New Roman"/>
          <w:color w:val="111111"/>
          <w:sz w:val="28"/>
          <w:szCs w:val="28"/>
          <w:lang w:val="en-US"/>
        </w:rPr>
        <w:t>(5) He has no partner (103-105) ... 37</w:t>
      </w:r>
    </w:p>
    <w:p>
      <w:pPr>
        <w:pStyle w:val="BookText"/>
        <w:bidi w:val="0"/>
        <w:jc w:val="both"/>
        <w:rPr/>
      </w:pPr>
      <w:r>
        <w:rPr>
          <w:rFonts w:eastAsia="Times New Roman" w:cs="Times New Roman" w:ascii="Times New Roman" w:hAnsi="Times New Roman"/>
          <w:color w:val="111111"/>
          <w:sz w:val="28"/>
          <w:szCs w:val="28"/>
          <w:lang w:val="en-US"/>
        </w:rPr>
        <w:t>(6) He has no ideas and states (106-108) ...38</w:t>
      </w:r>
    </w:p>
    <w:p>
      <w:pPr>
        <w:pStyle w:val="BookText"/>
        <w:bidi w:val="0"/>
        <w:jc w:val="both"/>
        <w:rPr/>
      </w:pPr>
      <w:r>
        <w:rPr>
          <w:rFonts w:eastAsia="Times New Roman" w:cs="Times New Roman" w:ascii="Times New Roman" w:hAnsi="Times New Roman"/>
          <w:color w:val="111111"/>
          <w:sz w:val="28"/>
          <w:szCs w:val="28"/>
          <w:lang w:val="en-US"/>
        </w:rPr>
        <w:t>(7) He has no need (109-110) ...39</w:t>
      </w:r>
    </w:p>
    <w:p>
      <w:pPr>
        <w:pStyle w:val="BookText"/>
        <w:bidi w:val="0"/>
        <w:jc w:val="both"/>
        <w:rPr/>
      </w:pPr>
      <w:r>
        <w:rPr>
          <w:rFonts w:eastAsia="Times New Roman" w:cs="Times New Roman" w:ascii="Times New Roman" w:hAnsi="Times New Roman"/>
          <w:color w:val="111111"/>
          <w:sz w:val="28"/>
          <w:szCs w:val="28"/>
          <w:lang w:val="en-US"/>
        </w:rPr>
        <w:t>IV. Section Four: Allah’s Justice (111-151) ...40</w:t>
      </w:r>
    </w:p>
    <w:p>
      <w:pPr>
        <w:pStyle w:val="BookText"/>
        <w:bidi w:val="0"/>
        <w:jc w:val="both"/>
        <w:rPr/>
      </w:pPr>
      <w:r>
        <w:rPr>
          <w:rFonts w:eastAsia="Times New Roman" w:cs="Times New Roman" w:ascii="Times New Roman" w:hAnsi="Times New Roman"/>
          <w:color w:val="111111"/>
          <w:sz w:val="28"/>
          <w:szCs w:val="28"/>
          <w:lang w:val="en-US"/>
        </w:rPr>
        <w:t>(1) Reason is the judge as to good and evil (111-117) ...40</w:t>
      </w:r>
    </w:p>
    <w:p>
      <w:pPr>
        <w:pStyle w:val="BookText"/>
        <w:bidi w:val="0"/>
        <w:jc w:val="both"/>
        <w:rPr/>
      </w:pPr>
      <w:r>
        <w:rPr>
          <w:rFonts w:eastAsia="Times New Roman" w:cs="Times New Roman" w:ascii="Times New Roman" w:hAnsi="Times New Roman"/>
          <w:color w:val="111111"/>
          <w:sz w:val="28"/>
          <w:szCs w:val="28"/>
          <w:lang w:val="en-US"/>
        </w:rPr>
        <w:t>(2) Men are free agents (118-122) ...42</w:t>
      </w:r>
    </w:p>
    <w:p>
      <w:pPr>
        <w:pStyle w:val="BookText"/>
        <w:bidi w:val="0"/>
        <w:jc w:val="both"/>
        <w:rPr/>
      </w:pPr>
      <w:r>
        <w:rPr>
          <w:rFonts w:eastAsia="Times New Roman" w:cs="Times New Roman" w:ascii="Times New Roman" w:hAnsi="Times New Roman"/>
          <w:color w:val="111111"/>
          <w:sz w:val="28"/>
          <w:szCs w:val="28"/>
          <w:lang w:val="en-US"/>
        </w:rPr>
        <w:t>(3) Evil is impossible in Allah (123-126)... 44</w:t>
      </w:r>
    </w:p>
    <w:p>
      <w:pPr>
        <w:pStyle w:val="BookText"/>
        <w:bidi w:val="0"/>
        <w:jc w:val="both"/>
        <w:rPr/>
      </w:pPr>
      <w:r>
        <w:rPr>
          <w:rFonts w:eastAsia="Times New Roman" w:cs="Times New Roman" w:ascii="Times New Roman" w:hAnsi="Times New Roman"/>
          <w:color w:val="111111"/>
          <w:sz w:val="28"/>
          <w:szCs w:val="28"/>
          <w:lang w:val="en-US"/>
        </w:rPr>
        <w:t>(4) Allah acts with an aim (127-143)...46</w:t>
      </w:r>
    </w:p>
    <w:p>
      <w:pPr>
        <w:pStyle w:val="BookText"/>
        <w:bidi w:val="0"/>
        <w:jc w:val="both"/>
        <w:rPr/>
      </w:pPr>
      <w:r>
        <w:rPr>
          <w:rFonts w:eastAsia="Times New Roman" w:cs="Times New Roman" w:ascii="Times New Roman" w:hAnsi="Times New Roman"/>
          <w:color w:val="111111"/>
          <w:sz w:val="28"/>
          <w:szCs w:val="28"/>
          <w:lang w:val="en-US"/>
        </w:rPr>
        <w:t>(a) This aim is man’s advantage (129-130) ... 46</w:t>
      </w:r>
    </w:p>
    <w:p>
      <w:pPr>
        <w:pStyle w:val="BookText"/>
        <w:bidi w:val="0"/>
        <w:jc w:val="both"/>
        <w:rPr/>
      </w:pPr>
      <w:r>
        <w:rPr>
          <w:rFonts w:eastAsia="Times New Roman" w:cs="Times New Roman" w:ascii="Times New Roman" w:hAnsi="Times New Roman"/>
          <w:color w:val="111111"/>
          <w:sz w:val="28"/>
          <w:szCs w:val="28"/>
          <w:lang w:val="en-US"/>
        </w:rPr>
        <w:t>(b) Taklif is necessary (131-143) ... 46</w:t>
      </w:r>
    </w:p>
    <w:p>
      <w:pPr>
        <w:pStyle w:val="BookText"/>
        <w:bidi w:val="0"/>
        <w:jc w:val="both"/>
        <w:rPr/>
      </w:pPr>
      <w:r>
        <w:rPr>
          <w:rFonts w:eastAsia="Times New Roman" w:cs="Times New Roman" w:ascii="Times New Roman" w:hAnsi="Times New Roman"/>
          <w:color w:val="111111"/>
          <w:sz w:val="28"/>
          <w:szCs w:val="28"/>
          <w:lang w:val="en-US"/>
        </w:rPr>
        <w:t>(5) Kindness is incumbent upon Allah (144-148) ...50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(6) Recompense for suffering is incumbent upon Allah (149-151) ...52 </w:t>
      </w:r>
    </w:p>
    <w:p>
      <w:pPr>
        <w:pStyle w:val="BookText"/>
        <w:bidi w:val="0"/>
        <w:rPr/>
      </w:pPr>
      <w:r>
        <w:rPr>
          <w:rFonts w:eastAsia="Times New Roman" w:cs="Times New Roman" w:ascii="Times New Roman" w:hAnsi="Times New Roman"/>
          <w:color w:val="111111"/>
          <w:sz w:val="28"/>
          <w:szCs w:val="28"/>
          <w:lang w:val="en-US"/>
        </w:rPr>
        <w:t>V. Section Five: Prophecy (152-173) ... 54</w:t>
      </w:r>
    </w:p>
    <w:p>
      <w:pPr>
        <w:pStyle w:val="BookText"/>
        <w:bidi w:val="0"/>
        <w:jc w:val="both"/>
        <w:rPr/>
      </w:pPr>
      <w:r>
        <w:rPr>
          <w:rFonts w:eastAsia="Times New Roman" w:cs="Times New Roman" w:ascii="Times New Roman" w:hAnsi="Times New Roman"/>
          <w:color w:val="111111"/>
          <w:sz w:val="28"/>
          <w:szCs w:val="28"/>
          <w:lang w:val="en-US"/>
        </w:rPr>
        <w:t>(1 ) Proof of the mission of Muhammad (162-163) ...56</w:t>
      </w:r>
    </w:p>
    <w:p>
      <w:pPr>
        <w:pStyle w:val="BookText"/>
        <w:bidi w:val="0"/>
        <w:jc w:val="both"/>
        <w:rPr/>
      </w:pPr>
      <w:r>
        <w:rPr>
          <w:rFonts w:eastAsia="Times New Roman" w:cs="Times New Roman" w:ascii="Times New Roman" w:hAnsi="Times New Roman"/>
          <w:color w:val="111111"/>
          <w:sz w:val="28"/>
          <w:szCs w:val="28"/>
          <w:lang w:val="en-US"/>
        </w:rPr>
        <w:t>(2) The Prophet must be immune to sin (154-166) ...58</w:t>
      </w:r>
    </w:p>
    <w:p>
      <w:pPr>
        <w:pStyle w:val="BookText"/>
        <w:bidi w:val="0"/>
        <w:jc w:val="both"/>
        <w:rPr/>
      </w:pPr>
      <w:r>
        <w:rPr>
          <w:rFonts w:eastAsia="Times New Roman" w:cs="Times New Roman" w:ascii="Times New Roman" w:hAnsi="Times New Roman"/>
          <w:color w:val="111111"/>
          <w:sz w:val="28"/>
          <w:szCs w:val="28"/>
          <w:lang w:val="en-US"/>
        </w:rPr>
        <w:t>(3) The Prophet must be all his life immune to sin (167-169) ...59</w:t>
      </w:r>
    </w:p>
    <w:p>
      <w:pPr>
        <w:pStyle w:val="BookText"/>
        <w:bidi w:val="0"/>
        <w:jc w:val="both"/>
        <w:rPr/>
      </w:pPr>
      <w:r>
        <w:rPr>
          <w:rFonts w:eastAsia="Times New Roman" w:cs="Times New Roman" w:ascii="Times New Roman" w:hAnsi="Times New Roman"/>
          <w:color w:val="111111"/>
          <w:sz w:val="28"/>
          <w:szCs w:val="28"/>
          <w:lang w:val="en-US"/>
        </w:rPr>
        <w:t>(4) The Prophet must be the best of the people of his age (170, 171) ...60</w:t>
      </w:r>
    </w:p>
    <w:p>
      <w:pPr>
        <w:pStyle w:val="BookText"/>
        <w:bidi w:val="0"/>
        <w:jc w:val="both"/>
        <w:rPr/>
      </w:pPr>
      <w:r>
        <w:rPr>
          <w:rFonts w:eastAsia="Times New Roman" w:cs="Times New Roman" w:ascii="Times New Roman" w:hAnsi="Times New Roman"/>
          <w:color w:val="111111"/>
          <w:sz w:val="28"/>
          <w:szCs w:val="28"/>
          <w:lang w:val="en-US"/>
        </w:rPr>
        <w:t>(5) The Prophet must be free from all defects (172-173) ... 60</w:t>
      </w:r>
    </w:p>
    <w:p>
      <w:pPr>
        <w:pStyle w:val="BookText"/>
        <w:bidi w:val="0"/>
        <w:jc w:val="both"/>
        <w:rPr/>
      </w:pPr>
      <w:r>
        <w:rPr>
          <w:rFonts w:eastAsia="Times New Roman" w:cs="Times New Roman" w:ascii="Times New Roman" w:hAnsi="Times New Roman"/>
          <w:color w:val="111111"/>
          <w:sz w:val="28"/>
          <w:szCs w:val="28"/>
          <w:lang w:val="en-US"/>
        </w:rPr>
        <w:t>VI. Section Six: The Imamate (174-218) ... 62</w:t>
      </w:r>
    </w:p>
    <w:p>
      <w:pPr>
        <w:pStyle w:val="BookText"/>
        <w:bidi w:val="0"/>
        <w:jc w:val="both"/>
        <w:rPr/>
      </w:pPr>
      <w:r>
        <w:rPr>
          <w:rFonts w:eastAsia="Times New Roman" w:cs="Times New Roman" w:ascii="Times New Roman" w:hAnsi="Times New Roman"/>
          <w:color w:val="111111"/>
          <w:sz w:val="28"/>
          <w:szCs w:val="28"/>
          <w:lang w:val="en-US"/>
        </w:rPr>
        <w:t>(1) The Imamate is necessary (174-178) ... 62</w:t>
      </w:r>
    </w:p>
    <w:p>
      <w:pPr>
        <w:pStyle w:val="BookText"/>
        <w:bidi w:val="0"/>
        <w:jc w:val="both"/>
        <w:rPr/>
      </w:pPr>
      <w:r>
        <w:rPr>
          <w:rFonts w:eastAsia="Times New Roman" w:cs="Times New Roman" w:ascii="Times New Roman" w:hAnsi="Times New Roman"/>
          <w:color w:val="111111"/>
          <w:sz w:val="28"/>
          <w:szCs w:val="28"/>
          <w:lang w:val="en-US"/>
        </w:rPr>
        <w:t>(2) The Imam must be immune to sin (179-185) ... 64</w:t>
      </w:r>
    </w:p>
    <w:p>
      <w:pPr>
        <w:pStyle w:val="BookText"/>
        <w:bidi w:val="0"/>
        <w:jc w:val="both"/>
        <w:rPr/>
      </w:pPr>
      <w:r>
        <w:rPr>
          <w:rFonts w:eastAsia="Times New Roman" w:cs="Times New Roman" w:ascii="Times New Roman" w:hAnsi="Times New Roman"/>
          <w:color w:val="111111"/>
          <w:sz w:val="28"/>
          <w:szCs w:val="28"/>
          <w:lang w:val="en-US"/>
        </w:rPr>
        <w:t>(3) The Imam must be specified (186-188) ... 68</w:t>
      </w:r>
    </w:p>
    <w:p>
      <w:pPr>
        <w:pStyle w:val="BookText"/>
        <w:bidi w:val="0"/>
        <w:jc w:val="both"/>
        <w:rPr/>
      </w:pPr>
      <w:r>
        <w:rPr>
          <w:rFonts w:eastAsia="Times New Roman" w:cs="Times New Roman" w:ascii="Times New Roman" w:hAnsi="Times New Roman"/>
          <w:color w:val="111111"/>
          <w:sz w:val="28"/>
          <w:szCs w:val="28"/>
          <w:lang w:val="en-US"/>
        </w:rPr>
        <w:t>(4) The Imam must be the best of the people of his age (189-190) ...69</w:t>
      </w:r>
    </w:p>
    <w:p>
      <w:pPr>
        <w:pStyle w:val="BookText"/>
        <w:bidi w:val="0"/>
        <w:jc w:val="both"/>
        <w:rPr/>
      </w:pPr>
      <w:r>
        <w:rPr>
          <w:rFonts w:eastAsia="Times New Roman" w:cs="Times New Roman" w:ascii="Times New Roman" w:hAnsi="Times New Roman"/>
          <w:color w:val="111111"/>
          <w:sz w:val="28"/>
          <w:szCs w:val="28"/>
          <w:lang w:val="en-US"/>
        </w:rPr>
        <w:t>(5) The Imams after Muhammad are ‘Ali (191-209) and his eleven descendants (210-218) ... 69</w:t>
      </w:r>
    </w:p>
    <w:p>
      <w:pPr>
        <w:pStyle w:val="BookText"/>
        <w:bidi w:val="0"/>
        <w:jc w:val="both"/>
        <w:rPr/>
      </w:pPr>
      <w:r>
        <w:rPr>
          <w:rFonts w:eastAsia="Times New Roman" w:cs="Times New Roman" w:ascii="Times New Roman" w:hAnsi="Times New Roman"/>
          <w:color w:val="111111"/>
          <w:sz w:val="28"/>
          <w:szCs w:val="28"/>
          <w:lang w:val="en-US"/>
        </w:rPr>
        <w:t>VII. Section Seven: The Return (219-244) ... 82</w:t>
      </w:r>
    </w:p>
    <w:p>
      <w:pPr>
        <w:pStyle w:val="BookText"/>
        <w:bidi w:val="0"/>
        <w:jc w:val="both"/>
        <w:rPr/>
      </w:pPr>
      <w:r>
        <w:rPr>
          <w:rFonts w:eastAsia="Times New Roman" w:cs="Times New Roman" w:ascii="Times New Roman" w:hAnsi="Times New Roman"/>
          <w:color w:val="111111"/>
          <w:sz w:val="28"/>
          <w:szCs w:val="28"/>
          <w:lang w:val="en-US"/>
        </w:rPr>
        <w:t>(1 ) The Resurrection, Bridge, Scales, etc., must be accepted (219-226) ... 82</w:t>
      </w:r>
    </w:p>
    <w:p>
      <w:pPr>
        <w:pStyle w:val="BookText"/>
        <w:bidi w:val="0"/>
        <w:jc w:val="both"/>
        <w:rPr/>
      </w:pPr>
      <w:r>
        <w:rPr>
          <w:rFonts w:eastAsia="Times New Roman" w:cs="Times New Roman" w:ascii="Times New Roman" w:hAnsi="Times New Roman"/>
          <w:color w:val="111111"/>
          <w:sz w:val="28"/>
          <w:szCs w:val="28"/>
          <w:lang w:val="en-US"/>
        </w:rPr>
        <w:t>(2) Reward and Punishment (226-236) ... 84</w:t>
      </w:r>
    </w:p>
    <w:p>
      <w:pPr>
        <w:pStyle w:val="BookText"/>
        <w:bidi w:val="0"/>
        <w:jc w:val="both"/>
        <w:rPr/>
      </w:pPr>
      <w:r>
        <w:rPr>
          <w:rFonts w:eastAsia="Times New Roman" w:cs="Times New Roman" w:ascii="Times New Roman" w:hAnsi="Times New Roman"/>
          <w:color w:val="111111"/>
          <w:sz w:val="28"/>
          <w:szCs w:val="28"/>
          <w:lang w:val="en-US"/>
        </w:rPr>
        <w:t>(3) Repentance (237-240) ...88</w:t>
      </w:r>
    </w:p>
    <w:p>
      <w:pPr>
        <w:pStyle w:val="BookText"/>
        <w:bidi w:val="0"/>
        <w:jc w:val="both"/>
        <w:rPr/>
      </w:pPr>
      <w:r>
        <w:rPr>
          <w:rFonts w:eastAsia="Times New Roman" w:cs="Times New Roman" w:ascii="Times New Roman" w:hAnsi="Times New Roman"/>
          <w:color w:val="111111"/>
          <w:sz w:val="28"/>
          <w:szCs w:val="28"/>
          <w:lang w:val="en-US"/>
        </w:rPr>
        <w:t>(4) Command and Prohibition (241-244)... 89</w:t>
      </w:r>
    </w:p>
    <w:p>
      <w:pPr>
        <w:pStyle w:val="BookText"/>
        <w:bidi w:val="0"/>
        <w:jc w:val="both"/>
        <w:rPr/>
      </w:pPr>
      <w:r>
        <w:rPr>
          <w:rFonts w:eastAsia="Times New Roman" w:cs="Times New Roman" w:ascii="Times New Roman" w:hAnsi="Times New Roman"/>
          <w:color w:val="111111"/>
          <w:sz w:val="28"/>
          <w:szCs w:val="28"/>
          <w:lang w:val="en-US"/>
        </w:rPr>
        <w:t>Notes on the Text (by the Translator) ... 92</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Index of Names and Important Arabic Words ... 102 </w:t>
      </w:r>
      <w:bookmarkStart w:id="15" w:name="pg18964_203152"/>
    </w:p>
    <w:p>
      <w:pPr>
        <w:pStyle w:val="Heading2"/>
        <w:numPr>
          <w:ilvl w:val="1"/>
          <w:numId w:val="1"/>
        </w:numPr>
        <w:bidi w:val="0"/>
        <w:jc w:val="left"/>
        <w:rPr/>
      </w:pPr>
      <w:bookmarkStart w:id="16" w:name="__RefHeading___Toc16877028_1280447820"/>
      <w:bookmarkStart w:id="17" w:name="_Toc5"/>
      <w:bookmarkEnd w:id="15"/>
      <w:bookmarkEnd w:id="16"/>
      <w:r>
        <w:rPr/>
        <w:t>SKETCH OF ‘ALLAMA-I-HILLI</w:t>
      </w:r>
      <w:bookmarkEnd w:id="17"/>
    </w:p>
    <w:p>
      <w:pPr>
        <w:pStyle w:val="BookText"/>
        <w:bidi w:val="0"/>
        <w:jc w:val="both"/>
        <w:rPr/>
      </w:pPr>
      <w:r>
        <w:rPr>
          <w:rFonts w:eastAsia="Times New Roman" w:cs="Times New Roman" w:ascii="Times New Roman" w:hAnsi="Times New Roman"/>
          <w:color w:val="111111"/>
          <w:sz w:val="28"/>
          <w:szCs w:val="28"/>
          <w:lang w:val="en-US"/>
        </w:rPr>
        <w:t>Hasan b. Yusuf b. ‘Ali b. Mutahhar al-Hilli, commonly known as ‘Allama-i-Hilli or ‘Allama, was born 19 Ramadan 648/1260, and died 11 Muharram 726/1326. He studied jurisprudence and scholastic theology and the principles (usul), and Arabic and the other sciences of the law with his uncle, the Doctor of the people of the House (of the Prophet), Najmu’d-Din Abu’l- Qasim Ja'far b. Sa‘id-i-Hilli entitled Muhaqqiq-i-Awwal (d. 726/1325; see Browne’s “ Persian Literature in Modern Times,” pp. 378, 405), and with his father Shaykh Sadidu’d-Din Yusuf b. al-Mutahhar. And he studied philosophical subjects with the master of mankind, Khwaja Nasiru’d-Din-i-Tusi (d. 672/1274; see Browne, p. 405), and others of the Shi‘ites and Sunnites.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 is said to have written 500 books. Among his works mentioned in the Qisasu’l-‘Ulama is “ Minhaju’s-Salah,” which consisted of ten chapters. “ Al-Babu ’l-Hadi ‘Ashar ” was later added to this book as an eleventh chapter. The matn (text) only is the work of ‘Allama. The commentary was written by Miqdad-i-Fadil, also of Hilla, who lived and composed commentaries on theological works during the latter part of the eighth century a.h.</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Allama was born just eight years before the capture of Baghdad by the Mongols. During his youth Persia was ruled by the Il-Khans, the descendants of Hulagu. It was a time of bloodshed and confusion, but with the invasion of the Mongols there also came a revival of trade and of letters. The first Il-Khans were heathen, but they showed great favour towards the Christians, and carried on negotiations with the Christian rulers of Europe regarding a united attack upon the Muslims. Accordingly there was more freedom for the discussion of religious questions than had previously existed. Several of the Il-Khans were on the point of becom- </w:t>
      </w:r>
    </w:p>
    <w:p>
      <w:pPr>
        <w:pStyle w:val="BookText"/>
        <w:bidi w:val="0"/>
        <w:rPr/>
      </w:pPr>
      <w:r>
        <w:rPr>
          <w:rFonts w:eastAsia="Times New Roman" w:cs="Times New Roman" w:ascii="Times New Roman" w:hAnsi="Times New Roman"/>
          <w:color w:val="111111"/>
          <w:sz w:val="28"/>
          <w:szCs w:val="28"/>
          <w:lang w:val="en-US"/>
        </w:rPr>
        <w:t>ing Christians, but the influence of Islam finally prevailed, and at last in 1296 a.d. (when ‘Allama was forty-five years of age) Ghazan became a Muslim and threw his influence on the side of Islam. He showed great favour toward the Shi‘ites, and enriched the shrines of Karbala and Mashhad.</w:t>
      </w:r>
    </w:p>
    <w:p>
      <w:pPr>
        <w:pStyle w:val="BookText"/>
        <w:bidi w:val="0"/>
        <w:jc w:val="both"/>
        <w:rPr/>
      </w:pPr>
      <w:r>
        <w:rPr>
          <w:rFonts w:eastAsia="Times New Roman" w:cs="Times New Roman" w:ascii="Times New Roman" w:hAnsi="Times New Roman"/>
          <w:color w:val="111111"/>
          <w:sz w:val="28"/>
          <w:szCs w:val="28"/>
          <w:lang w:val="en-US"/>
        </w:rPr>
        <w:t>Ghazan was followed by Uljaytu Khuda Banda, who had been baptized in infancy as a Christian, but who, on his accession to the throne in 1305 a.d., confirmed the Islamic laws of his predecessor. At first he was a Hanafite; later he inclined to the Shafi‘ite doctrine, and finally, after seeing a vision on the occasion of a visit to the tomb of ‘Ali at Najaf, he became a Shi‘ite. He was fond of religious discussion, and the doctors of the various schools were brought before him to expound their doctrines. The following stories, which tell something of ‘Allama’s part in the king’s conversion, are taken from the “ Qisasu’l-‘Ulama,” which was written in 1290 a.h. by Muhammad b. Sulayman of Tanukabun (see Browne, pp. 354, 355).</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history of Hafiz Abru (see Browne’s “ Persian Literature under Tartar Dominion,” pp. 424-426) it is recorded that when the falsity of the faith of the people of tradition and agreement (the Sunnites) had to some extent become clear to Sultan Uljaytu Muhammad-i-Khuda Banda (1303-1316 a.d., see Browne’s “ Persian Literature under Tartar Dominion,” pp. 46-51), he commanded that the Imamate doctors be sum- moned. When ‘Allama came with the other doctors it was appointed that Khwaja Nizamu’d-Din ‘Abdu’l-Malik-i- Maraghi, who was the greatest of the Shafi‘ite doctors, and in fact of all the Sunnite doctors, should dispute with the honoured ‘Allama. And ‘Allama disputed with the Khwaja and proved the uninterrupted succession of the Commander of the Faithful (‘Ali) and the fallacy of the claim of the three Shaykhs of the Sunnites with convincing arguments and clear reasons, and he set forth the pre-eminence of the religion of the Imamites in such a manner that there was no possibility of doubt left to those who were present. And when the Khwaja heard the reasons of the honoured ‘Allama, he said, “ The strength of the arguments is exceedingly plain, but since past generations have </w:t>
      </w:r>
    </w:p>
    <w:p>
      <w:pPr>
        <w:pStyle w:val="BookText"/>
        <w:bidi w:val="0"/>
        <w:rPr/>
      </w:pPr>
      <w:r>
        <w:rPr>
          <w:rFonts w:eastAsia="Times New Roman" w:cs="Times New Roman" w:ascii="Times New Roman" w:hAnsi="Times New Roman"/>
          <w:color w:val="111111"/>
          <w:sz w:val="28"/>
          <w:szCs w:val="28"/>
          <w:lang w:val="en-US"/>
        </w:rPr>
        <w:t>walked in a certain way, and men at present have drawn the curtain of silence over their mistakes in order to bridle the ignorant and remove the differences in the faith (kalima) of Islam, it is therefore fitting that they should not rend the veil and curse them.”</w:t>
      </w:r>
    </w:p>
    <w:p>
      <w:pPr>
        <w:pStyle w:val="BookText"/>
        <w:bidi w:val="0"/>
        <w:jc w:val="both"/>
        <w:rPr/>
      </w:pPr>
      <w:r>
        <w:rPr>
          <w:rFonts w:eastAsia="Times New Roman" w:cs="Times New Roman" w:ascii="Times New Roman" w:hAnsi="Times New Roman"/>
          <w:color w:val="111111"/>
          <w:sz w:val="28"/>
          <w:szCs w:val="28"/>
          <w:lang w:val="en-US"/>
        </w:rPr>
        <w:t>A story is told of Sultan Uljaytu, who had a wife whom he loved very much. Once he spoke the triple divorce formula to her, and the lawyers of Islam said there was no way to take her back except by her first being married to another and having him divorce her. He inquired whether there was not some other sect which provided another way. They replied that the Imamites did, but they were few in number. So he sent to Hilla for their doctors, and 'Allama came to him. On entering the room he took off his shoes and came in with them in his hand. The courtiers blamed him for not pros- trating himself, but he answered that one should bow before God only. Then they asked him why he had not left his shoes at the door. He replied that he had heard that the Prophet had gone to a meeting of Malikites and his shoes had been stolen, and since there were Malikites present he wanted to watch his shoes. They laughed at him for his ignorance, and told him that Malik had lived 100 years after the time of the Prophet. He said he had forgotten, it was not the Malikites but the Hanbalites. Again they corrected him, and so for all four of the sects of the Sunnites. “ Then,” he said, “ if all four of the Imams lived after the Prophet, how did they originate these sects ?” And he completely refuted their doctrines.</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are told that ‘Allama was once going to Karbala on pilgrimage riding on a donkey, when a stranger joined him. They began to talk, and the stranger proved to be a very learned man. ‘Allama brought to him all his problems, and he solved them. He answered ‘Allama’s objections by refer- ring him to certain traditions of which he was ignorant, giving book and page and line, and when ‘Allama later consulted these books he found that all the references were correct. Finally ‘Allama asked him whether the Hidden Imam could be seen or not. Just then ‘Allama’s whip fell to the ground. The stranger stooped and picked it up and gave it to him. </w:t>
      </w:r>
    </w:p>
    <w:p>
      <w:pPr>
        <w:pStyle w:val="BookText"/>
        <w:bidi w:val="0"/>
        <w:rPr/>
      </w:pPr>
      <w:r>
        <w:rPr>
          <w:rFonts w:eastAsia="Times New Roman" w:cs="Times New Roman" w:ascii="Times New Roman" w:hAnsi="Times New Roman"/>
          <w:color w:val="111111"/>
          <w:sz w:val="28"/>
          <w:szCs w:val="28"/>
          <w:lang w:val="en-US"/>
        </w:rPr>
        <w:t>saying, “ Why not see him, when his hands are in yours ?”</w:t>
      </w:r>
    </w:p>
    <w:p>
      <w:pPr>
        <w:pStyle w:val="BookText"/>
        <w:bidi w:val="0"/>
        <w:jc w:val="both"/>
        <w:rPr/>
      </w:pPr>
      <w:r>
        <w:rPr>
          <w:rFonts w:eastAsia="Times New Roman" w:cs="Times New Roman" w:ascii="Times New Roman" w:hAnsi="Times New Roman"/>
          <w:color w:val="111111"/>
          <w:sz w:val="28"/>
          <w:szCs w:val="28"/>
          <w:lang w:val="en-US"/>
        </w:rPr>
        <w:t>and then he disappeared.</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for Miqdad-i-Fadil, the author of the commentary, I have been unable to learn anything of the story of his life from the biographies which I have consulted. He is not so well known as ‘Allama, but for our purpose his commentary is of more value than is the matn of ‘Allama, which is frequently too condensed to be wholly intelligible. </w:t>
      </w:r>
      <w:bookmarkStart w:id="18" w:name="pg18967_203156"/>
    </w:p>
    <w:p>
      <w:pPr>
        <w:pStyle w:val="Heading2"/>
        <w:numPr>
          <w:ilvl w:val="1"/>
          <w:numId w:val="1"/>
        </w:numPr>
        <w:bidi w:val="0"/>
        <w:jc w:val="left"/>
        <w:rPr/>
      </w:pPr>
      <w:bookmarkStart w:id="19" w:name="__RefHeading___Toc16877030_1280447820"/>
      <w:bookmarkStart w:id="20" w:name="_Toc6"/>
      <w:bookmarkEnd w:id="18"/>
      <w:bookmarkEnd w:id="19"/>
      <w:r>
        <w:rPr/>
        <w:t>Introduction by the Commentator (1 and 2)</w:t>
      </w:r>
      <w:bookmarkEnd w:id="20"/>
    </w:p>
    <w:p>
      <w:pPr>
        <w:pStyle w:val="BookText"/>
        <w:bidi w:val="0"/>
        <w:jc w:val="both"/>
        <w:rPr/>
      </w:pPr>
      <w:r>
        <w:rPr>
          <w:rFonts w:eastAsia="Times New Roman" w:cs="Times New Roman" w:ascii="Times New Roman" w:hAnsi="Times New Roman"/>
          <w:color w:val="111111"/>
          <w:sz w:val="28"/>
          <w:szCs w:val="28"/>
          <w:lang w:val="en-US"/>
        </w:rPr>
        <w:t>AL-BABU ’L-HADI ‘ASHAR</w:t>
      </w:r>
    </w:p>
    <w:p>
      <w:pPr>
        <w:pStyle w:val="BookText"/>
        <w:bidi w:val="0"/>
        <w:jc w:val="both"/>
        <w:rPr/>
      </w:pPr>
      <w:r>
        <w:rPr>
          <w:rFonts w:eastAsia="Times New Roman" w:cs="Times New Roman" w:ascii="Times New Roman" w:hAnsi="Times New Roman"/>
          <w:color w:val="111111"/>
          <w:sz w:val="28"/>
          <w:szCs w:val="28"/>
          <w:lang w:val="en-US"/>
        </w:rPr>
        <w:t>INTRODUCTION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 the Most High did not create the world in vain, in which case He would be only a trifler, but with purpose and wisdom which can be ascertained by those who consider. And He specified that purpose expressly when He said, “ I have not created Jinn and men, but that they should worship me ” (Koran 51:56). Hence it is incumbent upon everyone who belongs to the company of rational beings to respond to the Lord of the Worlds. And since that is impossible without a certain knowledge (ma‘rifa) of Him, it is incumbent upon every responsible person who knows Allah to arouse the slothful and guide the erring by writing out and explaining the introductory treatises of men of understanding. And among these introductions is the one called al-Babu ’l-Hadi ‘Ashar (“ The Eleventh Chapter ”), one of the compositions of our Shaykh and Imam, and the Imam of the world, the most knowing, the most excellent, and the most perfect, the Sultan of the masters of investigation, the preceptor of those who search and examine, the writer on subjects for intellectual investigation, the arranger of legal reasons, the sign of Allah in the worlds, the heir of the wisdom of the prophets and apostles, the perfection of the People and the Religion, Abu Mansur al-Hasan b. Yusuf b. ‘Ali b. al-Mutahhar al-Hilli (‘Allama-i-Hilli) — may Allah sanctify his spirit and illumine his tomb.</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in spite of the conciseness of its expression this treatise abounds in knowledge, and in spite of the abbreviation of its style it abounds in wealth. And in time past I had had the desire to write something as an aid to the understanding of it by composing the reason and proofs, in response to the request of some of the brethren. Then hindering events and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the rebuffs of treacherous fortune held me back from finishing it, for these things cut a man off from accomplishing his will and attaining his purpose, and stand between him and his desire. Then there occurred gatherings and discussions on several journeys, along with the piling up of business and the disturbance of my thoughts. And some of the great be- sought me to go back to the consideration and thought of what I had first written and to return to what I had collected. So I agreed to their request, for Allah the Most High made it incumbent upon me to respond to it, in spite of the lack of worldly goods and the excessive number of engagements which hindered me from doing it. And I begin it seeking aid from Allah the Most High for it, and drawing near to Him by means of it, and I called it al-Nafi‘u li-Yawmi ’l-Hashr in explanation of al-Babu ’l-Hadi 'Ashar. And there is no success except through Allah, in whom I trust and to whom I shall return. </w:t>
      </w:r>
      <w:bookmarkStart w:id="21" w:name="pg18967_203158"/>
    </w:p>
    <w:p>
      <w:pPr>
        <w:pStyle w:val="Heading2"/>
        <w:numPr>
          <w:ilvl w:val="1"/>
          <w:numId w:val="1"/>
        </w:numPr>
        <w:bidi w:val="0"/>
        <w:jc w:val="left"/>
        <w:rPr/>
      </w:pPr>
      <w:bookmarkStart w:id="22" w:name="__RefHeading___Toc16877032_1280447820"/>
      <w:bookmarkStart w:id="23" w:name="_Toc7"/>
      <w:bookmarkEnd w:id="21"/>
      <w:bookmarkEnd w:id="22"/>
      <w:r>
        <w:rPr/>
        <w:t>The Necessity of the Knowledge of the Principles of Religion (3-20)</w:t>
      </w:r>
      <w:bookmarkEnd w:id="23"/>
    </w:p>
    <w:p>
      <w:pPr>
        <w:pStyle w:val="BookText"/>
        <w:bidi w:val="0"/>
        <w:jc w:val="both"/>
        <w:rPr/>
      </w:pPr>
      <w:r>
        <w:rPr>
          <w:rFonts w:eastAsia="Times New Roman" w:cs="Times New Roman" w:ascii="Times New Roman" w:hAnsi="Times New Roman"/>
          <w:color w:val="111111"/>
          <w:sz w:val="28"/>
          <w:szCs w:val="28"/>
          <w:lang w:val="en-US"/>
        </w:rPr>
        <w:t>AL-BABU ’L-HADI ‘ASHAR</w:t>
      </w:r>
    </w:p>
    <w:p>
      <w:pPr>
        <w:pStyle w:val="BookText"/>
        <w:bidi w:val="0"/>
        <w:jc w:val="both"/>
        <w:rPr/>
      </w:pPr>
      <w:r>
        <w:rPr>
          <w:rFonts w:eastAsia="Times New Roman" w:cs="Times New Roman" w:ascii="Times New Roman" w:hAnsi="Times New Roman"/>
          <w:color w:val="111111"/>
          <w:sz w:val="28"/>
          <w:szCs w:val="28"/>
          <w:lang w:val="en-US"/>
        </w:rPr>
        <w:t>(THE ELEVENTH CHAPTER)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Concerning what is incumbent (wajib) upon all MUKALLAFS REGARDING THE KNOWLEDGE (ma‘rifa) OF THE FOUNDATIONS OF RELIGION (din).</w:t>
      </w:r>
    </w:p>
    <w:p>
      <w:pPr>
        <w:pStyle w:val="BookText"/>
        <w:bidi w:val="0"/>
        <w:jc w:val="both"/>
        <w:rPr/>
      </w:pPr>
      <w:r>
        <w:rPr>
          <w:rFonts w:eastAsia="Times New Roman" w:cs="Times New Roman" w:ascii="Times New Roman" w:hAnsi="Times New Roman"/>
          <w:color w:val="111111"/>
          <w:sz w:val="28"/>
          <w:szCs w:val="28"/>
          <w:lang w:val="en-US"/>
        </w:rPr>
        <w:t>It is called the Eleventh Chapter because the writer made an abbreviation of the “ Misbahu’l-Mutahajjid ” which Shaykh Tusi wrote concerning worship and prayer, and arranged it in ten chapters and gave to this abbreviation of the “ Misbah ’’ the title of “ Minhaju’s-Salah.” And since that book was concerned with the science of conduct (‘amal) and worship and prayer, these things required a knowledge (ma‘rifa) of the Object of worship and of Him to whom prayer is offered. So he added this eleventh chapter.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Being incumbent (wujub) as a word means established and fallen, as in Allah’s word, “ And when they are fallen (wajabat) over on their sides ” (Koran 22:37). And in usage wajib is that the neglect of which involves blame under certain circumstances. And it is of two kinds. (1) that which is incumbent in itself, that is, that which no one can perform for another; and (2) that which is incumbent by sufficiency (kifayatan), and it is the opposite of the first. Knowledge (ma‘rifa) is of the first kind, and for that reason he said, “ it is incumbent upon all mukallafs.”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And a mukallaf is a human being, alive, adult (males over fifteen and females over nine years of age), and rational. So dead persons, children, and insane persons are not mukallafs.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And FOUNDATIONS (usul) is the plural of asl, and is that upon which something else is built.</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RELIGION (din) as a word means requital, as said the Prophet, “ As thou treatest men (tadinu) so shalt thou be treated.” And in usage it means way (tariqa) and law (shari‘a), and that is the meaning here. And this science is called </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foundations ” because the other religious sciences, tradition and jurisprudence and exegesis, are built upon it. And it depends on the veracity of the Messenger. And the veracity of the Messenger depends on the veracity of the Sender and His qualities and His justice and the impossibility of there being evil in Him. And the science of “ foundations ” is that in which the unity of Allah the Most High and His qualities and His justice and the prophecy of the prophets and the acknowledgement of that which the Prophet brought and the imamate of the Imams and the return (ma‘ad) are investigated.</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And the doctors have all agreed in considering INCUMBENT THE KNOWLEDGE (ma‘rifa) OF ALLAH THE MOST HIGH AND OF HIS POSITIVE AND PRIVATIVE QUALITIES AND OF WHAT IS PROPER FOR HIM AND OF WHAT IS IMPOSSIBLE FOR HIM AND OF PROPHECY AND OF THE IMAMATE AND OF THE RETURN.</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Those of the people of Muhammad who have the power to loose and bind (that is, the mullas, cf. Matt. 16:19) have agreed in saying that a knowledge of these things is incumbent, and their agreement is a convincing proof for all — for us Shi‘ites, because of the presence among them of the One Immune to Sin (al-ma‘sum, that is, the Imam whose authority alone is sufficient for the Shi‘ites); and for the rest (the Sun- nites) because of the Prophet’s word, “ My people will not agree in an error.”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And in addition to agreement, the proof that knowledge is incumbent is of two kinds, rational (‘aqli) and traditional (sam‘i). (1) Now the rational proofs are two. (a) The first is that knowledge guards against the fear which results from differences. And guarding against fear is incumbent, for fear is pain to the soul. Now guarding against pain is possible. Therefore reason pronounces incumbent the guarding against fear, hence guarding against it is incumbent.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[From the presence of religious differences among men it is evident that many men do not know God, and that therefore they will go to hell. This results in fear, from which only the knowledge of God can save us.] </w:t>
      </w:r>
    </w:p>
    <w:p>
      <w:pPr>
        <w:pStyle w:val="BookText"/>
        <w:bidi w:val="0"/>
        <w:rPr/>
      </w:pPr>
      <w:r>
        <w:rPr>
          <w:rFonts w:eastAsia="Times New Roman" w:cs="Times New Roman" w:ascii="Times New Roman" w:hAnsi="Times New Roman"/>
          <w:color w:val="111111"/>
          <w:sz w:val="28"/>
          <w:szCs w:val="28"/>
          <w:lang w:val="en-US"/>
        </w:rPr>
        <w:t>(b) Second, expression of gratitude to a benefactor is incumbent. But this cannot be done unless one knows him. Now it is incumbent, for all rational beings know that failure to express gratitude deserves blame. But it cannot be done without knowledge. For the expression of gratitude must be of a kind suitable to the condition of the one to be thanked, and that comes only from knowing him — otherwise it is not an expression of gratitude. Now the Most High Creator is a Benefactor. Therefore expression of gratitude to Him is incumbent. Therefore the knowledge of Him is incumbent. And since taklif (the imposition of a task) is necessary (wajib) on rational grounds, as shall appear later (see pars. 131-143), it is incumbent that one know the announcer (muballigh) of it, that is, the Prophet, and the guardian of it, that is, the Imam, and the Return, because taklif requires the necessity (wujub) of requital.</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(2) Now for the traditional proof, which is of two kinds: (a) First, the word of the Most High, “ Know then, that there is no god but Allah ” (47:21). And this is a command making it incumbent. (b) Second, when there descended the word of Allah, “ Verily, in the creation of the Heavens and of the Earth, and in the succession of the night and of the day are signs for men of understanding ” (3:186), the Prophet said, “ Woe be to him who reads this with his tongue but has not reflected upon it.” Thus he attributes blame in case of failure to reflect upon it, that is, the failure to make deduction (istidlal) from what the verse contained in the mention of the heavenly and earthly bodies, because in them are evidences of workmanship and power. And the knowledge (‘ilm) of these things certainly proves the existence of their Creator (Sani‘), and His power and His knowledge. Hence reflection and deduction become incumbent, and that was what we were seeking to demonstrate.</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And all of this is by proof (dalil), not by imitation (taqlid).</w:t>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PROOF (dalil) as a word means a director (murshid) and guide (dall), and in usage it means a thing the knowledge </w:t>
      </w:r>
    </w:p>
    <w:p>
      <w:pPr>
        <w:pStyle w:val="BookText"/>
        <w:bidi w:val="0"/>
        <w:rPr/>
      </w:pPr>
      <w:r>
        <w:rPr>
          <w:rFonts w:eastAsia="Times New Roman" w:cs="Times New Roman" w:ascii="Times New Roman" w:hAnsi="Times New Roman"/>
          <w:color w:val="111111"/>
          <w:sz w:val="28"/>
          <w:szCs w:val="28"/>
          <w:lang w:val="en-US"/>
        </w:rPr>
        <w:t>(‘ilm) of which necessitates the knowledge of another thing. And since knowledge (ma‘rifa) is incumbent, it is necessary that it be acquired by means of reflection and deduction. For ma‘rifa is not of necessity (daruri), for what is known of necessity is that in which rational beings do not differ. Now it is acquired by means of the smallest cause by the direction of the mind upon it, or by the perception of it by the senses, such as the judgment that one is a half of two, and that fire burns, and that the sun is bright, and likewise that we are subject to fear and anger and strength and weakness and so forth.</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But ma‘rifa is not like that, because there is a difference of opinion about it, and because it cannot be acquired merely by the direction of the mind upon it, and because it cannot be perceived by the senses. Hence the first statement is demonstrated, because it includes both necessary knowledge and speculative (nazari) knowledge. Hence speculation and deduction become incumbent. For that without which a thing absolutely incumbent cannot be performed and by which it is controlled is itself incumbent. (There are two kinds of obligations (wajib), absolute, like namaz, and conditioned, like hajj.) Because whenever anything on which a thing absolutely incumbent depends is not itself incumbent, then the thing absolutely incumbent either remains incumbent or it does not. If the first be the case, then there becomes necessary a taklif which cannot be performed, and this is impossible, as shall later appear (pars. 134-136). And if the second be the case, then it becomes necessary that a thing absolutely incumbent shall cease to be incumbent, and this also is impossible.</w:t>
      </w:r>
    </w:p>
    <w:p>
      <w:pPr>
        <w:pStyle w:val="BookText"/>
        <w:bidi w:val="0"/>
        <w:jc w:val="both"/>
        <w:rPr/>
      </w:pPr>
      <w:r>
        <w:rPr>
          <w:rFonts w:eastAsia="Times New Roman" w:cs="Times New Roman" w:ascii="Times New Roman" w:hAnsi="Times New Roman"/>
          <w:color w:val="111111"/>
          <w:sz w:val="28"/>
          <w:szCs w:val="28"/>
          <w:lang w:val="en-US"/>
        </w:rPr>
        <w:t>[That is, knowledge is incumbent, therefore investigation is also incumbent. For if it were not, then either a thing (namely, ma‘rifa) would be incumbent which could not be attained — and this is impossible; or else a thing absolutely incumbent becomes non-incumbent — which is also impossible.]</w:t>
      </w:r>
    </w:p>
    <w:p>
      <w:pPr>
        <w:pStyle w:val="BookText"/>
        <w:bidi w:val="0"/>
        <w:jc w:val="both"/>
        <w:rPr/>
      </w:pPr>
      <w:r>
        <w:rPr>
          <w:rFonts w:eastAsia="Times New Roman" w:cs="Times New Roman" w:ascii="Times New Roman" w:hAnsi="Times New Roman"/>
          <w:color w:val="111111"/>
          <w:sz w:val="28"/>
          <w:szCs w:val="28"/>
          <w:lang w:val="en-US"/>
        </w:rPr>
        <w:t>15.</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speculation (nazar) is the orderly arrangement of known facts (umur) in order to arrive at another fact. And in</w:t>
      </w:r>
    </w:p>
    <w:p>
      <w:pPr>
        <w:pStyle w:val="BookText"/>
        <w:bidi w:val="0"/>
        <w:rPr/>
      </w:pPr>
      <w:r>
        <w:rPr>
          <w:rFonts w:eastAsia="Times New Roman" w:cs="Times New Roman" w:ascii="Times New Roman" w:hAnsi="Times New Roman"/>
          <w:color w:val="111111"/>
          <w:sz w:val="28"/>
          <w:szCs w:val="28"/>
          <w:lang w:val="en-US"/>
        </w:rPr>
        <w:t>explanation of this — first the soul (nafs) conceives the object sought, then it acquires the sound premises necessary for making a deduction, and then it arranges them in order so as to arrive at a knowledge of the object.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And it is not possible (ja’iz) that knowledge (ma‘rifa) of the Most High be by imitation (taqlid). And taqlid is the acceptance of the word of another without proof (dalil). And this statement of ours has two aspects. (1) First, when mankind are equal in respect of knowledge (‘ilm) and differ from one another in belief, then a mukallaf must either accept all that which others believe (in which case the agreement of things irreconcilable becomes necessary), or else he must accept some things and not others. In the latter case there is either something to cause a preponderance of opinion (murajjih), or there is not. If there be something which causes the preponderance, then that is the proof (dalil). But if there be not, then it becomes necessary for there to be a preponderance without anything to cause it, and this is impossible.</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(2) Second, the Most High has blamed imitation (taqlid) by His word, “ But say they, ‘ Verily, we have found our fathers of that persuasion and verily by their footsteps do we guide ourselves ’ ” (43:21). And He has invited us to speculation and deduction by His word, “ Bring me a Book sent down by them before this Koran, or traces of their knowledge — if ye are men of truth ” (46:3).</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And so it is necessary to mention those things REGARDING WHICH IT IS NOT POSSIBLE FOR A SINGLE MUSLIM TO BE IGNORANT, AND WHOEVER IS IGNORANT AS TO ANY OF THEM IS OUTSIDE THE BOND (ribqa) OF BELIEVERS AND DESERVES EVERLASTING PUNISHMENT.</w:t>
      </w:r>
    </w:p>
    <w:p>
      <w:pPr>
        <w:pStyle w:val="BookText"/>
        <w:bidi w:val="0"/>
        <w:jc w:val="both"/>
        <w:rPr/>
      </w:pPr>
      <w:r>
        <w:rPr>
          <w:rFonts w:eastAsia="Times New Roman" w:cs="Times New Roman" w:ascii="Times New Roman" w:hAnsi="Times New Roman"/>
          <w:color w:val="111111"/>
          <w:sz w:val="28"/>
          <w:szCs w:val="28"/>
          <w:lang w:val="en-US"/>
        </w:rPr>
        <w:t>19.</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Since the knowledge (ma‘rifa) of the above-mentioned things has been proved to be incumbent, it necessarily follows that it is incumbent upon every Muslim. That is, he should affirm the two testimonies (that there is no god but Allah and that Muhammad is His Prophet) in order that through knowledge he should become a believer, according to the word of the Most High, “ The Arabs of the desert say, ‘ We believe </w:t>
      </w:r>
    </w:p>
    <w:p>
      <w:pPr>
        <w:pStyle w:val="BookText"/>
        <w:bidi w:val="0"/>
        <w:rPr/>
      </w:pPr>
      <w:r>
        <w:rPr>
          <w:rFonts w:eastAsia="Times New Roman" w:cs="Times New Roman" w:ascii="Times New Roman" w:hAnsi="Times New Roman"/>
          <w:color w:val="111111"/>
          <w:sz w:val="28"/>
          <w:szCs w:val="28"/>
          <w:lang w:val="en-US"/>
        </w:rPr>
        <w:t>Say thou: Ye believe not; but rather say, “ We profess Islam ” ’ ” (49:14). He denied faith (al-iman) to them, although they affirmed their belief in divinity and prophecy, because their faith did not derive its existence from speculation and deduction. And since reward (thawab) is conditioned by faith, one who is ignorant of the knowledge of these things deserves everlasting punishment. For everyone who is undeserving of any reward whatever, provided he is in possession of the qualities which constitute the conditions of taklif (see par. 5), is deserving of punishment by agreement (of all Muslims).</w:t>
      </w:r>
    </w:p>
    <w:p>
      <w:pPr>
        <w:pStyle w:val="BookText"/>
        <w:bidi w:val="0"/>
        <w:jc w:val="both"/>
        <w:rPr/>
      </w:pPr>
      <w:r>
        <w:rPr>
          <w:rFonts w:eastAsia="Times New Roman" w:cs="Times New Roman" w:ascii="Times New Roman" w:hAnsi="Times New Roman"/>
          <w:color w:val="111111"/>
          <w:sz w:val="28"/>
          <w:szCs w:val="28"/>
          <w:lang w:val="en-US"/>
        </w:rPr>
        <w:t>20.</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Bond (ribqa) is a long rope with space enough to bind animals within it. And the author uses the term metaphorically for the inclusive command which rests upon believers, the desert (for obedience to which) is reward and everlasting honour.</w:t>
      </w:r>
      <w:bookmarkStart w:id="24" w:name="pg18967_203164"/>
    </w:p>
    <w:p>
      <w:pPr>
        <w:pStyle w:val="Heading2"/>
        <w:numPr>
          <w:ilvl w:val="1"/>
          <w:numId w:val="1"/>
        </w:numPr>
        <w:bidi w:val="0"/>
        <w:jc w:val="left"/>
        <w:rPr/>
      </w:pPr>
      <w:bookmarkStart w:id="25" w:name="__RefHeading___Toc16877034_1280447820"/>
      <w:bookmarkStart w:id="26" w:name="_Toc8"/>
      <w:bookmarkEnd w:id="24"/>
      <w:bookmarkEnd w:id="25"/>
      <w:r>
        <w:rPr/>
        <w:t>I. Section One: The Proof of the Self-Existent (21-37)</w:t>
      </w:r>
      <w:bookmarkEnd w:id="26"/>
    </w:p>
    <w:p>
      <w:pPr>
        <w:pStyle w:val="BookText"/>
        <w:bidi w:val="0"/>
        <w:jc w:val="both"/>
        <w:rPr/>
      </w:pPr>
      <w:r>
        <w:rPr>
          <w:rFonts w:eastAsia="Times New Roman" w:cs="Times New Roman" w:ascii="Times New Roman" w:hAnsi="Times New Roman"/>
          <w:color w:val="111111"/>
          <w:sz w:val="28"/>
          <w:szCs w:val="28"/>
          <w:lang w:val="en-US"/>
        </w:rPr>
        <w:t>SECTION I</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And he has arranged this chapter in sections. The first section is in proof of the self-existent (wajibu’l-wujudi li-dhatihi, the necessarily existent in itself). SO WE SAY that every OBJECT OF THOUGHT IS EITHER NECESSARILY EXISTENT OBJECTIVELY IN ITSELF, OR IS POSSIBLE OF EXISTENCE IN ITSELF (mumkinu’l-wujud), OR ELSE IS IMPOSSIBLE OF EXISTENCE IN ITSELF (mumtani‘u’l-wujud).</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The subject which is supreme and of extreme importance in this science is the Proving of the Creator (Sani‘). So he begins to do this. And as an introduction he gives a division of the objects of thought, because the argument to follow depends on this explanation. And in explanation of that, EVERY OBJECT OF THOUGHT (kullu ma‘qul) means the form (as-sura) which is acquired in the mind whenever we bring objective existence into relation to it. Then it is either sound for it (the objective existence) to be qualified by it (the mental image) in itself, or it is not. If it is not sound for it to be qualified by it in itself, that is impossible existence in itself, as (for example) the Creator’s having a partner. But if it is sound for it to be qualified by it, then it is either necessary (wajib) for it to be qualified by it in itself, or it is not. If the former be true, then it is the necessarily existent in itself, namely, Allah the Exalted, and no other. And if the latter be true, then it is possible of existence in itself, namely, all entities (mawjudat) apart from necessary existence.</w:t>
      </w:r>
    </w:p>
    <w:p>
      <w:pPr>
        <w:pStyle w:val="BookText"/>
        <w:bidi w:val="0"/>
        <w:jc w:val="both"/>
        <w:rPr/>
      </w:pPr>
      <w:r>
        <w:rPr>
          <w:rFonts w:eastAsia="Times New Roman" w:cs="Times New Roman" w:ascii="Times New Roman" w:hAnsi="Times New Roman"/>
          <w:color w:val="111111"/>
          <w:sz w:val="28"/>
          <w:szCs w:val="28"/>
          <w:lang w:val="en-US"/>
        </w:rPr>
        <w:t>23.</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But we have confined the “ Necessary ” (al-wajib) to that which is necessary in itself, to guard against the necessary because of something else, such as the necessity of the existence of an effect when a sufficient cause is present. (That is, there are two kinds of necessary, self-existent and existent in something else — but the term the Necessary should be used only of the former.) So the effect is necessary, not in itself, but rather because of the existence of a sufficient cause. </w:t>
      </w:r>
    </w:p>
    <w:p>
      <w:pPr>
        <w:pStyle w:val="BookText"/>
        <w:bidi w:val="0"/>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And we have also confined the “ impossible ” to that which is impossible in itself, to guard against the impossible because of something else, such as the impossibility of the existence of an effect without its cause. And these two sorts (namely, the necessary because of something else and the impossible because of something else) belong to possible existence.</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And as for the “ possible,” its existence does not come about because of something else, so it is of no use to confine it to that which is possible in itself, except to explain that it does not come into being except in that way. There is no need of guarding against anything besides.</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We will end this discussion by mentioning two matters of importance on which the discussion that is to follow depends. (1) The first is the characteristics of the necessarily existent in itself, which are five: (a) First, its existence is not necessary both because of itself and because of something else at the same time, otherwise its existence would certainly be discontinued on the discontinuance of the existence of the other thing, in which case it would not be the necessary in itself, and that is contrary to the premises. (b) Second, its existence (wujud) and its necessity are not additions (za’id) to it, otherwise it would have been in need of those two, and would then have been the possible. (c) Third, composition (tarkib) is not true of it, because a thing composed is in need of parts distinct from it, and that is possible existence, and possible existence is not the self-existent. (d) Fourth, it cannot be a part of another thing, for then it would have been parted from that other thing, and that is possible existence. (That is, God has no father or source.) (e) Fifth, it cannot be true of two things, as shall appear in the proofs of the Unity (that is, there are not two necessarily self-existents).</w:t>
      </w:r>
    </w:p>
    <w:p>
      <w:pPr>
        <w:pStyle w:val="BookText"/>
        <w:bidi w:val="0"/>
        <w:jc w:val="both"/>
        <w:rPr/>
      </w:pPr>
      <w:r>
        <w:rPr>
          <w:rFonts w:eastAsia="Times New Roman" w:cs="Times New Roman" w:ascii="Times New Roman" w:hAnsi="Times New Roman"/>
          <w:color w:val="111111"/>
          <w:sz w:val="28"/>
          <w:szCs w:val="28"/>
          <w:lang w:val="en-US"/>
        </w:rPr>
        <w:t>27.</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 The second matter is the characteristics of the possible, which are three: (a) First, one of the two sides (I mean existence and non-existence) is not better for it than the other, but both are equal in relation to it, like the two sides of a balance. And making one of the two sides to preponderate certainly comes about by a cause outside of itself. For if one of them were better for it than the other, then the occurrence </w:t>
      </w:r>
    </w:p>
    <w:p>
      <w:pPr>
        <w:pStyle w:val="BookText"/>
        <w:bidi w:val="0"/>
        <w:rPr/>
      </w:pPr>
      <w:r>
        <w:rPr>
          <w:rFonts w:eastAsia="Times New Roman" w:cs="Times New Roman" w:ascii="Times New Roman" w:hAnsi="Times New Roman"/>
          <w:color w:val="111111"/>
          <w:sz w:val="28"/>
          <w:szCs w:val="28"/>
          <w:lang w:val="en-US"/>
        </w:rPr>
        <w:t>of the other (that is, the worse) either comes about or it does not. If the worse occurs, then being better is not a sufficient cause; and if the worse does not occur, then the first supposition regarding it is necessary for it (that is, that one alternative is better for it than the other). In this case the possible becomes either the necessary or the impossible, and that cannot be.</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(b) Second, the possible needs a mover (mu’aththir). For when the two sides (I mean, its existence and non-existence) are equal in relation to it, the preponderance of one of the two over the other is not possible unless there be something to cause a preponderance. And the knowledge of this is evident.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(c) Third, the possible which abides needs a mover, not only to bring it into existence (see b) but also to continue it in existence. But we have said this because possibility (al-imkan) is required for the quiddity of the possible, and possibility cannot be removed from it, otherwise its change from possibility to necessity or impossibility would be required. Now it has already been proved that need (ihtiyaj) is required for possibility, and possibility is required for the quiddity of the possible. Now the requirement of something required is itself required. Hence the need of the quiddity of the possible is required — which is what we sought.</w:t>
      </w:r>
    </w:p>
    <w:p>
      <w:pPr>
        <w:pStyle w:val="BookText"/>
        <w:bidi w:val="0"/>
        <w:jc w:val="both"/>
        <w:rPr/>
      </w:pPr>
      <w:r>
        <w:rPr>
          <w:rFonts w:eastAsia="Times New Roman" w:cs="Times New Roman" w:ascii="Times New Roman" w:hAnsi="Times New Roman"/>
          <w:color w:val="111111"/>
          <w:sz w:val="28"/>
          <w:szCs w:val="28"/>
          <w:lang w:val="en-US"/>
        </w:rPr>
        <w:t>30.</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there is no doubt that here (in the universe) THERE IS THAT WHICH EXISTS OF NECESSITY. If THIS BE THE NECESSARY IN ITSELF, THEN THAT WAS WHAT WE WERE SEEKING. And if it be the possible, then it would need a BRINGER-INTO-EXISTENCE (mujid) WHICH WOULD BRING IT INTO EXISTENCE OF NECESSITY. Now IF THE BRINGER-INTO-EXISTENCE BE THE NECESSARY IN ITSELF, THEN THAT WAS WHAT WE WERE SEEKING. And IF IT BE THE POSSIBLE, THEN IT WOULD NEED ANOTHER BRINGER-INTO-EXISTENCE. If IT BE THE FIRST, THEN IT IS A CIRCLE, AND THAT IS A FALLACY OF NECESSITY. And if it BE ANOTHER POSSIBLE, THEN IT IS AN ENDLESS CHAIN, AND THAT ALSO IS A FALLACY. FOR ALL THE LINKS IN THIS CHAIN WHICH INCLUDES ALL POSSIBLE EXISTENCES (al-mumkinat) are possible of necessity. Hence they </w:t>
      </w:r>
    </w:p>
    <w:p>
      <w:pPr>
        <w:pStyle w:val="BookText"/>
        <w:bidi w:val="0"/>
        <w:rPr/>
      </w:pPr>
      <w:r>
        <w:rPr>
          <w:rFonts w:eastAsia="Times New Roman" w:cs="Times New Roman" w:ascii="Times New Roman" w:hAnsi="Times New Roman"/>
          <w:color w:val="111111"/>
          <w:sz w:val="28"/>
          <w:szCs w:val="28"/>
          <w:lang w:val="en-US"/>
        </w:rPr>
        <w:t>SHARE IN THE IMPOSSIBILITY OF EXISTENCE IN THEMSELVES. Hence they need some bringer-into-existence necessarily OUTSIDE OF THEMSELVES. THEN THAT IS THE necessary (al-wajib) of necessity — which was what we WERE SEEKING.</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Among all the doctors there are two ways of proving the Creator. (1) First, seeking for proof in effects (athar) which need a cause for their existence, such as is indicated in His Mighty Book in the word of the Most High, “ We will show them our signs in different countries and among themselves till it become plain to them that it is the truth ” (41:53). And this is the way of Ibrahim the Friend, for he sought for proof in the settings of stars, which is disappearance, and that requires motion, and that requires becoming (huduth), and that requires the Most High Creator.</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(2) Second, that one should speculate (nazar) about that which exists itself, and divide it into the necessary and the possible, that division may bear witness to the existence of the necessary from which proceed all of the possible existences which are separate from it. And there is reference to this in that which descended, in the word of the Most High, “ Is it not enough for thee that thy Lord is witness of all things? ” (41:53).</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And in this chapter the writer has referred to both ways at once. He refers to the first in connection with His being powerful, the explanation of which is to follow (see par. 38). And the second is what is mentioned here. And as for his statement that thou shouldest say, “ If the Necessary, the Most High, does not exist, then either a circle or an endless chain must follow,” (it is clear that) both of the things necessitated are false, hence that which necessitated them, that is, the non-existence of the Necessary, is in like manner false. And there is need here of an explanation of both matters, first of the necessity for a circle and an endless chain, and second of the fallacy of both of them.</w:t>
      </w:r>
    </w:p>
    <w:p>
      <w:pPr>
        <w:pStyle w:val="BookText"/>
        <w:bidi w:val="0"/>
        <w:jc w:val="both"/>
        <w:rPr/>
      </w:pPr>
      <w:r>
        <w:rPr>
          <w:rFonts w:eastAsia="Times New Roman" w:cs="Times New Roman" w:ascii="Times New Roman" w:hAnsi="Times New Roman"/>
          <w:color w:val="111111"/>
          <w:sz w:val="28"/>
          <w:szCs w:val="28"/>
          <w:lang w:val="en-US"/>
        </w:rPr>
        <w:t>34.</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 Now in explanation of the first matter, (we would say that) there are here quiddities (mahiyyat) which are qualified by objective existence of necessity. If the Necessary </w:t>
      </w:r>
    </w:p>
    <w:p>
      <w:pPr>
        <w:pStyle w:val="BookText"/>
        <w:bidi w:val="0"/>
        <w:rPr/>
      </w:pPr>
      <w:r>
        <w:rPr>
          <w:rFonts w:eastAsia="Times New Roman" w:cs="Times New Roman" w:ascii="Times New Roman" w:hAnsi="Times New Roman"/>
          <w:color w:val="111111"/>
          <w:sz w:val="28"/>
          <w:szCs w:val="28"/>
          <w:lang w:val="en-US"/>
        </w:rPr>
        <w:t>exists along with them, then that was what we were seeking. And if it does not exist, then it becomes necessary that all these quiddities share in possibility, for there is no middle ground between them (that is, between the possible and the necessary). Then in this case they (the quiddities) must of necessity have a mover (mu’aththir). And if their mover is the Necessary, that is what we sought to prove. And if it is the possible, then it needs another to produce it. Now if that mover be what we first supposed (if it be caused by the other possible), it results in a circle. And if it be another possible, we will transfer the discussion to that and say what we said regarding the first — and the result is an endless chain. So the necessity (luzum) of both of them has been proved (that is, either a circle or an endless chain must result in case there is no Necessary).</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(2) And in explanation of the second matter, namely, the fallacy of the circle and the chain, we say: (a) that a circle means the dependence of a thing upon something which in turn depends on it, as for example that A should depend on B, and B on A — and that is a fallacy of necessity. For it would then be necessary that the first thing should be both existent and non-existent at the same time, and that cannot be. For when A depends on B, then A is dependent on B and on all on which B depends. And among the things on which B depends is A itself. Then A must depend on itself. And that on which something depends precedes that which depends on it. Then it is necessary for A to precede itself. And that which precedes, by the fact that it precedes, comes into existence before that which follows. So in this case, A comes into existence before itself. Hence it is both existent and non-existent at the same time, and that is impossible.</w:t>
      </w:r>
    </w:p>
    <w:p>
      <w:pPr>
        <w:pStyle w:val="BookText"/>
        <w:bidi w:val="0"/>
        <w:jc w:val="both"/>
        <w:rPr/>
      </w:pPr>
      <w:r>
        <w:rPr>
          <w:rFonts w:eastAsia="Times New Roman" w:cs="Times New Roman" w:ascii="Times New Roman" w:hAnsi="Times New Roman"/>
          <w:color w:val="111111"/>
          <w:sz w:val="28"/>
          <w:szCs w:val="28"/>
          <w:lang w:val="en-US"/>
        </w:rPr>
        <w:t>36.</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 And an endless chain is the arrangement of causes and effects in such a way that each one which precedes is the cause of the one which follows, and so on — and this also is fallacious. For all the individual links of this chain, which includes all possible existence, are possible because they possess the quality of need. Hence they all share in possibility. Hence they need a mover (a cause). And their mover </w:t>
      </w:r>
    </w:p>
    <w:p>
      <w:pPr>
        <w:pStyle w:val="BookText"/>
        <w:bidi w:val="0"/>
        <w:rPr/>
      </w:pPr>
      <w:r>
        <w:rPr>
          <w:rFonts w:eastAsia="Times New Roman" w:cs="Times New Roman" w:ascii="Times New Roman" w:hAnsi="Times New Roman"/>
          <w:color w:val="111111"/>
          <w:sz w:val="28"/>
          <w:szCs w:val="28"/>
          <w:lang w:val="en-US"/>
        </w:rPr>
        <w:t>is either themselves or a part of themselves or something external to them. And all of these alternatives are absolutely fallacious.</w:t>
      </w:r>
    </w:p>
    <w:p>
      <w:pPr>
        <w:pStyle w:val="BookText"/>
        <w:bidi w:val="0"/>
        <w:jc w:val="both"/>
        <w:rPr/>
      </w:pPr>
      <w:r>
        <w:rPr>
          <w:rFonts w:eastAsia="Times New Roman" w:cs="Times New Roman" w:ascii="Times New Roman" w:hAnsi="Times New Roman"/>
          <w:color w:val="111111"/>
          <w:sz w:val="28"/>
          <w:szCs w:val="28"/>
          <w:lang w:val="en-US"/>
        </w:rPr>
        <w:t>37.</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it is impossible for a thing to be moved (ta’thir) by itself, for otherwise it would be necessary for it to precede itself, and this is a fallacy, as was proved above. And the second is impossible, because if the mover of them (the units of the chain) be a part of them, then it becomes necessary for a thing to be the mover of itself, because it (the mover) is one of their number and also one of their causes (‘ilal). Then it would have to precede itself and its causes — and this also is a fallacy. And the (proof of the fallacy of the) third alternative is of two kinds. (a) First, the thing external to them must be necessary (wajib), since it is presupposed that all possible existences are united in this chain, and there remains no external entity (mawjud) except the Necessary (al-wajib). For there is no middle ground between the Necessary and the possible. Hence our conclusion has to be true. (b) Second, if the mover of each single individual of the links of the chain be something external to them, then two independent causes (‘illa) would have to unite in producing one single effect, and this is a fallacy. For the supposition was that each of the links of this chain be the mover of the one that follows. (But according to this third alternative) it has been supposed that for each of the links there be also an external moving (ta’thir). Then two causes would have to unite in producing one single effect, and that cannot be, otherwise it would have to be independent of the two causes, in spite of its being in need of them both. Then two contradictories would have to agree, and that is impossible. Hence the endless chain is absolutely false. So the fallacy both of the circle and of the chain has been demonstrated, and that was what we sought, namely, the existence of Allah the Most High.</w:t>
      </w:r>
      <w:bookmarkStart w:id="27" w:name="pg18967_203170"/>
    </w:p>
    <w:p>
      <w:pPr>
        <w:pStyle w:val="Heading2"/>
        <w:numPr>
          <w:ilvl w:val="1"/>
          <w:numId w:val="1"/>
        </w:numPr>
        <w:bidi w:val="0"/>
        <w:jc w:val="left"/>
        <w:rPr/>
      </w:pPr>
      <w:bookmarkStart w:id="28" w:name="__RefHeading___Toc16877036_1280447820"/>
      <w:bookmarkStart w:id="29" w:name="_Toc9"/>
      <w:bookmarkEnd w:id="27"/>
      <w:bookmarkEnd w:id="28"/>
      <w:r>
        <w:rPr/>
        <w:t>II. Section Two: Allah’s Positive Qualities (38-82)</w:t>
      </w:r>
      <w:bookmarkEnd w:id="29"/>
    </w:p>
    <w:p>
      <w:pPr>
        <w:pStyle w:val="Heading3"/>
        <w:numPr>
          <w:ilvl w:val="2"/>
          <w:numId w:val="1"/>
        </w:numPr>
        <w:bidi w:val="0"/>
        <w:jc w:val="left"/>
        <w:rPr/>
      </w:pPr>
      <w:bookmarkStart w:id="30" w:name="__RefHeading___Toc16877038_1280447820"/>
      <w:bookmarkStart w:id="31" w:name="_Toc10"/>
      <w:bookmarkEnd w:id="30"/>
      <w:r>
        <w:rPr>
          <w:rtl w:val="true"/>
        </w:rPr>
        <w:t>اشاره</w:t>
      </w:r>
      <w:bookmarkEnd w:id="31"/>
    </w:p>
    <w:p>
      <w:pPr>
        <w:pStyle w:val="BookText"/>
        <w:bidi w:val="0"/>
        <w:jc w:val="both"/>
        <w:rPr/>
      </w:pPr>
      <w:r>
        <w:rPr>
          <w:rFonts w:eastAsia="Times New Roman" w:cs="Times New Roman" w:ascii="Times New Roman" w:hAnsi="Times New Roman"/>
          <w:color w:val="111111"/>
          <w:sz w:val="28"/>
          <w:szCs w:val="28"/>
          <w:lang w:val="en-US"/>
        </w:rPr>
        <w:t>SECTION II</w:t>
      </w:r>
    </w:p>
    <w:p>
      <w:pPr>
        <w:pStyle w:val="Heading3"/>
        <w:numPr>
          <w:ilvl w:val="2"/>
          <w:numId w:val="1"/>
        </w:numPr>
        <w:bidi w:val="0"/>
        <w:jc w:val="left"/>
        <w:rPr/>
      </w:pPr>
      <w:bookmarkStart w:id="32" w:name="__RefHeading___Toc16877040_1280447820"/>
      <w:bookmarkStart w:id="33" w:name="_Toc11"/>
      <w:bookmarkEnd w:id="32"/>
      <w:r>
        <w:rPr/>
        <w:t>(1) He is Powerful and Free (38-50)</w:t>
      </w:r>
      <w:bookmarkEnd w:id="33"/>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Concerning his positive qualities (as-sifatu’th- thubutiyya), which are eight. First, the Most High is POWERFUL (qadir) and free (mukhtar). For the world is AN ORIGINATED THING (muhdath), for it is a body (jism). And every body is inseparable from originated things, i.e. motion and rest, both of which are originated things, for both require consequence (masbuqiyya) IN REFERENCE TO SOMETHING ELSE. AND THAT WHICH IS INSEPARABLE FROM ORIGINATED THINGS IS OF NECESSITY ITSELF AN ORIGINATED THING. HENCE THERE IS A MOVER IN IT, NAMELY ALLAH THE MOST HIGH, THE POWERFUL AND FREE. For IF THE CAUSE WERE A MECHANICAL CAUSE (mujib) THEN OF NECESSITY ITS EFFECT (athar) WOULD NOT REMAIN BEHIND IT. Then that would require either the priority (qidam) of the world or the origin (huduth) of Allah the MOST HIGH, BOTH OF WHICH ARE FALSE.</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When he finished proving the essence (dhat) he began to prove the qualities (sifat). And he placed first the positive qualities, for they possess existence (wujud), while the negative qualities possess non-existence (‘adamiyya). And existence ranks above non-existence, and that which ranks highest should come first.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And he began with His being Powerful, because creation requires power (qudra). And here we will make some introductory remarks which will include the consideration of the elements of this discussion.</w:t>
      </w:r>
    </w:p>
    <w:p>
      <w:pPr>
        <w:pStyle w:val="BookText"/>
        <w:bidi w:val="0"/>
        <w:jc w:val="both"/>
        <w:rPr/>
      </w:pPr>
      <w:r>
        <w:rPr>
          <w:rFonts w:eastAsia="Times New Roman" w:cs="Times New Roman" w:ascii="Times New Roman" w:hAnsi="Times New Roman"/>
          <w:color w:val="111111"/>
          <w:sz w:val="28"/>
          <w:szCs w:val="28"/>
          <w:lang w:val="en-US"/>
        </w:rPr>
        <w:t>41.</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say then that the Powerful and Free is He who if He wills to do anything does it, and if He wills to leave it, leaves it; and who acts with purpose (qasd) and will (irada). And a mechanical cause is the opposite. There are several differences between them — that is, between the free agent (mukhtar) and the mechanical cause (mujib). (1) First, the </w:t>
      </w:r>
    </w:p>
    <w:p>
      <w:pPr>
        <w:pStyle w:val="BookText"/>
        <w:bidi w:val="0"/>
        <w:rPr/>
      </w:pPr>
      <w:r>
        <w:rPr>
          <w:rFonts w:eastAsia="Times New Roman" w:cs="Times New Roman" w:ascii="Times New Roman" w:hAnsi="Times New Roman"/>
          <w:color w:val="111111"/>
          <w:sz w:val="28"/>
          <w:szCs w:val="28"/>
          <w:lang w:val="en-US"/>
        </w:rPr>
        <w:t>free agent is able to act or cease from acting, while the mechanical cause is not. (2) Second, the act of the free agent is consequent upon knowledge and purpose and will, while the mechanical cause is not. (3) It is possible for the act of the free agent to follow it in time, while the act of a mechanical cause cannot be separated from it, as (for example) the sun’s giving light and fire’s burning.</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And the world (‘alam) is all that exists besides Allah the Most High. And an originated thing (muhdath) is that which is consequent upon something else or upon non-existence (‘adam). And a prior thing (qadim) is the opposite of this. And body (jism) is that bounded thing (mutahayyiz) which receives division in three directions. And hayyiz and makan are one single thing, namely, an imaginary measure of space (faragh) which bodies occupy by coming into it. And motion is the coming of a body into a place after being in another place. And rest is the second coming into one place.</w:t>
      </w:r>
    </w:p>
    <w:p>
      <w:pPr>
        <w:pStyle w:val="BookText"/>
        <w:bidi w:val="0"/>
        <w:jc w:val="both"/>
        <w:rPr/>
      </w:pPr>
      <w:r>
        <w:rPr>
          <w:rFonts w:eastAsia="Times New Roman" w:cs="Times New Roman" w:ascii="Times New Roman" w:hAnsi="Times New Roman"/>
          <w:color w:val="111111"/>
          <w:sz w:val="28"/>
          <w:szCs w:val="28"/>
          <w:lang w:val="en-US"/>
        </w:rPr>
        <w:t>43.</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that this has been explained, I say that since the world is a thing originated, there is in it a mover, namely, Allah the Most High, the Powerful and Free. And (I have made) here two claims: (1) the first, that the world is an originated thing, and (2) the second, that its Creator must possess free will (ikhtiyar). In explanation of the first claim, (I say that) by world (al-‘alam) the scholastic theologians mean the heavens and the earth and what is in them and what is between them, and that is either bodies (ajsam) or accidents (a‘rad), both of which are originated. (a) As for bodies, they cannot be quit of motion and rest, both of which are originated things, and all that cannot be quit of an originated thing is itself an originated thing. Now a body cannot be quit of motion and rest, because every body must necessarily have a place (makan). And since this is true, either the body remains in the place, which is rest, or it is removed from it, which is motion — for of necessity there is no middle ground between the two. But rest and motion are originated things, because they are consequent upon something else. And nothing prior is consequent upon something else. Then no motion or rest is prior. Hence both are originated things. </w:t>
      </w:r>
    </w:p>
    <w:p>
      <w:pPr>
        <w:pStyle w:val="BookText"/>
        <w:bidi w:val="0"/>
        <w:rPr/>
      </w:pPr>
      <w:r>
        <w:rPr>
          <w:rFonts w:eastAsia="Times New Roman" w:cs="Times New Roman" w:ascii="Times New Roman" w:hAnsi="Times New Roman"/>
          <w:color w:val="111111"/>
          <w:sz w:val="28"/>
          <w:szCs w:val="28"/>
          <w:lang w:val="en-US"/>
        </w:rPr>
        <w:t>for there is no middle ground between a thing prior and a thing originated. And motion and rest are both consequent upon something else, because motion means the first coming (husul) into the second place, hence of necessity it is consequent upon a first place. And rest means the second coming into the first place, hence of necessity it is consequent upon a first coming. And all that which cannot be quit of originated things is itself an originated thing, for if it is not an originated thing then it is a prior thing. And in this case either it has with it in priority something that is originated, or it has not. If it has, then priority and origination would have to be united in one thing at the same time, and that cannot be. And if it has not, then that which has been known of necessity, namely, the impossibility of the separation of originated things from it, would have to be false, and that cannot be.</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(b) And accidents are originated because they need bodies for their existence, and that which needs an originated thing is even more itself an originated thing.</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(2) And in explanation of the second claim, (I say that) an originated thing, when its quiddity (mahiyya) is qualified at one time by non-existence and later by existence, is possible existence. Then it needs a mover. If that (mover) be a free agent, then that was what we sought. And if it be a mechanical cause, then its effect (athar) cannot follow it in time. Hence its effect must be prior. But it had been proved that it is originated. Hence its mover must also be originated, for they are mutually necessary — and both things are impossible. For it has been demonstrated that if Allah the Most High be a mechanical cause, there follows of necessity either the priority of the world or the origin of Allah the Most High, both of which are untrue. Hence it is proved that the Most High is Powerful and Free, which is what we sought.</w:t>
      </w:r>
    </w:p>
    <w:p>
      <w:pPr>
        <w:pStyle w:val="BookText"/>
        <w:bidi w:val="0"/>
        <w:jc w:val="both"/>
        <w:rPr/>
      </w:pPr>
      <w:r>
        <w:rPr>
          <w:rFonts w:eastAsia="Times New Roman" w:cs="Times New Roman" w:ascii="Times New Roman" w:hAnsi="Times New Roman"/>
          <w:color w:val="111111"/>
          <w:sz w:val="28"/>
          <w:szCs w:val="28"/>
          <w:lang w:val="en-US"/>
        </w:rPr>
        <w:t>46.</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his power is connected (yata‘allaqu) with ALL DETERMINED THINGS (al-maqdurat). For the cause WHICH makes them NEED HIS POWER IS POSSIBILITY. AND </w:t>
      </w:r>
    </w:p>
    <w:p>
      <w:pPr>
        <w:pStyle w:val="BookText"/>
        <w:bidi w:val="0"/>
        <w:rPr/>
      </w:pPr>
      <w:r>
        <w:rPr>
          <w:rFonts w:eastAsia="Times New Roman" w:cs="Times New Roman" w:ascii="Times New Roman" w:hAnsi="Times New Roman"/>
          <w:color w:val="111111"/>
          <w:sz w:val="28"/>
          <w:szCs w:val="28"/>
          <w:lang w:val="en-US"/>
        </w:rPr>
        <w:t>THE RELATION OF HIS ESSENCE TO ALL THINGS IS EQUAL. Hence his power is universal.</w:t>
      </w:r>
    </w:p>
    <w:p>
      <w:pPr>
        <w:pStyle w:val="BookText"/>
        <w:bidi w:val="0"/>
        <w:jc w:val="both"/>
        <w:rPr/>
      </w:pPr>
      <w:r>
        <w:rPr>
          <w:rFonts w:eastAsia="Times New Roman" w:cs="Times New Roman" w:ascii="Times New Roman" w:hAnsi="Times New Roman"/>
          <w:color w:val="111111"/>
          <w:sz w:val="28"/>
          <w:szCs w:val="28"/>
          <w:lang w:val="en-US"/>
        </w:rPr>
        <w:t>[Determined things are possible existence. The relation of His essence to all possible existence is equal. Therefore His power extends equally to all determined things — that is, it is universal.]</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When he had proved briefly that the Most High is Powerful, he began to explain the universality of His Power. And the philosophers (hukama) have disputed about it, when they said that He is One (wahid) and there proceeds from Him nothing but what is one. And the Thanawiyya thought that He did not have power to do evil (ash-sharr). And an-Nazzam held that He did not have power to do what was evil (al-qabih). And al-Balkhi denied His power over things like those which are in our power. And the Jubba’iyya held it impossible for His power to extend to those very things which are in our power. And reality (al-haqq) is opposed to all of these.</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And the proof for our contention is that every hindrance in relation to His essence and in relation to what is determined (maqdur) has been removed. Hence the universal connection (ta‘alluq) of His power is necessary. (That is, neither in Allah nor in the thing determined is there any hindrance — hence His power extends to all.)</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Now the exposition of the first statement (of the text) is that which necessitates His being Powerful in His essence. And the relationship (nisba) of His essence to all things is equal, because of its uniqueness (tajarrud). Hence that which is necessitated by it (namely, His Power) is also equally related, which is what we sought.</w:t>
      </w:r>
    </w:p>
    <w:p>
      <w:pPr>
        <w:pStyle w:val="BookText"/>
        <w:bidi w:val="0"/>
        <w:jc w:val="both"/>
        <w:rPr/>
      </w:pPr>
      <w:r>
        <w:rPr>
          <w:rFonts w:eastAsia="Times New Roman" w:cs="Times New Roman" w:ascii="Times New Roman" w:hAnsi="Times New Roman"/>
          <w:color w:val="111111"/>
          <w:sz w:val="28"/>
          <w:szCs w:val="28"/>
          <w:lang w:val="en-US"/>
        </w:rPr>
        <w:t>50.</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the second statement is true, because that which necessitates a thing’s being determined (maqdur) is its possibility. And possibility partakes of everything (all creation is one in possessing possibility). Hence it is sound (sihha) for determination also to become a partaker in possible existences, which is what we sought. And when all hindrance in relation to the Powerful and in relation to what is deter- </w:t>
      </w:r>
      <w:bookmarkStart w:id="34" w:name="pg18967_203174"/>
    </w:p>
    <w:p>
      <w:pPr>
        <w:pStyle w:val="BookText"/>
        <w:bidi w:val="0"/>
        <w:rPr/>
      </w:pPr>
      <w:bookmarkEnd w:id="34"/>
      <w:r>
        <w:rPr>
          <w:rFonts w:eastAsia="Times New Roman" w:cs="Times New Roman" w:ascii="Times New Roman" w:hAnsi="Times New Roman"/>
          <w:color w:val="111111"/>
          <w:sz w:val="28"/>
          <w:szCs w:val="28"/>
          <w:lang w:val="en-US"/>
        </w:rPr>
        <w:t>mined is removed, then its universal connection is necessary, which is what we sought.</w:t>
      </w:r>
    </w:p>
    <w:p>
      <w:pPr>
        <w:pStyle w:val="BookText"/>
        <w:bidi w:val="0"/>
        <w:jc w:val="both"/>
        <w:rPr/>
      </w:pPr>
      <w:r>
        <w:rPr>
          <w:rFonts w:eastAsia="Times New Roman" w:cs="Times New Roman" w:ascii="Times New Roman" w:hAnsi="Times New Roman"/>
          <w:color w:val="111111"/>
          <w:sz w:val="28"/>
          <w:szCs w:val="28"/>
          <w:lang w:val="en-US"/>
        </w:rPr>
        <w:t>[Allah is Powerful (qadir), and His power extends to all existence provided that neither in the qadir nor in the maqdur is there any hindrance. For instance, Allah is able to create a partner, but in this case there is a hindrance, for a partner to Allah is incapable of receiving existence.]</w:t>
      </w:r>
    </w:p>
    <w:p>
      <w:pPr>
        <w:pStyle w:val="BookText"/>
        <w:bidi w:val="0"/>
        <w:jc w:val="both"/>
        <w:rPr/>
      </w:pPr>
      <w:r>
        <w:rPr>
          <w:rFonts w:eastAsia="Times New Roman" w:cs="Times New Roman" w:ascii="Times New Roman" w:hAnsi="Times New Roman"/>
          <w:color w:val="111111"/>
          <w:sz w:val="28"/>
          <w:szCs w:val="28"/>
          <w:lang w:val="en-US"/>
        </w:rPr>
        <w:t>And know that the occurrence of everything connected with His Power is not necessary. Although He has power over everything, only some of the things over which He has power actually occur. And the Ash‘arites agree with us in the universality of the connection (of His Power), but they claim that what He has power over always occurs, as will be explained later, if Allah wills.</w:t>
      </w:r>
    </w:p>
    <w:p>
      <w:pPr>
        <w:pStyle w:val="Heading3"/>
        <w:numPr>
          <w:ilvl w:val="2"/>
          <w:numId w:val="1"/>
        </w:numPr>
        <w:bidi w:val="0"/>
        <w:jc w:val="left"/>
        <w:rPr/>
      </w:pPr>
      <w:bookmarkStart w:id="35" w:name="__RefHeading___Toc16877042_1280447820"/>
      <w:bookmarkStart w:id="36" w:name="_Toc12"/>
      <w:bookmarkEnd w:id="35"/>
      <w:r>
        <w:rPr/>
        <w:t>(2) He is Knowing (51-56)</w:t>
      </w:r>
      <w:bookmarkEnd w:id="36"/>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Second, the Most High is knowing (‘alim). For he PERFORMS actions WHICH ARE FIRM (muhkam) AND PERFECT (mutqan), and everyone who does that is of necessity KNOWING.</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Among the number of His positive qualities is His being Knowing. And The Knowing One is He to whom all things are clear in such a way that what is present to Him does not become absent.</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And a firm and perfect act is that which includes matters strange and wonderful and unites many characteristics.</w:t>
      </w:r>
    </w:p>
    <w:p>
      <w:pPr>
        <w:pStyle w:val="BookText"/>
        <w:bidi w:val="0"/>
        <w:jc w:val="both"/>
        <w:rPr/>
      </w:pPr>
      <w:r>
        <w:rPr>
          <w:rFonts w:eastAsia="Times New Roman" w:cs="Times New Roman" w:ascii="Times New Roman" w:hAnsi="Times New Roman"/>
          <w:color w:val="111111"/>
          <w:sz w:val="28"/>
          <w:szCs w:val="28"/>
          <w:lang w:val="en-US"/>
        </w:rPr>
        <w:t>54.</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there are two proofs that He is knowing: (1) First, He is a free agent, and every free agent is knowing. The minor premise (that He is a free agent) was explained above. And as for the major premise, (know that) the act of a free agent follows his purpose, and to purpose a thing without having knowledge of it is impossible. (2) Second, He has performed firm and perfect acts, and everyone who does the like is knowing of necessity. Now that He performs such acts is manifest to whoever considers His creation: the heavenly bodies, on whose movements the characteristics </w:t>
      </w:r>
    </w:p>
    <w:p>
      <w:pPr>
        <w:pStyle w:val="BookText"/>
        <w:bidi w:val="0"/>
        <w:rPr/>
      </w:pPr>
      <w:r>
        <w:rPr>
          <w:rFonts w:eastAsia="Times New Roman" w:cs="Times New Roman" w:ascii="Times New Roman" w:hAnsi="Times New Roman"/>
          <w:color w:val="111111"/>
          <w:sz w:val="28"/>
          <w:szCs w:val="28"/>
          <w:lang w:val="en-US"/>
        </w:rPr>
        <w:t>of the four seasons are arranged, as is explained in the sciences; and the things on the earth, in which there appears the wisdom revealed in the three kingdoms (murakkabat — mineral, vegetable, and animal), and in the strange things which are embraced by them, and in the wonderful characteristics which they possess. And if there were nothing else besides the forming of man, certainly the wisdom deposited in his creation and the orderliness of his formation and his senses and the benefits which depend on them would be sufficient (to demonstrate the perfection of Allah’s acts), as is indicated in the word of Allah, “ Have they not considered within themselves that Allah hath not created the Heavens and the Earth and all that is between them . . .” (30:7). And among the wonders deposited in man’s constitution is this, that every one of his members has four powers, that of attraction (jadhiba), retention (masika), digestion (hadima), and excretion (dafi‘a). As for attraction, since the body is constantly undergoing dissolution it needs the power of attraction that it may attract that which will replace what has dissolved from it. And it needs the power of retention, because the food which is taken in is slippery (lazij), and the organ is also slippery. Hence it must have the power of retention that digestion may take place. And the power of digestion is needed, because it changes the food into what is fitted to become part of the body of the eater. And excretion is the throwing off of the food which was in excess of what was digested, which was prepared because of another member. And everyone who performs actions which are firm and perfect is knowing, for this is self-evident to one who understands these matters and considers them.</w:t>
      </w:r>
    </w:p>
    <w:p>
      <w:pPr>
        <w:pStyle w:val="BookText"/>
        <w:bidi w:val="0"/>
        <w:jc w:val="both"/>
        <w:rPr/>
      </w:pPr>
      <w:r>
        <w:rPr>
          <w:rFonts w:eastAsia="Times New Roman" w:cs="Times New Roman" w:ascii="Times New Roman" w:hAnsi="Times New Roman"/>
          <w:color w:val="111111"/>
          <w:sz w:val="28"/>
          <w:szCs w:val="28"/>
          <w:lang w:val="en-US"/>
        </w:rPr>
        <w:t>55.</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his knowledge is connected with every known THING (ma‘lum), because OF THE EQUALITY OF THE RELATIONSHIP OF ALL KNOWN THINGS TO HIM. FOR HE IS LIVING (hayy), and it is proper that every living one should KNOW EVERY KNOWN THING. HENCE THAT IS NECESSARY FOR HIM, BECAUSE OF THE IMPOSSIBILITY OF HIS BEING IN NEED OF ANOTHER.</w:t>
      </w:r>
      <w:bookmarkStart w:id="37" w:name="pg18967_203176"/>
    </w:p>
    <w:p>
      <w:pPr>
        <w:pStyle w:val="BookText"/>
        <w:bidi w:val="0"/>
        <w:rPr/>
      </w:pPr>
      <w:bookmarkEnd w:id="37"/>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The Most High Creator knows everything that can properly be known, whether necessary or possible, prior or originated. This is contrary to the philosophers, in that they have denied that He has knowledge of parts (al-juz’iyyat) as parts (He knows them as a whole, not as parts), because change in them would necessitate change in the knowledge which resides in His essence. We reply that what changes is the relative connection, not the essential knowledge. And the proof of our position is that it is proper for Him to know every known thing — therefore this (knowledge) is necessary for Him. And it is proper for Him to know every known thing because He is Living, and everyone that lives can properly know (a dead thing cannot know, knowledge being a property of life). And the relationship of this propriety (for him to know all things) to all that is apart from Him is an equal relationship (that is, it is equally proper that He know all things). Hence the relation of all known things to Him is also equal. And the proof that whenever a thing is proper for the Most High, it is also necessary for Him is this: His qualities belong to His essence (dhatiyya), and when a quality which belongs to the essence is proper it is also necessary, otherwise He would have need of something else, in that His essence was qualified by something other than He. Then the Most High Creator, as regards His knowledge, would be in need of something else, and that is impossible. (In both man and God knowledge is proper (sahih), but while in man it is possible (mumkin), in God it is necessary (wajib), for belonging to His essence it cannot be possible.)</w:t>
      </w:r>
    </w:p>
    <w:p>
      <w:pPr>
        <w:pStyle w:val="Heading3"/>
        <w:numPr>
          <w:ilvl w:val="2"/>
          <w:numId w:val="1"/>
        </w:numPr>
        <w:bidi w:val="0"/>
        <w:jc w:val="left"/>
        <w:rPr/>
      </w:pPr>
      <w:bookmarkStart w:id="38" w:name="__RefHeading___Toc16877044_1280447820"/>
      <w:bookmarkStart w:id="39" w:name="_Toc13"/>
      <w:bookmarkEnd w:id="38"/>
      <w:r>
        <w:rPr/>
        <w:t>(3) He is Living (57-58)</w:t>
      </w:r>
      <w:bookmarkEnd w:id="39"/>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Third, the Most High is living (hayy), because he is POWERFUL AND KNOWING — HENCE OF NECESSITY HE IS LIVING.</w:t>
      </w:r>
    </w:p>
    <w:p>
      <w:pPr>
        <w:pStyle w:val="BookText"/>
        <w:bidi w:val="0"/>
        <w:jc w:val="both"/>
        <w:rPr/>
      </w:pPr>
      <w:r>
        <w:rPr>
          <w:rFonts w:eastAsia="Times New Roman" w:cs="Times New Roman" w:ascii="Times New Roman" w:hAnsi="Times New Roman"/>
          <w:color w:val="111111"/>
          <w:sz w:val="28"/>
          <w:szCs w:val="28"/>
          <w:lang w:val="en-US"/>
        </w:rPr>
        <w:t>58.</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Among His positive qualities is His being Living. And the philosophers and Abu’l-Hasan al-Basri say that His life means the propriety (sihha) of His being qualified by power and knowledge. And the Ash‘arites say that Life is a quality in excess (za’id) of His essence, as distinct from this propriety (as held by al-Basri). And the first (the opinion of al-Basri) is reality, for the root of the matter is its not being in excess. </w:t>
      </w:r>
      <w:bookmarkStart w:id="40" w:name="pg18967_203177"/>
    </w:p>
    <w:p>
      <w:pPr>
        <w:pStyle w:val="BookText"/>
        <w:bidi w:val="0"/>
        <w:rPr/>
      </w:pPr>
      <w:bookmarkEnd w:id="40"/>
      <w:r>
        <w:rPr>
          <w:rFonts w:eastAsia="Times New Roman" w:cs="Times New Roman" w:ascii="Times New Roman" w:hAnsi="Times New Roman"/>
          <w:color w:val="111111"/>
          <w:sz w:val="28"/>
          <w:szCs w:val="28"/>
          <w:lang w:val="en-US"/>
        </w:rPr>
        <w:t>And it has been proved that the Most High Creator is Powerful and Knowing, hence of necessity He is Living, which is what we sought. (That is, Life is the essence itself, and so also are Knowledge and Power.)</w:t>
      </w:r>
    </w:p>
    <w:p>
      <w:pPr>
        <w:pStyle w:val="Heading3"/>
        <w:numPr>
          <w:ilvl w:val="2"/>
          <w:numId w:val="1"/>
        </w:numPr>
        <w:bidi w:val="0"/>
        <w:jc w:val="left"/>
        <w:rPr/>
      </w:pPr>
      <w:bookmarkStart w:id="41" w:name="__RefHeading___Toc16877046_1280447820"/>
      <w:bookmarkStart w:id="42" w:name="_Toc14"/>
      <w:bookmarkEnd w:id="41"/>
      <w:r>
        <w:rPr/>
        <w:t>(4) He is a Willer and a Disliker (59-65)</w:t>
      </w:r>
      <w:bookmarkEnd w:id="42"/>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Fourth, the Most High is a willer (murid) and a DISLIKER (karih), because the specializing (takhsis) of the PERFORMANCE OF ACTS TO ONE TIME AND NOT TO ANOTHER REQUIRES THAT THERE BE A SPECIALIZER (mukhassis), AND THAT IS WILL (al-irada), and because the Most High COMMANDS AND PROHIBITS, AND THESE THINGS REQUIRE OF NECESSITY WILL AND DISLIKE.</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Now all Muslims are agreed that He has the quality Will, but they differ as to its meaning. Abu’l-Hasan al-Basri said that it meant Allah’s knowing what advantage (maslaha) is in an act, as a motive for its performance (that is, when Allah knows that a certain act is advantageous, then that knowledge is will, and becomes the motive for its performance). And al-Bukhari said that its meaning is that Allah is not overcome (maghlub) and is not forced (mukrah). This meaning here is negative, and the speaker (al-Bukhari) has taken in place of Will that which makes Will necessary.</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And al-Balkhi said that in Allah’s acts will means His knowledge of them, and in the acts of others it means His commanding them. Now we reply, if he means by will absolute knowledge, then that is not will, as shall appear later. And if he means knowledge which is confined to advantage (that is, the knowledge of those things which Allah sees are advantageous), then that is like what al-Basri said. And His commanding it indeed requires will, but it is not will.</w:t>
      </w:r>
    </w:p>
    <w:p>
      <w:pPr>
        <w:pStyle w:val="BookText"/>
        <w:bidi w:val="0"/>
        <w:jc w:val="both"/>
        <w:rPr/>
      </w:pPr>
      <w:r>
        <w:rPr>
          <w:rFonts w:eastAsia="Times New Roman" w:cs="Times New Roman" w:ascii="Times New Roman" w:hAnsi="Times New Roman"/>
          <w:color w:val="111111"/>
          <w:sz w:val="28"/>
          <w:szCs w:val="28"/>
          <w:lang w:val="en-US"/>
        </w:rPr>
        <w:t>62.</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the Ash‘arites and Karramites and a group of Mu‘tazilites say that Will is a quality in excess of the essence, which is separate from Power and Knowledge, and belongs especially to His act. But then they disagreed among themselves — the Ash‘arites say that this being in excess is a prior idea (ma‘na); and the Mu‘tazilites and Karramites say that it is an originated idea. And the Karramites say that it inheres (qa’im) in His essence (as accidents inhere in a substance), </w:t>
      </w:r>
    </w:p>
    <w:p>
      <w:pPr>
        <w:pStyle w:val="BookText"/>
        <w:bidi w:val="0"/>
        <w:rPr/>
      </w:pPr>
      <w:r>
        <w:rPr>
          <w:rFonts w:eastAsia="Times New Roman" w:cs="Times New Roman" w:ascii="Times New Roman" w:hAnsi="Times New Roman"/>
          <w:color w:val="111111"/>
          <w:sz w:val="28"/>
          <w:szCs w:val="28"/>
          <w:lang w:val="en-US"/>
        </w:rPr>
        <w:t>and the Mu‘tazilites say it is not in a locus (mahall), (that is, it does not so inhere, for Allah’s essence is not a place in which qualities can inhere). And the fallacy of this doctrine of excess will soon appear. And what al-Basri said is reality, for two reasons.</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(1) First, the specializing in the performance of acts at one time and not at another, and in one way and not in another, in spite of the equality of times and states in relation to the Doer and the recipient, necessarily requires a specifier (mukhassis). And this specifier is either (a) the Power which resides in the essence, which is equally related to all things, and therefore cannot properly specialize — and, moreover, its function is moving (ta’thir) and performing (ijad), not preferring (tarjih), (b) or else it is absolute knowledge — but that is consequent upon the appointment of the possible and the decree of its issuing. Hence it is not the specializer, otherwise it would certainly precede, and that is not possible. And it is clear that the remaining qualities cannot properly specialize. Hence the specializer is a special kind of knowledge (namely, knowledge of what is advantageous) which necessitates the appointment of the possible and the necessity of its issuing from Him. That is, it is knowledge that the possible contains an advantage which cannot be acquired except at that time and in that manner. And that specializer is Will.</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(2) Second, the Most High commanded in His word, “ Establish the worship ”; and He prohibited in His word, “ Do not draw near to adultery.” And command of a thing requires of necessity the willing of it, and prohibition of a thing requires of necessity the dislike for it. Hence the Most High Creator is a Willer and a Disliker, which is what we sought.</w:t>
      </w:r>
    </w:p>
    <w:p>
      <w:pPr>
        <w:pStyle w:val="BookText"/>
        <w:bidi w:val="0"/>
        <w:jc w:val="both"/>
        <w:rPr/>
      </w:pPr>
      <w:r>
        <w:rPr>
          <w:rFonts w:eastAsia="Times New Roman" w:cs="Times New Roman" w:ascii="Times New Roman" w:hAnsi="Times New Roman"/>
          <w:color w:val="111111"/>
          <w:sz w:val="28"/>
          <w:szCs w:val="28"/>
          <w:lang w:val="en-US"/>
        </w:rPr>
        <w:t>65.</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there are here two matters of importance: (1) First, His disliking is His knowledge that an act contains a cause of corruption (mafsada) which deters Him from performing it, just as will is His knowledge that the act contains advantage which is the motive (da‘iya) for its performance. (2) Second, Will is not in excess of that which we mentioned (it is the essence itself, not in excess of the essence), otherwise it would </w:t>
      </w:r>
      <w:bookmarkStart w:id="43" w:name="pg18967_203179"/>
    </w:p>
    <w:p>
      <w:pPr>
        <w:pStyle w:val="BookText"/>
        <w:bidi w:val="0"/>
        <w:rPr/>
      </w:pPr>
      <w:bookmarkEnd w:id="43"/>
      <w:r>
        <w:rPr>
          <w:rFonts w:eastAsia="Times New Roman" w:cs="Times New Roman" w:ascii="Times New Roman" w:hAnsi="Times New Roman"/>
          <w:color w:val="111111"/>
          <w:sz w:val="28"/>
          <w:szCs w:val="28"/>
          <w:lang w:val="en-US"/>
        </w:rPr>
        <w:t>be either a prior idea (ma‘na), as the Ash‘arites say, in which case the plurality of prior things would be necessary; or else an originated thing. If the latter, then either (a) it would be a quality inhering in His essence, as the Karramites say, and He would be a locus for originated things — and that is false as shall appear later, if Allah wills; or (b), it would be a quality of something else, and then it would be necessary for His command (hukm) to be referred to someone else, and not to Him. And Will is not in a place, as the Mu‘tazilites say. For there are two errors in this: First, it necessitates an endless chain, because an originated thing is consequent upon the will of the originator. Then in that case Will would be an originated thing. Then if we move the discussion back a step it becomes a chain. Second, the impossibility of a quality’s existing outside of a place.</w:t>
      </w:r>
    </w:p>
    <w:p>
      <w:pPr>
        <w:pStyle w:val="Heading3"/>
        <w:numPr>
          <w:ilvl w:val="2"/>
          <w:numId w:val="1"/>
        </w:numPr>
        <w:bidi w:val="0"/>
        <w:jc w:val="left"/>
        <w:rPr/>
      </w:pPr>
      <w:bookmarkStart w:id="44" w:name="__RefHeading___Toc16877048_1280447820"/>
      <w:bookmarkStart w:id="45" w:name="_Toc15"/>
      <w:bookmarkEnd w:id="44"/>
      <w:r>
        <w:rPr/>
        <w:t>(5) He is a Perceiver (66-68)</w:t>
      </w:r>
      <w:bookmarkEnd w:id="45"/>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Fifth, the Most High is a perceiver (mudrik), because HE IS LIVING, AND IT IS THEREFORE PROPER FOR HIM TO PERCEIVE. And the KORAN has come in to prove IT FOR HIM, HENCE IT IS INCUMBENT THAT IT BE CONFIRMED (ithbat) (by US by reason) to belong to him.</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By traditional proofs it has been demonstrated that the Most High has Perception (idrak). And Perception is (something) additional to Knowledge. For we find a difference between our knowledge of black and white and a terrifying sound and a pleasant one, and our perception of these things. And this addition is due to the impression (ta’thir) of the senses. However, rational proofs lead us to believe that senses and organs are impossible for the Most High, and therefore this addition is impossible for Him. Hence in this case His Perception is His Knowledge of objects of perception (mudrakat).</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And the proof that it is proper for Him to have the quality of Perception is the same as that by which we proved that He knows all known things, (namely), by His being Living (see par. 56).</w:t>
      </w:r>
    </w:p>
    <w:p>
      <w:pPr>
        <w:pStyle w:val="Heading3"/>
        <w:numPr>
          <w:ilvl w:val="2"/>
          <w:numId w:val="1"/>
        </w:numPr>
        <w:bidi w:val="0"/>
        <w:jc w:val="left"/>
        <w:rPr/>
      </w:pPr>
      <w:bookmarkStart w:id="46" w:name="__RefHeading___Toc16877050_1280447820"/>
      <w:bookmarkStart w:id="47" w:name="_Toc16"/>
      <w:bookmarkEnd w:id="46"/>
      <w:r>
        <w:rPr/>
        <w:t>(6) He is Eternal (69-71)</w:t>
      </w:r>
      <w:bookmarkEnd w:id="47"/>
    </w:p>
    <w:p>
      <w:pPr>
        <w:pStyle w:val="BookText"/>
        <w:bidi w:val="0"/>
        <w:jc w:val="both"/>
        <w:rPr/>
      </w:pPr>
      <w:r>
        <w:rPr>
          <w:rFonts w:eastAsia="Times New Roman" w:cs="Times New Roman" w:ascii="Times New Roman" w:hAnsi="Times New Roman"/>
          <w:color w:val="111111"/>
          <w:sz w:val="28"/>
          <w:szCs w:val="28"/>
          <w:lang w:val="en-US"/>
        </w:rPr>
        <w:t>69.</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Sixth, the Most High is prior (qadim) and from ETERNITY (azali) AND ABIDING (baqi) AND TO ETERNITY (abadi),</w:t>
      </w:r>
      <w:bookmarkStart w:id="48" w:name="pg18967_203180"/>
    </w:p>
    <w:p>
      <w:pPr>
        <w:pStyle w:val="BookText"/>
        <w:bidi w:val="0"/>
        <w:rPr/>
      </w:pPr>
      <w:bookmarkEnd w:id="48"/>
      <w:r>
        <w:rPr>
          <w:rFonts w:eastAsia="Times New Roman" w:cs="Times New Roman" w:ascii="Times New Roman" w:hAnsi="Times New Roman"/>
          <w:color w:val="111111"/>
          <w:sz w:val="28"/>
          <w:szCs w:val="28"/>
          <w:lang w:val="en-US"/>
        </w:rPr>
        <w:t>BECAUSE HE IS THE NECESSARILY EXISTENT. HENCE NON-EXISTENCE, BOTH PREVIOUS (sabiq) AND CONSEQUENT (lahiq), IS FOR HIM IMPOSSIBLE.</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These four qualities are required in order that His existence be necessary (wajib). And Prior is that entity the existence of which is not derived from anything else. And From Eternity is the being related to (musahib) the “ ascertained ages ” (the ages after creation — muhaqqaq) and “ implied ages ” (the ages before creation — muqarrar), as regards the past. And Abiding is existence that continues and that is related to all ages. And To Eternity is being related to all ages, either ascertained or implied, as regards the future. And Eternal (sarmadi) comprises all ages.</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And the proof of this is that since it has been proved that He is Necessarily Existent, non-existence is impossible for Him absolutely, whether it be previous, on the supposition (taqdir) that He is not from all eternity, or consequent, on the supposition that He is not to all eternity. And since absolute non-existence is impossible for Him, it is proved that He is Prior and From Eternity and Abiding and To Eternity, which is what we sought.</w:t>
      </w:r>
    </w:p>
    <w:p>
      <w:pPr>
        <w:pStyle w:val="Heading3"/>
        <w:numPr>
          <w:ilvl w:val="2"/>
          <w:numId w:val="1"/>
        </w:numPr>
        <w:bidi w:val="0"/>
        <w:jc w:val="left"/>
        <w:rPr/>
      </w:pPr>
      <w:bookmarkStart w:id="49" w:name="__RefHeading___Toc16877052_1280447820"/>
      <w:bookmarkStart w:id="50" w:name="_Toc17"/>
      <w:bookmarkEnd w:id="49"/>
      <w:r>
        <w:rPr/>
        <w:t>(7) He is a Speaker (72-80)</w:t>
      </w:r>
      <w:bookmarkEnd w:id="50"/>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Seventh, the Most High is a speaker (mutakallim), by the agreement of all. And by speech (al-kalam) is intended letters and sounds which are audible and ORDERLY. And the meaning of the Most High’s being a SPEAKER IS THAT HE BRINGS SPEECH INTO EXISTENCE IN SOME SORT OF BODY (jism). AND THE EXPLANATION OF THE ASH‘ARITES IS CONTRARY TO REASON.</w:t>
      </w:r>
    </w:p>
    <w:p>
      <w:pPr>
        <w:pStyle w:val="BookText"/>
        <w:bidi w:val="0"/>
        <w:jc w:val="both"/>
        <w:rPr/>
      </w:pPr>
      <w:r>
        <w:rPr>
          <w:rFonts w:eastAsia="Times New Roman" w:cs="Times New Roman" w:ascii="Times New Roman" w:hAnsi="Times New Roman"/>
          <w:color w:val="111111"/>
          <w:sz w:val="28"/>
          <w:szCs w:val="28"/>
          <w:lang w:val="en-US"/>
        </w:rPr>
        <w:t>73.</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Among the qualities of the Most High is His being a Speaker. And in that Muslims have agreed, but after that they differ in four points (maqamat): (1) First, in the way in which they prove this quality. The Ash‘arites say it is reason (‘aql). And the Mu‘tazilites say it is tradition (sam‘), according to the word of the Most High, “ And discoursing did Allah discourse (takallama) with Moses” (4:162). And this is reality (that is, the Mu'tazilite position), because there is no rational evidence (dalil), and the evidence which they adduce </w:t>
      </w:r>
    </w:p>
    <w:p>
      <w:pPr>
        <w:pStyle w:val="BookText"/>
        <w:bidi w:val="0"/>
        <w:rPr/>
      </w:pPr>
      <w:r>
        <w:rPr>
          <w:rFonts w:eastAsia="Times New Roman" w:cs="Times New Roman" w:ascii="Times New Roman" w:hAnsi="Times New Roman"/>
          <w:color w:val="111111"/>
          <w:sz w:val="28"/>
          <w:szCs w:val="28"/>
          <w:lang w:val="en-US"/>
        </w:rPr>
        <w:t>is not complete. Now all the prophets have agreed in this (that Allah speaks). (And if one says that the very fact that there are prophets is a rational proof that Allah speaks — for how could they speak unless He first spoke to them? — we reply) that the proof of their being prophets is not dependent on this (that is, His Speaking), because it is possible to attest (the validity of the mission of) the prophets apart from Speech, for it is rather dependent on miracles, otherwise a circle would have to follow. (That is, the prophet says that Allah is a Speaker, but the truth of his being a prophet depends on Allah’s being a Speaker.) Hence it is incumbent to prove (ithbat) it for Him. For it is possible to deduce (istidlal) the truth of prophecy from miracles apart from the Koran, or else from the Koran considered not as Speech but as a miracle. And undoubtedly there is a disagreement (taghayur) about miracles. Hence it is necessary to prove (by tradition that Allah is a Speaker).</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(2) As to the quiddity (mahiyya) of His Speech. The Ash‘arites thought it was a prior idea (ma‘na) inherent in His essence which is expressed in various terms (‘ibarat) and is distinct from Knowledge and Power. Hence it is neither letters nor sounds nor commands nor prohibitions nor narrative nor interrogation nor any other such form of speech.</w:t>
      </w:r>
    </w:p>
    <w:p>
      <w:pPr>
        <w:pStyle w:val="BookText"/>
        <w:bidi w:val="0"/>
        <w:jc w:val="both"/>
        <w:rPr/>
      </w:pPr>
      <w:r>
        <w:rPr>
          <w:rFonts w:eastAsia="Times New Roman" w:cs="Times New Roman" w:ascii="Times New Roman" w:hAnsi="Times New Roman"/>
          <w:color w:val="111111"/>
          <w:sz w:val="28"/>
          <w:szCs w:val="28"/>
          <w:lang w:val="en-US"/>
        </w:rPr>
        <w:t>75.</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the Mu‘tazilites and Karramites and Hanbalites say it is letters and sounds compounded in such a way as to express something. And this is reality, for two reasons: First, that which takes precedence (al-mutabadir) in the opinion of intelligent people is what we have mentioned (namely, that kalam is speech), because they do not attribute the quality of speech to one who does not possess that quality, such as one who is silent or dumb. (Speech means speaking, not merely having ideas in one’s mind, as the Ash‘arites say.) Second, what they have said cannot be conceived (ghayru mutasawwar). For that which they conceived is either essential Power from which proceed letters and sounds, and they have said that Speech is other than that — nor can the other qualities properly be the source of what they have said. And whenever a thing cannot be conceived it cannot be </w:t>
      </w:r>
    </w:p>
    <w:p>
      <w:pPr>
        <w:pStyle w:val="BookText"/>
        <w:bidi w:val="0"/>
        <w:rPr/>
      </w:pPr>
      <w:r>
        <w:rPr>
          <w:rFonts w:eastAsia="Times New Roman" w:cs="Times New Roman" w:ascii="Times New Roman" w:hAnsi="Times New Roman"/>
          <w:color w:val="111111"/>
          <w:sz w:val="28"/>
          <w:szCs w:val="28"/>
          <w:lang w:val="en-US"/>
        </w:rPr>
        <w:t>properly proved, for attestation (tasdiq) is consequent upon conception (tasawwur).</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(3) Third, as to that in which the quality Speech inheres. The Ash‘arites, because of their doctrine that it is an idea (ma‘na), say that it inheres in His essence. And those who say that it is letters and sounds have differed among themselves. The Hanbalites and Karramites say that it inheres in His essence, so according to them He speaks with letters and sounds. And the Mu‘tazilites and Imamites say (and this is reality) that it is inherent in something else, not in His essence — as when He made speech to exist (awjada) in the bush, and Moses heard it. And the meaning of His being a Speaker is that He makes Speech, not that He is one in whom Speech inheres. And the proof of that is that Speech is a possible thing, and God Most High has power over all possible existences.</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And what we mentioned (namely, the Ash‘arite doctrine) is to be rejected, for two reasons (sanad): (a) First, if a speaker be that in which speech inheres, then the air in which letters and sounds inhere would be a speaker, and that is not true. For the lexicographers do not call anything a speaker except that which makes speech, not that in which speech inheres, and in this way voice (as-sada) is something other than a speaker. And they say that a jinni speaks through (‘ala) the tongue of an epileptic, because they believe that the maker (fa‘il) of the speech that is heard from the epileptic is the jinni.</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(b) Second, Speech is either an idea (ma‘na) — and the fallacy of this has been proved, or it is letters and sounds — and it is not possible for them to inhere in His essence, for then He would become the possessor of senses, because the existence of letters and sounds necessarily depends on the existence of their instruments. Then the Most High Creator would become the possessor of senses, and that is false.</w:t>
      </w:r>
    </w:p>
    <w:p>
      <w:pPr>
        <w:pStyle w:val="BookText"/>
        <w:bidi w:val="0"/>
        <w:jc w:val="both"/>
        <w:rPr/>
      </w:pPr>
      <w:r>
        <w:rPr>
          <w:rFonts w:eastAsia="Times New Roman" w:cs="Times New Roman" w:ascii="Times New Roman" w:hAnsi="Times New Roman"/>
          <w:color w:val="111111"/>
          <w:sz w:val="28"/>
          <w:szCs w:val="28"/>
          <w:lang w:val="en-US"/>
        </w:rPr>
        <w:t>79.</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 Fourth, as to the priority or origin of Speech. Now the Ash‘arites said that the idea was prior. And the Hanbalites said that the letters were prior. And the Mu‘tazilites said that Speech was an originated thing, and </w:t>
      </w:r>
      <w:bookmarkStart w:id="51" w:name="pg18967_203183"/>
    </w:p>
    <w:p>
      <w:pPr>
        <w:pStyle w:val="BookText"/>
        <w:bidi w:val="0"/>
        <w:rPr/>
      </w:pPr>
      <w:bookmarkEnd w:id="51"/>
      <w:r>
        <w:rPr>
          <w:rFonts w:eastAsia="Times New Roman" w:cs="Times New Roman" w:ascii="Times New Roman" w:hAnsi="Times New Roman"/>
          <w:color w:val="111111"/>
          <w:sz w:val="28"/>
          <w:szCs w:val="28"/>
          <w:lang w:val="en-US"/>
        </w:rPr>
        <w:t>that is the reality, for several reasons: (a) First, if it were prior, then a plurality of prior things would be necessary, and that is false, for the calling anything besides Allah prior is infidelity (kufr) by the agreement of all. Hence the Christians are guilty of infidelity in affirming the priority of the Persons (al-uqnum). (b) Second, it is compounded of letters and sounds which become non-existent when succeeded by others. And non-existence is not possible for a prior thing. (c) Third, if it were prior then it would necessarily follow that Allah lies. But that which is necessitated is false (namely, Allah’s lying), hence that which necessitated it (kalam’s being prior) is false also. And the proof of this necessity (of His being a liar) is that He informed us of His sending Noah from eternity (fi’l-azal), by the word of the Most High, “ We sent Noah to his people ” (71:1). And He did not send him from eternity, since there is nothing previous to eternity. (If the word of Allah was from eternity, then Noah must have been sent before eternity.) Hence it would be a lie.</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(d) Fourth, if it were prior, then His word would be nonsense (‘abath), in the word of the Most High, “ Observe prayer and pay the legal impost ” (22:78), because in eternity there was no mukallaf. Now nonsense is evil (qabih), hence it is impossible for the Most High. (e) Fifth, the word of the Most High, “ Every fresh (muhdath) warning that cometh to them from their Lord they only hear to mock it ” (21:2). And warning (dhikr) is the Koran, because of the word of the Most High, “ Verily we have sent down the warning (adh-dhikr), and verily we will be its guardian ” (15:9); “ For truly to thee and to thy people it is an admonition (dhikr) ” (43:43). And He has attributed to it the quality of origin (huduth), hence it is not prior. And the word of the author and the statement that the Ash‘arites are not to be accepted refer to what we have mentioned in these places.</w:t>
      </w:r>
    </w:p>
    <w:p>
      <w:pPr>
        <w:pStyle w:val="Heading3"/>
        <w:numPr>
          <w:ilvl w:val="2"/>
          <w:numId w:val="1"/>
        </w:numPr>
        <w:bidi w:val="0"/>
        <w:jc w:val="left"/>
        <w:rPr/>
      </w:pPr>
      <w:bookmarkStart w:id="52" w:name="__RefHeading___Toc16877054_1280447820"/>
      <w:bookmarkStart w:id="53" w:name="_Toc18"/>
      <w:bookmarkEnd w:id="52"/>
      <w:r>
        <w:rPr/>
        <w:t>(8) He is Veracious (81-82)</w:t>
      </w:r>
      <w:bookmarkEnd w:id="53"/>
    </w:p>
    <w:p>
      <w:pPr>
        <w:pStyle w:val="BookText"/>
        <w:bidi w:val="0"/>
        <w:jc w:val="both"/>
        <w:rPr/>
      </w:pPr>
      <w:r>
        <w:rPr>
          <w:rFonts w:eastAsia="Times New Roman" w:cs="Times New Roman" w:ascii="Times New Roman" w:hAnsi="Times New Roman"/>
          <w:color w:val="111111"/>
          <w:sz w:val="28"/>
          <w:szCs w:val="28"/>
          <w:lang w:val="en-US"/>
        </w:rPr>
        <w:t>81.</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Eighth, the Most High is veracious (sadiq). For A LIE (al-kidhb) IS OF NECESSITY EVIL (qabih) AND ALLAH THE MOST HIGH IS FAR REMOVED FROM EVIL, BECAUSE IT IS IMPOSSIBLE FOR HIM TO HAVE ANY IMPERFECTION (naqs).</w:t>
      </w:r>
    </w:p>
    <w:p>
      <w:pPr>
        <w:pStyle w:val="BookText"/>
        <w:bidi w:val="0"/>
        <w:rPr/>
      </w:pPr>
      <w:r>
        <w:rPr>
          <w:rFonts w:eastAsia="Times New Roman" w:cs="Times New Roman" w:ascii="Times New Roman" w:hAnsi="Times New Roman"/>
          <w:color w:val="111111"/>
          <w:sz w:val="28"/>
          <w:szCs w:val="28"/>
          <w:lang w:val="en-US"/>
        </w:rPr>
        <w:t>82.</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His positive qualities is His being Veracious. And veracity is a report that corresponds to reality, and a lie is a report that does not so correspond. Because if He were not Veracious He would be a liar, and that is false; for a lie is of necessity evil, and it would be necessary for the Most High Creator to be qualified by what is evil, and that is false, because of what shall later appear. And a lie is an imperfection, and the Most High Creator is far removed from imperfection.</w:t>
      </w:r>
      <w:bookmarkStart w:id="54" w:name="pg18967_203185"/>
    </w:p>
    <w:p>
      <w:pPr>
        <w:pStyle w:val="Heading2"/>
        <w:numPr>
          <w:ilvl w:val="1"/>
          <w:numId w:val="1"/>
        </w:numPr>
        <w:bidi w:val="0"/>
        <w:jc w:val="left"/>
        <w:rPr/>
      </w:pPr>
      <w:bookmarkStart w:id="55" w:name="__RefHeading___Toc16877056_1280447820"/>
      <w:bookmarkStart w:id="56" w:name="_Toc19"/>
      <w:bookmarkEnd w:id="54"/>
      <w:bookmarkEnd w:id="55"/>
      <w:r>
        <w:rPr/>
        <w:t>III. Section Three: Allah’s Privative Qualities (83-110)</w:t>
      </w:r>
      <w:bookmarkEnd w:id="56"/>
    </w:p>
    <w:p>
      <w:pPr>
        <w:pStyle w:val="Heading3"/>
        <w:numPr>
          <w:ilvl w:val="2"/>
          <w:numId w:val="1"/>
        </w:numPr>
        <w:bidi w:val="0"/>
        <w:jc w:val="left"/>
        <w:rPr/>
      </w:pPr>
      <w:bookmarkStart w:id="57" w:name="__RefHeading___Toc16877058_1280447820"/>
      <w:bookmarkStart w:id="58" w:name="_Toc20"/>
      <w:bookmarkEnd w:id="57"/>
      <w:r>
        <w:rPr>
          <w:rtl w:val="true"/>
        </w:rPr>
        <w:t>اشاره</w:t>
      </w:r>
      <w:bookmarkEnd w:id="58"/>
    </w:p>
    <w:p>
      <w:pPr>
        <w:pStyle w:val="BookText"/>
        <w:bidi w:val="0"/>
        <w:jc w:val="both"/>
        <w:rPr/>
      </w:pPr>
      <w:r>
        <w:rPr>
          <w:rFonts w:eastAsia="Times New Roman" w:cs="Times New Roman" w:ascii="Times New Roman" w:hAnsi="Times New Roman"/>
          <w:color w:val="111111"/>
          <w:sz w:val="28"/>
          <w:szCs w:val="28"/>
          <w:lang w:val="en-US"/>
        </w:rPr>
        <w:t>SECTION III</w:t>
      </w:r>
    </w:p>
    <w:p>
      <w:pPr>
        <w:pStyle w:val="Heading3"/>
        <w:numPr>
          <w:ilvl w:val="2"/>
          <w:numId w:val="1"/>
        </w:numPr>
        <w:bidi w:val="0"/>
        <w:jc w:val="left"/>
        <w:rPr/>
      </w:pPr>
      <w:bookmarkStart w:id="59" w:name="__RefHeading___Toc16877060_1280447820"/>
      <w:bookmarkStart w:id="60" w:name="_Toc21"/>
      <w:bookmarkEnd w:id="59"/>
      <w:r>
        <w:rPr/>
        <w:t>(1) He is not compounded (83-86)</w:t>
      </w:r>
      <w:bookmarkEnd w:id="60"/>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Concerning his privative (salbiyya) qualities, WHICH ARE SEVEN. FIRST, THE MOST HIGH IS NOT COMPOUNDED (murakkab), otherwise he would be in need OF MEMBERS, AND THAT WHICH IS IN NEED (muhtaj) IS POSSIBLE (existence).</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When he finished the positive qualities he began on the privative ones. The first (the positive) are called the qualities of perfection (kamal), and the second the qualities of glory (jalal). And if you will, all the qualities may be qualities of glory. For the affirmation of His Power means the negation (salb) of impotence (‘ajz) in Him, and the affirmation of knowledge means the negation of ignorance in Him, and likewise for the other qualities. And in truth what can be understood by our reason (al-ma‘qul lana) of His qualities is nothing but negations (sulub) and relationships (idafat). And the limit (kunh) of His essence and qualities is veiled from the consideration (nazar) of reason (‘uqul). And no one knows what He is but He Himself.</w:t>
      </w:r>
    </w:p>
    <w:p>
      <w:pPr>
        <w:pStyle w:val="BookText"/>
        <w:bidi w:val="0"/>
        <w:jc w:val="both"/>
        <w:rPr/>
      </w:pPr>
      <w:r>
        <w:rPr>
          <w:rFonts w:eastAsia="Times New Roman" w:cs="Times New Roman" w:ascii="Times New Roman" w:hAnsi="Times New Roman"/>
          <w:color w:val="111111"/>
          <w:sz w:val="28"/>
          <w:szCs w:val="28"/>
          <w:lang w:val="en-US"/>
        </w:rPr>
        <w:t>85.</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the author mentioned here seven qualities. The first is that He is not compounded. And a compounded thing is one which has parts. And the opposite of compounded is single (basit), and it is what does not have parts. And composition (tarkib) is sometimes objective, as the composition in bodies of atoms (jawahir) and accidents (a‘rad); and sometimes it is mental (dhihni), as the composition of quiddity (mahiyya) and limits (hudud), like the composition of genera (ajnas) and species (fusul). And a compounded thing in both senses is in need of its parts, because it is impossible for it, objectively or subjectively, to be realized and distinguished without its parts. And its parts are other than it, because the part can be separated from it. And the part is not called the whole. And that from which a thing can be separated is </w:t>
      </w:r>
      <w:bookmarkStart w:id="61" w:name="pg18967_203186"/>
    </w:p>
    <w:p>
      <w:pPr>
        <w:pStyle w:val="BookText"/>
        <w:bidi w:val="0"/>
        <w:rPr/>
      </w:pPr>
      <w:bookmarkEnd w:id="61"/>
      <w:r>
        <w:rPr>
          <w:rFonts w:eastAsia="Times New Roman" w:cs="Times New Roman" w:ascii="Times New Roman" w:hAnsi="Times New Roman"/>
          <w:color w:val="111111"/>
          <w:sz w:val="28"/>
          <w:szCs w:val="28"/>
          <w:lang w:val="en-US"/>
        </w:rPr>
        <w:t>distinct from it. Then a compounded thing is in need of something else, hence it is possible (existence). Therefore, if the Most Exalted Creator were compounded He would be possible (existence), and that cannot be.</w:t>
      </w:r>
    </w:p>
    <w:p>
      <w:pPr>
        <w:pStyle w:val="Heading3"/>
        <w:numPr>
          <w:ilvl w:val="2"/>
          <w:numId w:val="1"/>
        </w:numPr>
        <w:bidi w:val="0"/>
        <w:jc w:val="left"/>
        <w:rPr/>
      </w:pPr>
      <w:bookmarkStart w:id="62" w:name="__RefHeading___Toc16877062_1280447820"/>
      <w:bookmarkStart w:id="63" w:name="_Toc22"/>
      <w:bookmarkEnd w:id="62"/>
      <w:r>
        <w:rPr/>
        <w:t>(2) He is not a body (86-96)</w:t>
      </w:r>
      <w:bookmarkEnd w:id="63"/>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Second, he is not a body (jism), nor an accident (‘arad), nor an atom (jawhar), otherwise he would have NEED OF A PLACE (al-makan), because it is impossible for BODY TO BE SEPARATED FROM ORIGINATED THINGS. THEN HE WOULD BE AN ORIGINATED THING, AND THAT IS IMPOSSIBLE.</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The Most High Creator is not a body, contrary to the Anthropomorphists (mujassima). And body is that which has length and breadth and depth. And accident is that which alights (al-hall) in a body and has no existence without it. And the proof that the Most High is not an accident or a body is of two kinds: (1) First, if He were one of these two He would be possible existence. But this necessity is false, hence that which necessitates it is false also. And for the explanation of this necessity — we know of necessity (bid-darura) that every body needs a place, and every accident needs a locus (mahall). And place and locus are other than body and accident. Hence they are in need of something other than themselves. And that which needs something else is the possible. Hence if the Most High Creator were a body or an accident He would be possible existence. (2) Second, if He were a body He would be an originated thing, and that is impossible. And in explanation of this, no body can be quit of originated things. And that which cannot be quit of originated things is itself an originated thing, as we have previously explained. Hence, if He were a body He would be an originated thing. But He is prior. Then contradictories would have to agree, and that is impossible.</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And it is not possible that he be in a place (makan), FOR HE WOULD THEN HAVE NEED OF IT, NOR IN A DIRECTION, FOR HE WOULD THEN HAVE NEED OF IT.</w:t>
      </w:r>
    </w:p>
    <w:p>
      <w:pPr>
        <w:pStyle w:val="BookText"/>
        <w:bidi w:val="0"/>
        <w:jc w:val="both"/>
        <w:rPr/>
      </w:pPr>
      <w:r>
        <w:rPr>
          <w:rFonts w:eastAsia="Times New Roman" w:cs="Times New Roman" w:ascii="Times New Roman" w:hAnsi="Times New Roman"/>
          <w:color w:val="111111"/>
          <w:sz w:val="28"/>
          <w:szCs w:val="28"/>
          <w:lang w:val="en-US"/>
        </w:rPr>
        <w:t>89.</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these two qualities are negative. (1) The first is that He is not in a place, contrary to the Christians and some of the Sufis. And what is understood by incarnation (hulul — </w:t>
      </w:r>
    </w:p>
    <w:p>
      <w:pPr>
        <w:pStyle w:val="BookText"/>
        <w:bidi w:val="0"/>
        <w:rPr/>
      </w:pPr>
      <w:r>
        <w:rPr>
          <w:rFonts w:eastAsia="Times New Roman" w:cs="Times New Roman" w:ascii="Times New Roman" w:hAnsi="Times New Roman"/>
          <w:color w:val="111111"/>
          <w:sz w:val="28"/>
          <w:szCs w:val="28"/>
          <w:lang w:val="en-US"/>
        </w:rPr>
        <w:t>alighting) is the inhering (qiyam) of one entity (mawjud) in another entity in succession. And if they intend this meaning, then it is false. For then the Necessary would have to be in need, and that cannot be. And if they intend some other meaning, then first of all we would have to conceive it, and afterwards pass judgment on it, either rejecting it or affirming it.</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(2) Second, He is not in a direction (jiha). And direction is the goal (maqsad) of a moving object, and is connected with the world of sense. And the Karramites thought that He was in the direction of heaven (fawqiyya), and they supposed this from the literal meaning of a text (naql), and that is false. Because, if He be in a direction, then either He does not need it, in which case He will not alight in it, or else He does need it, in which case He would be the possible. And the literal traditional meaning possesses interpretations (ta’wilat) and bearings (mahamil) which are mentioned in their proper place. For since corporeality (jismiyya) and what follows from it has on rational grounds been proved impossible for Him, then either (a) another interpretation is necessary — for it is impossible to use both (tradition and reason), otherwise contradictories would have to agree, or (b) both must be rejected, in which case both of the contradictories would have to be removed (a logical impossibility), or (c) tradition must be used and reason rejected, in which case reason also would have to be rejected, because of the rejection of its foundation (Reason is fundamental (asl), tradition is consequent (far‘) — if the former is rejected the latter is impossible). So (d) the fourth possibility remains, namely, the use of reason and the interpretation of tradition.</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And pleasure (al-ladhdha) and pain (al-alam) are not VALID FOR HIM, BECAUSE IT IS IMPOSSIBLE FOR THE MOST HIGH TO HAVE A PHYSICAL CONSTITUTION (mizaj).</w:t>
      </w:r>
    </w:p>
    <w:p>
      <w:pPr>
        <w:pStyle w:val="BookText"/>
        <w:bidi w:val="0"/>
        <w:jc w:val="both"/>
        <w:rPr/>
      </w:pPr>
      <w:r>
        <w:rPr>
          <w:rFonts w:eastAsia="Times New Roman" w:cs="Times New Roman" w:ascii="Times New Roman" w:hAnsi="Times New Roman"/>
          <w:color w:val="111111"/>
          <w:sz w:val="28"/>
          <w:szCs w:val="28"/>
          <w:lang w:val="en-US"/>
        </w:rPr>
        <w:t>92.</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Pain and pleasure are things that we perceive internally (wijdani), hence they do not need explanation. And it has been said of them that pleasure is the perception of what is agreeable with regard to its being (min hayth) agreeable, and </w:t>
      </w:r>
    </w:p>
    <w:p>
      <w:pPr>
        <w:pStyle w:val="BookText"/>
        <w:bidi w:val="0"/>
        <w:rPr/>
      </w:pPr>
      <w:r>
        <w:rPr>
          <w:rFonts w:eastAsia="Times New Roman" w:cs="Times New Roman" w:ascii="Times New Roman" w:hAnsi="Times New Roman"/>
          <w:color w:val="111111"/>
          <w:sz w:val="28"/>
          <w:szCs w:val="28"/>
          <w:lang w:val="en-US"/>
        </w:rPr>
        <w:t>pain is the perception of what is disagreeable (munafi) with regard to its being disagreeable. And pleasure and pain may be either sensuous or mental. If the perception is by the senses they are sensuous, and if it is by the mind they are mental. Since this is determined, we say that pain is impossible for the Most High, as all rational beings agree, since He is subject to nothing that is disagreeable (munafi — contrary to His nature). And pleasure, if it be sensuous, is likewise impossible for Him, because it results from having a physical constitution, and a physical constitution is impossible for Him, otherwise He would be a body. And if it be mental, the philosophers have affirmed it for Him, also the founder of the Ya‘qubiyya (sect) from among us. For the Most High Creator is qualified by His perfection, which is worthy of Him, for it is impossible for Him to have any imperfection. Nevertheless, He perceives by His essence and His perfection. Hence He is the Most Glorious Perceiver and the Most Exalted Perceiver by the most complete perception, and by pleasure we mean nothing other than that.</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But the scholastic theologians have restricted their statements to the denial of pleasure to Allah, either because of their belief that mental pleasure (also is) denied to Allah, or because of its not having been mentioned in the Majestic Law. For the qualities of Allah and His names are restricted, and it is not permissible for any but Him to venture into them, except with His permission. And even if pleasure is possible for Allah from the point of view of (human) reason, yet it is not polite (to attribute it to Him), because it may perhaps be impossible (for Him) for some reason or other which we do not know.</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Nor does he unite with other than himself, because UNION (al-ittihad) is absolutely impossible for him.</w:t>
      </w:r>
    </w:p>
    <w:p>
      <w:pPr>
        <w:pStyle w:val="BookText"/>
        <w:bidi w:val="0"/>
        <w:jc w:val="both"/>
        <w:rPr/>
      </w:pPr>
      <w:r>
        <w:rPr>
          <w:rFonts w:eastAsia="Times New Roman" w:cs="Times New Roman" w:ascii="Times New Roman" w:hAnsi="Times New Roman"/>
          <w:color w:val="111111"/>
          <w:sz w:val="28"/>
          <w:szCs w:val="28"/>
          <w:lang w:val="en-US"/>
        </w:rPr>
        <w:t>95.</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Union may be used in two senses, figurative and real. (1) Figurative union is one thing’s becoming another thing in being (al-kawn) or in corruption (al-fasad). (For an example </w:t>
      </w:r>
      <w:bookmarkStart w:id="64" w:name="pg18967_203189"/>
    </w:p>
    <w:p>
      <w:pPr>
        <w:pStyle w:val="BookText"/>
        <w:bidi w:val="0"/>
        <w:rPr/>
      </w:pPr>
      <w:bookmarkEnd w:id="64"/>
      <w:r>
        <w:rPr>
          <w:rFonts w:eastAsia="Times New Roman" w:cs="Times New Roman" w:ascii="Times New Roman" w:hAnsi="Times New Roman"/>
          <w:color w:val="111111"/>
          <w:sz w:val="28"/>
          <w:szCs w:val="28"/>
          <w:lang w:val="en-US"/>
        </w:rPr>
        <w:t>of being — water becomes mist; of corruption — seed in the ground dies and becomes a new plant.) Either (a) there is no addition (idafa) of another thing, as their saying that water becomes air and air becomes water; or (b) there is an addition of something else, as it is said that dirt becomes mud by the addition of water to it. (2) And real union is when two entities become one entity.</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Since that is determined, know that the first is altogether impossible for the Most High, because created being (al-kawn) and corruption are impossible for Him. And as for the second, some Christians say that He has united with Christ, for they say that the divinity (lahutiyya) of the Creator has united with the humanity (nasutiya) of ‘Isa. And the Nasiriyya say that He has united with ‘Ali. And some of the Sufis say that He has united with those who know God (‘arifin). Now, if they mean something other than what we have mentioned it is first necessary to conceive it, then to pass judgment upon it. And if they mean what we have mentioned (namely, real union), then it is altogether false, because union is in itself impossible (there is no such thing as real union). Therefore it is impossible that it should be proved (to occur) in anything else. Now it is impossible, because if after the union of two entities they continue to exist, there is no union, because they are two, not one, and if they become non-existent together, this also is not union, but a third entity, and if one of them becomes non-existent and the other continues to exist, this also is not union, because non-existence cannot unite with existence.</w:t>
      </w:r>
    </w:p>
    <w:p>
      <w:pPr>
        <w:pStyle w:val="Heading3"/>
        <w:numPr>
          <w:ilvl w:val="2"/>
          <w:numId w:val="1"/>
        </w:numPr>
        <w:bidi w:val="0"/>
        <w:jc w:val="left"/>
        <w:rPr/>
      </w:pPr>
      <w:bookmarkStart w:id="65" w:name="__RefHeading___Toc16877064_1280447820"/>
      <w:bookmarkStart w:id="66" w:name="_Toc23"/>
      <w:bookmarkEnd w:id="65"/>
      <w:r>
        <w:rPr/>
        <w:t>(3) He is not a locus for originated things (97-99)</w:t>
      </w:r>
      <w:bookmarkEnd w:id="66"/>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Third, the most high is not a locus (mahall) for ORIGINATED THINGS, BECAUSE OF THE IMPOSSIBILITY OF HIS BEING ACTED UPON (infi‘al) BY ANYTHING ELSE, AND THE IMPOSSIBILITY OF IMPERFECTION IN HIM.</w:t>
      </w:r>
    </w:p>
    <w:p>
      <w:pPr>
        <w:pStyle w:val="BookText"/>
        <w:bidi w:val="0"/>
        <w:jc w:val="both"/>
        <w:rPr/>
      </w:pPr>
      <w:r>
        <w:rPr>
          <w:rFonts w:eastAsia="Times New Roman" w:cs="Times New Roman" w:ascii="Times New Roman" w:hAnsi="Times New Roman"/>
          <w:color w:val="111111"/>
          <w:sz w:val="28"/>
          <w:szCs w:val="28"/>
          <w:lang w:val="en-US"/>
        </w:rPr>
        <w:t>98.</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Know that there are two ways of considering (i‘tibaran) the qualities of the Most High: (1) The first of these refers to the essential Power itself and the essential Knowledge itself and to the other qualities themselves. And (2) the second refers to the connection (ta‘alluq) which these qualities have </w:t>
      </w:r>
      <w:bookmarkStart w:id="67" w:name="pg18967_203190"/>
    </w:p>
    <w:p>
      <w:pPr>
        <w:pStyle w:val="BookText"/>
        <w:bidi w:val="0"/>
        <w:rPr/>
      </w:pPr>
      <w:bookmarkEnd w:id="67"/>
      <w:r>
        <w:rPr>
          <w:rFonts w:eastAsia="Times New Roman" w:cs="Times New Roman" w:ascii="Times New Roman" w:hAnsi="Times New Roman"/>
          <w:color w:val="111111"/>
          <w:sz w:val="28"/>
          <w:szCs w:val="28"/>
          <w:lang w:val="en-US"/>
        </w:rPr>
        <w:t>with the things determined (muqtadayat) by them, such as the control of Power over that which is decreed (maqdur), and of Knowledge over that which is known. And, according to this second sense, there is no dispute about these qualities being things which are relative, in addition (to the essence), and changing as the things with which they are connected change and vary.</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But in regard to the first sense, the Karramites thought that the qualities are originated things and are renewed in like manner as the things with which they are connected are renewed. They said that He was not Powerful at first, but later became Powerful, and that He was not Knowing, but later became Knowing. And the reality is contrary to this. For what is renewed in what they mentioned is the relative connection. And if they mean that, it is self-evident. Otherwise, it is false for two reasons: (1) First, if His qualities are things originated and renewed, it would be necessary for Him to be acted upon and to change. But the necessity is false, hence that which necessitates it is false also. And there are two proofs of this: (a) First, His qualities are essential, and their change would require the change of the essence and its being acted upon. And (b) second, the origin of the qualities would necessitate the origin of His ability to be a locus for them, and that would require the passibility and changeableness of the locus. But it is impossible for the nature (mahiyya) of the Most High to be subject to change and passibility. Hence His qualities are not originated, which is what we sought. (2) Second, the qualities of the Most High are perfect qualities, because it is impossible for them to have imperfection. And if they were originated and renewed He would not have perfection. And not having perfection is imperfection — and Allah, the High, the Great, is exalted above that!</w:t>
      </w:r>
    </w:p>
    <w:p>
      <w:pPr>
        <w:pStyle w:val="Heading3"/>
        <w:numPr>
          <w:ilvl w:val="2"/>
          <w:numId w:val="1"/>
        </w:numPr>
        <w:bidi w:val="0"/>
        <w:jc w:val="left"/>
        <w:rPr/>
      </w:pPr>
      <w:bookmarkStart w:id="68" w:name="__RefHeading___Toc16877066_1280447820"/>
      <w:bookmarkStart w:id="69" w:name="_Toc24"/>
      <w:bookmarkEnd w:id="68"/>
      <w:r>
        <w:rPr/>
        <w:t>(4) He is not visible (100-102)</w:t>
      </w:r>
      <w:bookmarkEnd w:id="69"/>
    </w:p>
    <w:p>
      <w:pPr>
        <w:pStyle w:val="BookText"/>
        <w:bidi w:val="0"/>
        <w:jc w:val="both"/>
        <w:rPr/>
      </w:pPr>
      <w:r>
        <w:rPr>
          <w:rFonts w:eastAsia="Times New Roman" w:cs="Times New Roman" w:ascii="Times New Roman" w:hAnsi="Times New Roman"/>
          <w:color w:val="111111"/>
          <w:sz w:val="28"/>
          <w:szCs w:val="28"/>
          <w:lang w:val="en-US"/>
        </w:rPr>
        <w:t>100.</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Fourth, ocular vision (ru’ya) of the Most High is IMPOSSIBLE, BECAUSE EVERYTHING WHICH CAN BE SEEN POSSESSES DIRECTION, FOR IT IS OF NECESSITY EITHER OPPOSITE TO ONE, OR ELSE IT IS LIKE SOMETHING OPPOSITE. Then he would be a body, and that is impossible. And</w:t>
      </w:r>
    </w:p>
    <w:p>
      <w:pPr>
        <w:pStyle w:val="BookText"/>
        <w:bidi w:val="0"/>
        <w:rPr/>
      </w:pPr>
      <w:r>
        <w:rPr>
          <w:rFonts w:eastAsia="Times New Roman" w:cs="Times New Roman" w:ascii="Times New Roman" w:hAnsi="Times New Roman"/>
          <w:color w:val="111111"/>
          <w:sz w:val="28"/>
          <w:szCs w:val="28"/>
          <w:lang w:val="en-US"/>
        </w:rPr>
        <w:t>IN THE WORD OF THE MOST HIGH (TO Moses) “ THOU SHALT NOT SEE ME ” (7:139) — AND LAN IS THE ETERNAL NEGATIVE.</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The philosophers and the Mu‘tazilites hold that the vision of Him with the eye is impossible, because of His being incorporeal (mujarrad). And the Anthropomorphists (mujassima) and Karramites hold that it is possible to see Him with the eye face to face. And the Ash‘arites believe that God is incorporeal, and (yet) say that the vision of Him is valid, contrary to the opinion of all sane men. And some of the Ash‘arites say, “ By vision we do not mean the impression (inṭiba‘) (of the object on the optic nerve) or the issuing of rays, but the state which is acquired from the vision of an object after the acquisition of the knowledge (‘ilm) of it.” And others of them say that the meaning of the vision of Him is that He uncovers Himself (yankashifu) to believing creatures on the Last Day like the uncovering of a visible full moon. And the reality is that if they mean by that a complete manifestation (al-kashfu’t-tamm), then that is admitted, for on the Day of Resurrection perfect knowledge (al-ma‘rifa) will become necessary (daruri). Otherwise it cannot be conceived except as ocular vision, and that is false both by reason and tradition.</w:t>
      </w:r>
    </w:p>
    <w:p>
      <w:pPr>
        <w:pStyle w:val="BookText"/>
        <w:bidi w:val="0"/>
        <w:jc w:val="both"/>
        <w:rPr/>
      </w:pPr>
      <w:r>
        <w:rPr>
          <w:rFonts w:eastAsia="Times New Roman" w:cs="Times New Roman" w:ascii="Times New Roman" w:hAnsi="Times New Roman"/>
          <w:color w:val="111111"/>
          <w:sz w:val="28"/>
          <w:szCs w:val="28"/>
          <w:lang w:val="en-US"/>
        </w:rPr>
        <w:t>102.</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 It is false by reason, because if He be visible He must be in a direction, and therefore be a body, which is false, as has been previously shown. For every visible thing is either opposite, or is like something opposite (fi hukmi’l-muqabil), as the image in a mirror, and that is necessarily true. And everything opposite or like an opposite is in a direction. Hence if the Most High Creator be visible He must be in a direction, which is false. (2) And it is also false by tradition, for several reasons: (a) First, when Moses asked for a vision (of Him) he received the answer, “ Thou shalt not see me ” (7:139), and Lan is the eternal negative according to the lexicographers. And since Moses did not see Him, certainly no one else has seen Him. (b) Second, in the word of Allah, “ No vision taketh in Him, but He taketh in all vision ” (6:103) He describes Himself by denying that eyes can perceive Him. Hence proving that He is visible is a fault. (c) Third, He made a great matter of their seeking for a vision of Himself, </w:t>
      </w:r>
      <w:bookmarkStart w:id="70" w:name="pg18967_203192"/>
    </w:p>
    <w:p>
      <w:pPr>
        <w:pStyle w:val="BookText"/>
        <w:bidi w:val="0"/>
        <w:rPr/>
      </w:pPr>
      <w:bookmarkEnd w:id="70"/>
      <w:r>
        <w:rPr>
          <w:rFonts w:eastAsia="Times New Roman" w:cs="Times New Roman" w:ascii="Times New Roman" w:hAnsi="Times New Roman"/>
          <w:color w:val="111111"/>
          <w:sz w:val="28"/>
          <w:szCs w:val="28"/>
          <w:lang w:val="en-US"/>
        </w:rPr>
        <w:t>and attached blame to it, and threatened (the guilty), saying, “ But a greater thing than this did they ask of Moses! for they said, ‘ Show us Allah plainly ’; and for this their wickedness did the fire-storm lay hold on them ” (4:152). “ They who look not forward to meet us say, ‘ If the angels be not sent down to us, or unless we behold our Lord ...’ Ah! they are proud of heart, and exceed with great excess ” (25:21).</w:t>
      </w:r>
    </w:p>
    <w:p>
      <w:pPr>
        <w:pStyle w:val="Heading3"/>
        <w:numPr>
          <w:ilvl w:val="2"/>
          <w:numId w:val="1"/>
        </w:numPr>
        <w:bidi w:val="0"/>
        <w:jc w:val="left"/>
        <w:rPr/>
      </w:pPr>
      <w:bookmarkStart w:id="71" w:name="__RefHeading___Toc16877068_1280447820"/>
      <w:bookmarkStart w:id="72" w:name="_Toc25"/>
      <w:bookmarkEnd w:id="71"/>
      <w:r>
        <w:rPr/>
        <w:t>(5) He has no partner (103-105)</w:t>
      </w:r>
      <w:bookmarkEnd w:id="72"/>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Fifth, a partner (ash-sharik) is denied to him, BECAUSE OF TRADITION, AND BECAUSE OF THEIR HINDERING ONE ANOTHER (in case of a plurality of deities), in which case THE ORDERLINESS OF EXISTENCE WOULD BE DESTROYED, AND BECAUSE HE WOULD HAVE TO BE COMPOUNDED, SINCE TWO NECESSARIES WOULD SHARE IN BEING NECESSARILY EXISTENT, IN WHICH CASE THERE WOULD HAVE TO BE A DISTINGUISHER (mahaz).</w:t>
      </w:r>
    </w:p>
    <w:p>
      <w:pPr>
        <w:pStyle w:val="BookText"/>
        <w:bidi w:val="0"/>
        <w:jc w:val="both"/>
        <w:rPr/>
      </w:pPr>
      <w:r>
        <w:rPr>
          <w:rFonts w:eastAsia="Times New Roman" w:cs="Times New Roman" w:ascii="Times New Roman" w:hAnsi="Times New Roman"/>
          <w:color w:val="111111"/>
          <w:sz w:val="28"/>
          <w:szCs w:val="28"/>
          <w:lang w:val="en-US"/>
        </w:rPr>
        <w:t>104.</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Scholastic theologians and philosophers have agreed in denying to the Most High a partner, for several reasons: (1) First, the traditional proofs which point to this, and also the agreement of the prophets, which is here a proof, because their veracity does not rest on their affirmation of the Unity. (2) Second, the proof of the scholastic theologians, which is called “ the proof of hindrance.” And that is taken from the word of the Most High, “ Had there been in either heaven or earth gods beside Allah, both surely had gone to ruin ” (21:22). And this means that if He had a partner, the destruction of the orderliness of existence would follow of necessity, and that is false. In explanation of this — if the will of one of the two (gods) came into connection with the production of a moving body, then undoubtedly it is possible for the other god to will its rest, or it is not. (a) If it is possible, then undoubtedly either the will of both will be carried out — in which case opposites would have to be reconciled, or else the will of neither of them will be carried out — in which case the body would have neither motion nor rest; or the will of (only) one of them will be carried out, in which case two evils will result: (α) first, preponderance (tarjih) without any one to give preponderance, and (β) second, the impotence of the other (god). (b) If it is not possible for the other god to will its rest, then it necessarily </w:t>
      </w:r>
      <w:bookmarkStart w:id="73" w:name="pg18967_203193"/>
    </w:p>
    <w:p>
      <w:pPr>
        <w:pStyle w:val="BookText"/>
        <w:bidi w:val="0"/>
        <w:rPr/>
      </w:pPr>
      <w:bookmarkEnd w:id="73"/>
      <w:r>
        <w:rPr>
          <w:rFonts w:eastAsia="Times New Roman" w:cs="Times New Roman" w:ascii="Times New Roman" w:hAnsi="Times New Roman"/>
          <w:color w:val="111111"/>
          <w:sz w:val="28"/>
          <w:szCs w:val="28"/>
          <w:lang w:val="en-US"/>
        </w:rPr>
        <w:t>follows that he is impotent. For there is no hindrance except the connection of the will of that other god (with the body). But impotence on the part of gods is false, and preponderance without one to give preponderance is impossible. Hence the destruction of the orderliness of existence would be necessary, and that also is impossible.</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(3) Third, the proof of the philosophers and its explanation. If there be in existence a Necessarily Existent, then both of the gods must be possible existence. For in this case they would both share in being necessarily existent. And undoubtedly they can either be distinguished from one another or they cannot. For if they cannot be distinguished they do not acquire duality. And if they can be distinguished, it is necessary that each one of the two be compounded of that in which they are one, and that by which they are distinguished. And every compounded thing is possible existence. Hence they both are possible existences, and this was contrary (to our premises).</w:t>
      </w:r>
    </w:p>
    <w:p>
      <w:pPr>
        <w:pStyle w:val="Heading3"/>
        <w:numPr>
          <w:ilvl w:val="2"/>
          <w:numId w:val="1"/>
        </w:numPr>
        <w:bidi w:val="0"/>
        <w:jc w:val="left"/>
        <w:rPr/>
      </w:pPr>
      <w:bookmarkStart w:id="74" w:name="__RefHeading___Toc16877070_1280447820"/>
      <w:bookmarkStart w:id="75" w:name="_Toc26"/>
      <w:bookmarkEnd w:id="74"/>
      <w:r>
        <w:rPr/>
        <w:t>(6) He has no ideas and states (106-108)</w:t>
      </w:r>
      <w:bookmarkEnd w:id="75"/>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Sixth, ideas (ma‘ani) and states (ahwal) are denied TO the Most High. Because if he were powerful by his POWER AND knowing BY HIS KNOWLEDGE AND SO FORTH HE WOULD HAVE NEED IN HIS QUALITIES OF THAT IDEA. THEN HE WOULD BE POSSIBLE EXISTENCE, AND THAT IS CONTRARY (to our premises).</w:t>
      </w:r>
    </w:p>
    <w:p>
      <w:pPr>
        <w:pStyle w:val="BookText"/>
        <w:bidi w:val="0"/>
        <w:jc w:val="both"/>
        <w:rPr/>
      </w:pPr>
      <w:r>
        <w:rPr>
          <w:rFonts w:eastAsia="Times New Roman" w:cs="Times New Roman" w:ascii="Times New Roman" w:hAnsi="Times New Roman"/>
          <w:color w:val="111111"/>
          <w:sz w:val="28"/>
          <w:szCs w:val="28"/>
          <w:lang w:val="en-US"/>
        </w:rPr>
        <w:t>107.</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Ash‘arites hold that the Most High is Powerful by His Power and Knowing by His Knowledge and Living by His Life, and so for all His other qualities, and that these are prior ideas in addition to His essence and inhering in it. And the Bahshamiyya say that the Most High is equal to (musawi) any other essence, and is distinguished from other essences by a state (hala) which is called godhood (uluhiyya). And this state produces in Him four states: being powerful, knowing, being alive, and existing. And state (hal) according to them is a quality belonging to an entity (mawjud), and existence (wujud) and non-existence (‘adam) do not possess this quality. And they say that the Most High Creator is Powerful in relation to (bi-i‘tibar) that state of being powerful </w:t>
      </w:r>
      <w:bookmarkStart w:id="76" w:name="pg18967_203194"/>
    </w:p>
    <w:p>
      <w:pPr>
        <w:pStyle w:val="BookText"/>
        <w:bidi w:val="0"/>
        <w:rPr/>
      </w:pPr>
      <w:bookmarkEnd w:id="76"/>
      <w:r>
        <w:rPr>
          <w:rFonts w:eastAsia="Times New Roman" w:cs="Times New Roman" w:ascii="Times New Roman" w:hAnsi="Times New Roman"/>
          <w:color w:val="111111"/>
          <w:sz w:val="28"/>
          <w:szCs w:val="28"/>
          <w:lang w:val="en-US"/>
        </w:rPr>
        <w:t>and Knowing in relation to that state of knowing, and so for the other qualities. And the fallacy of this contention is necessary (daruri), for a thing is either an entity or a non-entity, since there is no middle ground.</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And the philosophers and the investigators (muhaqqiqun) among the scholastic theologians say that the Most High is Powerful by His essence, and so for the other qualities. And when we say, “ the essence is Knowing and is Powerful,” what is imagined to be an addition (za’ida) is relative and is addition only in the mind, not objectively. And this is the reality in our opinion, because if He were Powerful by His Power (qudra) or state of being powerful (qadiriyya), and Knowing by His Knowledge (‘ilm) or state of knowing (‘alimiyya), and so forth, then it would follow that the Necessary would have need of something else in His qualities. Because these ideas and states are distinct from His essence absolutely. And everything which is in need of something else is possible existence. And if His qualities be in addition to His essence, then He would be possible existence, which is contrary to our premises.</w:t>
      </w:r>
    </w:p>
    <w:p>
      <w:pPr>
        <w:pStyle w:val="Heading3"/>
        <w:numPr>
          <w:ilvl w:val="2"/>
          <w:numId w:val="1"/>
        </w:numPr>
        <w:bidi w:val="0"/>
        <w:jc w:val="left"/>
        <w:rPr/>
      </w:pPr>
      <w:bookmarkStart w:id="77" w:name="__RefHeading___Toc16877072_1280447820"/>
      <w:bookmarkStart w:id="78" w:name="_Toc27"/>
      <w:bookmarkEnd w:id="77"/>
      <w:r>
        <w:rPr/>
        <w:t>(7) He has no need (109-110)</w:t>
      </w:r>
      <w:bookmarkEnd w:id="78"/>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Seventh, the Most High is self-sufficient (ghaniyy) AND NOT IN NEED, FOR THE NECESSITY OF HIS EXISTENCE APART FROM ANYTHING ELSE REQUIRES THAT HE BE WITHOUT NEED OF ANYTHING ELSE, AND THAT EVERYTHING BESIDES HIM BE IN NEED OF HIM.</w:t>
      </w:r>
    </w:p>
    <w:p>
      <w:pPr>
        <w:pStyle w:val="BookText"/>
        <w:bidi w:val="0"/>
        <w:jc w:val="both"/>
        <w:rPr/>
      </w:pPr>
      <w:r>
        <w:rPr>
          <w:rFonts w:eastAsia="Times New Roman" w:cs="Times New Roman" w:ascii="Times New Roman" w:hAnsi="Times New Roman"/>
          <w:color w:val="111111"/>
          <w:sz w:val="28"/>
          <w:szCs w:val="28"/>
          <w:lang w:val="en-US"/>
        </w:rPr>
        <w:t>110.</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Among His negative qualities is His being absolutely self-sufficient and not in need of another, neither in His essence nor in His qualities. For the necessity of His existence, which has been established for Him, requires His being absolutely without need as regards all things beside Himself. For if He were in need (muhtaj) He would have to want (iftaqara) something, and then He would be possible existence, and Allah is exalted above that. Rather the Creator, whose greatness is glorious, is without need of anything besides Himself. And everything (that is) is an emanation (rashha — oozing) amongst the emanations of His existence, and a mote (dharra) amongst the motes in the rays of His munificence. </w:t>
      </w:r>
      <w:bookmarkStart w:id="79" w:name="pg18967_203195"/>
    </w:p>
    <w:p>
      <w:pPr>
        <w:pStyle w:val="Heading2"/>
        <w:numPr>
          <w:ilvl w:val="1"/>
          <w:numId w:val="1"/>
        </w:numPr>
        <w:bidi w:val="0"/>
        <w:jc w:val="left"/>
        <w:rPr/>
      </w:pPr>
      <w:bookmarkStart w:id="80" w:name="__RefHeading___Toc16877074_1280447820"/>
      <w:bookmarkStart w:id="81" w:name="_Toc28"/>
      <w:bookmarkEnd w:id="79"/>
      <w:bookmarkEnd w:id="80"/>
      <w:r>
        <w:rPr/>
        <w:t>IV. Section Four: Allah’s Justice (111-151)</w:t>
      </w:r>
      <w:bookmarkEnd w:id="81"/>
    </w:p>
    <w:p>
      <w:pPr>
        <w:pStyle w:val="Heading3"/>
        <w:numPr>
          <w:ilvl w:val="2"/>
          <w:numId w:val="1"/>
        </w:numPr>
        <w:bidi w:val="0"/>
        <w:jc w:val="left"/>
        <w:rPr/>
      </w:pPr>
      <w:bookmarkStart w:id="82" w:name="__RefHeading___Toc16877076_1280447820"/>
      <w:bookmarkStart w:id="83" w:name="_Toc29"/>
      <w:bookmarkEnd w:id="82"/>
      <w:r>
        <w:rPr>
          <w:rtl w:val="true"/>
        </w:rPr>
        <w:t>اشاره</w:t>
      </w:r>
      <w:bookmarkEnd w:id="83"/>
    </w:p>
    <w:p>
      <w:pPr>
        <w:pStyle w:val="BookText"/>
        <w:bidi w:val="0"/>
        <w:jc w:val="both"/>
        <w:rPr/>
      </w:pPr>
      <w:r>
        <w:rPr>
          <w:rFonts w:eastAsia="Times New Roman" w:cs="Times New Roman" w:ascii="Times New Roman" w:hAnsi="Times New Roman"/>
          <w:color w:val="111111"/>
          <w:sz w:val="28"/>
          <w:szCs w:val="28"/>
          <w:lang w:val="en-US"/>
        </w:rPr>
        <w:t>SECTION IV</w:t>
      </w:r>
    </w:p>
    <w:p>
      <w:pPr>
        <w:pStyle w:val="Heading3"/>
        <w:numPr>
          <w:ilvl w:val="2"/>
          <w:numId w:val="1"/>
        </w:numPr>
        <w:bidi w:val="0"/>
        <w:jc w:val="left"/>
        <w:rPr/>
      </w:pPr>
      <w:bookmarkStart w:id="84" w:name="__RefHeading___Toc16877078_1280447820"/>
      <w:bookmarkStart w:id="85" w:name="_Toc30"/>
      <w:bookmarkEnd w:id="84"/>
      <w:r>
        <w:rPr/>
        <w:t>(1) Reason is the judge as to good and evil (111-117)</w:t>
      </w:r>
      <w:bookmarkEnd w:id="85"/>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Concerning justice (‘adl). And in it are several SUBJECTS FOR INVESTIGATION. (1) FIRST, REASON (al-‘aql) OF NECESSITY PASSES JUDGMENT AS TO WHAT ACTIONS ARE GOOD (hasan), such as the return of a trust (fund) and DOING GOOD (ihsan), AND VERACITY WHICH IS PROFITABLE, AND AS TO WHAT ARE EVIL (qabih), SUCH AS INJUSTICE AND AN INJURIOUS LIE. For those who deny all SYSTEMS OF LAW, LIKE THE MALAHIDA AND THE PHILOSOPHERS OF INDIA, JUDGE GOOD AND EVIL THUS, AND MOREOVER IF THEY ARE DENIED BY REASON THEY WOULD ALSO BE DENIED BY TRADITION, BECAUSE OF THE DENIAL OF THE EVIL OF LYING IN THIS CASE IN THE LAW-GIVER (ash-shari‘).</w:t>
      </w:r>
    </w:p>
    <w:p>
      <w:pPr>
        <w:pStyle w:val="BookText"/>
        <w:bidi w:val="0"/>
        <w:jc w:val="both"/>
        <w:rPr/>
      </w:pPr>
      <w:r>
        <w:rPr>
          <w:rFonts w:eastAsia="Times New Roman" w:cs="Times New Roman" w:ascii="Times New Roman" w:hAnsi="Times New Roman"/>
          <w:color w:val="111111"/>
          <w:sz w:val="28"/>
          <w:szCs w:val="28"/>
          <w:lang w:val="en-US"/>
        </w:rPr>
        <w:t>112.</w:t>
      </w:r>
    </w:p>
    <w:p>
      <w:pPr>
        <w:pStyle w:val="BookText"/>
        <w:bidi w:val="0"/>
        <w:jc w:val="both"/>
        <w:rPr/>
      </w:pPr>
      <w:r>
        <w:rPr>
          <w:rFonts w:eastAsia="Times New Roman" w:cs="Times New Roman" w:ascii="Times New Roman" w:hAnsi="Times New Roman"/>
          <w:color w:val="111111"/>
          <w:sz w:val="28"/>
          <w:szCs w:val="28"/>
          <w:lang w:val="en-US"/>
        </w:rPr>
        <w:t>When he finished the discussion of the Unity he began the discussion of Justice. And the meaning of Justice is that the Most High is far removed from every evil act and from being remiss in what is incumbent. And since Justice depends on the knowledge of good and evil as determined by reason, he introduced the discussion of that first. And know that an act the conception of which is necessary (daruri) either has a quality in addition to its origination (huduth), or it has not. An example of the latter is the movement of one who acts thoughtlessly (as-sahi) and of a sleeper. And as for the former, either reason hates that addition or it does not — if it does, that is evil (al-qabih), and if reason does not hate it, it is good (al-hasan). (That is, an act which one can know of necessity, such as the things we see and hear, either has a moral quality in addition to its occurrence, or it has not. If it has, and reason does not hate it, it is good — otherwise it is evil.)</w:t>
      </w:r>
    </w:p>
    <w:p>
      <w:pPr>
        <w:pStyle w:val="BookText"/>
        <w:bidi w:val="0"/>
        <w:jc w:val="both"/>
        <w:rPr/>
      </w:pPr>
      <w:r>
        <w:rPr>
          <w:rFonts w:eastAsia="Times New Roman" w:cs="Times New Roman" w:ascii="Times New Roman" w:hAnsi="Times New Roman"/>
          <w:color w:val="111111"/>
          <w:sz w:val="28"/>
          <w:szCs w:val="28"/>
          <w:lang w:val="en-US"/>
        </w:rPr>
        <w:t>113.</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Either (1) the doing and not doing of an act is equal, and this is mubah (indifferent); or (2) it is not equal. And </w:t>
      </w:r>
    </w:p>
    <w:p>
      <w:pPr>
        <w:pStyle w:val="BookText"/>
        <w:bidi w:val="0"/>
        <w:rPr/>
      </w:pPr>
      <w:r>
        <w:rPr>
          <w:rFonts w:eastAsia="Times New Roman" w:cs="Times New Roman" w:ascii="Times New Roman" w:hAnsi="Times New Roman"/>
          <w:color w:val="111111"/>
          <w:sz w:val="28"/>
          <w:szCs w:val="28"/>
          <w:lang w:val="en-US"/>
        </w:rPr>
        <w:t>(in this latter case) if the not doing of it is preferable, then if the opposite (namely, the doing of it) is forbidden it is haram, otherwise it is makruh. And if the doing of it is preferable, then if the leaving it undone is forbidden, it is wajib; or if the leaving it undone is permissible it is mandub (or mustahabb).</w:t>
      </w:r>
    </w:p>
    <w:p>
      <w:pPr>
        <w:pStyle w:val="BookText"/>
        <w:bidi w:val="0"/>
        <w:jc w:val="both"/>
        <w:rPr/>
      </w:pPr>
      <w:r>
        <w:rPr>
          <w:rFonts w:eastAsia="Times New Roman" w:cs="Times New Roman" w:ascii="Times New Roman" w:hAnsi="Times New Roman"/>
          <w:color w:val="111111"/>
          <w:sz w:val="28"/>
          <w:szCs w:val="28"/>
          <w:lang w:val="en-US"/>
        </w:rPr>
        <w:t>(1) Doing and not doing equal: mubah.</w:t>
      </w:r>
    </w:p>
    <w:p>
      <w:pPr>
        <w:pStyle w:val="BookText"/>
        <w:bidi w:val="0"/>
        <w:jc w:val="both"/>
        <w:rPr/>
      </w:pPr>
      <w:r>
        <w:rPr>
          <w:rFonts w:eastAsia="Times New Roman" w:cs="Times New Roman" w:ascii="Times New Roman" w:hAnsi="Times New Roman"/>
          <w:color w:val="111111"/>
          <w:sz w:val="28"/>
          <w:szCs w:val="28"/>
          <w:lang w:val="en-US"/>
        </w:rPr>
        <w:t>(2) Doing and not doing not equal:</w:t>
      </w:r>
    </w:p>
    <w:p>
      <w:pPr>
        <w:pStyle w:val="BookText"/>
        <w:bidi w:val="0"/>
        <w:jc w:val="both"/>
        <w:rPr/>
      </w:pPr>
      <w:r>
        <w:rPr>
          <w:rFonts w:eastAsia="Times New Roman" w:cs="Times New Roman" w:ascii="Times New Roman" w:hAnsi="Times New Roman"/>
          <w:color w:val="111111"/>
          <w:sz w:val="28"/>
          <w:szCs w:val="28"/>
          <w:lang w:val="en-US"/>
        </w:rPr>
        <w:t>(a) Not doing preferable:</w:t>
      </w:r>
    </w:p>
    <w:p>
      <w:pPr>
        <w:pStyle w:val="BookText"/>
        <w:bidi w:val="0"/>
        <w:jc w:val="both"/>
        <w:rPr/>
      </w:pPr>
      <w:r>
        <w:rPr>
          <w:rFonts w:eastAsia="Times New Roman" w:cs="Times New Roman" w:ascii="Times New Roman" w:hAnsi="Times New Roman"/>
          <w:color w:val="111111"/>
          <w:sz w:val="28"/>
          <w:szCs w:val="28"/>
          <w:lang w:val="en-US"/>
        </w:rPr>
        <w:t>(α) Doing it forbidden: haram.</w:t>
      </w:r>
    </w:p>
    <w:p>
      <w:pPr>
        <w:pStyle w:val="BookText"/>
        <w:bidi w:val="0"/>
        <w:jc w:val="both"/>
        <w:rPr/>
      </w:pPr>
      <w:r>
        <w:rPr>
          <w:rFonts w:eastAsia="Times New Roman" w:cs="Times New Roman" w:ascii="Times New Roman" w:hAnsi="Times New Roman"/>
          <w:color w:val="111111"/>
          <w:sz w:val="28"/>
          <w:szCs w:val="28"/>
          <w:lang w:val="en-US"/>
        </w:rPr>
        <w:t>(β) Doing it not forbidden: makruh.</w:t>
      </w:r>
    </w:p>
    <w:p>
      <w:pPr>
        <w:pStyle w:val="BookText"/>
        <w:bidi w:val="0"/>
        <w:jc w:val="both"/>
        <w:rPr/>
      </w:pPr>
      <w:r>
        <w:rPr>
          <w:rFonts w:eastAsia="Times New Roman" w:cs="Times New Roman" w:ascii="Times New Roman" w:hAnsi="Times New Roman"/>
          <w:color w:val="111111"/>
          <w:sz w:val="28"/>
          <w:szCs w:val="28"/>
          <w:lang w:val="en-US"/>
        </w:rPr>
        <w:t>(b) Doing of it preferable:</w:t>
      </w:r>
    </w:p>
    <w:p>
      <w:pPr>
        <w:pStyle w:val="BookText"/>
        <w:bidi w:val="0"/>
        <w:jc w:val="both"/>
        <w:rPr/>
      </w:pPr>
      <w:r>
        <w:rPr>
          <w:rFonts w:eastAsia="Times New Roman" w:cs="Times New Roman" w:ascii="Times New Roman" w:hAnsi="Times New Roman"/>
          <w:color w:val="111111"/>
          <w:sz w:val="28"/>
          <w:szCs w:val="28"/>
          <w:lang w:val="en-US"/>
        </w:rPr>
        <w:t>(α) Leaving it undone forbidden: wajib.</w:t>
      </w:r>
    </w:p>
    <w:p>
      <w:pPr>
        <w:pStyle w:val="BookText"/>
        <w:bidi w:val="0"/>
        <w:jc w:val="both"/>
        <w:rPr/>
      </w:pPr>
      <w:r>
        <w:rPr>
          <w:rFonts w:eastAsia="Times New Roman" w:cs="Times New Roman" w:ascii="Times New Roman" w:hAnsi="Times New Roman"/>
          <w:color w:val="111111"/>
          <w:sz w:val="28"/>
          <w:szCs w:val="28"/>
          <w:lang w:val="en-US"/>
        </w:rPr>
        <w:t>(β) Leaving it undone permissible: mandub (mustahabb).</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Since this is explained, know that good and evil are used in three senses: (1) First, a thing’s being a quality of perfection, such as our saying that knowledge is good, or a quality of imperfection, such as our saying that ignorance is evil. (2) Second, a thing’s being agreeable to nature, as pleasures, or disagreeable to it, as pains. (3) Third, good is that the doing of which deserves praise in this world and reward in the world to come, and evil is that the doing of which deserves blame in this world and punishment in the world to come.</w:t>
      </w:r>
    </w:p>
    <w:p>
      <w:pPr>
        <w:pStyle w:val="BookText"/>
        <w:bidi w:val="0"/>
        <w:jc w:val="both"/>
        <w:rPr/>
      </w:pPr>
      <w:r>
        <w:rPr>
          <w:rFonts w:eastAsia="Times New Roman" w:cs="Times New Roman" w:ascii="Times New Roman" w:hAnsi="Times New Roman"/>
          <w:color w:val="111111"/>
          <w:sz w:val="28"/>
          <w:szCs w:val="28"/>
          <w:lang w:val="en-US"/>
        </w:rPr>
        <w:t>115.</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there is no difference of opinion as to the first two senses being determined by reason. But the scholastic theologians have differed regarding the third sense. The Ash‘arites say that there is nothing in reason which can guide to (a knowledge of) good and evil in this third sense, but law (must be the guide), and whatever it calls good is good, and whatever it calls evil is evil. And the Mu‘tazilites and Imamites say that there is that in reason which can guide to it, and that good is good in itself, and evil is evil in itself, whether the lawgiver pronounces it so or not. And they reply to them (the Ash‘arites) as follows: (1) First, we know of necessity that some actions are good, such as veracity which is profitable and fairness and doing good and returning </w:t>
      </w:r>
      <w:bookmarkStart w:id="86" w:name="pg18967_203197"/>
    </w:p>
    <w:p>
      <w:pPr>
        <w:pStyle w:val="BookText"/>
        <w:bidi w:val="0"/>
        <w:rPr/>
      </w:pPr>
      <w:bookmarkEnd w:id="86"/>
      <w:r>
        <w:rPr>
          <w:rFonts w:eastAsia="Times New Roman" w:cs="Times New Roman" w:ascii="Times New Roman" w:hAnsi="Times New Roman"/>
          <w:color w:val="111111"/>
          <w:sz w:val="28"/>
          <w:szCs w:val="28"/>
          <w:lang w:val="en-US"/>
        </w:rPr>
        <w:t>a trust and rescuing one who is perishing and other such things, without needing law (to tell us so); and that others are evil, such as an injurious lie and injustice and doing harm to one who does not deserve it and other such things, without having any doubt at all about it. For this judgment is inherent (markuz) in human nature. For when we say to a person, “ If you speak the truth you will get a dinar,” and he be unprejudiced, by reason alone he will recognize the truth and desire to speak it.</w:t>
      </w:r>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(2) Second, if that which recognizes (mudrik) good and evil were law and nothing else, it would follow that they could not be known apart from it. But this necessity is false, hence that which necessitates it is false also. And the explanation of this necessity is that it is impossible of necessity for a thing conditioned to be binding apart from the condition. And the explanation of the fallacy of the necessity is that those who do not believe in a law, like the Malahida and the philosophers of India, do affirm that some actions are good and others evil without hesitating in the matter. For if this (knowledge) consisted in what is learned from law then they would not have pronounced an opinion.</w:t>
      </w:r>
    </w:p>
    <w:p>
      <w:pPr>
        <w:pStyle w:val="BookText"/>
        <w:bidi w:val="0"/>
        <w:jc w:val="both"/>
        <w:rPr/>
      </w:pPr>
      <w:r>
        <w:rPr>
          <w:rFonts w:eastAsia="Times New Roman" w:cs="Times New Roman" w:ascii="Times New Roman" w:hAnsi="Times New Roman"/>
          <w:color w:val="111111"/>
          <w:sz w:val="28"/>
          <w:szCs w:val="28"/>
          <w:lang w:val="en-US"/>
        </w:rPr>
        <w:t>117.</w:t>
      </w:r>
    </w:p>
    <w:p>
      <w:pPr>
        <w:pStyle w:val="BookText"/>
        <w:bidi w:val="0"/>
        <w:jc w:val="both"/>
        <w:rPr/>
      </w:pPr>
      <w:r>
        <w:rPr>
          <w:rFonts w:eastAsia="Times New Roman" w:cs="Times New Roman" w:ascii="Times New Roman" w:hAnsi="Times New Roman"/>
          <w:color w:val="111111"/>
          <w:sz w:val="28"/>
          <w:szCs w:val="28"/>
          <w:lang w:val="en-US"/>
        </w:rPr>
        <w:t>(3) Third, if rational good and evil be denied, then it becomes necessary that legal good and evil be denied also. But all agree that this necessity is false. Hence that which necessitates it is false also. And the reason for this necessity (for the denial of legal good and evil), is the denial, in this case, of the evil of a lie on the part of the lawgiver, when reason does not pronounce it evil, so that he gives the lie to himself. And when the evil of a lie in him is denied, then the trustworthiness of what he tells us regarding good and evil must be denied also. (That is, till reason teaches us that a lie is evil, we cannot trust the lawgiver — for perhaps he is lying to us.)</w:t>
      </w:r>
    </w:p>
    <w:p>
      <w:pPr>
        <w:pStyle w:val="Heading3"/>
        <w:numPr>
          <w:ilvl w:val="2"/>
          <w:numId w:val="1"/>
        </w:numPr>
        <w:bidi w:val="0"/>
        <w:jc w:val="left"/>
        <w:rPr/>
      </w:pPr>
      <w:bookmarkStart w:id="87" w:name="__RefHeading___Toc16877080_1280447820"/>
      <w:bookmarkStart w:id="88" w:name="_Toc31"/>
      <w:bookmarkEnd w:id="87"/>
      <w:r>
        <w:rPr/>
        <w:t>(2) Men are free agents (118-122)</w:t>
      </w:r>
      <w:bookmarkEnd w:id="88"/>
    </w:p>
    <w:p>
      <w:pPr>
        <w:pStyle w:val="BookText"/>
        <w:bidi w:val="0"/>
        <w:jc w:val="both"/>
        <w:rPr/>
      </w:pPr>
      <w:r>
        <w:rPr>
          <w:rFonts w:eastAsia="Times New Roman" w:cs="Times New Roman" w:ascii="Times New Roman" w:hAnsi="Times New Roman"/>
          <w:color w:val="111111"/>
          <w:sz w:val="28"/>
          <w:szCs w:val="28"/>
          <w:lang w:val="en-US"/>
        </w:rPr>
        <w:t>118.</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Second, we are free agents (fa‘iluna bi‘l-ikhtiyar), and necessity requires this: (a) because of the NECESSARY DIFFERENCE BETWEEN A MAN’S FALLING FROM THE ROOF AND HIS GOING DOWN FROM IT BY A LADDER — OTHERWISE OUR RESPONSIBILITY (taklif) FOR A THING WOULD</w:t>
      </w:r>
    </w:p>
    <w:p>
      <w:pPr>
        <w:pStyle w:val="BookText"/>
        <w:bidi w:val="0"/>
        <w:rPr/>
      </w:pPr>
      <w:r>
        <w:rPr>
          <w:rFonts w:eastAsia="Times New Roman" w:cs="Times New Roman" w:ascii="Times New Roman" w:hAnsi="Times New Roman"/>
          <w:color w:val="111111"/>
          <w:sz w:val="28"/>
          <w:szCs w:val="28"/>
          <w:lang w:val="en-US"/>
        </w:rPr>
        <w:t>BE IMPOSSIBLE, AND THEN THERE WOULD BE NO SIN; (b) AND BECAUSE OF THE EVIL OF HIS CREATING AN ACT IN US AND THEN PUNISHING US FOR IT; (c) AND BECAUSE OF TRADITION.</w:t>
      </w:r>
    </w:p>
    <w:p>
      <w:pPr>
        <w:pStyle w:val="BookText"/>
        <w:bidi w:val="0"/>
        <w:jc w:val="both"/>
        <w:rPr/>
      </w:pPr>
      <w:r>
        <w:rPr>
          <w:rFonts w:eastAsia="Times New Roman" w:cs="Times New Roman" w:ascii="Times New Roman" w:hAnsi="Times New Roman"/>
          <w:color w:val="111111"/>
          <w:sz w:val="28"/>
          <w:szCs w:val="28"/>
          <w:lang w:val="en-US"/>
        </w:rPr>
        <w:t>119.</w:t>
      </w:r>
    </w:p>
    <w:p>
      <w:pPr>
        <w:pStyle w:val="BookText"/>
        <w:bidi w:val="0"/>
        <w:jc w:val="both"/>
        <w:rPr/>
      </w:pPr>
      <w:r>
        <w:rPr>
          <w:rFonts w:eastAsia="Times New Roman" w:cs="Times New Roman" w:ascii="Times New Roman" w:hAnsi="Times New Roman"/>
          <w:color w:val="111111"/>
          <w:sz w:val="28"/>
          <w:szCs w:val="28"/>
          <w:lang w:val="en-US"/>
        </w:rPr>
        <w:t>The belief of Abu’l-Hasan al-Ash‘ari and those who follow him is that all actions take place by the Power of Allah the Most High, and no action whatever belongs to the creature. And some of the Ash‘arites say that the essence of the act is of Allah, and the creature has kasb, which they explain as the action’s being obedience or disobedience (that is, the moral quality of the act belongs to man, the act itself is Allah’s). And some of them say that its meaning is that when the creature determines to undertake some thing, Allah the Most High creates the act thereupon. And the Mu‘tazilites and Zaydites and Imamites say that actions which proceed from the creature, and their qualities, and the kasb which they spoke of, all take place by the power and choice of the creature, and he is not forced (majbur) to act as he does, but he can act and he can refrain from acting, and this is the reality, for several reasons: (1) First, we find a necessary difference between the issuing from us of an action which results from purpose and motive, like the descent from the roof by a ladder, and the issuing of an action of another sort, like falling from the roof either by constraint or accidentally. For we have power to refrain from the first (action), but not from the second. And if actions were not ours, then they would all be of one uniform kind without any distinction. But a distinction is present. Hence actions are ours, and that is what we sought.</w:t>
      </w:r>
    </w:p>
    <w:p>
      <w:pPr>
        <w:pStyle w:val="BookText"/>
        <w:bidi w:val="0"/>
        <w:jc w:val="both"/>
        <w:rPr/>
      </w:pPr>
      <w:r>
        <w:rPr>
          <w:rFonts w:eastAsia="Times New Roman" w:cs="Times New Roman" w:ascii="Times New Roman" w:hAnsi="Times New Roman"/>
          <w:color w:val="111111"/>
          <w:sz w:val="28"/>
          <w:szCs w:val="28"/>
          <w:lang w:val="en-US"/>
        </w:rPr>
        <w:t>120.</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 Second, if the creature were not the bringer-into-existence (mujid) of his actions, then his taklif would be impossible, otherwise he would be responsible for what he is unable to perform. And we say this because in this case he would not have power to do that for which he is responsible. For if he were responsible, the responsibility would be for something which he was unable to perform, and this is false, by the agreement of all. And when he is not responsible (mukallaf), he is not disobedient (‘asi) when he opposes (God’s will), but by the agreement of all he is disobedient. </w:t>
      </w:r>
      <w:bookmarkStart w:id="89" w:name="pg18967_203199"/>
    </w:p>
    <w:p>
      <w:pPr>
        <w:pStyle w:val="BookText"/>
        <w:bidi w:val="0"/>
        <w:rPr/>
      </w:pPr>
      <w:bookmarkEnd w:id="89"/>
      <w:r>
        <w:rPr>
          <w:rFonts w:eastAsia="Times New Roman" w:cs="Times New Roman" w:ascii="Times New Roman" w:hAnsi="Times New Roman"/>
          <w:color w:val="111111"/>
          <w:sz w:val="28"/>
          <w:szCs w:val="28"/>
          <w:lang w:val="en-US"/>
        </w:rPr>
        <w:t>121.</w:t>
      </w:r>
    </w:p>
    <w:p>
      <w:pPr>
        <w:pStyle w:val="BookText"/>
        <w:bidi w:val="0"/>
        <w:jc w:val="both"/>
        <w:rPr/>
      </w:pPr>
      <w:r>
        <w:rPr>
          <w:rFonts w:eastAsia="Times New Roman" w:cs="Times New Roman" w:ascii="Times New Roman" w:hAnsi="Times New Roman"/>
          <w:color w:val="111111"/>
          <w:sz w:val="28"/>
          <w:szCs w:val="28"/>
          <w:lang w:val="en-US"/>
        </w:rPr>
        <w:t>(3) Third, if the creature were not a bringer-into-existence of his actions, and did not have power over them, then Allah would be the most unjust of unjust beings. For since the evil action proceeds from the Most High (not from man), it is impossible for the creature to be punished for it, for he has not performed it. But all agree that the Most High punishes. Then He would be unjust — but He is exalted above that.</w:t>
      </w:r>
    </w:p>
    <w:p>
      <w:pPr>
        <w:pStyle w:val="BookText"/>
        <w:bidi w:val="0"/>
        <w:jc w:val="both"/>
        <w:rPr/>
      </w:pPr>
      <w:r>
        <w:rPr>
          <w:rFonts w:eastAsia="Times New Roman" w:cs="Times New Roman" w:ascii="Times New Roman" w:hAnsi="Times New Roman"/>
          <w:color w:val="111111"/>
          <w:sz w:val="28"/>
          <w:szCs w:val="28"/>
          <w:lang w:val="en-US"/>
        </w:rPr>
        <w:t>122.</w:t>
      </w:r>
    </w:p>
    <w:p>
      <w:pPr>
        <w:pStyle w:val="BookText"/>
        <w:bidi w:val="0"/>
        <w:jc w:val="both"/>
        <w:rPr/>
      </w:pPr>
      <w:r>
        <w:rPr>
          <w:rFonts w:eastAsia="Times New Roman" w:cs="Times New Roman" w:ascii="Times New Roman" w:hAnsi="Times New Roman"/>
          <w:color w:val="111111"/>
          <w:sz w:val="28"/>
          <w:szCs w:val="28"/>
          <w:lang w:val="en-US"/>
        </w:rPr>
        <w:t>(4) Fourth, the Mighty Book which is the Divider (furqan) between true and false teaches everywhere the relation (idafa) of the action to the creature and its occurrence by his will, according to the word of the Most High, “ Woe to those who with their hands transcribe the Book corruptly, and then say, ‘ This is from Allah,’ that they may sell it for some mean price! Woe to them for that which their hands have written! and Woe to them for the gains which they have made!” (2:73); “ . . . they follow but a conceit ” (6:116); “ ... So long as they change not what is in their hearts ” (8:55); “ ... He who doth evil shall be recompensed for it ” (4:122); “ Pledged to Allah is every man for his actions and their desert ” (52:21). And all the verses of promise and threatening and blame and praise (prove this), and they are more than can be numbered.</w:t>
      </w:r>
    </w:p>
    <w:p>
      <w:pPr>
        <w:pStyle w:val="Heading3"/>
        <w:numPr>
          <w:ilvl w:val="2"/>
          <w:numId w:val="1"/>
        </w:numPr>
        <w:bidi w:val="0"/>
        <w:jc w:val="left"/>
        <w:rPr/>
      </w:pPr>
      <w:bookmarkStart w:id="90" w:name="__RefHeading___Toc16877082_1280447820"/>
      <w:bookmarkStart w:id="91" w:name="_Toc32"/>
      <w:bookmarkEnd w:id="90"/>
      <w:r>
        <w:rPr/>
        <w:t>(3) Evil is impossible in Allah (123-126)</w:t>
      </w:r>
      <w:bookmarkEnd w:id="91"/>
    </w:p>
    <w:p>
      <w:pPr>
        <w:pStyle w:val="BookText"/>
        <w:bidi w:val="0"/>
        <w:jc w:val="both"/>
        <w:rPr/>
      </w:pPr>
      <w:r>
        <w:rPr>
          <w:rFonts w:eastAsia="Times New Roman" w:cs="Times New Roman" w:ascii="Times New Roman" w:hAnsi="Times New Roman"/>
          <w:color w:val="111111"/>
          <w:sz w:val="28"/>
          <w:szCs w:val="28"/>
          <w:lang w:val="en-US"/>
        </w:rPr>
        <w:t>123.</w:t>
      </w:r>
    </w:p>
    <w:p>
      <w:pPr>
        <w:pStyle w:val="BookText"/>
        <w:bidi w:val="0"/>
        <w:jc w:val="both"/>
        <w:rPr/>
      </w:pPr>
      <w:r>
        <w:rPr>
          <w:rFonts w:eastAsia="Times New Roman" w:cs="Times New Roman" w:ascii="Times New Roman" w:hAnsi="Times New Roman"/>
          <w:color w:val="111111"/>
          <w:sz w:val="28"/>
          <w:szCs w:val="28"/>
          <w:lang w:val="en-US"/>
        </w:rPr>
        <w:t>(3) Third, regarding the impossibility of evil (qubh) IN HIM, BECAUSE HE HAS THAT WHICH DETERS HIM FROM IT, WHICH IS THE KNOWLEDGE (‘ilm) OF EVIL, AND HE HAS NO MOTIVE FOR DOING EVIL, BECAUSE THE MOTIVE WOULD BE EITHER NEED, WHICH IS IMPOSSIBLE FOR HIM, OR THE WISDOM (hikma) OF IT, which is excluded here, AND BECAUSE THE PROOF OF PROPHECY WOULD BE IMPOSSIBLE IF IT WERE POSSIBLE FOR EVIL TO PROCEED FROM HIM.</w:t>
      </w:r>
    </w:p>
    <w:p>
      <w:pPr>
        <w:pStyle w:val="BookText"/>
        <w:bidi w:val="0"/>
        <w:jc w:val="both"/>
        <w:rPr/>
      </w:pPr>
      <w:r>
        <w:rPr>
          <w:rFonts w:eastAsia="Times New Roman" w:cs="Times New Roman" w:ascii="Times New Roman" w:hAnsi="Times New Roman"/>
          <w:color w:val="111111"/>
          <w:sz w:val="28"/>
          <w:szCs w:val="28"/>
          <w:lang w:val="en-US"/>
        </w:rPr>
        <w:t>124.</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impossible for the Most High to be the doer of evil. This is the belief of the Mu‘tazilites. But to the Ash‘arites He is the Doer of everything, be it good or evil. And the proof of what we have said is twofold: (1) First, that which would deter Him from evil exists, and the motive for doing evil does not exist, and whatever is thus cannot come </w:t>
      </w:r>
      <w:bookmarkStart w:id="92" w:name="pg18967_203200"/>
    </w:p>
    <w:p>
      <w:pPr>
        <w:pStyle w:val="BookText"/>
        <w:bidi w:val="0"/>
        <w:rPr/>
      </w:pPr>
      <w:bookmarkEnd w:id="92"/>
      <w:r>
        <w:rPr>
          <w:rFonts w:eastAsia="Times New Roman" w:cs="Times New Roman" w:ascii="Times New Roman" w:hAnsi="Times New Roman"/>
          <w:color w:val="111111"/>
          <w:sz w:val="28"/>
          <w:szCs w:val="28"/>
          <w:lang w:val="en-US"/>
        </w:rPr>
        <w:t>to pass of necessity. Now as for the existence of a deterrent (as-sarif), it is the knowledge of evil, and Allah the Most High knows it; and as for the non-existence of a motive — the motive is either need of it, and this is impossible for Him, because He needs nothing, or it is the wisdom of it, and this also is impossible, because there is no wisdom in evil. (2) Second, if evil were possible for Him, then the proof of prophecy would be impossible. But this necessity is false by universal agreement, hence that which necessitates it is false also. And in explanation of this necessity — in case He could do evil, the attesting of a false prophet would not be evil for Him, and in such a case assurance (jazm) as to the veracity of prophecy would be impossible, and this is self-evident.</w:t>
      </w:r>
    </w:p>
    <w:p>
      <w:pPr>
        <w:pStyle w:val="BookText"/>
        <w:bidi w:val="0"/>
        <w:jc w:val="both"/>
        <w:rPr/>
      </w:pPr>
      <w:r>
        <w:rPr>
          <w:rFonts w:eastAsia="Times New Roman" w:cs="Times New Roman" w:ascii="Times New Roman" w:hAnsi="Times New Roman"/>
          <w:color w:val="111111"/>
          <w:sz w:val="28"/>
          <w:szCs w:val="28"/>
          <w:lang w:val="en-US"/>
        </w:rPr>
        <w:t>125.</w:t>
      </w:r>
    </w:p>
    <w:p>
      <w:pPr>
        <w:pStyle w:val="BookText"/>
        <w:bidi w:val="0"/>
        <w:jc w:val="both"/>
        <w:rPr/>
      </w:pPr>
      <w:r>
        <w:rPr>
          <w:rFonts w:eastAsia="Times New Roman" w:cs="Times New Roman" w:ascii="Times New Roman" w:hAnsi="Times New Roman"/>
          <w:color w:val="111111"/>
          <w:sz w:val="28"/>
          <w:szCs w:val="28"/>
          <w:lang w:val="en-US"/>
        </w:rPr>
        <w:t>Hence in this case the will to do evil is impossible FOR HIM, FOR IT (that Will) IS EVIL.</w:t>
      </w:r>
    </w:p>
    <w:p>
      <w:pPr>
        <w:pStyle w:val="BookText"/>
        <w:bidi w:val="0"/>
        <w:jc w:val="both"/>
        <w:rPr/>
      </w:pPr>
      <w:r>
        <w:rPr>
          <w:rFonts w:eastAsia="Times New Roman" w:cs="Times New Roman" w:ascii="Times New Roman" w:hAnsi="Times New Roman"/>
          <w:color w:val="111111"/>
          <w:sz w:val="28"/>
          <w:szCs w:val="28"/>
          <w:lang w:val="en-US"/>
        </w:rPr>
        <w:t>126.</w:t>
      </w:r>
    </w:p>
    <w:p>
      <w:pPr>
        <w:pStyle w:val="BookText"/>
        <w:bidi w:val="0"/>
        <w:jc w:val="both"/>
        <w:rPr/>
      </w:pPr>
      <w:r>
        <w:rPr>
          <w:rFonts w:eastAsia="Times New Roman" w:cs="Times New Roman" w:ascii="Times New Roman" w:hAnsi="Times New Roman"/>
          <w:color w:val="111111"/>
          <w:sz w:val="28"/>
          <w:szCs w:val="28"/>
          <w:lang w:val="en-US"/>
        </w:rPr>
        <w:t>The Ash‘arites hold that the Most High is the Willer (murid) of all contingent existence, be it good or evil, vice or virtue, faith or unbelief, because He is the bringer-into-existence of everything, and is therefore also the willer of it. And the Mu‘tazilites hold that it is impossible for Him to will evil and unbelief, and that is the reality. For the will to do evil is itself evil. For we know of necessity that just as rational beings blame the doer of evil so also they blame the willer of it, and the command to do it. So the saying of the author, “ in this case,” stated the result, namely, that the impossibility of the evil act (in Him) necessitates the impossibility of the will to do it.</w:t>
      </w:r>
    </w:p>
    <w:p>
      <w:pPr>
        <w:pStyle w:val="Heading3"/>
        <w:numPr>
          <w:ilvl w:val="2"/>
          <w:numId w:val="1"/>
        </w:numPr>
        <w:bidi w:val="0"/>
        <w:jc w:val="left"/>
        <w:rPr/>
      </w:pPr>
      <w:bookmarkStart w:id="93" w:name="__RefHeading___Toc16877084_1280447820"/>
      <w:bookmarkStart w:id="94" w:name="_Toc33"/>
      <w:bookmarkEnd w:id="93"/>
      <w:r>
        <w:rPr/>
        <w:t>(4) Allah acts with an aim (127-143)</w:t>
      </w:r>
      <w:bookmarkEnd w:id="94"/>
    </w:p>
    <w:p>
      <w:pPr>
        <w:pStyle w:val="Heading4"/>
        <w:numPr>
          <w:ilvl w:val="3"/>
          <w:numId w:val="1"/>
        </w:numPr>
        <w:bidi w:val="0"/>
        <w:jc w:val="left"/>
        <w:rPr/>
      </w:pPr>
      <w:bookmarkStart w:id="95" w:name="__RefHeading___Toc16877086_1280447820"/>
      <w:bookmarkStart w:id="96" w:name="_Toc34"/>
      <w:bookmarkEnd w:id="95"/>
      <w:r>
        <w:rPr>
          <w:rtl w:val="true"/>
        </w:rPr>
        <w:t>اشاره</w:t>
      </w:r>
      <w:bookmarkEnd w:id="96"/>
    </w:p>
    <w:p>
      <w:pPr>
        <w:pStyle w:val="BookText"/>
        <w:bidi w:val="0"/>
        <w:jc w:val="both"/>
        <w:rPr/>
      </w:pPr>
      <w:r>
        <w:rPr>
          <w:rFonts w:eastAsia="Times New Roman" w:cs="Times New Roman" w:ascii="Times New Roman" w:hAnsi="Times New Roman"/>
          <w:color w:val="111111"/>
          <w:sz w:val="28"/>
          <w:szCs w:val="28"/>
          <w:lang w:val="en-US"/>
        </w:rPr>
        <w:t>127.</w:t>
      </w:r>
    </w:p>
    <w:p>
      <w:pPr>
        <w:pStyle w:val="BookText"/>
        <w:bidi w:val="0"/>
        <w:jc w:val="both"/>
        <w:rPr/>
      </w:pPr>
      <w:r>
        <w:rPr>
          <w:rFonts w:eastAsia="Times New Roman" w:cs="Times New Roman" w:ascii="Times New Roman" w:hAnsi="Times New Roman"/>
          <w:color w:val="111111"/>
          <w:sz w:val="28"/>
          <w:szCs w:val="28"/>
          <w:lang w:val="en-US"/>
        </w:rPr>
        <w:t>(4) Fourth, regarding the fact that the MOST HIGH ACTS with AN AIM (gharad), BECAUSE THE KORAN TEACHES IT, AND BECAUSE THE NEGATION OF IT WOULD RESULT IN VANITY (al-‘abath), and that is evil.</w:t>
      </w:r>
    </w:p>
    <w:p>
      <w:pPr>
        <w:pStyle w:val="BookText"/>
        <w:bidi w:val="0"/>
        <w:jc w:val="both"/>
        <w:rPr/>
      </w:pPr>
      <w:r>
        <w:rPr>
          <w:rFonts w:eastAsia="Times New Roman" w:cs="Times New Roman" w:ascii="Times New Roman" w:hAnsi="Times New Roman"/>
          <w:color w:val="111111"/>
          <w:sz w:val="28"/>
          <w:szCs w:val="28"/>
          <w:lang w:val="en-US"/>
        </w:rPr>
        <w:t>128.</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Ash‘arites hold that the Most High does not act with an aim, for if He did He would be imperfect, and would be seeking to perfect Himself by that aim. And the Mu‘tazilites say that the actions of Allah are effected (mu‘allal) by aims, otherwise He would be acting in vain </w:t>
      </w:r>
      <w:bookmarkStart w:id="97" w:name="pg18967_203201"/>
    </w:p>
    <w:p>
      <w:pPr>
        <w:pStyle w:val="BookText"/>
        <w:bidi w:val="0"/>
        <w:rPr/>
      </w:pPr>
      <w:bookmarkEnd w:id="97"/>
      <w:r>
        <w:rPr>
          <w:rFonts w:eastAsia="Times New Roman" w:cs="Times New Roman" w:ascii="Times New Roman" w:hAnsi="Times New Roman"/>
          <w:color w:val="111111"/>
          <w:sz w:val="28"/>
          <w:szCs w:val="28"/>
          <w:lang w:val="en-US"/>
        </w:rPr>
        <w:t>and Allah is exalted above that. And this is the opinion of our companions the Imamites, and it is the reality, for two reasons: (1) First, the traditional — and the teaching of the Koran regarding this is clear, according to the saying of the Most High, “ What! did ye then think that we had created you for pastime (‘abath), and that ye should not be brought back again to us? ” (23:117); and, “ I have not created Jinn and men but that they should worship me ” (51:56); “ We have not created the heaven and the earth and what is between them for nought (batil). That is the thought of the infidels ” (38:26). (2) Second, the rational proof is that if it were not thus (that Allah has an aim in all His actions) it would necessarily follow that He acts in vain. But this necessity is false, hence that which necessitates it is false also. Now the reason for its being necessary is evident. And the necessity is false, for a vain thing is evil, and one who is Wise (hakim) does not engage in what is evil. And as for their saying that if He acted with an aim He would be seeking to perfect Himself by that aim, certainly if the aim benefited Him He would necessarily be seeking to perfect Himself, and He is not like that. But the aim is beneficial for the profit (naf‘) of the creature, or else it is because of the requirements of the order (nizam) of existence, and this does not necessitate a seeking for perfection (on the part of Allah).</w:t>
      </w:r>
    </w:p>
    <w:p>
      <w:pPr>
        <w:pStyle w:val="Heading4"/>
        <w:numPr>
          <w:ilvl w:val="3"/>
          <w:numId w:val="1"/>
        </w:numPr>
        <w:bidi w:val="0"/>
        <w:jc w:val="left"/>
        <w:rPr/>
      </w:pPr>
      <w:bookmarkStart w:id="98" w:name="__RefHeading___Toc16877088_1280447820"/>
      <w:bookmarkStart w:id="99" w:name="_Toc35"/>
      <w:bookmarkEnd w:id="98"/>
      <w:r>
        <w:rPr/>
        <w:t>(a) This aim is man’s advantage (129-130)</w:t>
      </w:r>
      <w:bookmarkEnd w:id="99"/>
    </w:p>
    <w:p>
      <w:pPr>
        <w:pStyle w:val="BookText"/>
        <w:bidi w:val="0"/>
        <w:jc w:val="both"/>
        <w:rPr/>
      </w:pPr>
      <w:r>
        <w:rPr>
          <w:rFonts w:eastAsia="Times New Roman" w:cs="Times New Roman" w:ascii="Times New Roman" w:hAnsi="Times New Roman"/>
          <w:color w:val="111111"/>
          <w:sz w:val="28"/>
          <w:szCs w:val="28"/>
          <w:lang w:val="en-US"/>
        </w:rPr>
        <w:t>129.</w:t>
      </w:r>
    </w:p>
    <w:p>
      <w:pPr>
        <w:pStyle w:val="BookText"/>
        <w:bidi w:val="0"/>
        <w:jc w:val="both"/>
        <w:rPr/>
      </w:pPr>
      <w:r>
        <w:rPr>
          <w:rFonts w:eastAsia="Times New Roman" w:cs="Times New Roman" w:ascii="Times New Roman" w:hAnsi="Times New Roman"/>
          <w:color w:val="111111"/>
          <w:sz w:val="28"/>
          <w:szCs w:val="28"/>
          <w:lang w:val="en-US"/>
        </w:rPr>
        <w:t>And the aim OF ALLAH is not the injury of man, BECAUSE THAT IS EVIL, BUT (RATHER) HIS PROFIT (naf‘).</w:t>
      </w:r>
    </w:p>
    <w:p>
      <w:pPr>
        <w:pStyle w:val="BookText"/>
        <w:bidi w:val="0"/>
        <w:jc w:val="both"/>
        <w:rPr/>
      </w:pPr>
      <w:r>
        <w:rPr>
          <w:rFonts w:eastAsia="Times New Roman" w:cs="Times New Roman" w:ascii="Times New Roman" w:hAnsi="Times New Roman"/>
          <w:color w:val="111111"/>
          <w:sz w:val="28"/>
          <w:szCs w:val="28"/>
          <w:lang w:val="en-US"/>
        </w:rPr>
        <w:t>130.</w:t>
      </w:r>
    </w:p>
    <w:p>
      <w:pPr>
        <w:pStyle w:val="BookText"/>
        <w:bidi w:val="0"/>
        <w:jc w:val="both"/>
        <w:rPr/>
      </w:pPr>
      <w:r>
        <w:rPr>
          <w:rFonts w:eastAsia="Times New Roman" w:cs="Times New Roman" w:ascii="Times New Roman" w:hAnsi="Times New Roman"/>
          <w:color w:val="111111"/>
          <w:sz w:val="28"/>
          <w:szCs w:val="28"/>
          <w:lang w:val="en-US"/>
        </w:rPr>
        <w:t>Since it is established that the action of the Most High is effected by an aim, and this aim concerns not Himself but others, then in such a case His aim is not the injury of others, for that in the opinion of rational beings is evil — as if one should give poisoned food to another with the purpose of killing him. And since the aim is not injury, it is certain that it IS profit (naf‘), which is what we sought.</w:t>
      </w:r>
    </w:p>
    <w:p>
      <w:pPr>
        <w:pStyle w:val="BookText"/>
        <w:bidi w:val="0"/>
        <w:jc w:val="both"/>
        <w:rPr/>
      </w:pPr>
      <w:r>
        <w:rPr>
          <w:rFonts w:eastAsia="Times New Roman" w:cs="Times New Roman" w:ascii="Times New Roman" w:hAnsi="Times New Roman"/>
          <w:color w:val="111111"/>
          <w:sz w:val="28"/>
          <w:szCs w:val="28"/>
          <w:lang w:val="en-US"/>
        </w:rPr>
        <w:t>131.</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Hence there must be taklif, which is responsibility (ba‘th) to him to whom obedience is due (wajib) in that in which is labour (mashaqqa) by way of a beginning (‘ala jihatil-ibtida) on condition OF knowing. </w:t>
      </w:r>
      <w:bookmarkStart w:id="100" w:name="pg18967_203202"/>
    </w:p>
    <w:p>
      <w:pPr>
        <w:pStyle w:val="Heading4"/>
        <w:numPr>
          <w:ilvl w:val="3"/>
          <w:numId w:val="1"/>
        </w:numPr>
        <w:bidi w:val="0"/>
        <w:jc w:val="left"/>
        <w:rPr/>
      </w:pPr>
      <w:bookmarkStart w:id="101" w:name="__RefHeading___Toc16877090_1280447820"/>
      <w:bookmarkStart w:id="102" w:name="_Toc36"/>
      <w:bookmarkEnd w:id="100"/>
      <w:bookmarkEnd w:id="101"/>
      <w:r>
        <w:rPr/>
        <w:t>(b) Taklif is necessary (131-143)</w:t>
      </w:r>
      <w:bookmarkEnd w:id="102"/>
    </w:p>
    <w:p>
      <w:pPr>
        <w:pStyle w:val="BookText"/>
        <w:bidi w:val="0"/>
        <w:jc w:val="both"/>
        <w:rPr/>
      </w:pPr>
      <w:r>
        <w:rPr>
          <w:rFonts w:eastAsia="Times New Roman" w:cs="Times New Roman" w:ascii="Times New Roman" w:hAnsi="Times New Roman"/>
          <w:color w:val="111111"/>
          <w:sz w:val="28"/>
          <w:szCs w:val="28"/>
          <w:lang w:val="en-US"/>
        </w:rPr>
        <w:t>132.</w:t>
      </w:r>
    </w:p>
    <w:p>
      <w:pPr>
        <w:pStyle w:val="BookText"/>
        <w:bidi w:val="0"/>
        <w:jc w:val="both"/>
        <w:rPr/>
      </w:pPr>
      <w:r>
        <w:rPr>
          <w:rFonts w:eastAsia="Times New Roman" w:cs="Times New Roman" w:ascii="Times New Roman" w:hAnsi="Times New Roman"/>
          <w:color w:val="111111"/>
          <w:sz w:val="28"/>
          <w:szCs w:val="28"/>
          <w:lang w:val="en-US"/>
        </w:rPr>
        <w:t>It has been proved that the aim of the action of the Most High is the profit of the creature. And there is no real profit except final reward (thawab). For everything except that is either guarding against injury or acquiring profit that is not abiding, and it is not good that that should be the aim in the creation of man. Then final reward at the first is evil, as shall be explained later (that is, one must first labour, then receive a reward [see par. 143]). Hence wisdom requires that taklif be the means (tawassut) (of attaining reward). And taklif is derived from kulfa, which means trouble, and in usage it is that which our author mentioned.</w:t>
      </w:r>
    </w:p>
    <w:p>
      <w:pPr>
        <w:pStyle w:val="BookText"/>
        <w:bidi w:val="0"/>
        <w:jc w:val="both"/>
        <w:rPr/>
      </w:pPr>
      <w:r>
        <w:rPr>
          <w:rFonts w:eastAsia="Times New Roman" w:cs="Times New Roman" w:ascii="Times New Roman" w:hAnsi="Times New Roman"/>
          <w:color w:val="111111"/>
          <w:sz w:val="28"/>
          <w:szCs w:val="28"/>
          <w:lang w:val="en-US"/>
        </w:rPr>
        <w:t>133.</w:t>
      </w:r>
    </w:p>
    <w:p>
      <w:pPr>
        <w:pStyle w:val="BookText"/>
        <w:bidi w:val="0"/>
        <w:jc w:val="both"/>
        <w:rPr/>
      </w:pPr>
      <w:r>
        <w:rPr>
          <w:rFonts w:eastAsia="Times New Roman" w:cs="Times New Roman" w:ascii="Times New Roman" w:hAnsi="Times New Roman"/>
          <w:color w:val="111111"/>
          <w:sz w:val="28"/>
          <w:szCs w:val="28"/>
          <w:lang w:val="en-US"/>
        </w:rPr>
        <w:t>And ba‘th for a thing is being responsible for it. And HE TO WHOM OBEDIENCE IS DUE IS Allah the Most High. So for that reason he says, “ by way of a beginning ” (first of all), because the obligation to obey any other than Allah, such as prophet, imam, father, lord, or benefactor follows, and is a consequence of, obedience to Allah. And his saying, “ in THAT IN which IS LABOUR,” was to guard against that in which is no labour, such as the responsibility of marrying, which produces pleasure, and of partaking of foods and drinks which produce pleasure. (Only those commands which require us to do distasteful things, such as namaz (worship), saum (fasting), and so forth, must be obeyed, and have rewards and punishments. Allah commanded marriage, but if one does not marry he is not punished, and if he does he is not rewarded.)</w:t>
      </w:r>
    </w:p>
    <w:p>
      <w:pPr>
        <w:pStyle w:val="BookText"/>
        <w:bidi w:val="0"/>
        <w:jc w:val="both"/>
        <w:rPr/>
      </w:pPr>
      <w:r>
        <w:rPr>
          <w:rFonts w:eastAsia="Times New Roman" w:cs="Times New Roman" w:ascii="Times New Roman" w:hAnsi="Times New Roman"/>
          <w:color w:val="111111"/>
          <w:sz w:val="28"/>
          <w:szCs w:val="28"/>
          <w:lang w:val="en-US"/>
        </w:rPr>
        <w:t>134.</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his saying, “ on condition of knowing,” means on condition that the mukallaf knows what task has been laid upon him, and knowing is one of the conditions of the taklif’s being good. And the conditions of its being good are three: (1) The first of these concerns taklif itself, and is fourfold. (a) first, the absence of a cause of corruption in it, since such a cause would be evil, (b) second, its preceding the time of the act (we must be told our duty before the time to perform it), (c) third, the possibility of its performance, because taklif for something that cannot be done is evil, (d) fourth, the presence (in the act) of a quality in addition to being good (husn), since one is not responsible for (the performance of) mubah (see par. 113). </w:t>
      </w:r>
    </w:p>
    <w:p>
      <w:pPr>
        <w:pStyle w:val="BookText"/>
        <w:bidi w:val="0"/>
        <w:rPr/>
      </w:pPr>
      <w:r>
        <w:rPr>
          <w:rFonts w:eastAsia="Times New Roman" w:cs="Times New Roman" w:ascii="Times New Roman" w:hAnsi="Times New Roman"/>
          <w:color w:val="111111"/>
          <w:sz w:val="28"/>
          <w:szCs w:val="28"/>
          <w:lang w:val="en-US"/>
        </w:rPr>
        <w:t>135.</w:t>
      </w:r>
    </w:p>
    <w:p>
      <w:pPr>
        <w:pStyle w:val="BookText"/>
        <w:bidi w:val="0"/>
        <w:jc w:val="both"/>
        <w:rPr/>
      </w:pPr>
      <w:r>
        <w:rPr>
          <w:rFonts w:eastAsia="Times New Roman" w:cs="Times New Roman" w:ascii="Times New Roman" w:hAnsi="Times New Roman"/>
          <w:color w:val="111111"/>
          <w:sz w:val="28"/>
          <w:szCs w:val="28"/>
          <w:lang w:val="en-US"/>
        </w:rPr>
        <w:t>(2) The second concerns Him who imposes the task (mukallif), that is, the Author (fa‘il) of the taklif, and it is fourfold, (a) first, His knowledge of the qualities of an action, whether it is good or evil; (b) second, His knowledge of the measure of the reward and punishment which each single mukallaf deserves, (c) third, the power of giving to each one his due, (d) fourth, His not being a doer of evil.</w:t>
      </w:r>
    </w:p>
    <w:p>
      <w:pPr>
        <w:pStyle w:val="BookText"/>
        <w:bidi w:val="0"/>
        <w:jc w:val="both"/>
        <w:rPr/>
      </w:pPr>
      <w:r>
        <w:rPr>
          <w:rFonts w:eastAsia="Times New Roman" w:cs="Times New Roman" w:ascii="Times New Roman" w:hAnsi="Times New Roman"/>
          <w:color w:val="111111"/>
          <w:sz w:val="28"/>
          <w:szCs w:val="28"/>
          <w:lang w:val="en-US"/>
        </w:rPr>
        <w:t>136.</w:t>
      </w:r>
    </w:p>
    <w:p>
      <w:pPr>
        <w:pStyle w:val="BookText"/>
        <w:bidi w:val="0"/>
        <w:jc w:val="both"/>
        <w:rPr/>
      </w:pPr>
      <w:r>
        <w:rPr>
          <w:rFonts w:eastAsia="Times New Roman" w:cs="Times New Roman" w:ascii="Times New Roman" w:hAnsi="Times New Roman"/>
          <w:color w:val="111111"/>
          <w:sz w:val="28"/>
          <w:szCs w:val="28"/>
          <w:lang w:val="en-US"/>
        </w:rPr>
        <w:t>(3) The third concerns the mukallaf, that is, the one upon whom rests the taklif, and it is threefold, (a) first, his power over the act, because it is impossible for one to have a task imposed on him (taklif) which he cannot perform, such as the taklif of a blind man for a dot in the Koran, or of a cripple for flying, (b) second, his knowing what task has been imposed upon him, or the possibility of his knowing it, for the ignorant man who is able to know is not excusable, (c) third, the possibility of the means (of performing) the action.</w:t>
      </w:r>
    </w:p>
    <w:p>
      <w:pPr>
        <w:pStyle w:val="BookText"/>
        <w:bidi w:val="0"/>
        <w:jc w:val="both"/>
        <w:rPr/>
      </w:pPr>
      <w:r>
        <w:rPr>
          <w:rFonts w:eastAsia="Times New Roman" w:cs="Times New Roman" w:ascii="Times New Roman" w:hAnsi="Times New Roman"/>
          <w:color w:val="111111"/>
          <w:sz w:val="28"/>
          <w:szCs w:val="28"/>
          <w:lang w:val="en-US"/>
        </w:rPr>
        <w:t>137.</w:t>
      </w:r>
    </w:p>
    <w:p>
      <w:pPr>
        <w:pStyle w:val="BookText"/>
        <w:bidi w:val="0"/>
        <w:jc w:val="both"/>
        <w:rPr/>
      </w:pPr>
      <w:r>
        <w:rPr>
          <w:rFonts w:eastAsia="Times New Roman" w:cs="Times New Roman" w:ascii="Times New Roman" w:hAnsi="Times New Roman"/>
          <w:color w:val="111111"/>
          <w:sz w:val="28"/>
          <w:szCs w:val="28"/>
          <w:lang w:val="en-US"/>
        </w:rPr>
        <w:t>Then that which is covered by taklif is either knowledge (‘ilm), or supposition (zann), or deed (‘amal). (a) Knowledge is either rational, such as the knowledge of Allah and His qualities and His justice and His wisdom and of prophecy and of the Imamate, or traditional, such as (the knowledge of) the religious ordinances, (b) and supposition is like (finding) the direction of the qibla, (c) and deed is like worship.</w:t>
      </w:r>
    </w:p>
    <w:p>
      <w:pPr>
        <w:pStyle w:val="BookText"/>
        <w:bidi w:val="0"/>
        <w:jc w:val="both"/>
        <w:rPr/>
      </w:pPr>
      <w:r>
        <w:rPr>
          <w:rFonts w:eastAsia="Times New Roman" w:cs="Times New Roman" w:ascii="Times New Roman" w:hAnsi="Times New Roman"/>
          <w:color w:val="111111"/>
          <w:sz w:val="28"/>
          <w:szCs w:val="28"/>
          <w:lang w:val="en-US"/>
        </w:rPr>
        <w:t>138.</w:t>
      </w:r>
    </w:p>
    <w:p>
      <w:pPr>
        <w:pStyle w:val="BookText"/>
        <w:bidi w:val="0"/>
        <w:jc w:val="both"/>
        <w:rPr/>
      </w:pPr>
      <w:r>
        <w:rPr>
          <w:rFonts w:eastAsia="Times New Roman" w:cs="Times New Roman" w:ascii="Times New Roman" w:hAnsi="Times New Roman"/>
          <w:color w:val="111111"/>
          <w:sz w:val="28"/>
          <w:szCs w:val="28"/>
          <w:lang w:val="en-US"/>
        </w:rPr>
        <w:t>Otherwise he would be an inciter (mughri) to EVIL, IN THAT HE CREATED (IN MAN) THE PASSIONS AND THE DESIRE FOR EVIL AND THE HATRED OF GOOD. HENCE THERE MUST BE A RESTRAINT (zajir), AND THAT IS taklif.</w:t>
      </w:r>
    </w:p>
    <w:p>
      <w:pPr>
        <w:pStyle w:val="BookText"/>
        <w:bidi w:val="0"/>
        <w:jc w:val="both"/>
        <w:rPr/>
      </w:pPr>
      <w:r>
        <w:rPr>
          <w:rFonts w:eastAsia="Times New Roman" w:cs="Times New Roman" w:ascii="Times New Roman" w:hAnsi="Times New Roman"/>
          <w:color w:val="111111"/>
          <w:sz w:val="28"/>
          <w:szCs w:val="28"/>
          <w:lang w:val="en-US"/>
        </w:rPr>
        <w:t>139.</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is a suggestion that taklif is incumbent on philosophical grounds. And this is the belief of the Mu‘tazilites, and it is the reality, as opposed to the doctrine of the Ash‘arites, for they do not make anything incumbent (wajib) upon Allah the Most High, either taklif or anything else. And the proof of what we have said is that if it were not thus Allah would be the author of evil. In explanation of this, (we say that) He has created in man passion (ash-shahwa) and desire for evil and hatred of and aversion to good. Hence if </w:t>
      </w:r>
    </w:p>
    <w:p>
      <w:pPr>
        <w:pStyle w:val="BookText"/>
        <w:bidi w:val="0"/>
        <w:rPr/>
      </w:pPr>
      <w:r>
        <w:rPr>
          <w:rFonts w:eastAsia="Times New Roman" w:cs="Times New Roman" w:ascii="Times New Roman" w:hAnsi="Times New Roman"/>
          <w:color w:val="111111"/>
          <w:sz w:val="28"/>
          <w:szCs w:val="28"/>
          <w:lang w:val="en-US"/>
        </w:rPr>
        <w:t>He did not lay upon man as a task the incumbence of that which is incumbent and the evil of that which is evil, and promise (him rewards for obedience) and threaten him (with punishment for disobedience), then Allah the Most High would be inciting man to evil, and inciting to evil is evil.</w:t>
      </w:r>
    </w:p>
    <w:p>
      <w:pPr>
        <w:pStyle w:val="BookText"/>
        <w:bidi w:val="0"/>
        <w:jc w:val="both"/>
        <w:rPr/>
      </w:pPr>
      <w:r>
        <w:rPr>
          <w:rFonts w:eastAsia="Times New Roman" w:cs="Times New Roman" w:ascii="Times New Roman" w:hAnsi="Times New Roman"/>
          <w:color w:val="111111"/>
          <w:sz w:val="28"/>
          <w:szCs w:val="28"/>
          <w:lang w:val="en-US"/>
        </w:rPr>
        <w:t>140.</w:t>
      </w:r>
    </w:p>
    <w:p>
      <w:pPr>
        <w:pStyle w:val="BookText"/>
        <w:bidi w:val="0"/>
        <w:jc w:val="both"/>
        <w:rPr/>
      </w:pPr>
      <w:r>
        <w:rPr>
          <w:rFonts w:eastAsia="Times New Roman" w:cs="Times New Roman" w:ascii="Times New Roman" w:hAnsi="Times New Roman"/>
          <w:color w:val="111111"/>
          <w:sz w:val="28"/>
          <w:szCs w:val="28"/>
          <w:lang w:val="en-US"/>
        </w:rPr>
        <w:t>And knowledge (‘ilm) is not sufficient, because BLAME IS EASY (to bear) IN ATTAINING AN OBJECT DESIRED.</w:t>
      </w:r>
    </w:p>
    <w:p>
      <w:pPr>
        <w:pStyle w:val="BookText"/>
        <w:bidi w:val="0"/>
        <w:jc w:val="both"/>
        <w:rPr/>
      </w:pPr>
      <w:r>
        <w:rPr>
          <w:rFonts w:eastAsia="Times New Roman" w:cs="Times New Roman" w:ascii="Times New Roman" w:hAnsi="Times New Roman"/>
          <w:color w:val="111111"/>
          <w:sz w:val="28"/>
          <w:szCs w:val="28"/>
          <w:lang w:val="en-US"/>
        </w:rPr>
        <w:t>141.</w:t>
      </w:r>
    </w:p>
    <w:p>
      <w:pPr>
        <w:pStyle w:val="BookText"/>
        <w:bidi w:val="0"/>
        <w:jc w:val="both"/>
        <w:rPr/>
      </w:pPr>
      <w:r>
        <w:rPr>
          <w:rFonts w:eastAsia="Times New Roman" w:cs="Times New Roman" w:ascii="Times New Roman" w:hAnsi="Times New Roman"/>
          <w:color w:val="111111"/>
          <w:sz w:val="28"/>
          <w:szCs w:val="28"/>
          <w:lang w:val="en-US"/>
        </w:rPr>
        <w:t>This is the answer to a supposed question, namely, why the knowledge that one is worthy of blame for doing evil does not prevent one from doing evil, and why the knowledge that one is worthy of praise for doing good does not induce one to do good, in which case there would be no need for taklif, because the aim would be realized without it. (This is the position of the Ash‘arites.) The author answers that knowledge is not sufficient, because frequently man finds blame for evil easy (to bear), since by means of it he attains his object. This is especially true in view of the presence of sensual motives, which in most people triumph over rational motives.</w:t>
      </w:r>
    </w:p>
    <w:p>
      <w:pPr>
        <w:pStyle w:val="BookText"/>
        <w:bidi w:val="0"/>
        <w:jc w:val="both"/>
        <w:rPr/>
      </w:pPr>
      <w:r>
        <w:rPr>
          <w:rFonts w:eastAsia="Times New Roman" w:cs="Times New Roman" w:ascii="Times New Roman" w:hAnsi="Times New Roman"/>
          <w:color w:val="111111"/>
          <w:sz w:val="28"/>
          <w:szCs w:val="28"/>
          <w:lang w:val="en-US"/>
        </w:rPr>
        <w:t>142.</w:t>
      </w:r>
    </w:p>
    <w:p>
      <w:pPr>
        <w:pStyle w:val="BookText"/>
        <w:bidi w:val="0"/>
        <w:jc w:val="both"/>
        <w:rPr/>
      </w:pPr>
      <w:r>
        <w:rPr>
          <w:rFonts w:eastAsia="Times New Roman" w:cs="Times New Roman" w:ascii="Times New Roman" w:hAnsi="Times New Roman"/>
          <w:color w:val="111111"/>
          <w:sz w:val="28"/>
          <w:szCs w:val="28"/>
          <w:lang w:val="en-US"/>
        </w:rPr>
        <w:t>And the reason for taklif’s being good is that IT APPRISES (men) of reward (ath-thawab), that is, of the merited advantage which is joined (muqarin) with exaltation (at-ta‘zim) and veneration (al-ijlal), the BEGINNING WITH WHICH IS IMPOSSIBLE (that is, God cannot reward men for actions which have not been commanded them. Hence He first appoints them tasks, and then rewards them for doing them).</w:t>
      </w:r>
    </w:p>
    <w:p>
      <w:pPr>
        <w:pStyle w:val="BookText"/>
        <w:bidi w:val="0"/>
        <w:jc w:val="both"/>
        <w:rPr/>
      </w:pPr>
      <w:r>
        <w:rPr>
          <w:rFonts w:eastAsia="Times New Roman" w:cs="Times New Roman" w:ascii="Times New Roman" w:hAnsi="Times New Roman"/>
          <w:color w:val="111111"/>
          <w:sz w:val="28"/>
          <w:szCs w:val="28"/>
          <w:lang w:val="en-US"/>
        </w:rPr>
        <w:t>143.</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also is an answer to a supposed question, the supposition being that the reason for taklif’s being good is either that it brings punishment, which is absolutely false, (for punishment is not a good), or that it brings reward, which is also false, and that for two reasons: first, the infidel who dies in his unbelief is a mukallaf in spite of his failure to acquire reward, and second, reward is decreed (maqdur) by Allah the Most High in the beginning, and therefore there is no advantage in taklif’s being a means of reward. The author </w:t>
      </w:r>
      <w:bookmarkStart w:id="103" w:name="pg18967_203205"/>
    </w:p>
    <w:p>
      <w:pPr>
        <w:pStyle w:val="BookText"/>
        <w:bidi w:val="0"/>
        <w:rPr/>
      </w:pPr>
      <w:bookmarkEnd w:id="103"/>
      <w:r>
        <w:rPr>
          <w:rFonts w:eastAsia="Times New Roman" w:cs="Times New Roman" w:ascii="Times New Roman" w:hAnsi="Times New Roman"/>
          <w:color w:val="111111"/>
          <w:sz w:val="28"/>
          <w:szCs w:val="28"/>
          <w:lang w:val="en-US"/>
        </w:rPr>
        <w:t>replies that the reason for taklif’s being good is that it apprises (ta‘rif) men of reward, not that it brings them reward. And apprising is universal as regards both believer and unbeliever. And that reward is decreed by Allah the Most High in the beginning is admitted, but it is impossible for Him to begin with it except by means of taklif (that is, to reward men without first appointing tasks for them). For reward consists of exaltation and veneration, and reason pronounces the exaltation of a person who does not deserve it to be evil. And the author says in explanation of reward, that it is “ merited advantage which is joined with exaltation.” Now advantage (naf‘) comprises reward (thawab) and grace (tafaddul) and recompense (‘iwad). Hence by the condition that it be merited, grace is excluded, and by the condition that it be joined with exaltation, recompense is excluded. (Recompense is merely wages paid — but Allah does more — He pays us our due and exalts us besides. Hence this is not recompense but reward.)</w:t>
      </w:r>
    </w:p>
    <w:p>
      <w:pPr>
        <w:pStyle w:val="Heading3"/>
        <w:numPr>
          <w:ilvl w:val="2"/>
          <w:numId w:val="1"/>
        </w:numPr>
        <w:bidi w:val="0"/>
        <w:jc w:val="left"/>
        <w:rPr/>
      </w:pPr>
      <w:bookmarkStart w:id="104" w:name="__RefHeading___Toc16877092_1280447820"/>
      <w:bookmarkStart w:id="105" w:name="_Toc37"/>
      <w:bookmarkEnd w:id="104"/>
      <w:r>
        <w:rPr/>
        <w:t>(5) Kindness is incumbent upon Allah (144-148)</w:t>
      </w:r>
      <w:bookmarkEnd w:id="105"/>
    </w:p>
    <w:p>
      <w:pPr>
        <w:pStyle w:val="BookText"/>
        <w:bidi w:val="0"/>
        <w:jc w:val="both"/>
        <w:rPr/>
      </w:pPr>
      <w:r>
        <w:rPr>
          <w:rFonts w:eastAsia="Times New Roman" w:cs="Times New Roman" w:ascii="Times New Roman" w:hAnsi="Times New Roman"/>
          <w:color w:val="111111"/>
          <w:sz w:val="28"/>
          <w:szCs w:val="28"/>
          <w:lang w:val="en-US"/>
        </w:rPr>
        <w:t>144.</w:t>
      </w:r>
    </w:p>
    <w:p>
      <w:pPr>
        <w:pStyle w:val="BookText"/>
        <w:bidi w:val="0"/>
        <w:jc w:val="both"/>
        <w:rPr/>
      </w:pPr>
      <w:r>
        <w:rPr>
          <w:rFonts w:eastAsia="Times New Roman" w:cs="Times New Roman" w:ascii="Times New Roman" w:hAnsi="Times New Roman"/>
          <w:color w:val="111111"/>
          <w:sz w:val="28"/>
          <w:szCs w:val="28"/>
          <w:lang w:val="en-US"/>
        </w:rPr>
        <w:t>(5) Fifth, regarding the fact that kindness (lutf) IS INCUMBENT UPON THE MOST HIGH. And lutf is that WHICH brings the CREATURE NEAR TO OBEDIENCE AND KEEPS HIM FAR FROM DISOBEDIENCE. AND IT IS NO PART (hazz) OF ABILITY (tamkin), and it does not go as far as compulsion (al-ilja’). For the aim of the imposer of tasks (al-Mukallif) depends upon it. For whenever he who wills an act from another (that is, when Allah wills that man do something) knows that he will not do it except WITH the aid of an ACT WHICH THE WILLER CAN PERFORM WITHOUT ANY TROUBLE, THEN IF HE DOES NOT PERFORM IT HE WOULD BE CONTRADICTING HIS OWN AIM, AND REASON PRONOUNCES THAT EVIL — ALLAH IS EXALTED ABOVE THAT!</w:t>
      </w:r>
    </w:p>
    <w:p>
      <w:pPr>
        <w:pStyle w:val="BookText"/>
        <w:bidi w:val="0"/>
        <w:jc w:val="both"/>
        <w:rPr/>
      </w:pPr>
      <w:r>
        <w:rPr>
          <w:rFonts w:eastAsia="Times New Roman" w:cs="Times New Roman" w:ascii="Times New Roman" w:hAnsi="Times New Roman"/>
          <w:color w:val="111111"/>
          <w:sz w:val="28"/>
          <w:szCs w:val="28"/>
          <w:lang w:val="en-US"/>
        </w:rPr>
        <w:t>145.</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what does the performance of obedience and the refraining from disobedience depend? (1) First, on the presence of the power and means without which the act cannot be performed; and (2) second, on the presence of lutf (kindness), by which one who is responsible (mukallaf) for an act of obedience which he cannot perform without lutf </w:t>
      </w:r>
    </w:p>
    <w:p>
      <w:pPr>
        <w:pStyle w:val="BookText"/>
        <w:bidi w:val="0"/>
        <w:rPr/>
      </w:pPr>
      <w:r>
        <w:rPr>
          <w:rFonts w:eastAsia="Times New Roman" w:cs="Times New Roman" w:ascii="Times New Roman" w:hAnsi="Times New Roman"/>
          <w:color w:val="111111"/>
          <w:sz w:val="28"/>
          <w:szCs w:val="28"/>
          <w:lang w:val="en-US"/>
        </w:rPr>
        <w:t>is enabled to draw near to obedience and refrain from disobedience, (for example, in worship the acts of kneeling, speaking, etc., are ours, by Allah’s lutf).</w:t>
      </w:r>
    </w:p>
    <w:p>
      <w:pPr>
        <w:pStyle w:val="BookText"/>
        <w:bidi w:val="0"/>
        <w:jc w:val="both"/>
        <w:rPr/>
      </w:pPr>
      <w:r>
        <w:rPr>
          <w:rFonts w:eastAsia="Times New Roman" w:cs="Times New Roman" w:ascii="Times New Roman" w:hAnsi="Times New Roman"/>
          <w:color w:val="111111"/>
          <w:sz w:val="28"/>
          <w:szCs w:val="28"/>
          <w:lang w:val="en-US"/>
        </w:rPr>
        <w:t>146.</w:t>
      </w:r>
    </w:p>
    <w:p>
      <w:pPr>
        <w:pStyle w:val="BookText"/>
        <w:bidi w:val="0"/>
        <w:jc w:val="both"/>
        <w:rPr/>
      </w:pPr>
      <w:r>
        <w:rPr>
          <w:rFonts w:eastAsia="Times New Roman" w:cs="Times New Roman" w:ascii="Times New Roman" w:hAnsi="Times New Roman"/>
          <w:color w:val="111111"/>
          <w:sz w:val="28"/>
          <w:szCs w:val="28"/>
          <w:lang w:val="en-US"/>
        </w:rPr>
        <w:t>And his saying, “ it is no part of ability,” refers to the first part, namely power, for power in actions is not lutf, but rather a condition of their possibility. (My power to pray is not Allah’s kindness to me — rather it is the necessary condition of the possibility of my obeying the command to pray.) And his saying, “ it does not go as far as compulsion,” is true, because if it went as far as compulsion it would nullify taklif.</w:t>
      </w:r>
    </w:p>
    <w:p>
      <w:pPr>
        <w:pStyle w:val="BookText"/>
        <w:bidi w:val="0"/>
        <w:jc w:val="both"/>
        <w:rPr/>
      </w:pPr>
      <w:r>
        <w:rPr>
          <w:rFonts w:eastAsia="Times New Roman" w:cs="Times New Roman" w:ascii="Times New Roman" w:hAnsi="Times New Roman"/>
          <w:color w:val="111111"/>
          <w:sz w:val="28"/>
          <w:szCs w:val="28"/>
          <w:lang w:val="en-US"/>
        </w:rPr>
        <w:t>147.</w:t>
      </w:r>
    </w:p>
    <w:p>
      <w:pPr>
        <w:pStyle w:val="BookText"/>
        <w:bidi w:val="0"/>
        <w:jc w:val="both"/>
        <w:rPr/>
      </w:pPr>
      <w:r>
        <w:rPr>
          <w:rFonts w:eastAsia="Times New Roman" w:cs="Times New Roman" w:ascii="Times New Roman" w:hAnsi="Times New Roman"/>
          <w:color w:val="111111"/>
          <w:sz w:val="28"/>
          <w:szCs w:val="28"/>
          <w:lang w:val="en-US"/>
        </w:rPr>
        <w:t>And since this is settled, then know that lutf is sometimes shown in the act of Allah, in which case it is incumbent upon Him; and sometimes it is shown in the act of the mukallaf, in which case it is incumbent upon the Most High to inform the mukallaf of his duty and make it incumbent upon him, and sometimes it is shown in (the act of) someone other than Allah and the mukallaf (namely, the prophet), in which case it becomes a condition of taklif that one know the prophet, and that Allah make incumbent on him that act (namely, delivering his message), and confirm it for him. And our saying that they (the three kinds of lutf) are all incumbent on Allah is because He would contradict His aim if this were not the case. And contradiction of aim is evil for Him.</w:t>
      </w:r>
    </w:p>
    <w:p>
      <w:pPr>
        <w:pStyle w:val="BookText"/>
        <w:bidi w:val="0"/>
        <w:jc w:val="both"/>
        <w:rPr/>
      </w:pPr>
      <w:r>
        <w:rPr>
          <w:rFonts w:eastAsia="Times New Roman" w:cs="Times New Roman" w:ascii="Times New Roman" w:hAnsi="Times New Roman"/>
          <w:color w:val="111111"/>
          <w:sz w:val="28"/>
          <w:szCs w:val="28"/>
          <w:lang w:val="en-US"/>
        </w:rPr>
        <w:t>148.</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the explanation of this is that when He wills that someone perform some act, and knows that the man for whom it is willed will not perform the desired act unless the Willer aids him with an act which He performs with him, such as an act of kindliness (mulatafa) toward him or of correspondence with him (mukataba) or of sending to him or of striving for him, and so forth, in which there is no trouble (mashaqqa) for Him — then if He does not do these things which He had resolved to do, rational beings would judge that He had contradicted His purpose, and would blame Him accordingly. And like this is what (the author) said regarding the Most High Creator, that if, when He wills the performance of obedience and the removal of disobedience, He does not do that on which these two things depend, He would then be contradicting </w:t>
      </w:r>
      <w:bookmarkStart w:id="106" w:name="pg18967_203207"/>
    </w:p>
    <w:p>
      <w:pPr>
        <w:pStyle w:val="BookText"/>
        <w:bidi w:val="0"/>
        <w:rPr/>
      </w:pPr>
      <w:bookmarkEnd w:id="106"/>
      <w:r>
        <w:rPr>
          <w:rFonts w:eastAsia="Times New Roman" w:cs="Times New Roman" w:ascii="Times New Roman" w:hAnsi="Times New Roman"/>
          <w:color w:val="111111"/>
          <w:sz w:val="28"/>
          <w:szCs w:val="28"/>
          <w:lang w:val="en-US"/>
        </w:rPr>
        <w:t>His aim. And contradiction of aim is evil, and Allah is exalted above that, the Most High and Most Exalted!</w:t>
      </w:r>
    </w:p>
    <w:p>
      <w:pPr>
        <w:pStyle w:val="Heading3"/>
        <w:numPr>
          <w:ilvl w:val="2"/>
          <w:numId w:val="1"/>
        </w:numPr>
        <w:bidi w:val="0"/>
        <w:jc w:val="left"/>
        <w:rPr/>
      </w:pPr>
      <w:bookmarkStart w:id="107" w:name="__RefHeading___Toc16877094_1280447820"/>
      <w:bookmarkStart w:id="108" w:name="_Toc38"/>
      <w:bookmarkEnd w:id="107"/>
      <w:r>
        <w:rPr/>
        <w:t>(6) Recompense for suffering is incumbent upon Allah (149-151)</w:t>
      </w:r>
      <w:bookmarkEnd w:id="108"/>
    </w:p>
    <w:p>
      <w:pPr>
        <w:pStyle w:val="BookText"/>
        <w:bidi w:val="0"/>
        <w:jc w:val="both"/>
        <w:rPr/>
      </w:pPr>
      <w:r>
        <w:rPr>
          <w:rFonts w:eastAsia="Times New Roman" w:cs="Times New Roman" w:ascii="Times New Roman" w:hAnsi="Times New Roman"/>
          <w:color w:val="111111"/>
          <w:sz w:val="28"/>
          <w:szCs w:val="28"/>
          <w:lang w:val="en-US"/>
        </w:rPr>
        <w:t>149.</w:t>
      </w:r>
    </w:p>
    <w:p>
      <w:pPr>
        <w:pStyle w:val="BookText"/>
        <w:bidi w:val="0"/>
        <w:jc w:val="both"/>
        <w:rPr/>
      </w:pPr>
      <w:r>
        <w:rPr>
          <w:rFonts w:eastAsia="Times New Roman" w:cs="Times New Roman" w:ascii="Times New Roman" w:hAnsi="Times New Roman"/>
          <w:color w:val="111111"/>
          <w:sz w:val="28"/>
          <w:szCs w:val="28"/>
          <w:lang w:val="en-US"/>
        </w:rPr>
        <w:t>(6) Sixth, in regard to the fact that an action IN RECOMPENSE (‘iwad) FOR THE SUFFERINGS (alam) WHICH COME TO MAN FROM HIM IS INCUMBENT UPON HIM — AND THE MEANING OF RECOMPENSE IS A DESERVED ADVANTAGE IN WHICH IS NO EXALTATION OR VENERATION — OTHERWISE HE WOULD BE UNJUST, AND ALLAH IS EXALTED ABOVE THAT. AND IT IS INCUMBENT THAT IT BE IN EXCESS OF THE SUFFERING, OTHERWISE IT WOULD BE IN VAIN.</w:t>
      </w:r>
    </w:p>
    <w:p>
      <w:pPr>
        <w:pStyle w:val="BookText"/>
        <w:bidi w:val="0"/>
        <w:jc w:val="both"/>
        <w:rPr/>
      </w:pPr>
      <w:r>
        <w:rPr>
          <w:rFonts w:eastAsia="Times New Roman" w:cs="Times New Roman" w:ascii="Times New Roman" w:hAnsi="Times New Roman"/>
          <w:color w:val="111111"/>
          <w:sz w:val="28"/>
          <w:szCs w:val="28"/>
          <w:lang w:val="en-US"/>
        </w:rPr>
        <w:t>150.</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suffering which living creatures experience either some sort of evil is recognized (and that proceeds entirely from us), or else evil is not recognized in it, in which case it is good. And several things have been mentioned as to the good of pain: first, its being deserved, second, its containing advantage in excess (of the pain) which benefits the sufferer; third, its containing protection from injury in excess of the pain, fourth, its being common to man, fifth, its containing a sort of protection. And this good sometimes proceeds from the Most High, and sometimes proceeds from us. And that which proceeds from the Most High is for our advantage, and it is necessary that there be in it two things: (1) First, recompense for the suffering, otherwise He would be unjust, and Allah is exalted above that. And it is necessary that the recompense be in excess of the pain to the extent that every rational being be satisfied. For it is evil in our opinion (fi’sh-shahid) to cause anyone to suffer in order to recompense him for the suffering without (giving him) something in excess, because that would be in vain. (2) Second, there must be (in the suffering some) kindness (lutf), either for the sufferer or for another, that it may not be in vain. But as for that suffering which proceeds from us in which there is some sort of evil — it is incumbent upon Allah to avenge the sufferer of his tormentor, because of His justice (‘adl), and because the Koran teaches it. And in this case the recompense must be equal to the suffering. And if it were not thus He would be unjust. </w:t>
      </w:r>
    </w:p>
    <w:p>
      <w:pPr>
        <w:pStyle w:val="BookText"/>
        <w:bidi w:val="0"/>
        <w:rPr/>
      </w:pPr>
      <w:r>
        <w:rPr>
          <w:rFonts w:eastAsia="Times New Roman" w:cs="Times New Roman" w:ascii="Times New Roman" w:hAnsi="Times New Roman"/>
          <w:color w:val="111111"/>
          <w:sz w:val="28"/>
          <w:szCs w:val="28"/>
          <w:lang w:val="en-US"/>
        </w:rPr>
        <w:t>151.</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here there are several matters of importance: (1) First, recompense (al-‘iwad) is a merited advantage in which is no exaltation or veneration. By the condition of being merited it is distinguished from grace (tafaddul), and by the condition of being without any exaltation it is distinguished from reward (thawab). (2) Second, it is necessary that recompense be abiding (dawam), because it is not good in our opinion (fi’sh-shahid) for one to endure perilous woes and painful and great and laborious trials for a small transient advantage. (3) It is not necessary that the recompense be acquired in this world, for possibly Allah knows that there is an advantage in its delay. Hence, it is sometimes acquired in this world, and sometimes it is not. (4) He who receives the recompense for his sufferings at the last day will be either of those who are rewarded or of those who are punished. And if he be of those who are rewarded, then it is sufficient for Allah to give him his recompense, that is, that He divide it up into periods, or that He show grace to him in some such way. (The Ash‘arites say that Paradise is in itself sufficient reward for pain, but the Shi‘ites say that a recompense is also necessary.) And if he be of those who are punished, Allah will cancel a part of his punishment because of his former sufferings, in such a way that the lightening of it will not be evident to him, since He will divide the measure of it into periods. (5) The suffering which proceeds from us to others, either by the command (amr) of the Most High or else by His permission, and that which proceeds from creatures such as the dumb brutes, and like the wasting of profit for the advantage of someone else which proceeds from Him, and the downpour of woes which come from something other than the act of man — the recompense for all this is incumbent upon Allah the Most High, because of His Justice (‘adl) and His Mercy (karam).</w:t>
      </w:r>
      <w:bookmarkStart w:id="109" w:name="pg18967_203209"/>
    </w:p>
    <w:p>
      <w:pPr>
        <w:pStyle w:val="Heading2"/>
        <w:numPr>
          <w:ilvl w:val="1"/>
          <w:numId w:val="1"/>
        </w:numPr>
        <w:bidi w:val="0"/>
        <w:jc w:val="left"/>
        <w:rPr/>
      </w:pPr>
      <w:bookmarkStart w:id="110" w:name="__RefHeading___Toc16877096_1280447820"/>
      <w:bookmarkStart w:id="111" w:name="_Toc39"/>
      <w:bookmarkEnd w:id="109"/>
      <w:bookmarkEnd w:id="110"/>
      <w:r>
        <w:rPr/>
        <w:t>V. Section Five: Prophecy (152-173)</w:t>
      </w:r>
      <w:bookmarkEnd w:id="111"/>
    </w:p>
    <w:p>
      <w:pPr>
        <w:pStyle w:val="Heading3"/>
        <w:numPr>
          <w:ilvl w:val="2"/>
          <w:numId w:val="1"/>
        </w:numPr>
        <w:bidi w:val="0"/>
        <w:jc w:val="left"/>
        <w:rPr/>
      </w:pPr>
      <w:bookmarkStart w:id="112" w:name="__RefHeading___Toc16877098_1280447820"/>
      <w:bookmarkStart w:id="113" w:name="_Toc40"/>
      <w:bookmarkEnd w:id="112"/>
      <w:r>
        <w:rPr>
          <w:rtl w:val="true"/>
        </w:rPr>
        <w:t>اشاره</w:t>
      </w:r>
      <w:bookmarkEnd w:id="113"/>
    </w:p>
    <w:p>
      <w:pPr>
        <w:pStyle w:val="BookText"/>
        <w:bidi w:val="0"/>
        <w:jc w:val="both"/>
        <w:rPr/>
      </w:pPr>
      <w:r>
        <w:rPr>
          <w:rFonts w:eastAsia="Times New Roman" w:cs="Times New Roman" w:ascii="Times New Roman" w:hAnsi="Times New Roman"/>
          <w:color w:val="111111"/>
          <w:sz w:val="28"/>
          <w:szCs w:val="28"/>
          <w:lang w:val="en-US"/>
        </w:rPr>
        <w:t>SECTION V</w:t>
      </w:r>
    </w:p>
    <w:p>
      <w:pPr>
        <w:pStyle w:val="BookText"/>
        <w:bidi w:val="0"/>
        <w:jc w:val="both"/>
        <w:rPr/>
      </w:pPr>
      <w:r>
        <w:rPr>
          <w:rFonts w:eastAsia="Times New Roman" w:cs="Times New Roman" w:ascii="Times New Roman" w:hAnsi="Times New Roman"/>
          <w:color w:val="111111"/>
          <w:sz w:val="28"/>
          <w:szCs w:val="28"/>
          <w:lang w:val="en-US"/>
        </w:rPr>
        <w:t>152.</w:t>
      </w:r>
    </w:p>
    <w:p>
      <w:pPr>
        <w:pStyle w:val="BookText"/>
        <w:bidi w:val="0"/>
        <w:jc w:val="both"/>
        <w:rPr/>
      </w:pPr>
      <w:r>
        <w:rPr>
          <w:rFonts w:eastAsia="Times New Roman" w:cs="Times New Roman" w:ascii="Times New Roman" w:hAnsi="Times New Roman"/>
          <w:color w:val="111111"/>
          <w:sz w:val="28"/>
          <w:szCs w:val="28"/>
          <w:lang w:val="en-US"/>
        </w:rPr>
        <w:t>Concerning prophecy: the prophet (an-nabi) — on HIM BE PEACE — IS A MAN WHO BRINGS A MESSAGE (al-mukhbir) FROM ALLAH the MOST HIGH WITHOUT THE MEDIATION OF ANY HUMAN BEING.</w:t>
      </w:r>
    </w:p>
    <w:p>
      <w:pPr>
        <w:pStyle w:val="BookText"/>
        <w:bidi w:val="0"/>
        <w:jc w:val="both"/>
        <w:rPr/>
      </w:pPr>
      <w:r>
        <w:rPr>
          <w:rFonts w:eastAsia="Times New Roman" w:cs="Times New Roman" w:ascii="Times New Roman" w:hAnsi="Times New Roman"/>
          <w:color w:val="111111"/>
          <w:sz w:val="28"/>
          <w:szCs w:val="28"/>
          <w:lang w:val="en-US"/>
        </w:rPr>
        <w:t>153.</w:t>
      </w:r>
    </w:p>
    <w:p>
      <w:pPr>
        <w:pStyle w:val="BookText"/>
        <w:bidi w:val="0"/>
        <w:jc w:val="both"/>
        <w:rPr/>
      </w:pPr>
      <w:r>
        <w:rPr>
          <w:rFonts w:eastAsia="Times New Roman" w:cs="Times New Roman" w:ascii="Times New Roman" w:hAnsi="Times New Roman"/>
          <w:color w:val="111111"/>
          <w:sz w:val="28"/>
          <w:szCs w:val="28"/>
          <w:lang w:val="en-US"/>
        </w:rPr>
        <w:t>When he had finished the discussion of Justice he connected with it the discussion of Prophecy, because of its being a branch of it. And he defined the Prophet as a man who BRINGS A MESSAGE FROM ALLAH WITHOUT THE MEDIATION OF ANY HUMAN BEING. And by the term “ man,” angel is excluded. And by the term, “ A bringer of a message from Allah,” every one is excluded who brings a message from any besides Allah. And by the term (which requires) the absence of human mediation, the Imam and the doctor (‘alim) are excluded, for they are bringers of a message from Allah through the mediation of the Prophet.</w:t>
      </w:r>
    </w:p>
    <w:p>
      <w:pPr>
        <w:pStyle w:val="BookText"/>
        <w:bidi w:val="0"/>
        <w:jc w:val="both"/>
        <w:rPr/>
      </w:pPr>
      <w:r>
        <w:rPr>
          <w:rFonts w:eastAsia="Times New Roman" w:cs="Times New Roman" w:ascii="Times New Roman" w:hAnsi="Times New Roman"/>
          <w:color w:val="111111"/>
          <w:sz w:val="28"/>
          <w:szCs w:val="28"/>
          <w:lang w:val="en-US"/>
        </w:rPr>
        <w:t>154.</w:t>
      </w:r>
    </w:p>
    <w:p>
      <w:pPr>
        <w:pStyle w:val="BookText"/>
        <w:bidi w:val="0"/>
        <w:jc w:val="both"/>
        <w:rPr/>
      </w:pPr>
      <w:r>
        <w:rPr>
          <w:rFonts w:eastAsia="Times New Roman" w:cs="Times New Roman" w:ascii="Times New Roman" w:hAnsi="Times New Roman"/>
          <w:color w:val="111111"/>
          <w:sz w:val="28"/>
          <w:szCs w:val="28"/>
          <w:lang w:val="en-US"/>
        </w:rPr>
        <w:t>Since this is settled, then know that (the existence of) Prophecy and its being good (husn) are necessary (wajib) on philosophical grounds, contrary to the Barahmiyya and the Ash‘arites. And the proof of this is that since the purpose in the bringing of mankind into existence is the advantage (maslaha) which accrues to them (that is, Allah creates man not for His own glory but for man’s good), then bringing them near to that in which their advantage consists and restraining them from that which would corrupt them is necessary on philosophical grounds. And that is (true), either in their present state or their future state.</w:t>
      </w:r>
    </w:p>
    <w:p>
      <w:pPr>
        <w:pStyle w:val="BookText"/>
        <w:bidi w:val="0"/>
        <w:jc w:val="both"/>
        <w:rPr/>
      </w:pPr>
      <w:r>
        <w:rPr>
          <w:rFonts w:eastAsia="Times New Roman" w:cs="Times New Roman" w:ascii="Times New Roman" w:hAnsi="Times New Roman"/>
          <w:color w:val="111111"/>
          <w:sz w:val="28"/>
          <w:szCs w:val="28"/>
          <w:lang w:val="en-US"/>
        </w:rPr>
        <w:t>155.</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 As for their present state, since for the preservation of the human race necessity requires a society (ijma‘), and since in a society every individual opposes his companion in seeking what he needs, then a society must result in contentions and disagreements which arise from the love which every individual has for himself and the desire that he has for his own profit, not for that of another, so that it would end </w:t>
      </w:r>
    </w:p>
    <w:p>
      <w:pPr>
        <w:pStyle w:val="BookText"/>
        <w:bidi w:val="0"/>
        <w:rPr/>
      </w:pPr>
      <w:r>
        <w:rPr>
          <w:rFonts w:eastAsia="Times New Roman" w:cs="Times New Roman" w:ascii="Times New Roman" w:hAnsi="Times New Roman"/>
          <w:color w:val="111111"/>
          <w:sz w:val="28"/>
          <w:szCs w:val="28"/>
          <w:lang w:val="en-US"/>
        </w:rPr>
        <w:t>in the corruption and extinction of the race. Hence wisdom demands the existence of justice which will ordain a law to be put into effect among men in such a way that every individual may obey its commands and heed its prohibitions. Then if that law were ordained for them, the result would be the same as at first (namely, disorder and anarchy), because every individual has his own opinion which his reason and desire dictate and his nature necessitates. Hence in such a case there must be a lawgiver who can distinguish between the verses (ayat) and teachings (of the Koran) which prove his own veracity, that a proclaimer be appointed for the law by Allah to promise rewards to the obedient and to threaten with punishment the disobedient, that he may invite man to obey his commands and prohibitions.</w:t>
      </w:r>
    </w:p>
    <w:p>
      <w:pPr>
        <w:pStyle w:val="BookText"/>
        <w:bidi w:val="0"/>
        <w:jc w:val="both"/>
        <w:rPr/>
      </w:pPr>
      <w:r>
        <w:rPr>
          <w:rFonts w:eastAsia="Times New Roman" w:cs="Times New Roman" w:ascii="Times New Roman" w:hAnsi="Times New Roman"/>
          <w:color w:val="111111"/>
          <w:sz w:val="28"/>
          <w:szCs w:val="28"/>
          <w:lang w:val="en-US"/>
        </w:rPr>
        <w:t>156.</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And as to their future state — now since final blessedness (sa‘ada) is not acquired except by the perfection of the soul (nafs) by real knowledge and right actions, and since attachment to the things of the world and the absorption of the mind in the garment of flesh prevent the attainment of that in the most complete manner and the most direct way, or if it is attained it is mingled with doubt and opposed by fear — whence in such a case the existence of a person is required who does not have that hindering attachment, so that he can give them proofs and make them plain to them, and make doubts to vanish and protect men from them, and assist that to which their reasons guide them (that is, natural religion), and explain that to which they have not been guided (namely, perfect knowledge), and remind them of their Creator and their Object of Worship, and appoint them acts of devotion (‘ibadat) and right actions, what they are and how they are to be performed, in order to secure for them nearness to Allah, and repeat them for men in order that they may through repetition seek to keep his admonitions, lest carelessness and forgetfulness, which are man’s second nature, overcome them. And this person who is needed both for the present and the future state is the Prophet. Hence (the existence of) the Prophet is necessary (wajib) on philosophical grounds, and that is what we sought.</w:t>
      </w:r>
      <w:bookmarkStart w:id="114" w:name="pg18967_203211"/>
    </w:p>
    <w:p>
      <w:pPr>
        <w:pStyle w:val="Heading3"/>
        <w:numPr>
          <w:ilvl w:val="2"/>
          <w:numId w:val="1"/>
        </w:numPr>
        <w:bidi w:val="0"/>
        <w:jc w:val="left"/>
        <w:rPr/>
      </w:pPr>
      <w:bookmarkStart w:id="115" w:name="__RefHeading___Toc16877100_1280447820"/>
      <w:bookmarkStart w:id="116" w:name="_Toc41"/>
      <w:bookmarkEnd w:id="114"/>
      <w:bookmarkEnd w:id="115"/>
      <w:r>
        <w:rPr/>
        <w:t>(1) Proof of the mission of Muhammad (157-163)</w:t>
      </w:r>
      <w:bookmarkEnd w:id="116"/>
    </w:p>
    <w:p>
      <w:pPr>
        <w:pStyle w:val="BookText"/>
        <w:bidi w:val="0"/>
        <w:jc w:val="both"/>
        <w:rPr/>
      </w:pPr>
      <w:r>
        <w:rPr>
          <w:rFonts w:eastAsia="Times New Roman" w:cs="Times New Roman" w:ascii="Times New Roman" w:hAnsi="Times New Roman"/>
          <w:color w:val="111111"/>
          <w:sz w:val="28"/>
          <w:szCs w:val="28"/>
          <w:lang w:val="en-US"/>
        </w:rPr>
        <w:t>157.</w:t>
      </w:r>
    </w:p>
    <w:p>
      <w:pPr>
        <w:pStyle w:val="BookText"/>
        <w:bidi w:val="0"/>
        <w:jc w:val="both"/>
        <w:rPr/>
      </w:pPr>
      <w:r>
        <w:rPr>
          <w:rFonts w:eastAsia="Times New Roman" w:cs="Times New Roman" w:ascii="Times New Roman" w:hAnsi="Times New Roman"/>
          <w:color w:val="111111"/>
          <w:sz w:val="28"/>
          <w:szCs w:val="28"/>
          <w:lang w:val="en-US"/>
        </w:rPr>
        <w:t>And in this there are several subjects for investigation. (1) First, regarding the prophetic mission (nubuwwa) of our prophet MUHAMMAD B. ‘ABDU’LLAH B. ‘ABDU’L-MUTTALIB, the messenger of ALLAH (upon him be PEACE). (And he is a prophet) because miracles (mu‘jiza) WERE WROUGHT BY HIS HAND, SUCH AS THE KORAN AND THE SPLITTING OF THE MOON AND THE ISSUING OF WATER FROM BETWEEN HIS FINGERS AND THE FEEDING OF A GREAT MULTITUDE WITH A LITTLE FOOD AND THE PRAISING OF ALLAH OF PEBBLES IN HIS HAND, AND HIS MIRACLES WERE MORE THAN CAN BE NUMBERED. NOW HE CLAIMED TO BE A PROPHET. HENCE HE IS VERACIOUS (sadiq), OTHERWISE THE INCITING OF THE mukallaf TO EVIL WOULD BE NECESSARY, AND THAT IS IMPOSSIBLE.</w:t>
      </w:r>
    </w:p>
    <w:p>
      <w:pPr>
        <w:pStyle w:val="BookText"/>
        <w:bidi w:val="0"/>
        <w:jc w:val="both"/>
        <w:rPr/>
      </w:pPr>
      <w:r>
        <w:rPr>
          <w:rFonts w:eastAsia="Times New Roman" w:cs="Times New Roman" w:ascii="Times New Roman" w:hAnsi="Times New Roman"/>
          <w:color w:val="111111"/>
          <w:sz w:val="28"/>
          <w:szCs w:val="28"/>
          <w:lang w:val="en-US"/>
        </w:rPr>
        <w:t>158.</w:t>
      </w:r>
    </w:p>
    <w:p>
      <w:pPr>
        <w:pStyle w:val="BookText"/>
        <w:bidi w:val="0"/>
        <w:jc w:val="both"/>
        <w:rPr/>
      </w:pPr>
      <w:r>
        <w:rPr>
          <w:rFonts w:eastAsia="Times New Roman" w:cs="Times New Roman" w:ascii="Times New Roman" w:hAnsi="Times New Roman"/>
          <w:color w:val="111111"/>
          <w:sz w:val="28"/>
          <w:szCs w:val="28"/>
          <w:lang w:val="en-US"/>
        </w:rPr>
        <w:t>Since problems vary according to the changing of the times and of people, as in the case of a sick person whose condition changes as regards the nature of his cure and the use of medicines according to the variation of his constitution and the fluctuation of his disease, so that at one time he is cured by something which at another time would not be able to cure him, therefore prophecy and laws (shari‘a) must vary according to the variation of the problems of man in different ages. And this is the mystery in the abrogation of some codes of laws by others, till prophecy and law culminated (intahat) in our Prophet Muhammad, whose prophecy and law by the demands of reason (al-hikma) abrogate (nasikh) that which preceded them, and will themselves abide so long as taklif abides.</w:t>
      </w:r>
    </w:p>
    <w:p>
      <w:pPr>
        <w:pStyle w:val="BookText"/>
        <w:bidi w:val="0"/>
        <w:jc w:val="both"/>
        <w:rPr/>
      </w:pPr>
      <w:r>
        <w:rPr>
          <w:rFonts w:eastAsia="Times New Roman" w:cs="Times New Roman" w:ascii="Times New Roman" w:hAnsi="Times New Roman"/>
          <w:color w:val="111111"/>
          <w:sz w:val="28"/>
          <w:szCs w:val="28"/>
          <w:lang w:val="en-US"/>
        </w:rPr>
        <w:t>159.</w:t>
      </w:r>
    </w:p>
    <w:p>
      <w:pPr>
        <w:pStyle w:val="BookText"/>
        <w:bidi w:val="0"/>
        <w:jc w:val="both"/>
        <w:rPr/>
      </w:pPr>
      <w:r>
        <w:rPr>
          <w:rFonts w:eastAsia="Times New Roman" w:cs="Times New Roman" w:ascii="Times New Roman" w:hAnsi="Times New Roman"/>
          <w:color w:val="111111"/>
          <w:sz w:val="28"/>
          <w:szCs w:val="28"/>
          <w:lang w:val="en-US"/>
        </w:rPr>
        <w:t>And the proof of the validity of his prophetic mission is that he claimed to be a prophet, and miracles were wrought by his hand, and whoever is thus is really a prophet. Therefore we need to explain three matters: first, that he claimed to be a prophet, second, that miracles were wrought by his hand; and third, that whoever is thus is really a prophet. (1) As for the first, it is proved by the agreement of all men, so that no one denies it.</w:t>
      </w:r>
    </w:p>
    <w:p>
      <w:pPr>
        <w:pStyle w:val="BookText"/>
        <w:bidi w:val="0"/>
        <w:jc w:val="both"/>
        <w:rPr/>
      </w:pPr>
      <w:r>
        <w:rPr>
          <w:rFonts w:eastAsia="Times New Roman" w:cs="Times New Roman" w:ascii="Times New Roman" w:hAnsi="Times New Roman"/>
          <w:color w:val="111111"/>
          <w:sz w:val="28"/>
          <w:szCs w:val="28"/>
          <w:lang w:val="en-US"/>
        </w:rPr>
        <w:t>160.</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 And as for the second — now a miracle (mu‘jiza) is a thing (amr) which breaks in upon the ordinary course of nature in accordance with a claim (e.g., he must first say, “ I </w:t>
      </w:r>
    </w:p>
    <w:p>
      <w:pPr>
        <w:pStyle w:val="BookText"/>
        <w:bidi w:val="0"/>
        <w:rPr/>
      </w:pPr>
      <w:r>
        <w:rPr>
          <w:rFonts w:eastAsia="Times New Roman" w:cs="Times New Roman" w:ascii="Times New Roman" w:hAnsi="Times New Roman"/>
          <w:color w:val="111111"/>
          <w:sz w:val="28"/>
          <w:szCs w:val="28"/>
          <w:lang w:val="en-US"/>
        </w:rPr>
        <w:t>will heal this blind man,” and then heal him), and united with a purpose (tahaddi), the doing of the like of which is impossible for man. If it does not break in upon the ordinary course of nature, then it is no miracle, as, for instance, the rising of the sun in the east. And it must accord with a claim, because it is to prove the truth of that which he claims. For if the miracle did not so accord, as in the case of Musaylima the Liar, then it would not prove his veracity. And it is impossible for men to do the like of it, because if it should occur frequently it would not attest (the truth of) prophecy.</w:t>
      </w:r>
    </w:p>
    <w:p>
      <w:pPr>
        <w:pStyle w:val="BookText"/>
        <w:bidi w:val="0"/>
        <w:jc w:val="both"/>
        <w:rPr/>
      </w:pPr>
      <w:r>
        <w:rPr>
          <w:rFonts w:eastAsia="Times New Roman" w:cs="Times New Roman" w:ascii="Times New Roman" w:hAnsi="Times New Roman"/>
          <w:color w:val="111111"/>
          <w:sz w:val="28"/>
          <w:szCs w:val="28"/>
          <w:lang w:val="en-US"/>
        </w:rPr>
        <w:t>161.</w:t>
      </w:r>
    </w:p>
    <w:p>
      <w:pPr>
        <w:pStyle w:val="BookText"/>
        <w:bidi w:val="0"/>
        <w:jc w:val="both"/>
        <w:rPr/>
      </w:pPr>
      <w:r>
        <w:rPr>
          <w:rFonts w:eastAsia="Times New Roman" w:cs="Times New Roman" w:ascii="Times New Roman" w:hAnsi="Times New Roman"/>
          <w:color w:val="111111"/>
          <w:sz w:val="28"/>
          <w:szCs w:val="28"/>
          <w:lang w:val="en-US"/>
        </w:rPr>
        <w:t>Now there is no doubt that miracles were wrought by the hand of our prophet, and this is known by tawatur (trustworthy tradition which has come down by a number of independent lines without a break), which acquaints us with necessary knowledge (‘ilm). And among his miracles is the Gracious Koran with which he challenges (tahadda) men and seeks from them the bringing of its like. But they have not been able to do it. For the eloquent orators of the purest Arabs were impotent, and their impotence even led them to war and fighting which resulted in the loss of their lives and property and the captivity of their wives and children. For since they were better able to defend themselves against that (the miracle of the Koran) because of their mastery of individual words and the arrangement of them, inasmuch as they were people of eloquence and style and speech and oratory and conversation and repartee, their turning back from that to war is a proof of their impotence. For a rational creature will never choose the harder course when the easier is open to him, except when he is impotent to do the easier.</w:t>
      </w:r>
    </w:p>
    <w:p>
      <w:pPr>
        <w:pStyle w:val="BookText"/>
        <w:bidi w:val="0"/>
        <w:jc w:val="both"/>
        <w:rPr/>
      </w:pPr>
      <w:r>
        <w:rPr>
          <w:rFonts w:eastAsia="Times New Roman" w:cs="Times New Roman" w:ascii="Times New Roman" w:hAnsi="Times New Roman"/>
          <w:color w:val="111111"/>
          <w:sz w:val="28"/>
          <w:szCs w:val="28"/>
          <w:lang w:val="en-US"/>
        </w:rPr>
        <w:t>162.</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others of his miracles are the splitting of the moon, and the gushing of water from between his fingers, and the feeding of a great multitude with a little food, and the praising of Allah of pebbles in his hand, and the speech of the poisoned wild calf (warning Muhammad not to eat it), and the moaning of the five-year-old camel (warning him of danger), and the speech of dumb animals, and the telling of things hidden, and the answering of his prayers, and others that cannot be numbered for multitude which are known from books of </w:t>
      </w:r>
      <w:bookmarkStart w:id="117" w:name="pg18967_203213"/>
    </w:p>
    <w:p>
      <w:pPr>
        <w:pStyle w:val="BookText"/>
        <w:bidi w:val="0"/>
        <w:rPr/>
      </w:pPr>
      <w:bookmarkEnd w:id="117"/>
      <w:r>
        <w:rPr>
          <w:rFonts w:eastAsia="Times New Roman" w:cs="Times New Roman" w:ascii="Times New Roman" w:hAnsi="Times New Roman"/>
          <w:color w:val="111111"/>
          <w:sz w:val="28"/>
          <w:szCs w:val="28"/>
          <w:lang w:val="en-US"/>
        </w:rPr>
        <w:t>miracles and history. So that the record of more than one thousand miracles has been preserved, the greatest and most exalted of which is the Mighty Book — “ Falsehood, from whatever side it cometh, shall not come nigh it, it is a missive sent down from the Wise, the Praiseworthy ” (41:42) — which their hearts did not embrace and which their ears did not hear, and by the excessive rejection of which (the like of it) was not produced, and the darkness has not been illumined except by it.</w:t>
      </w:r>
    </w:p>
    <w:p>
      <w:pPr>
        <w:pStyle w:val="BookText"/>
        <w:bidi w:val="0"/>
        <w:jc w:val="both"/>
        <w:rPr/>
      </w:pPr>
      <w:r>
        <w:rPr>
          <w:rFonts w:eastAsia="Times New Roman" w:cs="Times New Roman" w:ascii="Times New Roman" w:hAnsi="Times New Roman"/>
          <w:color w:val="111111"/>
          <w:sz w:val="28"/>
          <w:szCs w:val="28"/>
          <w:lang w:val="en-US"/>
        </w:rPr>
        <w:t>163.</w:t>
      </w:r>
    </w:p>
    <w:p>
      <w:pPr>
        <w:pStyle w:val="BookText"/>
        <w:bidi w:val="0"/>
        <w:jc w:val="both"/>
        <w:rPr/>
      </w:pPr>
      <w:r>
        <w:rPr>
          <w:rFonts w:eastAsia="Times New Roman" w:cs="Times New Roman" w:ascii="Times New Roman" w:hAnsi="Times New Roman"/>
          <w:color w:val="111111"/>
          <w:sz w:val="28"/>
          <w:szCs w:val="28"/>
          <w:lang w:val="en-US"/>
        </w:rPr>
        <w:t>(3) As for the third, if he were not veracious in his claim to be a prophet, then he would be a liar. And that is false, since it would necessitate the inciting of mukallafs to obey a liar, and that is evil which the Wise (Allah) would not commit.</w:t>
      </w:r>
    </w:p>
    <w:p>
      <w:pPr>
        <w:pStyle w:val="Heading3"/>
        <w:numPr>
          <w:ilvl w:val="2"/>
          <w:numId w:val="1"/>
        </w:numPr>
        <w:bidi w:val="0"/>
        <w:jc w:val="left"/>
        <w:rPr/>
      </w:pPr>
      <w:bookmarkStart w:id="118" w:name="__RefHeading___Toc16877102_1280447820"/>
      <w:bookmarkStart w:id="119" w:name="_Toc42"/>
      <w:bookmarkEnd w:id="118"/>
      <w:r>
        <w:rPr/>
        <w:t>(2) The Prophet must be immune to sin (164-166)</w:t>
      </w:r>
      <w:bookmarkEnd w:id="119"/>
    </w:p>
    <w:p>
      <w:pPr>
        <w:pStyle w:val="BookText"/>
        <w:bidi w:val="0"/>
        <w:jc w:val="both"/>
        <w:rPr/>
      </w:pPr>
      <w:r>
        <w:rPr>
          <w:rFonts w:eastAsia="Times New Roman" w:cs="Times New Roman" w:ascii="Times New Roman" w:hAnsi="Times New Roman"/>
          <w:color w:val="111111"/>
          <w:sz w:val="28"/>
          <w:szCs w:val="28"/>
          <w:lang w:val="en-US"/>
        </w:rPr>
        <w:t>164.</w:t>
      </w:r>
    </w:p>
    <w:p>
      <w:pPr>
        <w:pStyle w:val="BookText"/>
        <w:bidi w:val="0"/>
        <w:jc w:val="both"/>
        <w:rPr/>
      </w:pPr>
      <w:r>
        <w:rPr>
          <w:rFonts w:eastAsia="Times New Roman" w:cs="Times New Roman" w:ascii="Times New Roman" w:hAnsi="Times New Roman"/>
          <w:color w:val="111111"/>
          <w:sz w:val="28"/>
          <w:szCs w:val="28"/>
          <w:lang w:val="en-US"/>
        </w:rPr>
        <w:t>(2) SECOND, REGARDING HIS IMMUNITY TO SIN (‘isma). And immunity to sin is a hidden kindness (lutf) which ALLAH the MOST HIGH shows to (the Prophet) on whom he HAS LAID THIS TASK (mukallaf), THAT HE MAY HAVE NO INCENTIVE TO FORSAKE OBEDIENCE AND TO COMMIT SIN (ma‘siya), although he has the power (qudra) to do so. For IF IT WERE NOT SO ONE COULD HAVE NO CONFIDENCE IN HIS WORD. Then the value of his prophetic mission WOULD BE NULLIFIED, AND THAT IS IMPOSSIBLE.</w:t>
      </w:r>
    </w:p>
    <w:p>
      <w:pPr>
        <w:pStyle w:val="BookText"/>
        <w:bidi w:val="0"/>
        <w:jc w:val="both"/>
        <w:rPr/>
      </w:pPr>
      <w:r>
        <w:rPr>
          <w:rFonts w:eastAsia="Times New Roman" w:cs="Times New Roman" w:ascii="Times New Roman" w:hAnsi="Times New Roman"/>
          <w:color w:val="111111"/>
          <w:sz w:val="28"/>
          <w:szCs w:val="28"/>
          <w:lang w:val="en-US"/>
        </w:rPr>
        <w:t>165.</w:t>
      </w:r>
    </w:p>
    <w:p>
      <w:pPr>
        <w:pStyle w:val="BookText"/>
        <w:bidi w:val="0"/>
        <w:jc w:val="both"/>
        <w:rPr/>
      </w:pPr>
      <w:r>
        <w:rPr>
          <w:rFonts w:eastAsia="Times New Roman" w:cs="Times New Roman" w:ascii="Times New Roman" w:hAnsi="Times New Roman"/>
          <w:color w:val="111111"/>
          <w:sz w:val="28"/>
          <w:szCs w:val="28"/>
          <w:lang w:val="en-US"/>
        </w:rPr>
        <w:t>Know that a person immune to sin (ma‘sum) shares with others in the kindnesses which bring men near to Allah. And in addition to that, because of the nature of his soul (malaka nafsaniyya), he enjoys a special form of kindness which Allah bestows upon him, so that because of that he does not choose to forsake obedience and to commit sin, although he has the ability to do so. (An angel does not have that ability.) And some hold that the Ma‘sum cannot commit sin, and this is false, otherwise he would deserve no praise.</w:t>
      </w:r>
    </w:p>
    <w:p>
      <w:pPr>
        <w:pStyle w:val="BookText"/>
        <w:bidi w:val="0"/>
        <w:jc w:val="both"/>
        <w:rPr/>
      </w:pPr>
      <w:r>
        <w:rPr>
          <w:rFonts w:eastAsia="Times New Roman" w:cs="Times New Roman" w:ascii="Times New Roman" w:hAnsi="Times New Roman"/>
          <w:color w:val="111111"/>
          <w:sz w:val="28"/>
          <w:szCs w:val="28"/>
          <w:lang w:val="en-US"/>
        </w:rPr>
        <w:t>166.</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that this is settled, know that there is a difference of opinion regarding the immunity of the prophets to sin. And the Kharijites (al-Khawarij) held that sins (dhunub) were possible for them, and according to them all sin is infidelity. And the Hashwites held that it was possible for them to commit the great sins. And some of them denied </w:t>
      </w:r>
      <w:bookmarkStart w:id="120" w:name="pg18967_203214"/>
    </w:p>
    <w:p>
      <w:pPr>
        <w:pStyle w:val="BookText"/>
        <w:bidi w:val="0"/>
        <w:rPr/>
      </w:pPr>
      <w:bookmarkEnd w:id="120"/>
      <w:r>
        <w:rPr>
          <w:rFonts w:eastAsia="Times New Roman" w:cs="Times New Roman" w:ascii="Times New Roman" w:hAnsi="Times New Roman"/>
          <w:color w:val="111111"/>
          <w:sz w:val="28"/>
          <w:szCs w:val="28"/>
          <w:lang w:val="en-US"/>
        </w:rPr>
        <w:t>(that they committed them) intentionally but not that they committed them unintentionally, and they held that the intentional committing of small sins was possible. And the Ash‘arites denied absolutely that they could commit the great sins, but they allowed the small ones unintentionally committed. And the Imamites have made immunity to all sin, intentional and unintentional, absolutely necessary (wajib), and that is the reality, for two reasons: (1) The first is that to which the author referred, and his explanation is that if the prophets were not ma‘sum the value of their mission would be nullified. And this necessity is false, hence that which necessitates it is false also. And the explanation of this necessity is that when disobedience is possible for them no confidence can be placed in their word, because in this case a lie would be possible (ja’iz) for them. And when no confidence could be placed in them, then their commands and prohibitions would not be obeyed. Then the value of their mission would be nullified, and that is impossible. (2) Second, if sin (dhanb) proceeded from them it would (still) be incumbent to follow them, because tradition teaches that to follow them is incumbent. But that would be impossible, for it would be evil (to follow a man who is a sinner). Hence it is impossible for sin to proceed from them, which is what we sought.</w:t>
      </w:r>
    </w:p>
    <w:p>
      <w:pPr>
        <w:pStyle w:val="Heading3"/>
        <w:numPr>
          <w:ilvl w:val="2"/>
          <w:numId w:val="1"/>
        </w:numPr>
        <w:bidi w:val="0"/>
        <w:jc w:val="left"/>
        <w:rPr/>
      </w:pPr>
      <w:bookmarkStart w:id="121" w:name="__RefHeading___Toc16877104_1280447820"/>
      <w:bookmarkStart w:id="122" w:name="_Toc43"/>
      <w:bookmarkEnd w:id="121"/>
      <w:r>
        <w:rPr/>
        <w:t>(3) The Prophet must be all his life immune to sin (167-169)</w:t>
      </w:r>
      <w:bookmarkEnd w:id="122"/>
    </w:p>
    <w:p>
      <w:pPr>
        <w:pStyle w:val="BookText"/>
        <w:bidi w:val="0"/>
        <w:jc w:val="both"/>
        <w:rPr/>
      </w:pPr>
      <w:r>
        <w:rPr>
          <w:rFonts w:eastAsia="Times New Roman" w:cs="Times New Roman" w:ascii="Times New Roman" w:hAnsi="Times New Roman"/>
          <w:color w:val="111111"/>
          <w:sz w:val="28"/>
          <w:szCs w:val="28"/>
          <w:lang w:val="en-US"/>
        </w:rPr>
        <w:t>167.</w:t>
      </w:r>
    </w:p>
    <w:p>
      <w:pPr>
        <w:pStyle w:val="BookText"/>
        <w:bidi w:val="0"/>
        <w:jc w:val="both"/>
        <w:rPr/>
      </w:pPr>
      <w:r>
        <w:rPr>
          <w:rFonts w:eastAsia="Times New Roman" w:cs="Times New Roman" w:ascii="Times New Roman" w:hAnsi="Times New Roman"/>
          <w:color w:val="111111"/>
          <w:sz w:val="28"/>
          <w:szCs w:val="28"/>
          <w:lang w:val="en-US"/>
        </w:rPr>
        <w:t>(3) Third, he is immune to sin from the first OF HIS LIFE TO THE LAST OF IT, BECAUSE THE HEARTS OF MEN WILL NOT BE BOUND IN OBEDIENCE TO ONE IN WHOM HAS BEEN OBSERVED DURING HIS PAST LIFE VARIOUS SINS GREAT AND SMALL AND THAT WHICH THE SOUL HATES.</w:t>
      </w:r>
    </w:p>
    <w:p>
      <w:pPr>
        <w:pStyle w:val="BookText"/>
        <w:bidi w:val="0"/>
        <w:jc w:val="both"/>
        <w:rPr/>
      </w:pPr>
      <w:r>
        <w:rPr>
          <w:rFonts w:eastAsia="Times New Roman" w:cs="Times New Roman" w:ascii="Times New Roman" w:hAnsi="Times New Roman"/>
          <w:color w:val="111111"/>
          <w:sz w:val="28"/>
          <w:szCs w:val="28"/>
          <w:lang w:val="en-US"/>
        </w:rPr>
        <w:t>168.</w:t>
      </w:r>
    </w:p>
    <w:p>
      <w:pPr>
        <w:pStyle w:val="BookText"/>
        <w:bidi w:val="0"/>
        <w:jc w:val="both"/>
        <w:rPr/>
      </w:pPr>
      <w:r>
        <w:rPr>
          <w:rFonts w:eastAsia="Times New Roman" w:cs="Times New Roman" w:ascii="Times New Roman" w:hAnsi="Times New Roman"/>
          <w:color w:val="111111"/>
          <w:sz w:val="28"/>
          <w:szCs w:val="28"/>
          <w:lang w:val="en-US"/>
        </w:rPr>
        <w:t>Those whom we mentioned (the Ash‘arites) who assert the immunity of the prophets to sin hold that this applies to them only after their inspiration (wahy), though they deny that they were previously guilty of infidelity and repeated sin. And our companions (the Imamites) say that immunity to sin is absolutely necessary (wajib) both before inspiration and after it to the end of life. And the proof of that is what the author mentioned, and it is self-evident.</w:t>
      </w:r>
    </w:p>
    <w:p>
      <w:pPr>
        <w:pStyle w:val="BookText"/>
        <w:bidi w:val="0"/>
        <w:jc w:val="both"/>
        <w:rPr/>
      </w:pPr>
      <w:r>
        <w:rPr>
          <w:rFonts w:eastAsia="Times New Roman" w:cs="Times New Roman" w:ascii="Times New Roman" w:hAnsi="Times New Roman"/>
          <w:color w:val="111111"/>
          <w:sz w:val="28"/>
          <w:szCs w:val="28"/>
          <w:lang w:val="en-US"/>
        </w:rPr>
        <w:t>169.</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that which is found in the Mighty Book (47:21), “ Ask pardon for thy sin (dhanb) ” and in the traditions </w:t>
      </w:r>
      <w:bookmarkStart w:id="123" w:name="pg18967_203215"/>
    </w:p>
    <w:p>
      <w:pPr>
        <w:pStyle w:val="BookText"/>
        <w:bidi w:val="0"/>
        <w:rPr/>
      </w:pPr>
      <w:bookmarkEnd w:id="123"/>
      <w:r>
        <w:rPr>
          <w:rFonts w:eastAsia="Times New Roman" w:cs="Times New Roman" w:ascii="Times New Roman" w:hAnsi="Times New Roman"/>
          <w:color w:val="111111"/>
          <w:sz w:val="28"/>
          <w:szCs w:val="28"/>
          <w:lang w:val="en-US"/>
        </w:rPr>
        <w:t>which might lead one to imagine that they had been guilty of sin involves (only) their leaving the better course (tarku’l-awla). Thus what reason teaches us harmonizes with the veracity of tradition, although all of this which has been mentioned has various aspects and implications. And thou canst read the book, “The Clearing of the Prophets” (Tanzihu’l-Anbiya), which Sayyid Murtada ‘Alamu’l-Huda al-Musawi composed, and other books also, and if I did not fear to prolong the discussion I would quote a sample of it.</w:t>
      </w:r>
    </w:p>
    <w:p>
      <w:pPr>
        <w:pStyle w:val="Heading3"/>
        <w:numPr>
          <w:ilvl w:val="2"/>
          <w:numId w:val="1"/>
        </w:numPr>
        <w:bidi w:val="0"/>
        <w:jc w:val="left"/>
        <w:rPr/>
      </w:pPr>
      <w:bookmarkStart w:id="124" w:name="__RefHeading___Toc16877106_1280447820"/>
      <w:bookmarkStart w:id="125" w:name="_Toc44"/>
      <w:bookmarkEnd w:id="124"/>
      <w:r>
        <w:rPr/>
        <w:t>(4) The Prophet must be the best of the people of his age (170, 171)</w:t>
      </w:r>
      <w:bookmarkEnd w:id="125"/>
    </w:p>
    <w:p>
      <w:pPr>
        <w:pStyle w:val="BookText"/>
        <w:bidi w:val="0"/>
        <w:jc w:val="both"/>
        <w:rPr/>
      </w:pPr>
      <w:r>
        <w:rPr>
          <w:rFonts w:eastAsia="Times New Roman" w:cs="Times New Roman" w:ascii="Times New Roman" w:hAnsi="Times New Roman"/>
          <w:color w:val="111111"/>
          <w:sz w:val="28"/>
          <w:szCs w:val="28"/>
          <w:lang w:val="en-US"/>
        </w:rPr>
        <w:t>170.</w:t>
      </w:r>
    </w:p>
    <w:p>
      <w:pPr>
        <w:pStyle w:val="BookText"/>
        <w:bidi w:val="0"/>
        <w:jc w:val="both"/>
        <w:rPr/>
      </w:pPr>
      <w:r>
        <w:rPr>
          <w:rFonts w:eastAsia="Times New Roman" w:cs="Times New Roman" w:ascii="Times New Roman" w:hAnsi="Times New Roman"/>
          <w:color w:val="111111"/>
          <w:sz w:val="28"/>
          <w:szCs w:val="28"/>
          <w:lang w:val="en-US"/>
        </w:rPr>
        <w:t>(4) Fourth, it is necessary that the prophet be THE BEST (afdal) OF THE PEOPLE OF HIS AGE, BECAUSE IT IS EVIL BOTH BY REASON AND TRADITION FOR AN INFERIOR (al-mafdul) TO HAVE PRECEDENCE OVER A SUPERIOR (al-fadil). ALLAH the MOST HIGH says, “ IS HE THEN WHO GUIDETH INTO THE TRUTH THE MORE WORTHY TO BE FOLLOWED, OR HE WHO GUIDETH NOT UNLESS HE BE HIMSELF GUIDED ? WHAT THEN HATH BEFALLEN YOU THAT YE SO JUDGE ?” (10:36).</w:t>
      </w:r>
    </w:p>
    <w:p>
      <w:pPr>
        <w:pStyle w:val="BookText"/>
        <w:bidi w:val="0"/>
        <w:jc w:val="both"/>
        <w:rPr/>
      </w:pPr>
      <w:r>
        <w:rPr>
          <w:rFonts w:eastAsia="Times New Roman" w:cs="Times New Roman" w:ascii="Times New Roman" w:hAnsi="Times New Roman"/>
          <w:color w:val="111111"/>
          <w:sz w:val="28"/>
          <w:szCs w:val="28"/>
          <w:lang w:val="en-US"/>
        </w:rPr>
        <w:t>171.</w:t>
      </w:r>
    </w:p>
    <w:p>
      <w:pPr>
        <w:pStyle w:val="BookText"/>
        <w:bidi w:val="0"/>
        <w:jc w:val="both"/>
        <w:rPr/>
      </w:pPr>
      <w:r>
        <w:rPr>
          <w:rFonts w:eastAsia="Times New Roman" w:cs="Times New Roman" w:ascii="Times New Roman" w:hAnsi="Times New Roman"/>
          <w:color w:val="111111"/>
          <w:sz w:val="28"/>
          <w:szCs w:val="28"/>
          <w:lang w:val="en-US"/>
        </w:rPr>
        <w:t>It is necessary (wajib) that the Prophet possess all the qualities of perfection and superiority, and it is necessary that he be in that respect superior to and more perfect than every individual of the people of his age. For it is evil, both by reason and tradition, for the Wise and Omniscient (Allah) to give to the inferior who needs perfecting precedence over the superior and the perfecter. (It is evil) by reason, as is evident, since it is evil in the opinion of authorities to make a beginner in jurisprudence take precedence over Ibn ‘Abbas and others like him among the lawyers, or to make a beginner in logic take precedence over Aristotle, or to make a beginner in grammar take precedence over Sibawaihi and al-Khalil, and so in all the sciences. And (it is evil) by tradition, as the Praised One indicated in the verses quoted and in others.</w:t>
      </w:r>
    </w:p>
    <w:p>
      <w:pPr>
        <w:pStyle w:val="Heading3"/>
        <w:numPr>
          <w:ilvl w:val="2"/>
          <w:numId w:val="1"/>
        </w:numPr>
        <w:bidi w:val="0"/>
        <w:jc w:val="left"/>
        <w:rPr/>
      </w:pPr>
      <w:bookmarkStart w:id="126" w:name="__RefHeading___Toc16877108_1280447820"/>
      <w:bookmarkStart w:id="127" w:name="_Toc45"/>
      <w:bookmarkEnd w:id="126"/>
      <w:r>
        <w:rPr/>
        <w:t>(5) The Prophet must be free from all defects (172-173)</w:t>
      </w:r>
      <w:bookmarkEnd w:id="127"/>
    </w:p>
    <w:p>
      <w:pPr>
        <w:pStyle w:val="BookText"/>
        <w:bidi w:val="0"/>
        <w:jc w:val="both"/>
        <w:rPr/>
      </w:pPr>
      <w:r>
        <w:rPr>
          <w:rFonts w:eastAsia="Times New Roman" w:cs="Times New Roman" w:ascii="Times New Roman" w:hAnsi="Times New Roman"/>
          <w:color w:val="111111"/>
          <w:sz w:val="28"/>
          <w:szCs w:val="28"/>
          <w:lang w:val="en-US"/>
        </w:rPr>
        <w:t>172.</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Fifth, it is necessary that he be far removed FROM BASENESS (dana’a) on the part of his male ancestry and from debauchery (‘ihr) of the female, and from defects in his creation and from flaws in creation, SINCE that would BE IMPERFECTION. THEN HE WOULD</w:t>
      </w:r>
    </w:p>
    <w:p>
      <w:pPr>
        <w:pStyle w:val="BookText"/>
        <w:bidi w:val="0"/>
        <w:rPr/>
      </w:pPr>
      <w:r>
        <w:rPr>
          <w:rFonts w:eastAsia="Times New Roman" w:cs="Times New Roman" w:ascii="Times New Roman" w:hAnsi="Times New Roman"/>
          <w:color w:val="111111"/>
          <w:sz w:val="28"/>
          <w:szCs w:val="28"/>
          <w:lang w:val="en-US"/>
        </w:rPr>
        <w:t>LOSE HIS PLACE IN MEN’S HEARTS, AND THAT IS CONTRARY TO WHAT WE ARE SEEKING.</w:t>
      </w:r>
    </w:p>
    <w:p>
      <w:pPr>
        <w:pStyle w:val="BookText"/>
        <w:bidi w:val="0"/>
        <w:jc w:val="both"/>
        <w:rPr/>
      </w:pPr>
      <w:r>
        <w:rPr>
          <w:rFonts w:eastAsia="Times New Roman" w:cs="Times New Roman" w:ascii="Times New Roman" w:hAnsi="Times New Roman"/>
          <w:color w:val="111111"/>
          <w:sz w:val="28"/>
          <w:szCs w:val="28"/>
          <w:lang w:val="en-US"/>
        </w:rPr>
        <w:t>173.</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what is sought in creation is complete attachment (inqiyad) to the prophet and that men’s hearts should welcome him, it is necessary that he possess the qualities that are praiseworthy, such as the perfection of reason and of sagacity and of prudence, and the absence of forgetfulness, and strength of opinion and of vigour and of greatness and of self-restraint and of courage and of generosity and of liberality and of bounty and of kindness and of zeal and of tenderness and of mercy and of humility and of meekness, and so forth, and that he be free from everything which would cause imperfection in Him. And that would be caused either by his relationship to something outside himself, such as the baseness of his fathers and the debauchery of his mothers, or by his relationship to himself, and that is either: (1) in his condition (ahwal), such as eating on the road (an unseemly thing for a prophet), and association with corrupt people, and that he should be a silk-weaver who weaves with his feet, or that he should bleed people, or be a street-sweeper, or have any such base occupation; or (2) in his character (akhlaq), such as rancour and ignorance and malice and envy and harshness and rudeness and avarice and cowardice and covetousness of the world and desire for it and paying attention to the people of the world and excusing them from Allah’s commands and other such faults, or (3) in his nature (tabi‘a), such as leprosy and elephantiasis (judham) and insanity and dumbness and imperfection of mind, for in all this there is imperfection which would cause him to lose his place in men’s hearts.</w:t>
      </w:r>
      <w:bookmarkStart w:id="128" w:name="pg18967_203217"/>
    </w:p>
    <w:p>
      <w:pPr>
        <w:pStyle w:val="Heading2"/>
        <w:numPr>
          <w:ilvl w:val="1"/>
          <w:numId w:val="1"/>
        </w:numPr>
        <w:bidi w:val="0"/>
        <w:jc w:val="left"/>
        <w:rPr/>
      </w:pPr>
      <w:bookmarkStart w:id="129" w:name="__RefHeading___Toc16877110_1280447820"/>
      <w:bookmarkStart w:id="130" w:name="_Toc46"/>
      <w:bookmarkEnd w:id="128"/>
      <w:bookmarkEnd w:id="129"/>
      <w:r>
        <w:rPr/>
        <w:t>VI. Section Six: The Imamate (174-218)</w:t>
      </w:r>
      <w:bookmarkEnd w:id="130"/>
    </w:p>
    <w:p>
      <w:pPr>
        <w:pStyle w:val="Heading3"/>
        <w:numPr>
          <w:ilvl w:val="2"/>
          <w:numId w:val="1"/>
        </w:numPr>
        <w:bidi w:val="0"/>
        <w:jc w:val="left"/>
        <w:rPr/>
      </w:pPr>
      <w:bookmarkStart w:id="131" w:name="__RefHeading___Toc16877112_1280447820"/>
      <w:bookmarkStart w:id="132" w:name="_Toc47"/>
      <w:bookmarkEnd w:id="131"/>
      <w:r>
        <w:rPr>
          <w:rtl w:val="true"/>
        </w:rPr>
        <w:t>اشاره</w:t>
      </w:r>
      <w:bookmarkEnd w:id="132"/>
    </w:p>
    <w:p>
      <w:pPr>
        <w:pStyle w:val="BookText"/>
        <w:bidi w:val="0"/>
        <w:jc w:val="both"/>
        <w:rPr/>
      </w:pPr>
      <w:r>
        <w:rPr>
          <w:rFonts w:eastAsia="Times New Roman" w:cs="Times New Roman" w:ascii="Times New Roman" w:hAnsi="Times New Roman"/>
          <w:color w:val="111111"/>
          <w:sz w:val="28"/>
          <w:szCs w:val="28"/>
          <w:lang w:val="en-US"/>
        </w:rPr>
        <w:t>SECTION VI</w:t>
      </w:r>
    </w:p>
    <w:p>
      <w:pPr>
        <w:pStyle w:val="Heading3"/>
        <w:numPr>
          <w:ilvl w:val="2"/>
          <w:numId w:val="1"/>
        </w:numPr>
        <w:bidi w:val="0"/>
        <w:jc w:val="left"/>
        <w:rPr/>
      </w:pPr>
      <w:bookmarkStart w:id="133" w:name="__RefHeading___Toc16877114_1280447820"/>
      <w:bookmarkStart w:id="134" w:name="_Toc48"/>
      <w:bookmarkEnd w:id="133"/>
      <w:r>
        <w:rPr/>
        <w:t>(1) The Imamate is necessary (174-178)</w:t>
      </w:r>
      <w:bookmarkEnd w:id="134"/>
    </w:p>
    <w:p>
      <w:pPr>
        <w:pStyle w:val="BookText"/>
        <w:bidi w:val="0"/>
        <w:jc w:val="both"/>
        <w:rPr/>
      </w:pPr>
      <w:r>
        <w:rPr>
          <w:rFonts w:eastAsia="Times New Roman" w:cs="Times New Roman" w:ascii="Times New Roman" w:hAnsi="Times New Roman"/>
          <w:color w:val="111111"/>
          <w:sz w:val="28"/>
          <w:szCs w:val="28"/>
          <w:lang w:val="en-US"/>
        </w:rPr>
        <w:t>174.</w:t>
      </w:r>
    </w:p>
    <w:p>
      <w:pPr>
        <w:pStyle w:val="BookText"/>
        <w:bidi w:val="0"/>
        <w:jc w:val="both"/>
        <w:rPr/>
      </w:pPr>
      <w:r>
        <w:rPr>
          <w:rFonts w:eastAsia="Times New Roman" w:cs="Times New Roman" w:ascii="Times New Roman" w:hAnsi="Times New Roman"/>
          <w:color w:val="111111"/>
          <w:sz w:val="28"/>
          <w:szCs w:val="28"/>
          <w:lang w:val="en-US"/>
        </w:rPr>
        <w:t>Concerning the Imamate. And it contains several SUBJECTS FOR DISCUSSION. (1) FIRST, THE IMAMATE IS A UNIVERSAL AUTHORITY (riyasa) IN THE THINGS OF RELIGION AND OF THE WORLD BELONGING TO SOME PERSON AND DERIVED FROM (niyaba) the prophet. And it is necessary (wajib) ACCORDING TO REASON. FOR THE IMAMATE IS A KINDNESS (from Allah) (lutf), and we know absolutely that when men HAVE A CHIEF (ra’is) AND A GUIDE (murshid) whom they OBEY, WHO AVENGES THE OPPRESSED OF HIS OPPRESSOR AND RESTRAINS THE OPPRESSOR FROM HIS OPPRESSION, THEN THEY DRAW NEAR TO SOUNDNESS (salah) AND DEPART FROM CORRUPTION. AND WE HAVE shown previously THAT KINDNESS IS INCUMBENT UPON ALLAH.</w:t>
      </w:r>
    </w:p>
    <w:p>
      <w:pPr>
        <w:pStyle w:val="BookText"/>
        <w:bidi w:val="0"/>
        <w:jc w:val="both"/>
        <w:rPr/>
      </w:pPr>
      <w:r>
        <w:rPr>
          <w:rFonts w:eastAsia="Times New Roman" w:cs="Times New Roman" w:ascii="Times New Roman" w:hAnsi="Times New Roman"/>
          <w:color w:val="111111"/>
          <w:sz w:val="28"/>
          <w:szCs w:val="28"/>
          <w:lang w:val="en-US"/>
        </w:rPr>
        <w:t>175.</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is the discussion of the Imamate, which follows Prophecy, and is a branch of it. Now “ the IMAMATE is a UNIVERSAL AUTHORITY IN THE THINGS OF RELIGION AND OF THE WORLD BELONGING TO A PERSON.” And its being universal is the division (fasl) which distinguishes it from the dominion (wilaya) of judges and vicegerents. And “ in the THINGS OF religion AND OF THE WORLD,” explains that to which it appertains. Hence it concerns the world as well as religion. And its belonging to a person calls attention to two matters: first, he who is worthy of the Imamate is a person appointed and specified by Allah and His Prophet, not any chance person; and second, it is not possible that there be more than one individual at any one period who is worthy of it. And some of the learned (fudala) have added to the definition something regarding its being fundamental (al-isala), and have said in the definition of the Imamate that it is a universal authority in the things of religion and of the world belonging to a person by fundamental right. And in this way they guarded against a vicegerent (na’ib) to whom the Imam would give universal dominion. And such an authority would be </w:t>
      </w:r>
    </w:p>
    <w:p>
      <w:pPr>
        <w:pStyle w:val="BookText"/>
        <w:bidi w:val="0"/>
        <w:rPr/>
      </w:pPr>
      <w:r>
        <w:rPr>
          <w:rFonts w:eastAsia="Times New Roman" w:cs="Times New Roman" w:ascii="Times New Roman" w:hAnsi="Times New Roman"/>
          <w:color w:val="111111"/>
          <w:sz w:val="28"/>
          <w:szCs w:val="28"/>
          <w:lang w:val="en-US"/>
        </w:rPr>
        <w:t>universal, but not fundamentally so. But in reality he would be excluded by the condition of its being universal, for the above-mentioned vicegerent would not have authority over his Imam, and hence his authority would not be universal. And in all this the definition of the Imamate corresponds with that of Prophecy. Hence in this case there must be added to it the words, “ by the right of vicegerency derived from the Prophet,” or “ by means of a man ” (that is, not from Allah direct, but through the mediation of the Prophet).</w:t>
      </w:r>
    </w:p>
    <w:p>
      <w:pPr>
        <w:pStyle w:val="BookText"/>
        <w:bidi w:val="0"/>
        <w:jc w:val="both"/>
        <w:rPr/>
      </w:pPr>
      <w:r>
        <w:rPr>
          <w:rFonts w:eastAsia="Times New Roman" w:cs="Times New Roman" w:ascii="Times New Roman" w:hAnsi="Times New Roman"/>
          <w:color w:val="111111"/>
          <w:sz w:val="28"/>
          <w:szCs w:val="28"/>
          <w:lang w:val="en-US"/>
        </w:rPr>
        <w:t>176.</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thou hast grasped this, then know that men have disagreed as to whether the Imamate is incumbent (wajib) or not. And the Kharijites say that it is not incumbent at all. And the Ash‘arites and Mu‘tazilites say that it is incumbent upon man, but then they disagree. The Ash‘arites say that this is known by tradition, and the Mu‘tazilites say (it is known) by reason. And our companions the Imamites say that it is incumbent upon Allah the Most High by reason, and this is the reality. And the proof of its reality is that the Imamate is a kindness (lutf), and every sort of kindness is incumbent upon Allah the Most High. Hence the Imamate is incumbent upon Allah the Most High. The major premise we have already explained. And the minor premise is that kindness (lutf) such as that which thou hast known (from our previous explanation) is that which brings the creature near to obedience and keeps him far from disobedience, and this idea (ma‘na) is realized by the Imamate. And in explanation of this, (we say that) whoever has known dark experiences and has examined political principles knows of necessity that whenever men have among them a chief and a guide whom they obey, who restrains the oppressor from his oppression and the unjust man from his injustice and avenges the oppressed of his oppressor, and along with that leads them to rational principles and religious duties, and restrains them from the corruptions which cause the destruction of order in their worldly affairs, and from the evils which result in wretchedness in the world to come, so that every individual might fear that punishment, then because of this they will draw near to soundness and depart from corruption. And by lutf we mean</w:t>
      </w:r>
      <w:bookmarkStart w:id="135" w:name="pg18967_203219"/>
    </w:p>
    <w:p>
      <w:pPr>
        <w:pStyle w:val="BookText"/>
        <w:bidi w:val="0"/>
        <w:rPr/>
      </w:pPr>
      <w:bookmarkEnd w:id="135"/>
      <w:r>
        <w:rPr>
          <w:rFonts w:eastAsia="Times New Roman" w:cs="Times New Roman" w:ascii="Times New Roman" w:hAnsi="Times New Roman"/>
          <w:color w:val="111111"/>
          <w:sz w:val="28"/>
          <w:szCs w:val="28"/>
          <w:lang w:val="en-US"/>
        </w:rPr>
        <w:t>nothing except this. Hence the Imamate is lutf, and that is what we sought.</w:t>
      </w:r>
    </w:p>
    <w:p>
      <w:pPr>
        <w:pStyle w:val="BookText"/>
        <w:bidi w:val="0"/>
        <w:jc w:val="both"/>
        <w:rPr/>
      </w:pPr>
      <w:r>
        <w:rPr>
          <w:rFonts w:eastAsia="Times New Roman" w:cs="Times New Roman" w:ascii="Times New Roman" w:hAnsi="Times New Roman"/>
          <w:color w:val="111111"/>
          <w:sz w:val="28"/>
          <w:szCs w:val="28"/>
          <w:lang w:val="en-US"/>
        </w:rPr>
        <w:t>177.</w:t>
      </w:r>
    </w:p>
    <w:p>
      <w:pPr>
        <w:pStyle w:val="BookText"/>
        <w:bidi w:val="0"/>
        <w:jc w:val="both"/>
        <w:rPr/>
      </w:pPr>
      <w:r>
        <w:rPr>
          <w:rFonts w:eastAsia="Times New Roman" w:cs="Times New Roman" w:ascii="Times New Roman" w:hAnsi="Times New Roman"/>
          <w:color w:val="111111"/>
          <w:sz w:val="28"/>
          <w:szCs w:val="28"/>
          <w:lang w:val="en-US"/>
        </w:rPr>
        <w:t>And know that everything which proves (dalla) that Prophecy is necessary proves also that the Imamate is necessary. For the Imamate is the successor (khilafa) of Prophecy and stands in its place (qa’im maqamaha), except in the matter of receiving (talaqqi) divine inspiration (wahy) without a mediator. And in the same way in which Prophecy is incumbent upon Allah the Most High on philosophical grounds, so also is the Imamate.</w:t>
      </w:r>
    </w:p>
    <w:p>
      <w:pPr>
        <w:pStyle w:val="BookText"/>
        <w:bidi w:val="0"/>
        <w:jc w:val="both"/>
        <w:rPr/>
      </w:pPr>
      <w:r>
        <w:rPr>
          <w:rFonts w:eastAsia="Times New Roman" w:cs="Times New Roman" w:ascii="Times New Roman" w:hAnsi="Times New Roman"/>
          <w:color w:val="111111"/>
          <w:sz w:val="28"/>
          <w:szCs w:val="28"/>
          <w:lang w:val="en-US"/>
        </w:rPr>
        <w:t>178.</w:t>
      </w:r>
    </w:p>
    <w:p>
      <w:pPr>
        <w:pStyle w:val="BookText"/>
        <w:bidi w:val="0"/>
        <w:jc w:val="both"/>
        <w:rPr/>
      </w:pPr>
      <w:r>
        <w:rPr>
          <w:rFonts w:eastAsia="Times New Roman" w:cs="Times New Roman" w:ascii="Times New Roman" w:hAnsi="Times New Roman"/>
          <w:color w:val="111111"/>
          <w:sz w:val="28"/>
          <w:szCs w:val="28"/>
          <w:lang w:val="en-US"/>
        </w:rPr>
        <w:t>And those who hold that it is incumbent upon man (khalq) say that it is incumbent upon them to appoint a ruler to guard their persons from harm, for guarding against harm is incumbent. And we say that we have no quarrel with them as to the Imamate’s being a protection from harm and as to its being incumbent. But our quarrel is about their saying that it has been bestowed (tafwid) upon men, for in this case there would be an actual conflict (between Allah and men) regarding the appointment of Imams, and it would result in harm, whereas what is sought is the decrease of harm. And all this is also guarded against by the fact that immunity to sin is a necessary condition (in the Imam), and that his appointment (nass) by the Prophet is necessary.</w:t>
      </w:r>
    </w:p>
    <w:p>
      <w:pPr>
        <w:pStyle w:val="Heading3"/>
        <w:numPr>
          <w:ilvl w:val="2"/>
          <w:numId w:val="1"/>
        </w:numPr>
        <w:bidi w:val="0"/>
        <w:jc w:val="left"/>
        <w:rPr/>
      </w:pPr>
      <w:bookmarkStart w:id="136" w:name="__RefHeading___Toc16877116_1280447820"/>
      <w:bookmarkStart w:id="137" w:name="_Toc49"/>
      <w:bookmarkEnd w:id="136"/>
      <w:r>
        <w:rPr/>
        <w:t>(2) The Imam must be immune to sin (179-185)</w:t>
      </w:r>
      <w:bookmarkEnd w:id="137"/>
    </w:p>
    <w:p>
      <w:pPr>
        <w:pStyle w:val="BookText"/>
        <w:bidi w:val="0"/>
        <w:jc w:val="both"/>
        <w:rPr/>
      </w:pPr>
      <w:r>
        <w:rPr>
          <w:rFonts w:eastAsia="Times New Roman" w:cs="Times New Roman" w:ascii="Times New Roman" w:hAnsi="Times New Roman"/>
          <w:color w:val="111111"/>
          <w:sz w:val="28"/>
          <w:szCs w:val="28"/>
          <w:lang w:val="en-US"/>
        </w:rPr>
        <w:t>179.</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Second, it is necessary that the IMAM BE IMMUNE TO SIN (ma‘sum), otherwise there would be an ENDLESS CHAIN. FOR THE NEED WHICH DEMANDS THE IMAM IS THE RESTRAINING OF THE OPPRESSOR FROM HIS OPPRESSION AND THE AVENGING OF THE OPPRESSED OF HIS OPPRESSOR. NOW IF IT WERE POSSIBLE FOR HIM TO BE NOT IMMUNE TO SIN THEN HE WOULD NEED ANOTHER IMAM, AND THERE WOULD BE AN ENDLESS CHAIN, AND THAT IS IMPOSSIBLE. AND ALSO BECAUSE IF HE COMMITTED SIN (ma‘siya), AND IF IT WERE INCUMBENT UPON MEN TO DISAPPROVE OF HIM, HE WOULD LOSE HIS PLACE IN MEN’S HEARTS, AND THE VALUE OF HIS APPOINTMENT WOULD BE NULLIFIED. AND IF IT WERE NOT NECESSARY (that he be immune to sin), the command to do WHAT IS APPROVED BY ALLAH (al-ma‘ruf) AND THE PRO-</w:t>
      </w:r>
    </w:p>
    <w:p>
      <w:pPr>
        <w:pStyle w:val="BookText"/>
        <w:bidi w:val="0"/>
        <w:rPr/>
      </w:pPr>
      <w:r>
        <w:rPr>
          <w:rFonts w:eastAsia="Times New Roman" w:cs="Times New Roman" w:ascii="Times New Roman" w:hAnsi="Times New Roman"/>
          <w:color w:val="111111"/>
          <w:sz w:val="28"/>
          <w:szCs w:val="28"/>
          <w:lang w:val="en-US"/>
        </w:rPr>
        <w:t>HIBITION AGAINST WHAT IS DISAPPROVED (al-munkar) WOULD CEASE TO BE INCUMBENT, AND THAT IS IMPOSSIBLE. AND ALSO BECAUSE HE IS THE GUARDIAN OF THE LAW, IN WHICH CASE HE MUST BE IMMUNE TO SIN IN ORDER THAT IT BE SAFE FROM ADDITION OR LOSS, AND ALSO BECAUSE OF THE WORD OF THE MOST HIGH, “ MY COVENANT EMBRACETH NOT THE EVILDOERS ” (2:118).</w:t>
      </w:r>
    </w:p>
    <w:p>
      <w:pPr>
        <w:pStyle w:val="BookText"/>
        <w:bidi w:val="0"/>
        <w:jc w:val="both"/>
        <w:rPr/>
      </w:pPr>
      <w:r>
        <w:rPr>
          <w:rFonts w:eastAsia="Times New Roman" w:cs="Times New Roman" w:ascii="Times New Roman" w:hAnsi="Times New Roman"/>
          <w:color w:val="111111"/>
          <w:sz w:val="28"/>
          <w:szCs w:val="28"/>
          <w:lang w:val="en-US"/>
        </w:rPr>
        <w:t>180.</w:t>
      </w:r>
    </w:p>
    <w:p>
      <w:pPr>
        <w:pStyle w:val="BookText"/>
        <w:bidi w:val="0"/>
        <w:jc w:val="both"/>
        <w:rPr/>
      </w:pPr>
      <w:r>
        <w:rPr>
          <w:rFonts w:eastAsia="Times New Roman" w:cs="Times New Roman" w:ascii="Times New Roman" w:hAnsi="Times New Roman"/>
          <w:color w:val="111111"/>
          <w:sz w:val="28"/>
          <w:szCs w:val="28"/>
          <w:lang w:val="en-US"/>
        </w:rPr>
        <w:t>When he had proved that the Imamate is necessary he began to explain the qualities which constitute the necessary condition for the validity of the Imamate. And among them is immunity to sin, the meaning of which thou hast come to know. Now there is a difference of opinion as to its being a necessary condition in the Imam. Our companions the Twelvers and the Isma‘ilites have considered it a necessary condition, as opposed to the other sects (firaq). And the author sought to establish the belief (madhhab) of our companions by several proofs:</w:t>
      </w:r>
    </w:p>
    <w:p>
      <w:pPr>
        <w:pStyle w:val="BookText"/>
        <w:bidi w:val="0"/>
        <w:jc w:val="both"/>
        <w:rPr/>
      </w:pPr>
      <w:r>
        <w:rPr>
          <w:rFonts w:eastAsia="Times New Roman" w:cs="Times New Roman" w:ascii="Times New Roman" w:hAnsi="Times New Roman"/>
          <w:color w:val="111111"/>
          <w:sz w:val="28"/>
          <w:szCs w:val="28"/>
          <w:lang w:val="en-US"/>
        </w:rPr>
        <w:t>181.</w:t>
      </w:r>
    </w:p>
    <w:p>
      <w:pPr>
        <w:pStyle w:val="BookText"/>
        <w:bidi w:val="0"/>
        <w:jc w:val="both"/>
        <w:rPr/>
      </w:pPr>
      <w:r>
        <w:rPr>
          <w:rFonts w:eastAsia="Times New Roman" w:cs="Times New Roman" w:ascii="Times New Roman" w:hAnsi="Times New Roman"/>
          <w:color w:val="111111"/>
          <w:sz w:val="28"/>
          <w:szCs w:val="28"/>
          <w:lang w:val="en-US"/>
        </w:rPr>
        <w:t>(1) First, if the Imam were not immune to sin, then it would be necessary for the number of Imams to be without limit. And that which is necessitated is false, hence that which necessitates it is false also. And in explanation of this necessity — we have already explained the cause which makes us need an Imam, that is, the restraining of the oppressor from his oppression, and the avenging of the oppressed of his oppressor, and the leading of the people to that in which their soundness (salah) consists and turning them away from that which results in their corruption. Then if he were not immune to sin there would be need of another Imam who would restrain him from his error (khata). And we transfer the discussion to that other Imam. Then it would be necessary for the number of Imams to be without limit, and that is false.</w:t>
      </w:r>
    </w:p>
    <w:p>
      <w:pPr>
        <w:pStyle w:val="BookText"/>
        <w:bidi w:val="0"/>
        <w:jc w:val="both"/>
        <w:rPr/>
      </w:pPr>
      <w:r>
        <w:rPr>
          <w:rFonts w:eastAsia="Times New Roman" w:cs="Times New Roman" w:ascii="Times New Roman" w:hAnsi="Times New Roman"/>
          <w:color w:val="111111"/>
          <w:sz w:val="28"/>
          <w:szCs w:val="28"/>
          <w:lang w:val="en-US"/>
        </w:rPr>
        <w:t>182.</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 If he were not immune to sin, then sin would be possible (ja’iz) for him. Let us suppose that he committed sin. Then in this case there would have to follow either the loss of the value of his appointment, or the nullifying (suqut) of his command to do what is approved and his prohibition of what is disapproved. And that which is necessitated is false in both its parts. Hence that which necessitates it is false </w:t>
      </w:r>
    </w:p>
    <w:p>
      <w:pPr>
        <w:pStyle w:val="BookText"/>
        <w:bidi w:val="0"/>
        <w:rPr/>
      </w:pPr>
      <w:r>
        <w:rPr>
          <w:rFonts w:eastAsia="Times New Roman" w:cs="Times New Roman" w:ascii="Times New Roman" w:hAnsi="Times New Roman"/>
          <w:color w:val="111111"/>
          <w:sz w:val="28"/>
          <w:szCs w:val="28"/>
          <w:lang w:val="en-US"/>
        </w:rPr>
        <w:t>also. And in explanation of the necessity (we say that) whenever he commits sin it is either (a) incumbent upon men to disapprove of him, or (b) it is not. From the first alternative (a) it would necessarily follow that he would lose his place in men’s hearts, and that after being a commander (amir) he would have to become obedient to commands (ma’mur), and after being a prohibitor he would have to heed the prohibitions (of others). And in such a case the value sought for in his appointment, namely, the elevation of his place in men’s hearts and their obedience to his commands and prohibitions, would be lost. And from the second alternative (b) it would necessarily follow that his command to do what is approved and his prohibition of what is disapproved would become non-incumbent, and that is false by the agreement of all.</w:t>
      </w:r>
    </w:p>
    <w:p>
      <w:pPr>
        <w:pStyle w:val="BookText"/>
        <w:bidi w:val="0"/>
        <w:jc w:val="both"/>
        <w:rPr/>
      </w:pPr>
      <w:r>
        <w:rPr>
          <w:rFonts w:eastAsia="Times New Roman" w:cs="Times New Roman" w:ascii="Times New Roman" w:hAnsi="Times New Roman"/>
          <w:color w:val="111111"/>
          <w:sz w:val="28"/>
          <w:szCs w:val="28"/>
          <w:lang w:val="en-US"/>
        </w:rPr>
        <w:t>183.</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Third, he is the guardian of the law, and it is incumbent that everyone who is such be immune to sin. (a) First, because the guardian of the law might be either the Book (the Koran), or mutawatir tradition (that which has come down in a number of independent unbroken lines), or agreement (al-ijma‘), or fundamental absolution (al-bara’atu’l-asliyya — e.g., when a Muslim is in doubt as to whether Ramadan is over or not he can pass judgment in his own mind that it is over and proceed to break the fast), or reasoning (qiyas), or tradition that has come down in a single line (khabaru’l-wahid), or istishab (when one is in doubt as to whether something that was clean has become unclean or not, he has the right to say, “ I decree (hukm) that this is clean ” — this is istishab). And no one of these is proper (salih) for guarding the law. The Book and tradition are not, because they do not contain (wafi) all the commandments (ahkam), although in every situation Allah has a command which it is incumbent to know (tahsil). And agreement (ijma‘) is not, for two reasons: first, it is unable to meet most situations, although Allah has a command for (each of) them, and second, on the supposition of the non-existence of one immune to sin, there is in agreement no convincing proof (hujja). Hence agreement is unprofitable, because of the possibility of error in every individual of them, and so in all of them. And Allah the Most</w:t>
      </w:r>
    </w:p>
    <w:p>
      <w:pPr>
        <w:pStyle w:val="BookText"/>
        <w:bidi w:val="0"/>
        <w:rPr/>
      </w:pPr>
      <w:r>
        <w:rPr>
          <w:rFonts w:eastAsia="Times New Roman" w:cs="Times New Roman" w:ascii="Times New Roman" w:hAnsi="Times New Roman"/>
          <w:color w:val="111111"/>
          <w:sz w:val="28"/>
          <w:szCs w:val="28"/>
          <w:lang w:val="en-US"/>
        </w:rPr>
        <w:t>High points to the possibility of error in all of them in His word, “ If he die, therefore, or be slain, will ye turn upon your heels? ” (3:138). And the Prophet said, “ Beware lest after me you refer your affairs to unbelievers ” (namely, Abu Bakr, etc.). And this address is not directed to any except those to whom error is absolutely possible. (That is, in case there is no Imam who is ma‘sum, it is possible for the agreement of believers to result in error.) For man is not forbidden to fly to the sky, because it is absolutely impossible for him to do so.</w:t>
      </w:r>
    </w:p>
    <w:p>
      <w:pPr>
        <w:pStyle w:val="BookText"/>
        <w:bidi w:val="0"/>
        <w:jc w:val="both"/>
        <w:rPr/>
      </w:pPr>
      <w:r>
        <w:rPr>
          <w:rFonts w:eastAsia="Times New Roman" w:cs="Times New Roman" w:ascii="Times New Roman" w:hAnsi="Times New Roman"/>
          <w:color w:val="111111"/>
          <w:sz w:val="28"/>
          <w:szCs w:val="28"/>
          <w:lang w:val="en-US"/>
        </w:rPr>
        <w:t>184.</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fundamental absolution is not able to guard the law, because it requires the removal (irtifa‘) of most of the commandments of the law. And it may be said that what is fundamental (al-asl) is the absolution of man from the obligation (dhimma) of what is incumbent and forbidden. And the three remaining (namely, qiyas, khabaru’l-wahid, and istishab) all are alike in placing importance upon supposition (az-zann), and supposition especially gives no satisfactory knowledge of reality. And the proof for the rejection of qiyas is established, because our law is built upon the difference in things that agree (muttafiqat), such as the incumbence of fasting on the last day of the month of Ramadan and its being forbidden on the first of (the following month) Shawwal, and the agreement in things that differ, such as the obligation to make ablution from both urine and stools, and the agreement of both accidental murder and zihar in requiring atonement (kaffara) (zihar is when a man says to his wife, “ you are as my mother to me.” He then has to make atonement before she becomes lawful to him again). Not only so, but the Lawgiver cut off the hand of the petty thief but not of one who stole large sums (ghasib), and he scourged men for accusing people falsely of adultery and made four female witnesses necessary for it, but not for blasphemy (kufr). And all of this precludes qiyas. And the Prophet of Allah has said, “ After me this people will act some by the Book and some by tradition and some by qiyas, and whenever they do thus then they have gone astray, and have led astray (others), and nothing remains to be the guardian of the law except the Imam.” And that is what we sought. And the Most High</w:t>
      </w:r>
      <w:bookmarkStart w:id="138" w:name="pg18967_203223"/>
    </w:p>
    <w:p>
      <w:pPr>
        <w:pStyle w:val="BookText"/>
        <w:bidi w:val="0"/>
        <w:rPr/>
      </w:pPr>
      <w:bookmarkEnd w:id="138"/>
      <w:r>
        <w:rPr>
          <w:rFonts w:eastAsia="Times New Roman" w:cs="Times New Roman" w:ascii="Times New Roman" w:hAnsi="Times New Roman"/>
          <w:color w:val="111111"/>
          <w:sz w:val="28"/>
          <w:szCs w:val="28"/>
          <w:lang w:val="en-US"/>
        </w:rPr>
        <w:t>Creator has indicated this by His word, “ But if they would report them to the Messenger, and to those who are in authority among them (that is, the Imams), those who desire information would learn it from them ” (4:85). (b) Second, since he is the guardian of the law (he must be immune to sin), for if he were not immune to sin there would be no security against addition and loss and change and interchange in the law. (4) Fourth, everyone who is not immune to sin is unjust (zalim), and nothing unjust is proper for the Imamate. Hence no one who is not immune to sin is fit for the Imamate. And the minor premise is true because an unjust person is one who places anything in a situation other than its own, and one who is not immune to sin is thus. And the major premise is true because of the word of the Most High, “ My covenant embraceth not the evildoers ” (2:118). And the meaning of “ covenant ” is the covenant of the Imamate, for the verse points to that.</w:t>
      </w:r>
    </w:p>
    <w:p>
      <w:pPr>
        <w:pStyle w:val="Heading3"/>
        <w:numPr>
          <w:ilvl w:val="2"/>
          <w:numId w:val="1"/>
        </w:numPr>
        <w:bidi w:val="0"/>
        <w:jc w:val="left"/>
        <w:rPr/>
      </w:pPr>
      <w:bookmarkStart w:id="139" w:name="__RefHeading___Toc16877118_1280447820"/>
      <w:bookmarkStart w:id="140" w:name="_Toc50"/>
      <w:bookmarkEnd w:id="139"/>
      <w:r>
        <w:rPr/>
        <w:t>(3) The Imam must be specified (186-188)</w:t>
      </w:r>
      <w:bookmarkEnd w:id="140"/>
    </w:p>
    <w:p>
      <w:pPr>
        <w:pStyle w:val="BookText"/>
        <w:bidi w:val="0"/>
        <w:jc w:val="both"/>
        <w:rPr/>
      </w:pPr>
      <w:r>
        <w:rPr>
          <w:rFonts w:eastAsia="Times New Roman" w:cs="Times New Roman" w:ascii="Times New Roman" w:hAnsi="Times New Roman"/>
          <w:color w:val="111111"/>
          <w:sz w:val="28"/>
          <w:szCs w:val="28"/>
          <w:lang w:val="en-US"/>
        </w:rPr>
        <w:t>186.</w:t>
      </w:r>
    </w:p>
    <w:p>
      <w:pPr>
        <w:pStyle w:val="BookText"/>
        <w:bidi w:val="0"/>
        <w:jc w:val="both"/>
        <w:rPr/>
      </w:pPr>
      <w:r>
        <w:rPr>
          <w:rFonts w:eastAsia="Times New Roman" w:cs="Times New Roman" w:ascii="Times New Roman" w:hAnsi="Times New Roman"/>
          <w:color w:val="111111"/>
          <w:sz w:val="28"/>
          <w:szCs w:val="28"/>
          <w:lang w:val="en-US"/>
        </w:rPr>
        <w:t>(3) Third, it is necessary that the IMAM BE SPECIFIED (mansus) for (the Imamate), because immunity to sin is a matter of the heart which no one perceives BUT ALLAH the MOST HIGH. HENCE THE SPECIFICATION MUST BE MADE BY ONE WHO KNOWS THAT THE IMAM HAS THE IMMUNITY TO SIN (necessary) for it, or some miracle (mu‘jiza) must be wrought by his hand to prove his VERACITY. (That is, the Imam must be appointed by Allah, not by the people.)</w:t>
      </w:r>
    </w:p>
    <w:p>
      <w:pPr>
        <w:pStyle w:val="BookText"/>
        <w:bidi w:val="0"/>
        <w:jc w:val="both"/>
        <w:rPr/>
      </w:pPr>
      <w:r>
        <w:rPr>
          <w:rFonts w:eastAsia="Times New Roman" w:cs="Times New Roman" w:ascii="Times New Roman" w:hAnsi="Times New Roman"/>
          <w:color w:val="111111"/>
          <w:sz w:val="28"/>
          <w:szCs w:val="28"/>
          <w:lang w:val="en-US"/>
        </w:rPr>
        <w:t>187.</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is a reference to the way of appointing the Imam. And agreement has been reached that in appointing the Imam the specification can be made by Allah and His Prophet, or by a previous Imam in an independent way (without the voice of the people). And verily the disagreement is as to whether or not his appointment (ta‘yin) can be in a way (sabab) that is other than specification (nass) (by Allah and the Prophet). And our companions the Imamites deny that absolutely, and say that there is no way except nass. For we have explained that immunity to sin is a necessary condition of the Imamate. And immunity to sin is a hidden </w:t>
      </w:r>
      <w:bookmarkStart w:id="141" w:name="pg18967_203224"/>
    </w:p>
    <w:p>
      <w:pPr>
        <w:pStyle w:val="BookText"/>
        <w:bidi w:val="0"/>
        <w:rPr/>
      </w:pPr>
      <w:bookmarkEnd w:id="141"/>
      <w:r>
        <w:rPr>
          <w:rFonts w:eastAsia="Times New Roman" w:cs="Times New Roman" w:ascii="Times New Roman" w:hAnsi="Times New Roman"/>
          <w:color w:val="111111"/>
          <w:sz w:val="28"/>
          <w:szCs w:val="28"/>
          <w:lang w:val="en-US"/>
        </w:rPr>
        <w:t>matter, and no one is informed of it except Allah. Hence in such a case no one can know in whom it is (to be found), unless He who knows the unseen (al-ghayb) make it known. And that comes about in two ways: (1) first, by making it known to someone immune to sin, such as the Prophet, and then he tells us of the Imam’s immunity to sin and of his appointment (ta‘yin), (2) second, by the appearance of miracles wrought by his hand to prove his veracity in claiming the Imamate.</w:t>
      </w:r>
    </w:p>
    <w:p>
      <w:pPr>
        <w:pStyle w:val="Heading3"/>
        <w:numPr>
          <w:ilvl w:val="2"/>
          <w:numId w:val="1"/>
        </w:numPr>
        <w:bidi w:val="0"/>
        <w:jc w:val="left"/>
        <w:rPr/>
      </w:pPr>
      <w:bookmarkStart w:id="142" w:name="__RefHeading___Toc16877120_1280447820"/>
      <w:bookmarkStart w:id="143" w:name="_Toc51"/>
      <w:bookmarkEnd w:id="142"/>
      <w:r>
        <w:rPr/>
        <w:t>(4) The Imam must be the best of the people of his age (189-190)</w:t>
      </w:r>
      <w:bookmarkEnd w:id="143"/>
    </w:p>
    <w:p>
      <w:pPr>
        <w:pStyle w:val="BookText"/>
        <w:bidi w:val="0"/>
        <w:jc w:val="both"/>
        <w:rPr/>
      </w:pPr>
      <w:r>
        <w:rPr>
          <w:rFonts w:eastAsia="Times New Roman" w:cs="Times New Roman" w:ascii="Times New Roman" w:hAnsi="Times New Roman"/>
          <w:color w:val="111111"/>
          <w:sz w:val="28"/>
          <w:szCs w:val="28"/>
          <w:lang w:val="en-US"/>
        </w:rPr>
        <w:t>188.</w:t>
      </w:r>
    </w:p>
    <w:p>
      <w:pPr>
        <w:pStyle w:val="BookText"/>
        <w:bidi w:val="0"/>
        <w:jc w:val="both"/>
        <w:rPr/>
      </w:pPr>
      <w:r>
        <w:rPr>
          <w:rFonts w:eastAsia="Times New Roman" w:cs="Times New Roman" w:ascii="Times New Roman" w:hAnsi="Times New Roman"/>
          <w:color w:val="111111"/>
          <w:sz w:val="28"/>
          <w:szCs w:val="28"/>
          <w:lang w:val="en-US"/>
        </w:rPr>
        <w:t>And the Sunnites say that whenever the people (umma) acknowledge any person as chief (baya‘at), and are convinced of his ability (isti‘dad) for it (the Imamate), and his power increases in the regions (khitat) of Islam, he becomes the Imam. And the Zaydites say that any rational ascetic Fatimite who comes forth with the sword and claims the Imamate is the Imam. And the reality is contrary to all of this, for two reasons: first, the Imamate is a succession (khilafa) from Allah and His Messenger, and it cannot be acquired except by the word of them both; and second, the establishing of the Imamate by acknowledging anyone as chief and by his claim to it would result in conflict (fitna), because of the probability that every party would acknowledge some different person as Imam, or that every rational Fatimite would claim the Imamate, and then fightings and struggles would result.</w:t>
      </w:r>
    </w:p>
    <w:p>
      <w:pPr>
        <w:pStyle w:val="BookText"/>
        <w:bidi w:val="0"/>
        <w:jc w:val="both"/>
        <w:rPr/>
      </w:pPr>
      <w:r>
        <w:rPr>
          <w:rFonts w:eastAsia="Times New Roman" w:cs="Times New Roman" w:ascii="Times New Roman" w:hAnsi="Times New Roman"/>
          <w:color w:val="111111"/>
          <w:sz w:val="28"/>
          <w:szCs w:val="28"/>
          <w:lang w:val="en-US"/>
        </w:rPr>
        <w:t>189.</w:t>
      </w:r>
    </w:p>
    <w:p>
      <w:pPr>
        <w:pStyle w:val="BookText"/>
        <w:bidi w:val="0"/>
        <w:jc w:val="both"/>
        <w:rPr/>
      </w:pPr>
      <w:r>
        <w:rPr>
          <w:rFonts w:eastAsia="Times New Roman" w:cs="Times New Roman" w:ascii="Times New Roman" w:hAnsi="Times New Roman"/>
          <w:color w:val="111111"/>
          <w:sz w:val="28"/>
          <w:szCs w:val="28"/>
          <w:lang w:val="en-US"/>
        </w:rPr>
        <w:t>(4) Fourth, it is necessary that the IMAM BE ABSOLUTELY THE BEST (afdal) OF THE PEOPLE, BECAUSE OF WHAT HAS BEEN SAID ABOVE REGARDING THE PROPHET.</w:t>
      </w:r>
    </w:p>
    <w:p>
      <w:pPr>
        <w:pStyle w:val="BookText"/>
        <w:bidi w:val="0"/>
        <w:jc w:val="both"/>
        <w:rPr/>
      </w:pPr>
      <w:r>
        <w:rPr>
          <w:rFonts w:eastAsia="Times New Roman" w:cs="Times New Roman" w:ascii="Times New Roman" w:hAnsi="Times New Roman"/>
          <w:color w:val="111111"/>
          <w:sz w:val="28"/>
          <w:szCs w:val="28"/>
          <w:lang w:val="en-US"/>
        </w:rPr>
        <w:t>190.</w:t>
      </w:r>
    </w:p>
    <w:p>
      <w:pPr>
        <w:pStyle w:val="BookText"/>
        <w:bidi w:val="0"/>
        <w:jc w:val="both"/>
        <w:rPr/>
      </w:pPr>
      <w:r>
        <w:rPr>
          <w:rFonts w:eastAsia="Times New Roman" w:cs="Times New Roman" w:ascii="Times New Roman" w:hAnsi="Times New Roman"/>
          <w:color w:val="111111"/>
          <w:sz w:val="28"/>
          <w:szCs w:val="28"/>
          <w:lang w:val="en-US"/>
        </w:rPr>
        <w:t>It is necessary (wajib) that the Imam be the best of the people of his age, because he takes precedence over (muqaddam) all. And if there were among them one better than he then the worse (mafdul) would have to take precedence over the better, and that would be evil (qabih) according to reason and tradition. And this has been already explained in (the section on) Prophecy (par. 170).</w:t>
      </w:r>
    </w:p>
    <w:p>
      <w:pPr>
        <w:pStyle w:val="Heading3"/>
        <w:numPr>
          <w:ilvl w:val="2"/>
          <w:numId w:val="1"/>
        </w:numPr>
        <w:bidi w:val="0"/>
        <w:jc w:val="left"/>
        <w:rPr/>
      </w:pPr>
      <w:bookmarkStart w:id="144" w:name="__RefHeading___Toc16877122_1280447820"/>
      <w:bookmarkStart w:id="145" w:name="_Toc52"/>
      <w:bookmarkEnd w:id="144"/>
      <w:r>
        <w:rPr/>
        <w:t>(5) The Imams after Muhammad are ‘Ali (191-209) and his eleven descendants (210-218)</w:t>
      </w:r>
      <w:bookmarkEnd w:id="145"/>
    </w:p>
    <w:p>
      <w:pPr>
        <w:pStyle w:val="BookText"/>
        <w:bidi w:val="0"/>
        <w:jc w:val="both"/>
        <w:rPr/>
      </w:pPr>
      <w:r>
        <w:rPr>
          <w:rFonts w:eastAsia="Times New Roman" w:cs="Times New Roman" w:ascii="Times New Roman" w:hAnsi="Times New Roman"/>
          <w:color w:val="111111"/>
          <w:sz w:val="28"/>
          <w:szCs w:val="28"/>
          <w:lang w:val="en-US"/>
        </w:rPr>
        <w:t>191.</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Fifth, the IMAM after the MESSENGER OF ALLAH IS ‘ALI B. ABI TALIB, (1) BECAUSE OF HIS SPECIFICATION (nass)</w:t>
      </w:r>
    </w:p>
    <w:p>
      <w:pPr>
        <w:pStyle w:val="BookText"/>
        <w:bidi w:val="0"/>
        <w:rPr/>
      </w:pPr>
      <w:r>
        <w:rPr>
          <w:rFonts w:eastAsia="Times New Roman" w:cs="Times New Roman" w:ascii="Times New Roman" w:hAnsi="Times New Roman"/>
          <w:color w:val="111111"/>
          <w:sz w:val="28"/>
          <w:szCs w:val="28"/>
          <w:lang w:val="en-US"/>
        </w:rPr>
        <w:t>WHICH HAS COME DOWN IN SEVERAL SEPARATE LINES (mutawatir) FROM THE PROPHET. AND (2) BECAUSE HE IS THE BEST OF THE PEOPLE OF HIS AGE, BY THE WORD OF THE MOST HIGH, “ OURSELVES AND YOURSELVES ” (3:54), AND THE EQUAL OF THE BEST IS THE BEST, AND BECAUSE OF THE PROPHET’S NEED OF HIM IN THE “ CURSING OF ONE ANOTHER ” (mubahala). AND (3) because it is necessary (wajib) for THE IMAM to be immune TO SIN, AND THERE IS NO ONE ELSE BESIDE HIM OF THOSE WHO CLAIM THE IMAMATE WHO IS IMMUNE TO SIN, BY THE AGREEMENT OF ALL. HENCE HE IS THE IMAM. AND (4) because he is the most knowing (a‘lam), for the COMPANIONS CONSULTED HIM ABOUT THEIR PROBLEMS, AND HE DID NOT CONSULT ANY ONE OF THEM; AND BECAUSE OF THE WORD OF THE PROPHET (UPON HIM AND HIS DESCENDANTS BE PEACE!), “ ‘ALI IS THE BEST OF YOUR JUDGES (aqda),” AND JUDGMENT REQUIRES KNOWLEDGE, AND (5) BECAUSE HE IS MORE ASCETIC THAN ANY ONE ELSE, SO THAT HE DIVORCED THE WORLD THREE TIMES.</w:t>
      </w:r>
    </w:p>
    <w:p>
      <w:pPr>
        <w:pStyle w:val="BookText"/>
        <w:bidi w:val="0"/>
        <w:jc w:val="both"/>
        <w:rPr/>
      </w:pPr>
      <w:r>
        <w:rPr>
          <w:rFonts w:eastAsia="Times New Roman" w:cs="Times New Roman" w:ascii="Times New Roman" w:hAnsi="Times New Roman"/>
          <w:color w:val="111111"/>
          <w:sz w:val="28"/>
          <w:szCs w:val="28"/>
          <w:lang w:val="en-US"/>
        </w:rPr>
        <w:t>192.</w:t>
      </w:r>
    </w:p>
    <w:p>
      <w:pPr>
        <w:pStyle w:val="BookText"/>
        <w:bidi w:val="0"/>
        <w:jc w:val="both"/>
        <w:rPr/>
      </w:pPr>
      <w:r>
        <w:rPr>
          <w:rFonts w:eastAsia="Times New Roman" w:cs="Times New Roman" w:ascii="Times New Roman" w:hAnsi="Times New Roman"/>
          <w:color w:val="111111"/>
          <w:sz w:val="28"/>
          <w:szCs w:val="28"/>
          <w:lang w:val="en-US"/>
        </w:rPr>
        <w:t>When he finished the conditions of the Imamate he began on the appointment of the Imam. And men have differed regarding that. And some say that the Imam after the Messenger of Allah was al-‘Abbas b. ‘Abdu’l-Muttalib, because he was his heir. And the multitude of Muslims say that he was Abu Bakr b. Abu Quhafa, because the people chose him. And the Shi‘ites say that he was ‘Ali b. Abi Talib because of the appointment (nass) which came down direct to him (mutawatir) from Allah and His Messenger, and that is the reality. And the author has proved ‘Ali’s right in several ways: (1) First, that consecutive tradition from the word of the Prophet which the Shi‘ites quote regarding the right of ‘Ali, by which certain knowledge can be obtained, namely, “ Greet him as the chief of the believers ” (bi-imrati’l-mu’minin), and, “ Thou art the successor (khalifa) after me,” and other such words which prove what we sought. Hence he is the Imam, and that is what we sought.</w:t>
      </w:r>
    </w:p>
    <w:p>
      <w:pPr>
        <w:pStyle w:val="BookText"/>
        <w:bidi w:val="0"/>
        <w:jc w:val="both"/>
        <w:rPr/>
      </w:pPr>
      <w:r>
        <w:rPr>
          <w:rFonts w:eastAsia="Times New Roman" w:cs="Times New Roman" w:ascii="Times New Roman" w:hAnsi="Times New Roman"/>
          <w:color w:val="111111"/>
          <w:sz w:val="28"/>
          <w:szCs w:val="28"/>
          <w:lang w:val="en-US"/>
        </w:rPr>
        <w:t>193.</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 Second, he is the best of men after the Messenger of God. Then he is the Imam, because it would be evil for the worse to take precedence over the better. And he is </w:t>
      </w:r>
    </w:p>
    <w:p>
      <w:pPr>
        <w:pStyle w:val="BookText"/>
        <w:bidi w:val="0"/>
        <w:rPr/>
      </w:pPr>
      <w:r>
        <w:rPr>
          <w:rFonts w:eastAsia="Times New Roman" w:cs="Times New Roman" w:ascii="Times New Roman" w:hAnsi="Times New Roman"/>
          <w:color w:val="111111"/>
          <w:sz w:val="28"/>
          <w:szCs w:val="28"/>
          <w:lang w:val="en-US"/>
        </w:rPr>
        <w:t>the best for two reasons: (a) first, he is equal to the Prophet. And the prophet is the best (afdal), hence his equal is also the best, otherwise he would not be equal to him. And he is his equal because of the word of the Most High, in the verse of “ cursing one another ” (3:54), “ and ourselves and yourselves.” And the intention (murad) in “ ourselves ” is ‘Ali b. Abi Talib, as is proved by sound tradition. And without doubt the intention is not that his self (nafs) is ‘Ali’s self, because union (ittihad) is false. Hence his intention is “ like him ” and “ equal to him,” as it is said, “ Zayd is as a lion,” that is, is like him in bravery. And since he is equal to him he is the best, and that was what we sought.</w:t>
      </w:r>
    </w:p>
    <w:p>
      <w:pPr>
        <w:pStyle w:val="BookText"/>
        <w:bidi w:val="0"/>
        <w:jc w:val="both"/>
        <w:rPr/>
      </w:pPr>
      <w:r>
        <w:rPr>
          <w:rFonts w:eastAsia="Times New Roman" w:cs="Times New Roman" w:ascii="Times New Roman" w:hAnsi="Times New Roman"/>
          <w:color w:val="111111"/>
          <w:sz w:val="28"/>
          <w:szCs w:val="28"/>
          <w:lang w:val="en-US"/>
        </w:rPr>
        <w:t>194.</w:t>
      </w:r>
    </w:p>
    <w:p>
      <w:pPr>
        <w:pStyle w:val="BookText"/>
        <w:bidi w:val="0"/>
        <w:jc w:val="both"/>
        <w:rPr/>
      </w:pPr>
      <w:r>
        <w:rPr>
          <w:rFonts w:eastAsia="Times New Roman" w:cs="Times New Roman" w:ascii="Times New Roman" w:hAnsi="Times New Roman"/>
          <w:color w:val="111111"/>
          <w:sz w:val="28"/>
          <w:szCs w:val="28"/>
          <w:lang w:val="en-US"/>
        </w:rPr>
        <w:t>(b) Second, in the “ cursing one another ” (incident) the Prophet had need of him, and of no one else of the companions and kindred, in his prayer. And he who was needed is better than anyone else, especially in those great events (that is, the debate with the Christians of Najran) which are among the bases and foundations of (the validity of his) Prophecy.</w:t>
      </w:r>
    </w:p>
    <w:p>
      <w:pPr>
        <w:pStyle w:val="BookText"/>
        <w:bidi w:val="0"/>
        <w:jc w:val="both"/>
        <w:rPr/>
      </w:pPr>
      <w:r>
        <w:rPr>
          <w:rFonts w:eastAsia="Times New Roman" w:cs="Times New Roman" w:ascii="Times New Roman" w:hAnsi="Times New Roman"/>
          <w:color w:val="111111"/>
          <w:sz w:val="28"/>
          <w:szCs w:val="28"/>
          <w:lang w:val="en-US"/>
        </w:rPr>
        <w:t>195.</w:t>
      </w:r>
    </w:p>
    <w:p>
      <w:pPr>
        <w:pStyle w:val="BookText"/>
        <w:bidi w:val="0"/>
        <w:jc w:val="both"/>
        <w:rPr/>
      </w:pPr>
      <w:r>
        <w:rPr>
          <w:rFonts w:eastAsia="Times New Roman" w:cs="Times New Roman" w:ascii="Times New Roman" w:hAnsi="Times New Roman"/>
          <w:color w:val="111111"/>
          <w:sz w:val="28"/>
          <w:szCs w:val="28"/>
          <w:lang w:val="en-US"/>
        </w:rPr>
        <w:t>(3) Third, it is necessary for the Imam to be immune to sin. And no one for whom the Imamate is claimed is immune to sin except ‘Ali. Hence no one but him is Imam. Now the minor premise has already been explained. And the major premise is true, because all are agreed that ‘Abbas and Abu Bakr were not immune to sin. Hence it comes about that he is the Imam. Otherwise agreement would have to be nullified if we established immunity from sin for anyone except him, or else the age would have to be quit of any Imam who was immune to sin, and both (alternatives) are false.</w:t>
      </w:r>
    </w:p>
    <w:p>
      <w:pPr>
        <w:pStyle w:val="BookText"/>
        <w:bidi w:val="0"/>
        <w:jc w:val="both"/>
        <w:rPr/>
      </w:pPr>
      <w:r>
        <w:rPr>
          <w:rFonts w:eastAsia="Times New Roman" w:cs="Times New Roman" w:ascii="Times New Roman" w:hAnsi="Times New Roman"/>
          <w:color w:val="111111"/>
          <w:sz w:val="28"/>
          <w:szCs w:val="28"/>
          <w:lang w:val="en-US"/>
        </w:rPr>
        <w:t>196.</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 Fourth, he is the most knowing of men after the Messenger of Allah, hence he is the Imam. Now he is the most knowing for several reasons: (a) first, he was mighty (shadid) in surmise (hads) and sagacity (dhaka) and in desire (haras) for learning, and he was the constant companion of the Prophet, who was absolutely perfect after Allah the Most High, and had a mighty love for him and a desire to teach him. And whenever these qualities are united in a person </w:t>
      </w:r>
    </w:p>
    <w:p>
      <w:pPr>
        <w:pStyle w:val="BookText"/>
        <w:bidi w:val="0"/>
        <w:rPr/>
      </w:pPr>
      <w:r>
        <w:rPr>
          <w:rFonts w:eastAsia="Times New Roman" w:cs="Times New Roman" w:ascii="Times New Roman" w:hAnsi="Times New Roman"/>
          <w:color w:val="111111"/>
          <w:sz w:val="28"/>
          <w:szCs w:val="28"/>
          <w:lang w:val="en-US"/>
        </w:rPr>
        <w:t>it is necessary (wajib) that he be more knowing than anyone else besides that teacher, and that is self-evident.</w:t>
      </w:r>
    </w:p>
    <w:p>
      <w:pPr>
        <w:pStyle w:val="BookText"/>
        <w:bidi w:val="0"/>
        <w:jc w:val="both"/>
        <w:rPr/>
      </w:pPr>
      <w:r>
        <w:rPr>
          <w:rFonts w:eastAsia="Times New Roman" w:cs="Times New Roman" w:ascii="Times New Roman" w:hAnsi="Times New Roman"/>
          <w:color w:val="111111"/>
          <w:sz w:val="28"/>
          <w:szCs w:val="28"/>
          <w:lang w:val="en-US"/>
        </w:rPr>
        <w:t>197.</w:t>
      </w:r>
    </w:p>
    <w:p>
      <w:pPr>
        <w:pStyle w:val="BookText"/>
        <w:bidi w:val="0"/>
        <w:jc w:val="both"/>
        <w:rPr/>
      </w:pPr>
      <w:r>
        <w:rPr>
          <w:rFonts w:eastAsia="Times New Roman" w:cs="Times New Roman" w:ascii="Times New Roman" w:hAnsi="Times New Roman"/>
          <w:color w:val="111111"/>
          <w:sz w:val="28"/>
          <w:szCs w:val="28"/>
          <w:lang w:val="en-US"/>
        </w:rPr>
        <w:t>(b) Second, the greatest of the doctors among the Companions and the Successors (tabi‘in) used to consult him about the problems which they met and to take his word, and to refer to him contrary to their own opinions (ijtihad), and this is explained in the books of history and biography.</w:t>
      </w:r>
    </w:p>
    <w:p>
      <w:pPr>
        <w:pStyle w:val="BookText"/>
        <w:bidi w:val="0"/>
        <w:jc w:val="both"/>
        <w:rPr/>
      </w:pPr>
      <w:r>
        <w:rPr>
          <w:rFonts w:eastAsia="Times New Roman" w:cs="Times New Roman" w:ascii="Times New Roman" w:hAnsi="Times New Roman"/>
          <w:color w:val="111111"/>
          <w:sz w:val="28"/>
          <w:szCs w:val="28"/>
          <w:lang w:val="en-US"/>
        </w:rPr>
        <w:t>198.</w:t>
      </w:r>
    </w:p>
    <w:p>
      <w:pPr>
        <w:pStyle w:val="BookText"/>
        <w:bidi w:val="0"/>
        <w:jc w:val="both"/>
        <w:rPr/>
      </w:pPr>
      <w:r>
        <w:rPr>
          <w:rFonts w:eastAsia="Times New Roman" w:cs="Times New Roman" w:ascii="Times New Roman" w:hAnsi="Times New Roman"/>
          <w:color w:val="111111"/>
          <w:sz w:val="28"/>
          <w:szCs w:val="28"/>
          <w:lang w:val="en-US"/>
        </w:rPr>
        <w:t>(c) Third, all the masters of the arts (funun) and sciences (‘ulum) refer to him. For the commentators take the word of Ibn ‘Abbas, and he was one of ‘Ali’s disciples, as he said, “ ‘Ali explained for me the ba in bismillah from the beginning to the end of the night.” And the masters of scholastic theology go to him — the Mu‘tazilites, in that they refer to Abu ‘Ali al-Jubba’i, and he in matters of knowledge refers to Abu Hashim b. Muhammad b. al-Hanafiyya, and he refers to his father ‘Ali, and the Ash‘arites, because they refer to Abu’l-Hasan al-Ash‘ari, and he was the disciple of Abu ‘Ali al-Jubba’i, and the Imamites, whose reference to ‘Ali is evident. And if there were nothing else except his word (kalam) in “ Nahju’l-Balagha ” and other books in which are recorded discussions of divinity, the Unity and Justice and Destiny (qada) and Decree (qadar), and the manner of progress on the way to Allah (suluk) and the degrees of real knowledge, and the principles of oratory and the rules of eloquence and other sciences, there would be in it enough to satisfy one who considers and to warn one who thinks. As for the masters of jurisprudence, the reference of the chief of the mujtahids of the various sects to the disciples of ‘Ali is well known. And his wonderful decisions in jurisprudence are mentioned in their own place, such as his decision in the affair of the man who had sworn that he would not loose the chain of his slave that (the other man) might give its weight in silver.</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certain man saw a slave with a chain on his feet, and vowed to give the weight of the chain in silver to the poor if the owner would loose him. The owner refused to take off the chain, and the man did not know how to ascertain the weight of it so that he could pay his vow. ‘Ali told </w:t>
      </w:r>
    </w:p>
    <w:p>
      <w:pPr>
        <w:pStyle w:val="BookText"/>
        <w:bidi w:val="0"/>
        <w:rPr/>
      </w:pPr>
      <w:r>
        <w:rPr>
          <w:rFonts w:eastAsia="Times New Roman" w:cs="Times New Roman" w:ascii="Times New Roman" w:hAnsi="Times New Roman"/>
          <w:color w:val="111111"/>
          <w:sz w:val="28"/>
          <w:szCs w:val="28"/>
          <w:lang w:val="en-US"/>
        </w:rPr>
        <w:t>him to put the slave’s feet in a basin of water, then lift the chains up out of the water, and put in enough silver to make the water rise to where it was before.]</w:t>
      </w:r>
    </w:p>
    <w:p>
      <w:pPr>
        <w:pStyle w:val="BookText"/>
        <w:bidi w:val="0"/>
        <w:jc w:val="both"/>
        <w:rPr/>
      </w:pPr>
      <w:r>
        <w:rPr>
          <w:rFonts w:eastAsia="Times New Roman" w:cs="Times New Roman" w:ascii="Times New Roman" w:hAnsi="Times New Roman"/>
          <w:color w:val="111111"/>
          <w:sz w:val="28"/>
          <w:szCs w:val="28"/>
          <w:lang w:val="en-US"/>
        </w:rPr>
        <w:t>Also his decision in the matter of the owner of the loaves of bread (who did not know how to divide them equitably), and so forth.</w:t>
      </w:r>
    </w:p>
    <w:p>
      <w:pPr>
        <w:pStyle w:val="BookText"/>
        <w:bidi w:val="0"/>
        <w:jc w:val="both"/>
        <w:rPr/>
      </w:pPr>
      <w:r>
        <w:rPr>
          <w:rFonts w:eastAsia="Times New Roman" w:cs="Times New Roman" w:ascii="Times New Roman" w:hAnsi="Times New Roman"/>
          <w:color w:val="111111"/>
          <w:sz w:val="28"/>
          <w:szCs w:val="28"/>
          <w:lang w:val="en-US"/>
        </w:rPr>
        <w:t>199.</w:t>
      </w:r>
    </w:p>
    <w:p>
      <w:pPr>
        <w:pStyle w:val="BookText"/>
        <w:bidi w:val="0"/>
        <w:jc w:val="both"/>
        <w:rPr/>
      </w:pPr>
      <w:r>
        <w:rPr>
          <w:rFonts w:eastAsia="Times New Roman" w:cs="Times New Roman" w:ascii="Times New Roman" w:hAnsi="Times New Roman"/>
          <w:color w:val="111111"/>
          <w:sz w:val="28"/>
          <w:szCs w:val="28"/>
          <w:lang w:val="en-US"/>
        </w:rPr>
        <w:t>(d) Fourth, the word of the Prophet regarding him, “ ‘Ali is the best judge of you all.” Now it is well known that judgment (qada) has need of many sciences. Hence ‘Ali is master of them all.</w:t>
      </w:r>
    </w:p>
    <w:p>
      <w:pPr>
        <w:pStyle w:val="BookText"/>
        <w:bidi w:val="0"/>
        <w:jc w:val="both"/>
        <w:rPr/>
      </w:pPr>
      <w:r>
        <w:rPr>
          <w:rFonts w:eastAsia="Times New Roman" w:cs="Times New Roman" w:ascii="Times New Roman" w:hAnsi="Times New Roman"/>
          <w:color w:val="111111"/>
          <w:sz w:val="28"/>
          <w:szCs w:val="28"/>
          <w:lang w:val="en-US"/>
        </w:rPr>
        <w:t>200.</w:t>
      </w:r>
    </w:p>
    <w:p>
      <w:pPr>
        <w:pStyle w:val="BookText"/>
        <w:bidi w:val="0"/>
        <w:jc w:val="both"/>
        <w:rPr/>
      </w:pPr>
      <w:r>
        <w:rPr>
          <w:rFonts w:eastAsia="Times New Roman" w:cs="Times New Roman" w:ascii="Times New Roman" w:hAnsi="Times New Roman"/>
          <w:color w:val="111111"/>
          <w:sz w:val="28"/>
          <w:szCs w:val="28"/>
          <w:lang w:val="en-US"/>
        </w:rPr>
        <w:t>(e) Fifth, the word of ‘Ali, “ If a cushion be placed for me and I sit upon it, then I will judge (hukm) among the people of the Tawrat according to their Tawrat, and among the people of the Furqan according to their Furqan, and among the people of the Injil according to their Injil, and among the people of the Zabur according to their Zabur. By Allah, there is no verse that has descended by night or by day, in the plain or on the mountain, without my knowing upon whom it has descended and regarding what it has descended.” And this proves his mastery (ihata) of all the divine sciences. And since he is the most knowing he is therefore the one appointed for the Imamate, and that is what was sought.</w:t>
      </w:r>
    </w:p>
    <w:p>
      <w:pPr>
        <w:pStyle w:val="BookText"/>
        <w:bidi w:val="0"/>
        <w:jc w:val="both"/>
        <w:rPr/>
      </w:pPr>
      <w:r>
        <w:rPr>
          <w:rFonts w:eastAsia="Times New Roman" w:cs="Times New Roman" w:ascii="Times New Roman" w:hAnsi="Times New Roman"/>
          <w:color w:val="111111"/>
          <w:sz w:val="28"/>
          <w:szCs w:val="28"/>
          <w:lang w:val="en-US"/>
        </w:rPr>
        <w:t>201.</w:t>
      </w:r>
    </w:p>
    <w:p>
      <w:pPr>
        <w:pStyle w:val="BookText"/>
        <w:bidi w:val="0"/>
        <w:jc w:val="both"/>
        <w:rPr/>
      </w:pPr>
      <w:r>
        <w:rPr>
          <w:rFonts w:eastAsia="Times New Roman" w:cs="Times New Roman" w:ascii="Times New Roman" w:hAnsi="Times New Roman"/>
          <w:color w:val="111111"/>
          <w:sz w:val="28"/>
          <w:szCs w:val="28"/>
          <w:lang w:val="en-US"/>
        </w:rPr>
        <w:t>(5) He is the most ascetic of men after the Prophet of Allah. Hence it comes about that he is the Imam, for the most ascetic is the best. And as for his being the most ascetic, we must examine his words (kalam) regarding asceticism (zuhd), and his sermons and commands and prohibitions, and his shunning the world, the evidences of which are manifest in him (not in word but in deed), so that he divorced the world three times.</w:t>
      </w:r>
    </w:p>
    <w:p>
      <w:pPr>
        <w:pStyle w:val="BookText"/>
        <w:bidi w:val="0"/>
        <w:jc w:val="both"/>
        <w:rPr/>
      </w:pPr>
      <w:r>
        <w:rPr>
          <w:rFonts w:eastAsia="Times New Roman" w:cs="Times New Roman" w:ascii="Times New Roman" w:hAnsi="Times New Roman"/>
          <w:color w:val="111111"/>
          <w:sz w:val="28"/>
          <w:szCs w:val="28"/>
          <w:lang w:val="en-US"/>
        </w:rPr>
        <w:t>[The world came to him in the form of a beautiful maiden, and he pronounced the triple formula of divorce, thereby making her unlawful for him.]</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he shunned worldly pleasures of food and drink and raiment, and he was not known by anyone to be entangled in anything worldly. He even used to lock up his vessel of bread, and when they asked him about that, he said, “ I </w:t>
      </w:r>
    </w:p>
    <w:p>
      <w:pPr>
        <w:pStyle w:val="BookText"/>
        <w:bidi w:val="0"/>
        <w:rPr/>
      </w:pPr>
      <w:r>
        <w:rPr>
          <w:rFonts w:eastAsia="Times New Roman" w:cs="Times New Roman" w:ascii="Times New Roman" w:hAnsi="Times New Roman"/>
          <w:color w:val="111111"/>
          <w:sz w:val="28"/>
          <w:szCs w:val="28"/>
          <w:lang w:val="en-US"/>
        </w:rPr>
        <w:t>fear lest one of my children should put in it some buttered bread.” And the fact that he distributed his own food and his family’s food to the poor and the orphans and the prisoners is a sufficient proof of his asceticism. And a verse of the Koran descended regarding that, proving his excellence and his immunity to sin.</w:t>
      </w:r>
    </w:p>
    <w:p>
      <w:pPr>
        <w:pStyle w:val="BookText"/>
        <w:bidi w:val="0"/>
        <w:jc w:val="both"/>
        <w:rPr/>
      </w:pPr>
      <w:r>
        <w:rPr>
          <w:rFonts w:eastAsia="Times New Roman" w:cs="Times New Roman" w:ascii="Times New Roman" w:hAnsi="Times New Roman"/>
          <w:color w:val="111111"/>
          <w:sz w:val="28"/>
          <w:szCs w:val="28"/>
          <w:lang w:val="en-US"/>
        </w:rPr>
        <w:t>202.</w:t>
      </w:r>
    </w:p>
    <w:p>
      <w:pPr>
        <w:pStyle w:val="BookText"/>
        <w:bidi w:val="0"/>
        <w:jc w:val="both"/>
        <w:rPr/>
      </w:pPr>
      <w:r>
        <w:rPr>
          <w:rFonts w:eastAsia="Times New Roman" w:cs="Times New Roman" w:ascii="Times New Roman" w:hAnsi="Times New Roman"/>
          <w:color w:val="111111"/>
          <w:sz w:val="28"/>
          <w:szCs w:val="28"/>
          <w:lang w:val="en-US"/>
        </w:rPr>
        <w:t>And the proofs of this cannot be numbered for MULTITUDE.</w:t>
      </w:r>
    </w:p>
    <w:p>
      <w:pPr>
        <w:pStyle w:val="BookText"/>
        <w:bidi w:val="0"/>
        <w:jc w:val="both"/>
        <w:rPr/>
      </w:pPr>
      <w:r>
        <w:rPr>
          <w:rFonts w:eastAsia="Times New Roman" w:cs="Times New Roman" w:ascii="Times New Roman" w:hAnsi="Times New Roman"/>
          <w:color w:val="111111"/>
          <w:sz w:val="28"/>
          <w:szCs w:val="28"/>
          <w:lang w:val="en-US"/>
        </w:rPr>
        <w:t>203.</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proofs of the Imamate of ‘Ali are more than can be numbered, so that the author composed a book on the Imamate and named it “ Kitabu’l-Alfayn ” and mentioned in it two thousand proofs for his Imamate. And a multitude of the doctors have composed so many treatises on this subject (fann) that it is impossible to encompass them, but we will mention here some of them to exalt and bless him by remembering his excellences. And they are of several sorts: (1) First, the word of the Most High, “ Verily your protector (wali) is Allah and His Messenger, and those who believe, who observe prayer, and pay the alms of obligation, and who bow in worship ” (5:60). And (the understanding of that) depends on several preliminaries (muqaddamat). (a) First, the lexicographers say that “ Verily ” (innama) is to restrict (hasr) the meaning. The poet said, “ I am a protector, a helper, a brave man, verily either I or one like me will defend their relatives.” And if this verily did not restrict the meaning, then his boast would not be fulfilled. (b) Second, by wali the intention is either the worthiest to control (al-awla bi’t-tasarruf) or the helper (an-nasir), since in this place absolutely no other of the meanings (of wali) is sound. But the second meaning (namely, the helper) is here false, because help does not belong exclusively to those two (Allah and His Messenger). Hence the first (meaning) is singled out. (c) Third, the address is to believers, for what immediately precedes is, “ O ye who believe, should any of you desert his religion ” (5:59). Then He says, “ Verily your wali is Allah and His Messenger.” Hence the pronoun (your) applies in truth to them (believers). (d) Fourth, the intention by “ O ye who believe ” in the verse </w:t>
      </w:r>
    </w:p>
    <w:p>
      <w:pPr>
        <w:pStyle w:val="BookText"/>
        <w:bidi w:val="0"/>
        <w:rPr/>
      </w:pPr>
      <w:r>
        <w:rPr>
          <w:rFonts w:eastAsia="Times New Roman" w:cs="Times New Roman" w:ascii="Times New Roman" w:hAnsi="Times New Roman"/>
          <w:color w:val="111111"/>
          <w:sz w:val="28"/>
          <w:szCs w:val="28"/>
          <w:lang w:val="en-US"/>
        </w:rPr>
        <w:t>is some of the believers, for two reasons: first, if it were not thus, then every individual believer would become wali in his own person in the meaning mentioned (see (a)), and that is false; and second, the description which he gave of them does not apply to all of them, that is, the giving of alms while in the state of bowing in worship (ruku‘), since the phrase expresses a state of being (haliyya). (e) Fifth, the intention by this some is ‘Ali b. Abi Talib exclusively, because of sound tradition and the agreement of most of the commentators that while he was praying a beggar begged him for something, and he gave him his signet ring while he was bowed in worship. And since ‘Ali is the worthiest to control among us, he is singled out to be the Imam. For by Imam we do not mean anything except this.</w:t>
      </w:r>
    </w:p>
    <w:p>
      <w:pPr>
        <w:pStyle w:val="BookText"/>
        <w:bidi w:val="0"/>
        <w:jc w:val="both"/>
        <w:rPr/>
      </w:pPr>
      <w:r>
        <w:rPr>
          <w:rFonts w:eastAsia="Times New Roman" w:cs="Times New Roman" w:ascii="Times New Roman" w:hAnsi="Times New Roman"/>
          <w:color w:val="111111"/>
          <w:sz w:val="28"/>
          <w:szCs w:val="28"/>
          <w:lang w:val="en-US"/>
        </w:rPr>
        <w:t>204.</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Second, a mutawatir tradition has been handed down that when the Prophet returned from the farewell pilgrimage to Mecca he commanded them to alight at the Pool (ghadir) of Khum at noon. And the loads (of the camels) were placed for him in the form of a pulpit. And he addressed the people and called for ‘Ali and lifted him up with his hand and said, “ O people, am I not better (awla) for you than your own souls?” They said, “ Yea, O Prophet of Allah.” He said, “ Let whoever owns me as his master (mawla) own this ‘Ali as his master. O Allah, befriend (wali) whoever befriends him and hate whoever hates him, and help whoever helps ‘Ali and forsake whoever forsakes him, and compass him with reality as he goes about.” And he repeated that to them three times. And the intention in mawla is awla (the better), because the first of the narrative, “ Am I not better for you (awla bikum) ” indicates that. And in the word of the Most High regarding the unbelievers (57:14), “ Your abode the fire — This shall be your master (mawlakum),” the meaning is, “ it is better for you (awla bikum).” And also it is not possible here for mawla to have any other meaning, such as neighbour (al-jar) or releaser of a slave (mu‘tiq) or ally (halif) or nephew, for it is impossible that the Prophet should stand in that time of excessive heat and call the people and inform them of things which did not have</w:t>
      </w:r>
    </w:p>
    <w:p>
      <w:pPr>
        <w:pStyle w:val="BookText"/>
        <w:bidi w:val="0"/>
        <w:rPr/>
      </w:pPr>
      <w:r>
        <w:rPr>
          <w:rFonts w:eastAsia="Times New Roman" w:cs="Times New Roman" w:ascii="Times New Roman" w:hAnsi="Times New Roman"/>
          <w:color w:val="111111"/>
          <w:sz w:val="28"/>
          <w:szCs w:val="28"/>
          <w:lang w:val="en-US"/>
        </w:rPr>
        <w:t>any great value for them, such as that whoever was his neighbour or the releaser of his slave, etc., was ‘Ali’s likewise. And since ‘Ali is the best (awla) among us he is the Imam.</w:t>
      </w:r>
    </w:p>
    <w:p>
      <w:pPr>
        <w:pStyle w:val="BookText"/>
        <w:bidi w:val="0"/>
        <w:jc w:val="both"/>
        <w:rPr/>
      </w:pPr>
      <w:r>
        <w:rPr>
          <w:rFonts w:eastAsia="Times New Roman" w:cs="Times New Roman" w:ascii="Times New Roman" w:hAnsi="Times New Roman"/>
          <w:color w:val="111111"/>
          <w:sz w:val="28"/>
          <w:szCs w:val="28"/>
          <w:lang w:val="en-US"/>
        </w:rPr>
        <w:t>205.</w:t>
      </w:r>
    </w:p>
    <w:p>
      <w:pPr>
        <w:pStyle w:val="BookText"/>
        <w:bidi w:val="0"/>
        <w:jc w:val="both"/>
        <w:rPr/>
      </w:pPr>
      <w:r>
        <w:rPr>
          <w:rFonts w:eastAsia="Times New Roman" w:cs="Times New Roman" w:ascii="Times New Roman" w:hAnsi="Times New Roman"/>
          <w:color w:val="111111"/>
          <w:sz w:val="28"/>
          <w:szCs w:val="28"/>
          <w:lang w:val="en-US"/>
        </w:rPr>
        <w:t>(3) Third, a mutawatir tradition (nass) has come down to us that the Prophet said to ‘Ali, “ Thou hast (received) the same position from me which Harun had from Musa, except that there is no prophet after me.” He confirms for him, therefore, all the degrees (maratib) which Harun had from Musa, and he excepts prophecy. Now one of the positions which Harun received from Musa was that of being his successor (khalifa), although he died before him. And ‘Ali lived after the Messenger of Allah. Hence his succession is established, since there is nothing to cause his displacement (zawal).</w:t>
      </w:r>
    </w:p>
    <w:p>
      <w:pPr>
        <w:pStyle w:val="BookText"/>
        <w:bidi w:val="0"/>
        <w:jc w:val="both"/>
        <w:rPr/>
      </w:pPr>
      <w:r>
        <w:rPr>
          <w:rFonts w:eastAsia="Times New Roman" w:cs="Times New Roman" w:ascii="Times New Roman" w:hAnsi="Times New Roman"/>
          <w:color w:val="111111"/>
          <w:sz w:val="28"/>
          <w:szCs w:val="28"/>
          <w:lang w:val="en-US"/>
        </w:rPr>
        <w:t>206.</w:t>
      </w:r>
    </w:p>
    <w:p>
      <w:pPr>
        <w:pStyle w:val="BookText"/>
        <w:bidi w:val="0"/>
        <w:jc w:val="both"/>
        <w:rPr/>
      </w:pPr>
      <w:r>
        <w:rPr>
          <w:rFonts w:eastAsia="Times New Roman" w:cs="Times New Roman" w:ascii="Times New Roman" w:hAnsi="Times New Roman"/>
          <w:color w:val="111111"/>
          <w:sz w:val="28"/>
          <w:szCs w:val="28"/>
          <w:lang w:val="en-US"/>
        </w:rPr>
        <w:t>(4) Fourth, the word of the Most High, “ O ye who believe! obey Allah and obey the Messenger, and those among you invested with authority ” (4:62). And by “ those invested with authority ” the intention is either one who is known to be immune to sin, or it is not. The second alternative is false by agreement, because it is impossible that Allah should command absolute obedience to one to whom error is possible. Hence the first is singled out. Hence it comes about that he is ‘Ali b. Abi Talib (upon him be peace!), since immunity to sin was not claimed for anyone except him and his descendants. Hence they are the ones intended, and that is what was sought. And this deduction is contained exactly in the word of the Most High, “ Believers! fear Allah and be with the sincere (as-sadiqin) ” (9:120).</w:t>
      </w:r>
    </w:p>
    <w:p>
      <w:pPr>
        <w:pStyle w:val="BookText"/>
        <w:bidi w:val="0"/>
        <w:jc w:val="both"/>
        <w:rPr/>
      </w:pPr>
      <w:r>
        <w:rPr>
          <w:rFonts w:eastAsia="Times New Roman" w:cs="Times New Roman" w:ascii="Times New Roman" w:hAnsi="Times New Roman"/>
          <w:color w:val="111111"/>
          <w:sz w:val="28"/>
          <w:szCs w:val="28"/>
          <w:lang w:val="en-US"/>
        </w:rPr>
        <w:t>207.</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(5) Fifth, he claimed the Imamate, and miracles were wrought by his hand, and whoever is like that is veracious in his claim. Now that he claimed the Imamate is evident, and the records of his words and complaints and quarrels are well known from the books of biography and history, so that when he saw that they had deserted him he sat down in his house and busied himself with collecting the Book of the Lord (the Koran). And when they sought him to acknowledge him as their chief he refused. Then they kindled a fire in his house and forced him to go out. And his sermon entitled Shaqshaqiyya in “ Nahju’l-Balagha ” will suffice to </w:t>
      </w:r>
    </w:p>
    <w:p>
      <w:pPr>
        <w:pStyle w:val="BookText"/>
        <w:bidi w:val="0"/>
        <w:rPr/>
      </w:pPr>
      <w:r>
        <w:rPr>
          <w:rFonts w:eastAsia="Times New Roman" w:cs="Times New Roman" w:ascii="Times New Roman" w:hAnsi="Times New Roman"/>
          <w:color w:val="111111"/>
          <w:sz w:val="28"/>
          <w:szCs w:val="28"/>
          <w:lang w:val="en-US"/>
        </w:rPr>
        <w:t>make thee aware of his complaint in this matter. And the miracles wrought by his hand were many. Among them are the removing of the gate of Khaybar, and conversing with ravenous beasts on the pulpit of Kufa, and the lifting up of a great stone from the mouth of the well when the army could not remove it, and making the sun to go back so that it returned to its place in the heavens, and others which cannot be numbered. And every one who is like that is veracious (sadiq). Hence he is veracious, because of what has been previously said regarding Prophecy.</w:t>
      </w:r>
    </w:p>
    <w:p>
      <w:pPr>
        <w:pStyle w:val="BookText"/>
        <w:bidi w:val="0"/>
        <w:jc w:val="both"/>
        <w:rPr/>
      </w:pPr>
      <w:r>
        <w:rPr>
          <w:rFonts w:eastAsia="Times New Roman" w:cs="Times New Roman" w:ascii="Times New Roman" w:hAnsi="Times New Roman"/>
          <w:color w:val="111111"/>
          <w:sz w:val="28"/>
          <w:szCs w:val="28"/>
          <w:lang w:val="en-US"/>
        </w:rPr>
        <w:t>208.</w:t>
      </w:r>
    </w:p>
    <w:p>
      <w:pPr>
        <w:pStyle w:val="BookText"/>
        <w:bidi w:val="0"/>
        <w:jc w:val="both"/>
        <w:rPr/>
      </w:pPr>
      <w:r>
        <w:rPr>
          <w:rFonts w:eastAsia="Times New Roman" w:cs="Times New Roman" w:ascii="Times New Roman" w:hAnsi="Times New Roman"/>
          <w:color w:val="111111"/>
          <w:sz w:val="28"/>
          <w:szCs w:val="28"/>
          <w:lang w:val="en-US"/>
        </w:rPr>
        <w:t>(6) Sixth, either the Prophet appointed (nass) an Imam, or he did not. The second alternative is false, for two reasons, (a) First, the appointment of an Imam is incumbent upon him, to perfect religion and to appoint its guardian. And if the Messenger of Allah had failed to do that he would have failed in doing what was incumbent (wajib). (b) Second, since his (Muhammad’s) compassion and lovingkindness for the mukallafin and his care for their advantage was so great that he taught them the places of purification (istinja) and impurity (janaba) and other things which are of far less importance than the Imamate, it is impossible that in his wisdom and immunity to sin he should not specify for them him whom they should consult in their problems and in their private affairs and in their needs. Hence the first (alternative — that he appointed an Imam) is singled out (as true). And the mass of the people did not claim that anyone had been appointed except ‘Ali and Abu Bakr. Hence it follows that the one appointed was either ‘Ali or Abu Bakr. And the second alternative is false, hence the first is singled out.</w:t>
      </w:r>
    </w:p>
    <w:p>
      <w:pPr>
        <w:pStyle w:val="BookText"/>
        <w:bidi w:val="0"/>
        <w:jc w:val="both"/>
        <w:rPr/>
      </w:pPr>
      <w:r>
        <w:rPr>
          <w:rFonts w:eastAsia="Times New Roman" w:cs="Times New Roman" w:ascii="Times New Roman" w:hAnsi="Times New Roman"/>
          <w:color w:val="111111"/>
          <w:sz w:val="28"/>
          <w:szCs w:val="28"/>
          <w:lang w:val="en-US"/>
        </w:rPr>
        <w:t>209.</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the second (alternative) is false for several reasons, (a) First, if Abu Bakr was the one appointed, then the dependence of his authority on the acknowledgment (bay‘a) of the people was sin and an impugning of the Imamate. (b) Second, if he was the one appointed, then he would have mentioned that, and would have claimed it at the time when the people acknowledged him, or after it, or before it, since “ there is no (star) after ‘Arus is dead ” (said by a </w:t>
      </w:r>
    </w:p>
    <w:p>
      <w:pPr>
        <w:pStyle w:val="BookText"/>
        <w:bidi w:val="0"/>
        <w:rPr/>
      </w:pPr>
      <w:r>
        <w:rPr>
          <w:rFonts w:eastAsia="Times New Roman" w:cs="Times New Roman" w:ascii="Times New Roman" w:hAnsi="Times New Roman"/>
          <w:color w:val="111111"/>
          <w:sz w:val="28"/>
          <w:szCs w:val="28"/>
          <w:lang w:val="en-US"/>
        </w:rPr>
        <w:t>wife when her husband ‘Arus died). But he did not claim it, hence he was not the one appointed, (c) Third, if he was the one appointed then his asking to be excused from the succession, when he said, “ Excuse me, I am not the best of you when ‘Ali is among you,” was a great sin, for it would have been a rejection of Allah and His Messenger. Hence it would have impugned his Imamate. (d) Fourth, if he had been the one appointed he would not have been in doubt at his death as to his worthiness of the succession. But he was in doubt, so that he said, “ O that I had asked the Messenger whether in this matter the right was with the Ansars or not!” (e) Fifth, if he was the one appointed, the Messenger of Allah would not have commanded him to go out with the army of Usama b. Zayd. For the Messenger of Allah was ill, and his soul had warned him of death, so that he said, “ My soul warns me of my death, and I am about to be taken, because Jibra’il used to present himself to me with the Koran once every year, and this year he presented himself to me with it twice.” And if this were the situation and the Imam were Abu Bakr, then he would not have commanded him not to remain behind Usama. But he urged all to go out, and he cursed all who should stay behind him, and he found fault with them when they remained behind him. (f) Sixth, if there is no one except ‘Ali among those for whom the Imamate is claimed who is fit for it, then he is singled out for it. And the first statement is true because they were all unjust (zalim) because of their previous unbelief, according to the word of the Most High, “ My covenant embraceth not evil doers ” (2:118).</w:t>
      </w:r>
    </w:p>
    <w:p>
      <w:pPr>
        <w:pStyle w:val="BookText"/>
        <w:bidi w:val="0"/>
        <w:jc w:val="both"/>
        <w:rPr/>
      </w:pPr>
      <w:r>
        <w:rPr>
          <w:rFonts w:eastAsia="Times New Roman" w:cs="Times New Roman" w:ascii="Times New Roman" w:hAnsi="Times New Roman"/>
          <w:color w:val="111111"/>
          <w:sz w:val="28"/>
          <w:szCs w:val="28"/>
          <w:lang w:val="en-US"/>
        </w:rPr>
        <w:t>210.</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after him his son AL-HASAN, then AL-HUSAYN, THEN ‘ALI B. AL-HUSAYN, THEN MUHAMMAD B. ‘ALI AL-BAQIR, THEN JA‘FAR B. MUHAMMAD AS-SADIQ, THEN MUSA B. JA‘FAR AL-KAZIM, then ‘ALI B. MUSA AR-RIDA, THEN MUHAMMAD B. ‘ALI AL-JAWAD, then ‘ALI B. MUHAMMAD AL-HADI, THEN AL-HASAN B. ‘ALI AL-‘ASKARI, THEN MUHAMMAD B. AL-HASAN THE LORD OF THE AGE (sahibu’z-zaman) — THE BLESSING OF ALLAH be upon them! Because each one of them who PRECEDED APPOINTED HIS SUCCESSOR, AND BECAUSE OF THE PRECEDING PROOFS.</w:t>
      </w:r>
    </w:p>
    <w:p>
      <w:pPr>
        <w:pStyle w:val="BookText"/>
        <w:bidi w:val="0"/>
        <w:rPr/>
      </w:pPr>
      <w:r>
        <w:rPr>
          <w:rFonts w:eastAsia="Times New Roman" w:cs="Times New Roman" w:ascii="Times New Roman" w:hAnsi="Times New Roman"/>
          <w:color w:val="111111"/>
          <w:sz w:val="28"/>
          <w:szCs w:val="28"/>
          <w:lang w:val="en-US"/>
        </w:rPr>
        <w:t>211.</w:t>
      </w:r>
    </w:p>
    <w:p>
      <w:pPr>
        <w:pStyle w:val="BookText"/>
        <w:bidi w:val="0"/>
        <w:jc w:val="both"/>
        <w:rPr/>
      </w:pPr>
      <w:r>
        <w:rPr>
          <w:rFonts w:eastAsia="Times New Roman" w:cs="Times New Roman" w:ascii="Times New Roman" w:hAnsi="Times New Roman"/>
          <w:color w:val="111111"/>
          <w:sz w:val="28"/>
          <w:szCs w:val="28"/>
          <w:lang w:val="en-US"/>
        </w:rPr>
        <w:t>When he had finished establishing the Imamate of ‘Ali he began to establish the Imamate of the Imams who were steadfast in authority after him. And the proof of that is of several kinds: (1) First, the appointment (nass) of the Prophet (Allah bless him, etc.). And concerning this is his word to Husayn, “ This is my son Husayn, an Imam, the son of an Imam, the brother of an Imam, the father of nine Imams, the ninth of them being the one of them who shall arise (al-qa’im) and the greatest (afdal) of them.” And again (there is) that which Jabir b. ‘Abdu’llah the Ansari related. He said, “ When the word of the Most High descended, ‘ O ye who believe! obey Allah and obey the Messenger and those among you invested with authority ’ (4:62), I said, ‘O Messenger of Allah, we know Allah and obey Him, and we know thee and obey thee, but who are those invested with authority whom Allah has commanded us to obey?’ He said, ‘O Jabir, they are my successors and the possessors of authority after me. The first of them is ‘Ali, then after him is his son al-Hasan, then al-Husayn, then ‘Ali b. al-Husayn, then Muhammad b. ‘Ali (and you will soon see him, O Jabir, and when you see him then give him my greetings), then Ja‘far b. Muhammad, then Musa b. Ja‘far, then ‘Ali b. Musa ar-Rida, then Muhammad b. ‘Ali al-Jawad, then ‘Ali b. Muhammad, then al-Hasan b. ‘Ali, then Muhammad b. al-Hasan (he will fill the earth with equity and justice just as it is (now) full of injustice and oppression).’ ”</w:t>
      </w:r>
    </w:p>
    <w:p>
      <w:pPr>
        <w:pStyle w:val="BookText"/>
        <w:bidi w:val="0"/>
        <w:jc w:val="both"/>
        <w:rPr/>
      </w:pPr>
      <w:r>
        <w:rPr>
          <w:rFonts w:eastAsia="Times New Roman" w:cs="Times New Roman" w:ascii="Times New Roman" w:hAnsi="Times New Roman"/>
          <w:color w:val="111111"/>
          <w:sz w:val="28"/>
          <w:szCs w:val="28"/>
          <w:lang w:val="en-US"/>
        </w:rPr>
        <w:t>212.</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again (there is) that which has been related from the Prophet, that he said that Allah chose Friday from among the days, and the month Ramadan from among the months, and the night of qadr from among the nights. And He chose the prophets from among mankind, and He chose the Messengers from among the prophets, and He chose me from among the messengers, and He chose ‘Ali from me, and He chose al-Hasan and al-Husayn from ‘Ali, and He chose from al-Husayn his executors (awsiya), who are nine of his descendants, who should prevent the erring from leading others astray from their religion, and the destroyers from making their profession, and the ignorant from interpreting. </w:t>
      </w:r>
    </w:p>
    <w:p>
      <w:pPr>
        <w:pStyle w:val="BookText"/>
        <w:bidi w:val="0"/>
        <w:rPr/>
      </w:pPr>
      <w:r>
        <w:rPr>
          <w:rFonts w:eastAsia="Times New Roman" w:cs="Times New Roman" w:ascii="Times New Roman" w:hAnsi="Times New Roman"/>
          <w:color w:val="111111"/>
          <w:sz w:val="28"/>
          <w:szCs w:val="28"/>
          <w:lang w:val="en-US"/>
        </w:rPr>
        <w:t>213.</w:t>
      </w:r>
    </w:p>
    <w:p>
      <w:pPr>
        <w:pStyle w:val="BookText"/>
        <w:bidi w:val="0"/>
        <w:jc w:val="both"/>
        <w:rPr/>
      </w:pPr>
      <w:r>
        <w:rPr>
          <w:rFonts w:eastAsia="Times New Roman" w:cs="Times New Roman" w:ascii="Times New Roman" w:hAnsi="Times New Roman"/>
          <w:color w:val="111111"/>
          <w:sz w:val="28"/>
          <w:szCs w:val="28"/>
          <w:lang w:val="en-US"/>
        </w:rPr>
        <w:t>(2) Second, the appointment by each one of them of his successor, which has come to us by mutawatir traditions, which are too many to be numbered. And the Imamites have related traditions regarding their succession (tabaqat) which are contradictory.</w:t>
      </w:r>
    </w:p>
    <w:p>
      <w:pPr>
        <w:pStyle w:val="BookText"/>
        <w:bidi w:val="0"/>
        <w:jc w:val="both"/>
        <w:rPr/>
      </w:pPr>
      <w:r>
        <w:rPr>
          <w:rFonts w:eastAsia="Times New Roman" w:cs="Times New Roman" w:ascii="Times New Roman" w:hAnsi="Times New Roman"/>
          <w:color w:val="111111"/>
          <w:sz w:val="28"/>
          <w:szCs w:val="28"/>
          <w:lang w:val="en-US"/>
        </w:rPr>
        <w:t>214.</w:t>
      </w:r>
    </w:p>
    <w:p>
      <w:pPr>
        <w:pStyle w:val="BookText"/>
        <w:bidi w:val="0"/>
        <w:jc w:val="both"/>
        <w:rPr/>
      </w:pPr>
      <w:r>
        <w:rPr>
          <w:rFonts w:eastAsia="Times New Roman" w:cs="Times New Roman" w:ascii="Times New Roman" w:hAnsi="Times New Roman"/>
          <w:color w:val="111111"/>
          <w:sz w:val="28"/>
          <w:szCs w:val="28"/>
          <w:lang w:val="en-US"/>
        </w:rPr>
        <w:t>(3) Third, it is necessary that the Imam be immune to sin, and there is no one besides them who is immune to sin. Hence no one besides them is an Imam. The explanation of the first statement has been already given. And the second statement is true by agreement that in the time of each one of them immunity to sin was not claimed for anyone except them. Hence they are the Imams.</w:t>
      </w:r>
    </w:p>
    <w:p>
      <w:pPr>
        <w:pStyle w:val="BookText"/>
        <w:bidi w:val="0"/>
        <w:jc w:val="both"/>
        <w:rPr/>
      </w:pPr>
      <w:r>
        <w:rPr>
          <w:rFonts w:eastAsia="Times New Roman" w:cs="Times New Roman" w:ascii="Times New Roman" w:hAnsi="Times New Roman"/>
          <w:color w:val="111111"/>
          <w:sz w:val="28"/>
          <w:szCs w:val="28"/>
          <w:lang w:val="en-US"/>
        </w:rPr>
        <w:t>215.</w:t>
      </w:r>
    </w:p>
    <w:p>
      <w:pPr>
        <w:pStyle w:val="BookText"/>
        <w:bidi w:val="0"/>
        <w:jc w:val="both"/>
        <w:rPr/>
      </w:pPr>
      <w:r>
        <w:rPr>
          <w:rFonts w:eastAsia="Times New Roman" w:cs="Times New Roman" w:ascii="Times New Roman" w:hAnsi="Times New Roman"/>
          <w:color w:val="111111"/>
          <w:sz w:val="28"/>
          <w:szCs w:val="28"/>
          <w:lang w:val="en-US"/>
        </w:rPr>
        <w:t>(4) Fourth, they are better than anyone else of the people of their time, as is known from the books of biography and history. Hence they are the Imams, because it would be evil for the worse to take precedence over the better.</w:t>
      </w:r>
    </w:p>
    <w:p>
      <w:pPr>
        <w:pStyle w:val="BookText"/>
        <w:bidi w:val="0"/>
        <w:jc w:val="both"/>
        <w:rPr/>
      </w:pPr>
      <w:r>
        <w:rPr>
          <w:rFonts w:eastAsia="Times New Roman" w:cs="Times New Roman" w:ascii="Times New Roman" w:hAnsi="Times New Roman"/>
          <w:color w:val="111111"/>
          <w:sz w:val="28"/>
          <w:szCs w:val="28"/>
          <w:lang w:val="en-US"/>
        </w:rPr>
        <w:t>216.</w:t>
      </w:r>
    </w:p>
    <w:p>
      <w:pPr>
        <w:pStyle w:val="BookText"/>
        <w:bidi w:val="0"/>
        <w:jc w:val="both"/>
        <w:rPr/>
      </w:pPr>
      <w:r>
        <w:rPr>
          <w:rFonts w:eastAsia="Times New Roman" w:cs="Times New Roman" w:ascii="Times New Roman" w:hAnsi="Times New Roman"/>
          <w:color w:val="111111"/>
          <w:sz w:val="28"/>
          <w:szCs w:val="28"/>
          <w:lang w:val="en-US"/>
        </w:rPr>
        <w:t>(5) Fifth, each one of them claimed the Imamate, and miracles were wrought by his hand. Hence he is the Imam. And the explanation of this has preceded, and the Imamites have related their miracles in their books. And there is a book for thee regarding this, “ Khara’iju’l-Jara’ih ” of ar-Rawandi, and other books also on this same subject.</w:t>
      </w:r>
    </w:p>
    <w:p>
      <w:pPr>
        <w:pStyle w:val="BookText"/>
        <w:bidi w:val="0"/>
        <w:jc w:val="both"/>
        <w:rPr/>
      </w:pPr>
      <w:r>
        <w:rPr>
          <w:rFonts w:eastAsia="Times New Roman" w:cs="Times New Roman" w:ascii="Times New Roman" w:hAnsi="Times New Roman"/>
          <w:color w:val="111111"/>
          <w:sz w:val="28"/>
          <w:szCs w:val="28"/>
          <w:lang w:val="en-US"/>
        </w:rPr>
        <w:t>217.</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matter of importance — the Twelfth Imam is alive and existent (mawjud) from the time of his birth (256 a.h.), to the end of the period of taklif. For in every age there must be an Imam immune to sin, because the proofs are universal (‘umum), and beside him there is no one immune to sin. Hence he is the Imam. And the thought that it is unlikely that anyone like him should remain alive is false, for it is possible, especially since it has occurred in previous times to the fortunate (as-su‘ada) and the unfortunate (al-ashqiya) (the saved and the lost) to live longer than he has lived. And the cause of his being hidden is either some advantage which Allah has kept to Himself, or else the number of enemies and the paucity of helpers. For in view of the wisdom of the Most High and the Imam’s immunity to sin it is impossible that Allah’s kindness (lutf) be hindered. Hence it is because of </w:t>
      </w:r>
    </w:p>
    <w:p>
      <w:pPr>
        <w:pStyle w:val="BookText"/>
        <w:bidi w:val="0"/>
        <w:rPr/>
      </w:pPr>
      <w:r>
        <w:rPr>
          <w:rFonts w:eastAsia="Times New Roman" w:cs="Times New Roman" w:ascii="Times New Roman" w:hAnsi="Times New Roman"/>
          <w:color w:val="111111"/>
          <w:sz w:val="28"/>
          <w:szCs w:val="28"/>
          <w:lang w:val="en-US"/>
        </w:rPr>
        <w:t>someone else (that is, the enmity of men), and that is what was sought.</w:t>
      </w:r>
    </w:p>
    <w:p>
      <w:pPr>
        <w:pStyle w:val="BookText"/>
        <w:bidi w:val="0"/>
        <w:jc w:val="both"/>
        <w:rPr/>
      </w:pPr>
      <w:r>
        <w:rPr>
          <w:rFonts w:eastAsia="Times New Roman" w:cs="Times New Roman" w:ascii="Times New Roman" w:hAnsi="Times New Roman"/>
          <w:color w:val="111111"/>
          <w:sz w:val="28"/>
          <w:szCs w:val="28"/>
          <w:lang w:val="en-US"/>
        </w:rPr>
        <w:t>218.</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hasten his joy, and cause us to behold his victory, and make us his helpers and his followers, and sustain us with his obedience and his good pleasure, and protect us from his opposition and his anger, by the Real (al-haqq) and by him who speaks in verity (the Prophet or Imam)!</w:t>
      </w:r>
      <w:bookmarkStart w:id="146" w:name="pg18967_203237"/>
    </w:p>
    <w:p>
      <w:pPr>
        <w:pStyle w:val="Heading2"/>
        <w:numPr>
          <w:ilvl w:val="1"/>
          <w:numId w:val="1"/>
        </w:numPr>
        <w:bidi w:val="0"/>
        <w:jc w:val="left"/>
        <w:rPr/>
      </w:pPr>
      <w:bookmarkStart w:id="147" w:name="__RefHeading___Toc16877124_1280447820"/>
      <w:bookmarkStart w:id="148" w:name="_Toc53"/>
      <w:bookmarkEnd w:id="146"/>
      <w:bookmarkEnd w:id="147"/>
      <w:r>
        <w:rPr/>
        <w:t>VII. Section Seven: The Return (219-244)</w:t>
      </w:r>
      <w:bookmarkEnd w:id="148"/>
    </w:p>
    <w:p>
      <w:pPr>
        <w:pStyle w:val="Heading3"/>
        <w:numPr>
          <w:ilvl w:val="2"/>
          <w:numId w:val="1"/>
        </w:numPr>
        <w:bidi w:val="0"/>
        <w:jc w:val="left"/>
        <w:rPr/>
      </w:pPr>
      <w:bookmarkStart w:id="149" w:name="__RefHeading___Toc16877126_1280447820"/>
      <w:bookmarkStart w:id="150" w:name="_Toc54"/>
      <w:bookmarkEnd w:id="149"/>
      <w:r>
        <w:rPr>
          <w:rtl w:val="true"/>
        </w:rPr>
        <w:t>اشاره</w:t>
      </w:r>
      <w:bookmarkEnd w:id="150"/>
    </w:p>
    <w:p>
      <w:pPr>
        <w:pStyle w:val="BookText"/>
        <w:bidi w:val="0"/>
        <w:jc w:val="both"/>
        <w:rPr/>
      </w:pPr>
      <w:r>
        <w:rPr>
          <w:rFonts w:eastAsia="Times New Roman" w:cs="Times New Roman" w:ascii="Times New Roman" w:hAnsi="Times New Roman"/>
          <w:color w:val="111111"/>
          <w:sz w:val="28"/>
          <w:szCs w:val="28"/>
          <w:lang w:val="en-US"/>
        </w:rPr>
        <w:t>SECTION VII</w:t>
      </w:r>
    </w:p>
    <w:p>
      <w:pPr>
        <w:pStyle w:val="Heading3"/>
        <w:numPr>
          <w:ilvl w:val="2"/>
          <w:numId w:val="1"/>
        </w:numPr>
        <w:bidi w:val="0"/>
        <w:jc w:val="left"/>
        <w:rPr/>
      </w:pPr>
      <w:bookmarkStart w:id="151" w:name="__RefHeading___Toc16877128_1280447820"/>
      <w:bookmarkStart w:id="152" w:name="_Toc55"/>
      <w:bookmarkEnd w:id="151"/>
      <w:r>
        <w:rPr/>
        <w:t>(1) The Resurrection, Bridge, Scales, etc., must be accepted (219-226)</w:t>
      </w:r>
      <w:bookmarkEnd w:id="152"/>
    </w:p>
    <w:p>
      <w:pPr>
        <w:pStyle w:val="BookText"/>
        <w:bidi w:val="0"/>
        <w:jc w:val="both"/>
        <w:rPr/>
      </w:pPr>
      <w:r>
        <w:rPr>
          <w:rFonts w:eastAsia="Times New Roman" w:cs="Times New Roman" w:ascii="Times New Roman" w:hAnsi="Times New Roman"/>
          <w:color w:val="111111"/>
          <w:sz w:val="28"/>
          <w:szCs w:val="28"/>
          <w:lang w:val="en-US"/>
        </w:rPr>
        <w:t>219.</w:t>
      </w:r>
    </w:p>
    <w:p>
      <w:pPr>
        <w:pStyle w:val="BookText"/>
        <w:bidi w:val="0"/>
        <w:jc w:val="both"/>
        <w:rPr/>
      </w:pPr>
      <w:r>
        <w:rPr>
          <w:rFonts w:eastAsia="Times New Roman" w:cs="Times New Roman" w:ascii="Times New Roman" w:hAnsi="Times New Roman"/>
          <w:color w:val="111111"/>
          <w:sz w:val="28"/>
          <w:szCs w:val="28"/>
          <w:lang w:val="en-US"/>
        </w:rPr>
        <w:t>Concerning the Return (al-ma‘ad). The Muslims are AGREED AS TO THE NECESSITY OF THE PHYSICAL (badani) RETURN, BECAUSE IF THERE WERE NO RETURN taklif WOULD BE EVIL, AND BECAUSE IT IS A POSSIBLE THING, AND THE VERACIOUS (the Prophet) has informed us that it is assured — WHENCE IT IS REAL — AND BECAUSE OF THE VERSES WHICH TEACH IT AND WHICH DENY HIM WHO CONTRADICTS IT.</w:t>
      </w:r>
    </w:p>
    <w:p>
      <w:pPr>
        <w:pStyle w:val="BookText"/>
        <w:bidi w:val="0"/>
        <w:jc w:val="both"/>
        <w:rPr/>
      </w:pPr>
      <w:r>
        <w:rPr>
          <w:rFonts w:eastAsia="Times New Roman" w:cs="Times New Roman" w:ascii="Times New Roman" w:hAnsi="Times New Roman"/>
          <w:color w:val="111111"/>
          <w:sz w:val="28"/>
          <w:szCs w:val="28"/>
          <w:lang w:val="en-US"/>
        </w:rPr>
        <w:t>220.Ma‘ad is the time of return, or its place. But what is intended here is the new existence (al-wujuduth-thani) for bodies (ajsad) and their return after their death and decomposition. And it is real and comes to pass, contrary to the philosophers (hukama). And the proof of that is of several kinds: (1) First, the agreement of Muslims regarding it, without any denial of it among them. And their agreement is a convincing proof (hujja). (2) Second, if the ma‘ad were not real then taklif would be evil. And the consequence is false, hence the precedent is false also. And in explanation of the conditional statement — taklif is labour which requires a compensation. Hence labour without recompense would be injustice. But recompense cannot be acquired in the period of taklif. Hence in this case there must be another abode in which the reward for good actions can be acquired, otherwise taklif would be injustice, and that would be evil — and Allah is exalted above that!</w:t>
      </w:r>
    </w:p>
    <w:p>
      <w:pPr>
        <w:pStyle w:val="BookText"/>
        <w:bidi w:val="0"/>
        <w:jc w:val="both"/>
        <w:rPr/>
      </w:pPr>
      <w:r>
        <w:rPr>
          <w:rFonts w:eastAsia="Times New Roman" w:cs="Times New Roman" w:ascii="Times New Roman" w:hAnsi="Times New Roman"/>
          <w:color w:val="111111"/>
          <w:sz w:val="28"/>
          <w:szCs w:val="28"/>
          <w:lang w:val="en-US"/>
        </w:rPr>
        <w:t>221.</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Third, the assembling of bodies is possible, and the Veracious informed us of its occurrence, hence it is real. And it is possible, for the members of a corpse have the capacity of being united and of having life bestowed upon them, otherwise they could not have previously possessed the quality of life. Allah the Most High knows the members of every person, because of what has been previously said as to His knowing all knowable things and His having power to unite them. For that is possible (existence), and Allah the</w:t>
      </w:r>
    </w:p>
    <w:p>
      <w:pPr>
        <w:pStyle w:val="BookText"/>
        <w:bidi w:val="0"/>
        <w:rPr/>
      </w:pPr>
      <w:r>
        <w:rPr>
          <w:rFonts w:eastAsia="Times New Roman" w:cs="Times New Roman" w:ascii="Times New Roman" w:hAnsi="Times New Roman"/>
          <w:color w:val="111111"/>
          <w:sz w:val="28"/>
          <w:szCs w:val="28"/>
          <w:lang w:val="en-US"/>
        </w:rPr>
        <w:t>Most High has power over all possible existences. Hence it is established that the making alive of bodies is possible. And the Veracious informed us of its occurrence, for it is established by mutawatir tradition that the Prophet used to prove the physical ma‘ad and to believe in it. Hence it is real, and that is what was sought. (4) Fourth, the teaching of the Koran that it is established and its denial of one who contradicts it. Hence it is real. And the first proposition is true, for the verses which teach it are many. For instance, the word of the Most High, “ And he meeteth us with arguments, and forgetteth his creation: ‘ Who,’ saith he, ‘ shall give life to bones when they are rotten?’ Say: ‘ He shall give life to them who gave them being at first, for in all creation is he skilled ’ ” (36:78, 79), and other verses.</w:t>
      </w:r>
    </w:p>
    <w:p>
      <w:pPr>
        <w:pStyle w:val="BookText"/>
        <w:bidi w:val="0"/>
        <w:jc w:val="both"/>
        <w:rPr/>
      </w:pPr>
      <w:r>
        <w:rPr>
          <w:rFonts w:eastAsia="Times New Roman" w:cs="Times New Roman" w:ascii="Times New Roman" w:hAnsi="Times New Roman"/>
          <w:color w:val="111111"/>
          <w:sz w:val="28"/>
          <w:szCs w:val="28"/>
          <w:lang w:val="en-US"/>
        </w:rPr>
        <w:t>222.</w:t>
      </w:r>
    </w:p>
    <w:p>
      <w:pPr>
        <w:pStyle w:val="BookText"/>
        <w:bidi w:val="0"/>
        <w:jc w:val="both"/>
        <w:rPr/>
      </w:pPr>
      <w:r>
        <w:rPr>
          <w:rFonts w:eastAsia="Times New Roman" w:cs="Times New Roman" w:ascii="Times New Roman" w:hAnsi="Times New Roman"/>
          <w:color w:val="111111"/>
          <w:sz w:val="28"/>
          <w:szCs w:val="28"/>
          <w:lang w:val="en-US"/>
        </w:rPr>
        <w:t>And the resurrection (ba‘th) OF EVERY ONE TO WHOM A RECOMPENSE MUST BE GIVEN OR WHO MUST GIVE A RECOMPENSE IS NECESSARY (wajib) BY REASON, AND THE RETURN OF EVERY OTHER IS NECESSARY BY TRADITION.</w:t>
      </w:r>
    </w:p>
    <w:p>
      <w:pPr>
        <w:pStyle w:val="BookText"/>
        <w:bidi w:val="0"/>
        <w:jc w:val="both"/>
        <w:rPr/>
      </w:pPr>
      <w:r>
        <w:rPr>
          <w:rFonts w:eastAsia="Times New Roman" w:cs="Times New Roman" w:ascii="Times New Roman" w:hAnsi="Times New Roman"/>
          <w:color w:val="111111"/>
          <w:sz w:val="28"/>
          <w:szCs w:val="28"/>
          <w:lang w:val="en-US"/>
        </w:rPr>
        <w:t>223.</w:t>
      </w:r>
    </w:p>
    <w:p>
      <w:pPr>
        <w:pStyle w:val="BookText"/>
        <w:bidi w:val="0"/>
        <w:jc w:val="both"/>
        <w:rPr/>
      </w:pPr>
      <w:r>
        <w:rPr>
          <w:rFonts w:eastAsia="Times New Roman" w:cs="Times New Roman" w:ascii="Times New Roman" w:hAnsi="Times New Roman"/>
          <w:color w:val="111111"/>
          <w:sz w:val="28"/>
          <w:szCs w:val="28"/>
          <w:lang w:val="en-US"/>
        </w:rPr>
        <w:t>Those whose return is necessary are of two classes, the return of the first of them is necessary by reason and tradition, and everyone who has a right (haqq) to reward or recompense will get his right, and everyone against whom anyone has a right of punishment or recompense will have to give it. And the second class are those who have no right to receive or to give, be they men or some other animals either domestic or wild. And their return is necessary by tradition, because the Koran and mutawatir traditions teach it.</w:t>
      </w:r>
    </w:p>
    <w:p>
      <w:pPr>
        <w:pStyle w:val="BookText"/>
        <w:bidi w:val="0"/>
        <w:jc w:val="both"/>
        <w:rPr/>
      </w:pPr>
      <w:r>
        <w:rPr>
          <w:rFonts w:eastAsia="Times New Roman" w:cs="Times New Roman" w:ascii="Times New Roman" w:hAnsi="Times New Roman"/>
          <w:color w:val="111111"/>
          <w:sz w:val="28"/>
          <w:szCs w:val="28"/>
          <w:lang w:val="en-US"/>
        </w:rPr>
        <w:t>224.</w:t>
      </w:r>
    </w:p>
    <w:p>
      <w:pPr>
        <w:pStyle w:val="BookText"/>
        <w:bidi w:val="0"/>
        <w:jc w:val="both"/>
        <w:rPr/>
      </w:pPr>
      <w:r>
        <w:rPr>
          <w:rFonts w:eastAsia="Times New Roman" w:cs="Times New Roman" w:ascii="Times New Roman" w:hAnsi="Times New Roman"/>
          <w:color w:val="111111"/>
          <w:sz w:val="28"/>
          <w:szCs w:val="28"/>
          <w:lang w:val="en-US"/>
        </w:rPr>
        <w:t>And the acknowledgment OF ALL THAT THE PROPHET TAUGHT IS NECESSARY, SUCH AS THE BRIDGE (Sirat) AND THE SCALES (Mizan) AND THE SPEAKING OF THE MEMBERS (of the body) and the flying OF THE BOOKS. For these THINGS ARE POSSIBLE, AND THE VERACIOUS HAS INFORMED US OF THEM. Hence the confession (i‘tiraf) of them is INCUMBENT.</w:t>
      </w:r>
    </w:p>
    <w:p>
      <w:pPr>
        <w:pStyle w:val="BookText"/>
        <w:bidi w:val="0"/>
        <w:jc w:val="both"/>
        <w:rPr/>
      </w:pPr>
      <w:r>
        <w:rPr>
          <w:rFonts w:eastAsia="Times New Roman" w:cs="Times New Roman" w:ascii="Times New Roman" w:hAnsi="Times New Roman"/>
          <w:color w:val="111111"/>
          <w:sz w:val="28"/>
          <w:szCs w:val="28"/>
          <w:lang w:val="en-US"/>
        </w:rPr>
        <w:t>225.</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Since the Prophetship and Immunity to sin of our Prophet are established, it is also established that he is </w:t>
      </w:r>
      <w:bookmarkStart w:id="153" w:name="pg18967_203239"/>
    </w:p>
    <w:p>
      <w:pPr>
        <w:pStyle w:val="BookText"/>
        <w:bidi w:val="0"/>
        <w:rPr/>
      </w:pPr>
      <w:bookmarkEnd w:id="153"/>
      <w:r>
        <w:rPr>
          <w:rFonts w:eastAsia="Times New Roman" w:cs="Times New Roman" w:ascii="Times New Roman" w:hAnsi="Times New Roman"/>
          <w:color w:val="111111"/>
          <w:sz w:val="28"/>
          <w:szCs w:val="28"/>
          <w:lang w:val="en-US"/>
        </w:rPr>
        <w:t>VERACIOUS in all that he taught, whether it be the obligation (wujub) of the physical resurrection or of other things. Hence the acknowledgment of all of them is necessary.</w:t>
      </w:r>
    </w:p>
    <w:p>
      <w:pPr>
        <w:pStyle w:val="BookText"/>
        <w:bidi w:val="0"/>
        <w:jc w:val="both"/>
        <w:rPr/>
      </w:pPr>
      <w:r>
        <w:rPr>
          <w:rFonts w:eastAsia="Times New Roman" w:cs="Times New Roman" w:ascii="Times New Roman" w:hAnsi="Times New Roman"/>
          <w:color w:val="111111"/>
          <w:sz w:val="28"/>
          <w:szCs w:val="28"/>
          <w:lang w:val="en-US"/>
        </w:rPr>
        <w:t>225.</w:t>
      </w:r>
    </w:p>
    <w:p>
      <w:pPr>
        <w:pStyle w:val="BookText"/>
        <w:bidi w:val="0"/>
        <w:jc w:val="both"/>
        <w:rPr/>
      </w:pPr>
      <w:r>
        <w:rPr>
          <w:rFonts w:eastAsia="Times New Roman" w:cs="Times New Roman" w:ascii="Times New Roman" w:hAnsi="Times New Roman"/>
          <w:color w:val="111111"/>
          <w:sz w:val="28"/>
          <w:szCs w:val="28"/>
          <w:lang w:val="en-US"/>
        </w:rPr>
        <w:t>THE BLESSINGS OF ALLAH BE UPON HIM AND UPON HIS DESCENDANTS AND HIS COMPANIONS — THE FAVOUR OF THE PRAISEWORTHY, THE JUST! VERACIOUS in everything which he related, whether it be (1) previous to his age, as what he related of the previous prophets and their peoples and of former generations, and so forth; or (2) in his own age, as what he related of the incumbence of the things incumbent and the unlawfulness of things unlawful and the preference (nadb) of things preferable and the appointing of the Imams, and other information; or (3) after his age, either (a) in the world of taklif, as what he said to ‘Ali, “ After me thou shalt fight with the covenant-breakers (an-nakithun) and the wrongdoers (al-qasitun) and the heretics (al-mariqun),” or (b) after taklif, such as the states of death and what is after it, namely, punishment in the grave and the Bridge and the Scales and rewards and the speaking of the members and the flying of the books and the states of the rising up (qiyama) and the nature of the assembling of bodies and the states of the mukallaf in the resurrection. And it is incumbent to acknowledge and attest all that, because it is all possible and there is no impossibility about it. And the Veracious has informed us of its occurrence, hence it is real.</w:t>
      </w:r>
    </w:p>
    <w:p>
      <w:pPr>
        <w:pStyle w:val="Heading3"/>
        <w:numPr>
          <w:ilvl w:val="2"/>
          <w:numId w:val="1"/>
        </w:numPr>
        <w:bidi w:val="0"/>
        <w:jc w:val="left"/>
        <w:rPr/>
      </w:pPr>
      <w:bookmarkStart w:id="154" w:name="__RefHeading___Toc16877130_1280447820"/>
      <w:bookmarkStart w:id="155" w:name="_Toc56"/>
      <w:bookmarkEnd w:id="154"/>
      <w:r>
        <w:rPr/>
        <w:t>(2) Reward and Punishment (226-236)</w:t>
      </w:r>
      <w:bookmarkEnd w:id="155"/>
    </w:p>
    <w:p>
      <w:pPr>
        <w:pStyle w:val="BookText"/>
        <w:bidi w:val="0"/>
        <w:jc w:val="both"/>
        <w:rPr/>
      </w:pPr>
      <w:r>
        <w:rPr>
          <w:rFonts w:eastAsia="Times New Roman" w:cs="Times New Roman" w:ascii="Times New Roman" w:hAnsi="Times New Roman"/>
          <w:color w:val="111111"/>
          <w:sz w:val="28"/>
          <w:szCs w:val="28"/>
          <w:lang w:val="en-US"/>
        </w:rPr>
        <w:t>226.</w:t>
      </w:r>
    </w:p>
    <w:p>
      <w:pPr>
        <w:pStyle w:val="BookText"/>
        <w:bidi w:val="0"/>
        <w:jc w:val="both"/>
        <w:rPr/>
      </w:pPr>
      <w:r>
        <w:rPr>
          <w:rFonts w:eastAsia="Times New Roman" w:cs="Times New Roman" w:ascii="Times New Roman" w:hAnsi="Times New Roman"/>
          <w:color w:val="111111"/>
          <w:sz w:val="28"/>
          <w:szCs w:val="28"/>
          <w:lang w:val="en-US"/>
        </w:rPr>
        <w:t>And other things are reward (thawab) and punishment (‘iqab). And the explanation of these things (that is, the extent of the reward and punishment) which has been handed down is from the side of the law (that is, not by reason) — may ALLAH bless the lawgiver!</w:t>
      </w:r>
    </w:p>
    <w:p>
      <w:pPr>
        <w:pStyle w:val="BookText"/>
        <w:bidi w:val="0"/>
        <w:jc w:val="both"/>
        <w:rPr/>
      </w:pPr>
      <w:r>
        <w:rPr>
          <w:rFonts w:eastAsia="Times New Roman" w:cs="Times New Roman" w:ascii="Times New Roman" w:hAnsi="Times New Roman"/>
          <w:color w:val="111111"/>
          <w:sz w:val="28"/>
          <w:szCs w:val="28"/>
          <w:lang w:val="en-US"/>
        </w:rPr>
        <w:t>227.</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means that among the number of things which the Prophet taught are reward and punishment. And there has been a difference of opinion as to whether they are known by reason or tradition. The Ash‘arites say that they are known by tradition. And some of the Mu‘tazilites say that reward is known by tradition, because acts of obedience are not proportionate to their reward and are not sufficient to merit the great favours which He shows us, in view of which no one is worthy of reward. And that is the belief (madhhab) of al-Balkhi. And the Mu‘tazilites of Baghdad say it is by reason, because taklif demands it, and because of His word, “ In recompense (jaza) of their labours past ” (66:23). And the </w:t>
      </w:r>
    </w:p>
    <w:p>
      <w:pPr>
        <w:pStyle w:val="BookText"/>
        <w:bidi w:val="0"/>
        <w:rPr/>
      </w:pPr>
      <w:r>
        <w:rPr>
          <w:rFonts w:eastAsia="Times New Roman" w:cs="Times New Roman" w:ascii="Times New Roman" w:hAnsi="Times New Roman"/>
          <w:color w:val="111111"/>
          <w:sz w:val="28"/>
          <w:szCs w:val="28"/>
          <w:lang w:val="en-US"/>
        </w:rPr>
        <w:t>Mu‘tazilites hold that punishment is necessary (wajib) irrevocably (hatman) for the unbeliever and the person guilty of a great sin. And our belief (madhhab) is that which has been stated above, which proves the necessity of reward by reason. And as for punishment, even though it includes kindness (lutf — in preventing sinning), its occurrence in the case of one who is not an unbeliever who dies in his unbelief (namely, in the case of a believer who dies in great sin) is not fixed (that is, such a one shall not remain in hell).</w:t>
      </w:r>
    </w:p>
    <w:p>
      <w:pPr>
        <w:pStyle w:val="BookText"/>
        <w:bidi w:val="0"/>
        <w:jc w:val="both"/>
        <w:rPr/>
      </w:pPr>
      <w:r>
        <w:rPr>
          <w:rFonts w:eastAsia="Times New Roman" w:cs="Times New Roman" w:ascii="Times New Roman" w:hAnsi="Times New Roman"/>
          <w:color w:val="111111"/>
          <w:sz w:val="28"/>
          <w:szCs w:val="28"/>
          <w:lang w:val="en-US"/>
        </w:rPr>
        <w:t>228.</w:t>
      </w:r>
    </w:p>
    <w:p>
      <w:pPr>
        <w:pStyle w:val="BookText"/>
        <w:bidi w:val="0"/>
        <w:jc w:val="both"/>
        <w:rPr/>
      </w:pPr>
      <w:r>
        <w:rPr>
          <w:rFonts w:eastAsia="Times New Roman" w:cs="Times New Roman" w:ascii="Times New Roman" w:hAnsi="Times New Roman"/>
          <w:color w:val="111111"/>
          <w:sz w:val="28"/>
          <w:szCs w:val="28"/>
          <w:lang w:val="en-US"/>
        </w:rPr>
        <w:t>And there are here several matters of importance: (1) First, one deserves reward and praise for doing what is incumbent (wajib) and preferable (mandub) and what is opposed to evil, and for forsaking evil, on the condition that he does what is incumbent because it is incumbent or because of the reward (wajh) of its being incumbent, and (that he does) what is preferable and what is opposed to evil, and forsakes evil, in the same way. And he deserves blame for doing evil and forsaking what is incumbent.</w:t>
      </w:r>
    </w:p>
    <w:p>
      <w:pPr>
        <w:pStyle w:val="BookText"/>
        <w:bidi w:val="0"/>
        <w:jc w:val="both"/>
        <w:rPr/>
      </w:pPr>
      <w:r>
        <w:rPr>
          <w:rFonts w:eastAsia="Times New Roman" w:cs="Times New Roman" w:ascii="Times New Roman" w:hAnsi="Times New Roman"/>
          <w:color w:val="111111"/>
          <w:sz w:val="28"/>
          <w:szCs w:val="28"/>
          <w:lang w:val="en-US"/>
        </w:rPr>
        <w:t>229.</w:t>
      </w:r>
    </w:p>
    <w:p>
      <w:pPr>
        <w:pStyle w:val="BookText"/>
        <w:bidi w:val="0"/>
        <w:jc w:val="both"/>
        <w:rPr/>
      </w:pPr>
      <w:r>
        <w:rPr>
          <w:rFonts w:eastAsia="Times New Roman" w:cs="Times New Roman" w:ascii="Times New Roman" w:hAnsi="Times New Roman"/>
          <w:color w:val="111111"/>
          <w:sz w:val="28"/>
          <w:szCs w:val="28"/>
          <w:lang w:val="en-US"/>
        </w:rPr>
        <w:t>(2) Second, the continuance of merited reward and punishment is absolutely necessary in the case of one who dies in faith and of one who dies in unbelief, because of the continuance of praise and blame for what they deserve, and (because) the opposite of each of them comes into effect if it be not continuous (if there is not reward there must be punishment), since there is no middle ground between them, and they must of necessity be pure from the blending of the opposite, otherwise we will not understand them properly. And it is necessary that reward be accompanied by exaltation and punishment by contempt, for he who obeys is worthy of exaltation absolutely, and he who commits sin is worthy of contempt absolutely.</w:t>
      </w:r>
    </w:p>
    <w:p>
      <w:pPr>
        <w:pStyle w:val="BookText"/>
        <w:bidi w:val="0"/>
        <w:jc w:val="both"/>
        <w:rPr/>
      </w:pPr>
      <w:r>
        <w:rPr>
          <w:rFonts w:eastAsia="Times New Roman" w:cs="Times New Roman" w:ascii="Times New Roman" w:hAnsi="Times New Roman"/>
          <w:color w:val="111111"/>
          <w:sz w:val="28"/>
          <w:szCs w:val="28"/>
          <w:lang w:val="en-US"/>
        </w:rPr>
        <w:t>230.</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 Third, it is possible for the deserving of reward to depend upon a condition, since if it did not, then he who knew Allah the Most High but did not know the Prophet would be worthy of reward, and that is false. Hence (reward) is conditioned upon fulfilment (muwafat), according to the word of the Most High, “ Verily, if thou join partners with Allah, vain shall be all thy work ” (39:65). And His word, </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whoever of you shall turn from his religion and die an infidel, their works shall be fruitless in this world, and in the next: they shall be consigned to the fire ” (2:214).</w:t>
      </w:r>
    </w:p>
    <w:p>
      <w:pPr>
        <w:pStyle w:val="BookText"/>
        <w:bidi w:val="0"/>
        <w:jc w:val="both"/>
        <w:rPr/>
      </w:pPr>
      <w:r>
        <w:rPr>
          <w:rFonts w:eastAsia="Times New Roman" w:cs="Times New Roman" w:ascii="Times New Roman" w:hAnsi="Times New Roman"/>
          <w:color w:val="111111"/>
          <w:sz w:val="28"/>
          <w:szCs w:val="28"/>
          <w:lang w:val="en-US"/>
        </w:rPr>
        <w:t>231.</w:t>
      </w:r>
    </w:p>
    <w:p>
      <w:pPr>
        <w:pStyle w:val="BookText"/>
        <w:bidi w:val="0"/>
        <w:jc w:val="both"/>
        <w:rPr/>
      </w:pPr>
      <w:r>
        <w:rPr>
          <w:rFonts w:eastAsia="Times New Roman" w:cs="Times New Roman" w:ascii="Times New Roman" w:hAnsi="Times New Roman"/>
          <w:color w:val="111111"/>
          <w:sz w:val="28"/>
          <w:szCs w:val="28"/>
          <w:lang w:val="en-US"/>
        </w:rPr>
        <w:t>(4) Fourth, “ they who believe and who clothe not their faith with error ” (6:82), they are worthy of lasting reward absolutely; and “ they who are infidels and die infidels ” (2:156), they are worthy of lasting punishment absolutely; and he who believed, “ and with an action that is right . . . mixed with another that is wrong ” (9:103), if the wrong was a small sin then it is forgiven him, by the agreement of all, and if it was a great sin, then he either (a) repented, and then is absolutely of those who are rewarded, by the agreement of all; or (b) he did not repent of it, in which case he either deserves reward for his faith, or he does not, and the second alternative is false, because it would result in injustice, and because of the word of the Most High, “ And whoever shall have wrought an atom’s weight of good shall behold it ” (99:7). Hence the first is appointed (that is, he deserves reward). Then either (a) reward comes first, and afterwards he is punished, which is false by the agreement of all that whoever enters the Garden will not come out of it. Hence in this case (the doctrine of) punishment would have to be false, or (b) he is first punished, then rewarded, and that is what was sought. And (this is true) because of the word of the Prophet about those who came out of the fire (looking) like charcoal. And when the people of the Garden see them they will say, “ These are the people of Hell.” Then they will be commanded to wash themselves in the Spring of Life, and they will come out with their faces like the moon on the night when it is full.</w:t>
      </w:r>
    </w:p>
    <w:p>
      <w:pPr>
        <w:pStyle w:val="BookText"/>
        <w:bidi w:val="0"/>
        <w:jc w:val="both"/>
        <w:rPr/>
      </w:pPr>
      <w:r>
        <w:rPr>
          <w:rFonts w:eastAsia="Times New Roman" w:cs="Times New Roman" w:ascii="Times New Roman" w:hAnsi="Times New Roman"/>
          <w:color w:val="111111"/>
          <w:sz w:val="28"/>
          <w:szCs w:val="28"/>
          <w:lang w:val="en-US"/>
        </w:rPr>
        <w:t>232.</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as for the verses which teach the punishment of the disobedient and the wicked and their abiding in the fire — now the intention in abiding (khulud) is a long stay, and it is frequently used in this sense. And the intention in wicked and disobedient is those who are perfect (kamil) in their wickedness and disobedience, and they are the unbelievers (al-kuffar), by reason of the word of the Most High, “ These are the Infidels, the Impure ” (80:42), thus reconciling this verse with the verses which teach that punishment belongs exclusively to </w:t>
      </w:r>
    </w:p>
    <w:p>
      <w:pPr>
        <w:pStyle w:val="BookText"/>
        <w:bidi w:val="0"/>
        <w:rPr/>
      </w:pPr>
      <w:r>
        <w:rPr>
          <w:rFonts w:eastAsia="Times New Roman" w:cs="Times New Roman" w:ascii="Times New Roman" w:hAnsi="Times New Roman"/>
          <w:color w:val="111111"/>
          <w:sz w:val="28"/>
          <w:szCs w:val="28"/>
          <w:lang w:val="en-US"/>
        </w:rPr>
        <w:t>the unbelievers, as for instance the word of the Most High, “ Verily, this day shall shame and evil fall upon the infidels ” (16:29), and other verses.</w:t>
      </w:r>
    </w:p>
    <w:p>
      <w:pPr>
        <w:pStyle w:val="BookText"/>
        <w:bidi w:val="0"/>
        <w:jc w:val="both"/>
        <w:rPr/>
      </w:pPr>
      <w:r>
        <w:rPr>
          <w:rFonts w:eastAsia="Times New Roman" w:cs="Times New Roman" w:ascii="Times New Roman" w:hAnsi="Times New Roman"/>
          <w:color w:val="111111"/>
          <w:sz w:val="28"/>
          <w:szCs w:val="28"/>
          <w:lang w:val="en-US"/>
        </w:rPr>
        <w:t>233.</w:t>
      </w:r>
    </w:p>
    <w:p>
      <w:pPr>
        <w:pStyle w:val="BookText"/>
        <w:bidi w:val="0"/>
        <w:jc w:val="both"/>
        <w:rPr/>
      </w:pPr>
      <w:r>
        <w:rPr>
          <w:rFonts w:eastAsia="Times New Roman" w:cs="Times New Roman" w:ascii="Times New Roman" w:hAnsi="Times New Roman"/>
          <w:color w:val="111111"/>
          <w:sz w:val="28"/>
          <w:szCs w:val="28"/>
          <w:lang w:val="en-US"/>
        </w:rPr>
        <w:t>Then know that he who commits a great sin (al-kabira) will verily be punished when (idha) he does not have one of two things: (a) First, the forgiveness of Allah. For His forgiveness is hoped for and expected, especially because He has promised it in His word, “ He forgiveth their sins ” (42:24), “ and to pass over many things ” (5:18), “ Verily Allah will not forgive the union of other gods with Himself. But other than this He will forgive to whom He pleaseth ” (4:51), “ Full truly of mercy is thy Lord unto men, despite their sins ” (13:7). And breaking a promise cannot be approved in the Absolutely Generous. And also because of His praising Himself as being “ the Forgiving, the Merciful.” And that does not apply to small sins (as-saghira), nor to great sins that have been repented of. For all have agreed that punishment falls from them (they are not punished), for in this case there would be no value in their forgiveness. Hence it is specified that it be the great sins preceding repentance (that is, unrepented of), and that is what was sought.</w:t>
      </w:r>
    </w:p>
    <w:p>
      <w:pPr>
        <w:pStyle w:val="BookText"/>
        <w:bidi w:val="0"/>
        <w:jc w:val="both"/>
        <w:rPr/>
      </w:pPr>
      <w:r>
        <w:rPr>
          <w:rFonts w:eastAsia="Times New Roman" w:cs="Times New Roman" w:ascii="Times New Roman" w:hAnsi="Times New Roman"/>
          <w:color w:val="111111"/>
          <w:sz w:val="28"/>
          <w:szCs w:val="28"/>
          <w:lang w:val="en-US"/>
        </w:rPr>
        <w:t>234.</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 Second, the intercession (shafa‘a) of our Prophet, the Messenger of Allah (on him be peace!). And his intercession is expected, rather it has occurred, according to the word of the Most High, “ Ask pardon for thy sin, and for believers both men and women ” (47:21). Now he who commits a great sin is (still) a believer, because of his attestation of Allah and His Messenger and his confession (iqrar) of what the Prophet brought, and that is faith (iman). Because iman as a word means attestation (tasdiq), and here it is like that. And good works are not a part of it. (And the Prophet will intercede for believers, for the term) is connected with the verb, which requires that it be different from it (that is, the word believers in the verse is connected with the verb ask pardon by the conjunction and, which shows that he is to ask pardon for believers as well as for himself). And since Allah commanded the Prophet to seek pardon he did not disobey, for he is immune to sin, and his seeking pardon was </w:t>
      </w:r>
      <w:bookmarkStart w:id="156" w:name="pg18967_203243"/>
    </w:p>
    <w:p>
      <w:pPr>
        <w:pStyle w:val="BookText"/>
        <w:bidi w:val="0"/>
        <w:rPr/>
      </w:pPr>
      <w:bookmarkEnd w:id="156"/>
      <w:r>
        <w:rPr>
          <w:rFonts w:eastAsia="Times New Roman" w:cs="Times New Roman" w:ascii="Times New Roman" w:hAnsi="Times New Roman"/>
          <w:color w:val="111111"/>
          <w:sz w:val="28"/>
          <w:szCs w:val="28"/>
          <w:lang w:val="en-US"/>
        </w:rPr>
        <w:t>accepted for his people, that he might be satisfied, according to the word of the Most High, “ And in the end shall thy Lord be bounteous to thee and thou shalt be satisfied ” (93:5). This is according to his (Muhammad’s) word, “ I have stored up my intercession for those among my people who have committed great sins.”</w:t>
      </w:r>
    </w:p>
    <w:p>
      <w:pPr>
        <w:pStyle w:val="BookText"/>
        <w:bidi w:val="0"/>
        <w:jc w:val="both"/>
        <w:rPr/>
      </w:pPr>
      <w:r>
        <w:rPr>
          <w:rFonts w:eastAsia="Times New Roman" w:cs="Times New Roman" w:ascii="Times New Roman" w:hAnsi="Times New Roman"/>
          <w:color w:val="111111"/>
          <w:sz w:val="28"/>
          <w:szCs w:val="28"/>
          <w:lang w:val="en-US"/>
        </w:rPr>
        <w:t>235.</w:t>
      </w:r>
    </w:p>
    <w:p>
      <w:pPr>
        <w:pStyle w:val="BookText"/>
        <w:bidi w:val="0"/>
        <w:jc w:val="both"/>
        <w:rPr/>
      </w:pPr>
      <w:r>
        <w:rPr>
          <w:rFonts w:eastAsia="Times New Roman" w:cs="Times New Roman" w:ascii="Times New Roman" w:hAnsi="Times New Roman"/>
          <w:color w:val="111111"/>
          <w:sz w:val="28"/>
          <w:szCs w:val="28"/>
          <w:lang w:val="en-US"/>
        </w:rPr>
        <w:t>And know that our belief (madhhab) is that the Imams can intercede for sinners among their Shi‘ites just as the Messenger of Allah can, without any difference. For they have informed us of that, and their immunity to sin prevents them from lying.</w:t>
      </w:r>
    </w:p>
    <w:p>
      <w:pPr>
        <w:pStyle w:val="BookText"/>
        <w:bidi w:val="0"/>
        <w:jc w:val="both"/>
        <w:rPr/>
      </w:pPr>
      <w:r>
        <w:rPr>
          <w:rFonts w:eastAsia="Times New Roman" w:cs="Times New Roman" w:ascii="Times New Roman" w:hAnsi="Times New Roman"/>
          <w:color w:val="111111"/>
          <w:sz w:val="28"/>
          <w:szCs w:val="28"/>
          <w:lang w:val="en-US"/>
        </w:rPr>
        <w:t>236.</w:t>
      </w:r>
    </w:p>
    <w:p>
      <w:pPr>
        <w:pStyle w:val="BookText"/>
        <w:bidi w:val="0"/>
        <w:jc w:val="both"/>
        <w:rPr/>
      </w:pPr>
      <w:r>
        <w:rPr>
          <w:rFonts w:eastAsia="Times New Roman" w:cs="Times New Roman" w:ascii="Times New Roman" w:hAnsi="Times New Roman"/>
          <w:color w:val="111111"/>
          <w:sz w:val="28"/>
          <w:szCs w:val="28"/>
          <w:lang w:val="en-US"/>
        </w:rPr>
        <w:t>(5) Fifth, it is necessary to confess and attest the states and situations of the Resurrection, and the nature of the reckoning, and the coming of men from their graves, naked and barefoot, and the presence with every soul of a driver and a witness (two angels), and the states of men in the Garden, and the explanation of their ranks and the nature of their blessings of foods and drinks and marriages and so forth, of what eye hath not seen and ear hath not heard nor the heart of man conceived (cf. 1 Cor. 2:9). And likewise (it is necessary to attest) the states of the Fire and the nature of punishment in it, and the various pains in it, according to what the verses and sound traditions have taught, and about which the Muslims are agreed. For the Veracious has informed us of all that, and there is no rational difficulty in it, hence it is the reality, which is what we sought.</w:t>
      </w:r>
    </w:p>
    <w:p>
      <w:pPr>
        <w:pStyle w:val="Heading3"/>
        <w:numPr>
          <w:ilvl w:val="2"/>
          <w:numId w:val="1"/>
        </w:numPr>
        <w:bidi w:val="0"/>
        <w:jc w:val="left"/>
        <w:rPr/>
      </w:pPr>
      <w:bookmarkStart w:id="157" w:name="__RefHeading___Toc16877132_1280447820"/>
      <w:bookmarkStart w:id="158" w:name="_Toc57"/>
      <w:bookmarkEnd w:id="157"/>
      <w:r>
        <w:rPr/>
        <w:t>(3) Repentance (237-240)</w:t>
      </w:r>
      <w:bookmarkEnd w:id="158"/>
    </w:p>
    <w:p>
      <w:pPr>
        <w:pStyle w:val="BookText"/>
        <w:bidi w:val="0"/>
        <w:jc w:val="both"/>
        <w:rPr/>
      </w:pPr>
      <w:r>
        <w:rPr>
          <w:rFonts w:eastAsia="Times New Roman" w:cs="Times New Roman" w:ascii="Times New Roman" w:hAnsi="Times New Roman"/>
          <w:color w:val="111111"/>
          <w:sz w:val="28"/>
          <w:szCs w:val="28"/>
          <w:lang w:val="en-US"/>
        </w:rPr>
        <w:t>237.</w:t>
      </w:r>
    </w:p>
    <w:p>
      <w:pPr>
        <w:pStyle w:val="BookText"/>
        <w:bidi w:val="0"/>
        <w:jc w:val="both"/>
        <w:rPr/>
      </w:pPr>
      <w:r>
        <w:rPr>
          <w:rFonts w:eastAsia="Times New Roman" w:cs="Times New Roman" w:ascii="Times New Roman" w:hAnsi="Times New Roman"/>
          <w:color w:val="111111"/>
          <w:sz w:val="28"/>
          <w:szCs w:val="28"/>
          <w:lang w:val="en-US"/>
        </w:rPr>
        <w:t>And repentance (at-tawba) is incumbent.</w:t>
      </w:r>
    </w:p>
    <w:p>
      <w:pPr>
        <w:pStyle w:val="BookText"/>
        <w:bidi w:val="0"/>
        <w:jc w:val="both"/>
        <w:rPr/>
      </w:pPr>
      <w:r>
        <w:rPr>
          <w:rFonts w:eastAsia="Times New Roman" w:cs="Times New Roman" w:ascii="Times New Roman" w:hAnsi="Times New Roman"/>
          <w:color w:val="111111"/>
          <w:sz w:val="28"/>
          <w:szCs w:val="28"/>
          <w:lang w:val="en-US"/>
        </w:rPr>
        <w:t>238.</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Repentance is contrition (nadam) for evil (al-qabih) in the past, and forsaking it in the present, and the determination not to return to it in the future. And it is incumbent, because by agreement contrition for every evil and every remissness in what is incumbent is incumbent; and because tradition also teaches that it is incumbent; and also because it is a protection against harm, and protection from harm, even if it be supposed (maznun), is incumbent. Then there must be contrition for evil because it is evil, not from fear of the Fire, and not to protect one’s soul from harm, otherwise it is not repentance. </w:t>
      </w:r>
      <w:bookmarkStart w:id="159" w:name="pg18967_203244"/>
    </w:p>
    <w:p>
      <w:pPr>
        <w:pStyle w:val="BookText"/>
        <w:bidi w:val="0"/>
        <w:rPr/>
      </w:pPr>
      <w:bookmarkEnd w:id="159"/>
      <w:r>
        <w:rPr>
          <w:rFonts w:eastAsia="Times New Roman" w:cs="Times New Roman" w:ascii="Times New Roman" w:hAnsi="Times New Roman"/>
          <w:color w:val="111111"/>
          <w:sz w:val="28"/>
          <w:szCs w:val="28"/>
          <w:lang w:val="en-US"/>
        </w:rPr>
        <w:t>239.</w:t>
      </w:r>
    </w:p>
    <w:p>
      <w:pPr>
        <w:pStyle w:val="BookText"/>
        <w:bidi w:val="0"/>
        <w:jc w:val="both"/>
        <w:rPr/>
      </w:pPr>
      <w:r>
        <w:rPr>
          <w:rFonts w:eastAsia="Times New Roman" w:cs="Times New Roman" w:ascii="Times New Roman" w:hAnsi="Times New Roman"/>
          <w:color w:val="111111"/>
          <w:sz w:val="28"/>
          <w:szCs w:val="28"/>
          <w:lang w:val="en-US"/>
        </w:rPr>
        <w:t>And know that sin (dhanb) is either against the Most High or against men. If it be against the Most High it is (a) either an evil act, in which case contrition and the determination not to repeat it are sufficient for it; or (b) it is remissness in what is incumbent. In the latter case there either remains time to purpose to do it, which is repentance for it; or else the time is past. In this case either the duty disappears with the passing of the time for it, like (omitting) the prayers of the Feast (‘Idu’l-Fitr — which cannot be said on another day), in which case contrition and the determination not to repeat (the offence) are sufficient; or it does not disappear, in which case it is incumbent to make it good (qada).</w:t>
      </w:r>
    </w:p>
    <w:p>
      <w:pPr>
        <w:pStyle w:val="BookText"/>
        <w:bidi w:val="0"/>
        <w:jc w:val="both"/>
        <w:rPr/>
      </w:pPr>
      <w:r>
        <w:rPr>
          <w:rFonts w:eastAsia="Times New Roman" w:cs="Times New Roman" w:ascii="Times New Roman" w:hAnsi="Times New Roman"/>
          <w:color w:val="111111"/>
          <w:sz w:val="28"/>
          <w:szCs w:val="28"/>
          <w:lang w:val="en-US"/>
        </w:rPr>
        <w:t>240.</w:t>
      </w:r>
    </w:p>
    <w:p>
      <w:pPr>
        <w:pStyle w:val="BookText"/>
        <w:bidi w:val="0"/>
        <w:jc w:val="both"/>
        <w:rPr/>
      </w:pPr>
      <w:r>
        <w:rPr>
          <w:rFonts w:eastAsia="Times New Roman" w:cs="Times New Roman" w:ascii="Times New Roman" w:hAnsi="Times New Roman"/>
          <w:color w:val="111111"/>
          <w:sz w:val="28"/>
          <w:szCs w:val="28"/>
          <w:lang w:val="en-US"/>
        </w:rPr>
        <w:t>And if it is against men, it consists either of leading someone astray in religion by an erroneous decision (fatwa), in which case repentance and guiding him aright and making known to him the error (are incumbent), or else of injustice regarding some right or other, in which case repentance for it, recompensing him or his heirs, or asking him to forgive it (are incumbent). And if he is not able to do that, then it is incumbent that he determine to do it.</w:t>
      </w:r>
    </w:p>
    <w:p>
      <w:pPr>
        <w:pStyle w:val="Heading3"/>
        <w:numPr>
          <w:ilvl w:val="2"/>
          <w:numId w:val="1"/>
        </w:numPr>
        <w:bidi w:val="0"/>
        <w:jc w:val="left"/>
        <w:rPr/>
      </w:pPr>
      <w:bookmarkStart w:id="160" w:name="__RefHeading___Toc16877134_1280447820"/>
      <w:bookmarkStart w:id="161" w:name="_Toc58"/>
      <w:bookmarkEnd w:id="160"/>
      <w:r>
        <w:rPr/>
        <w:t>(4) Command and Prohibition (241-244)</w:t>
      </w:r>
      <w:bookmarkEnd w:id="161"/>
    </w:p>
    <w:p>
      <w:pPr>
        <w:pStyle w:val="BookText"/>
        <w:bidi w:val="0"/>
        <w:jc w:val="both"/>
        <w:rPr/>
      </w:pPr>
      <w:r>
        <w:rPr>
          <w:rFonts w:eastAsia="Times New Roman" w:cs="Times New Roman" w:ascii="Times New Roman" w:hAnsi="Times New Roman"/>
          <w:color w:val="111111"/>
          <w:sz w:val="28"/>
          <w:szCs w:val="28"/>
          <w:lang w:val="en-US"/>
        </w:rPr>
        <w:t>241.</w:t>
      </w:r>
    </w:p>
    <w:p>
      <w:pPr>
        <w:pStyle w:val="BookText"/>
        <w:bidi w:val="0"/>
        <w:jc w:val="both"/>
        <w:rPr/>
      </w:pPr>
      <w:r>
        <w:rPr>
          <w:rFonts w:eastAsia="Times New Roman" w:cs="Times New Roman" w:ascii="Times New Roman" w:hAnsi="Times New Roman"/>
          <w:color w:val="111111"/>
          <w:sz w:val="28"/>
          <w:szCs w:val="28"/>
          <w:lang w:val="en-US"/>
        </w:rPr>
        <w:t>And commanding (men to do) what is approved BY ALLAH (al-ma‘ruf) and prohibiting (them) from doing WHAT IS DISAPPROVED BY HIM (al-munkar) (is incumbent), PROVIDED THAT HE WHO COMMANDS AND PROHIBITS KNOWS THAT WHAT IS APPROVED IS APPROVED AND WHAT IS DISAPPROVED IS DISAPPROVED, AND THAT IT CONCERNS THINGS THAT ARE YET TO OCCUR, BECAUSE THE COMMAND TO DO SOMETHING THAT IS PAST OR THE PROHIBITION FROM DOING IT IS NONSENSE, AND THAT IT IS POSSIBLE THAT IT SHOULD HAVE SOME EFFECT, AND THAT IT IS SAFE FROM HARM.</w:t>
      </w:r>
    </w:p>
    <w:p>
      <w:pPr>
        <w:pStyle w:val="BookText"/>
        <w:bidi w:val="0"/>
        <w:jc w:val="both"/>
        <w:rPr/>
      </w:pPr>
      <w:r>
        <w:rPr>
          <w:rFonts w:eastAsia="Times New Roman" w:cs="Times New Roman" w:ascii="Times New Roman" w:hAnsi="Times New Roman"/>
          <w:color w:val="111111"/>
          <w:sz w:val="28"/>
          <w:szCs w:val="28"/>
          <w:lang w:val="en-US"/>
        </w:rPr>
        <w:t>242.</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command (al-amr) is seeking an act from another authoritatively, and prohibition (an-nahy) is seeking the forsaking (of an act) authoritatively. And what is approved is every good (hasan) act which is characterized by some quality in addition to its goodness. And what is disapproved is evil (al-qabih). And since this is settled, there are here </w:t>
      </w:r>
    </w:p>
    <w:p>
      <w:pPr>
        <w:pStyle w:val="BookText"/>
        <w:bidi w:val="0"/>
        <w:rPr/>
      </w:pPr>
      <w:r>
        <w:rPr>
          <w:rFonts w:eastAsia="Times New Roman" w:cs="Times New Roman" w:ascii="Times New Roman" w:hAnsi="Times New Roman"/>
          <w:color w:val="111111"/>
          <w:sz w:val="28"/>
          <w:szCs w:val="28"/>
          <w:lang w:val="en-US"/>
        </w:rPr>
        <w:t>two matters for discussion: (1) First, the doctors have agreed that the commanding (men) to do what is approved and the prohibiting them from doing what is disapproved are incumbent, but they then disagreed in several points: (a) First, is it incumbent by reason or by tradition? Shaykh Tusi held the first (position), and Sayyidu’l-Murtada the second, and the author also held the second. And the Shaykh gave as his proof that this commanding and prohibiting were kindness (lutf) in doing what is incumbent and forsaking what is evil, and hence they were incumbent by reason. We say in reply that what is incumbent by reason does not belong exclusively to the individual (but belongs to Allah). (What is wajib by reason belongs exclusively to Allah, what is wajib for man is all traditional.) Hence in this case it would be incumbent upon the Most High, and that is false. For if He did these things (command what is approved and prohibit what is disapproved), then every evil thing would have to be removed and every incumbent thing would have to be performed, since commanding is inciting (haml) to a thing and prohibiting is hindering from it. But what occurs is the opposite of that. And if He did not do that (that is, if the evil in the world is due to His not having commanded and prohibited), then He would have failed to perform what is incumbent. But He is the Wise (Hakim), and this objection needs examination (cannot be accepted).</w:t>
      </w:r>
    </w:p>
    <w:p>
      <w:pPr>
        <w:pStyle w:val="BookText"/>
        <w:bidi w:val="0"/>
        <w:jc w:val="both"/>
        <w:rPr/>
      </w:pPr>
      <w:r>
        <w:rPr>
          <w:rFonts w:eastAsia="Times New Roman" w:cs="Times New Roman" w:ascii="Times New Roman" w:hAnsi="Times New Roman"/>
          <w:color w:val="111111"/>
          <w:sz w:val="28"/>
          <w:szCs w:val="28"/>
          <w:lang w:val="en-US"/>
        </w:rPr>
        <w:t>243.</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Second, are they incumbent upon the individuals themselves, or may another act as substitute? The Shaykh held the first and the Sayyid the second. The Shaykh gave as his proof that incumbence is universal without any specialization, according to the word of the Most High, “ Ye are the best folk that hath been raised up unto mankind, ye enjoin the Just (al-ma‘ruf) and ye forbid the Evil (al-munkar) ” (3:106). And the Sayyid gave as proof the fact that what was desired (al-maqsud) was that what was incumbent should be performed and what was evil should be removed, and therefore he who performs it (commands to do good and forbids evil) suffices for another (who does not). And also because of the word of the Most High, “ And that there may</w:t>
      </w:r>
    </w:p>
    <w:p>
      <w:pPr>
        <w:pStyle w:val="BookText"/>
        <w:bidi w:val="0"/>
        <w:rPr/>
      </w:pPr>
      <w:r>
        <w:rPr>
          <w:rFonts w:eastAsia="Times New Roman" w:cs="Times New Roman" w:ascii="Times New Roman" w:hAnsi="Times New Roman"/>
          <w:color w:val="111111"/>
          <w:sz w:val="28"/>
          <w:szCs w:val="28"/>
          <w:lang w:val="en-US"/>
        </w:rPr>
        <w:t>be among you a people who invite to the Good, and enjoin the Just, and forbid the wrong ” (3:100).</w:t>
      </w:r>
    </w:p>
    <w:p>
      <w:pPr>
        <w:pStyle w:val="BookText"/>
        <w:bidi w:val="0"/>
        <w:jc w:val="both"/>
        <w:rPr/>
      </w:pPr>
      <w:r>
        <w:rPr>
          <w:rFonts w:eastAsia="Times New Roman" w:cs="Times New Roman" w:ascii="Times New Roman" w:hAnsi="Times New Roman"/>
          <w:color w:val="111111"/>
          <w:sz w:val="28"/>
          <w:szCs w:val="28"/>
          <w:lang w:val="en-US"/>
        </w:rPr>
        <w:t>244.</w:t>
      </w:r>
    </w:p>
    <w:p>
      <w:pPr>
        <w:pStyle w:val="BookText"/>
        <w:bidi w:val="0"/>
        <w:jc w:val="both"/>
        <w:rPr/>
      </w:pPr>
      <w:r>
        <w:rPr>
          <w:rFonts w:eastAsia="Times New Roman" w:cs="Times New Roman" w:ascii="Times New Roman" w:hAnsi="Times New Roman"/>
          <w:color w:val="111111"/>
          <w:sz w:val="28"/>
          <w:szCs w:val="28"/>
          <w:lang w:val="en-US"/>
        </w:rPr>
        <w:t>(2) The second discussion is about the conditions of their being incumbent, four of which the author has here mentioned: (a) First, the knowledge on the part of him who commands and prohibits that what is approved is approved and what is disapproved is disapproved, since if it were not thus he would surely command what was not approved and prohibit what was not disapproved. (b) Second, that they be things which will occur in the future, for a command to do what is past, or a prohibition to abstain from it is nonsense, and nonsense is evil. (c) Third, that he who commands and prohibits consider it possible that his commanding and prohibiting have some effect, for when he is sure that it will be ineffective, or considers it improbable, it ceases to be incumbent. (d) Fourth, the safety from harm of him who commands and prohibits, affecting either himself or any other Muslim, resulting from his commanding and prohibiting. For if he thinks it probable that harm will result, it ceases to be incumbent. And commanding and prohibiting with the heart and the tongue and the hand are incumbent and it should not be done in a severe manner when a gentler is possible.</w:t>
      </w:r>
    </w:p>
    <w:p>
      <w:pPr>
        <w:pStyle w:val="BookText"/>
        <w:bidi w:val="0"/>
        <w:jc w:val="both"/>
        <w:rPr/>
      </w:pPr>
      <w:r>
        <w:rPr>
          <w:rFonts w:eastAsia="Times New Roman" w:cs="Times New Roman" w:ascii="Times New Roman" w:hAnsi="Times New Roman"/>
          <w:color w:val="111111"/>
          <w:sz w:val="28"/>
          <w:szCs w:val="28"/>
          <w:lang w:val="en-US"/>
        </w:rPr>
        <w:t>245.</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this is what I set out to finish and to write, and what it was my lot to collect and arrange, in spite of the small demand (for such a book) and my being short-handed (as to funds), along with the occurrence of journeys and the disturbance of my thoughts. However, I have hope in the goodness of the Most High that He will make it profitable, and that He will make it pure before His face. Verily, He hears and He answers, and Allah is the Best of those who Give Success and who Appoint! I Praise be to Allah the Lord of the Worlds, and the blessing of Allah be upon Muhammad and all of his descendants! </w:t>
      </w:r>
      <w:bookmarkStart w:id="162" w:name="pg18967_203247"/>
    </w:p>
    <w:p>
      <w:pPr>
        <w:pStyle w:val="Heading2"/>
        <w:numPr>
          <w:ilvl w:val="1"/>
          <w:numId w:val="1"/>
        </w:numPr>
        <w:bidi w:val="0"/>
        <w:jc w:val="left"/>
        <w:rPr/>
      </w:pPr>
      <w:bookmarkStart w:id="163" w:name="__RefHeading___Toc16877136_1280447820"/>
      <w:bookmarkStart w:id="164" w:name="_Toc59"/>
      <w:bookmarkEnd w:id="162"/>
      <w:bookmarkEnd w:id="163"/>
      <w:r>
        <w:rPr/>
        <w:t>Notes on the Text (by the Translator)</w:t>
      </w:r>
      <w:bookmarkEnd w:id="164"/>
    </w:p>
    <w:p>
      <w:pPr>
        <w:pStyle w:val="BookText"/>
        <w:bidi w:val="0"/>
        <w:jc w:val="both"/>
        <w:rPr/>
      </w:pPr>
      <w:r>
        <w:rPr>
          <w:rFonts w:eastAsia="Times New Roman" w:cs="Times New Roman" w:ascii="Times New Roman" w:hAnsi="Times New Roman"/>
          <w:color w:val="111111"/>
          <w:sz w:val="28"/>
          <w:szCs w:val="28"/>
          <w:lang w:val="en-US"/>
        </w:rPr>
        <w:t>NOTES</w:t>
      </w:r>
    </w:p>
    <w:p>
      <w:pPr>
        <w:pStyle w:val="BookText"/>
        <w:bidi w:val="0"/>
        <w:jc w:val="both"/>
        <w:rPr/>
      </w:pPr>
      <w:r>
        <w:rPr>
          <w:rFonts w:eastAsia="Times New Roman" w:cs="Times New Roman" w:ascii="Times New Roman" w:hAnsi="Times New Roman"/>
          <w:color w:val="111111"/>
          <w:sz w:val="28"/>
          <w:szCs w:val="28"/>
          <w:lang w:val="en-US"/>
        </w:rPr>
        <w:t>Par. 10.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Mu‘tazilites also “ agreed that the principles of ma‘rifa and thankfulness for blessings are wajib before one hears (the Prophet)” (Shahrastani, ed. by Cureton, “ al-Milal wa’n-Nihal,” p. 29). But the Ash‘arite position was that ma‘rifa is known to be incumbent not by reason but by tradition only.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We see here that the Shi‘ites hold that the usul are all known by reason, whereas the Ash‘arite position is that they are known only by tradition.</w:t>
      </w:r>
    </w:p>
    <w:p>
      <w:pPr>
        <w:pStyle w:val="BookText"/>
        <w:bidi w:val="0"/>
        <w:jc w:val="both"/>
        <w:rPr/>
      </w:pPr>
      <w:r>
        <w:rPr>
          <w:rFonts w:eastAsia="Times New Roman" w:cs="Times New Roman" w:ascii="Times New Roman" w:hAnsi="Times New Roman"/>
          <w:color w:val="111111"/>
          <w:sz w:val="28"/>
          <w:szCs w:val="28"/>
          <w:lang w:val="en-US"/>
        </w:rPr>
        <w:t>Par. 16.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with regard to taqlid (blind acceptance) — the learned differ. Some say that it does not suffice, and that the muqallid (blind accepter) is an unbeliever (kafir). Ibn al-‘Arabi (d. 543) held this and as-Sanusi, and the latter gave in his commentary on his Kubra a lengthy refutation of those who hold that taqlid is sufficient ” (Creed of al-Fadali, Macdonald, “ Development of Muslim Theology,” etc., p. 316). The Mu‘tazilites with their emphasis on reason rejected taqlid, and the Shi‘ites have followed them.</w:t>
      </w:r>
    </w:p>
    <w:p>
      <w:pPr>
        <w:pStyle w:val="BookText"/>
        <w:bidi w:val="0"/>
        <w:jc w:val="both"/>
        <w:rPr/>
      </w:pPr>
      <w:r>
        <w:rPr>
          <w:rFonts w:eastAsia="Times New Roman" w:cs="Times New Roman" w:ascii="Times New Roman" w:hAnsi="Times New Roman"/>
          <w:color w:val="111111"/>
          <w:sz w:val="28"/>
          <w:szCs w:val="28"/>
          <w:lang w:val="en-US"/>
        </w:rPr>
        <w:t>Par. 19.</w:t>
      </w:r>
    </w:p>
    <w:p>
      <w:pPr>
        <w:pStyle w:val="BookText"/>
        <w:bidi w:val="0"/>
        <w:jc w:val="both"/>
        <w:rPr/>
      </w:pPr>
      <w:r>
        <w:rPr>
          <w:rFonts w:eastAsia="Times New Roman" w:cs="Times New Roman" w:ascii="Times New Roman" w:hAnsi="Times New Roman"/>
          <w:color w:val="111111"/>
          <w:sz w:val="28"/>
          <w:szCs w:val="28"/>
          <w:lang w:val="en-US"/>
        </w:rPr>
        <w:t>In the creed of al-Nasafi, “ Belief and Islam are one ” (Macdonald, “ Development,” p. 312). But the Shi‘ites consider Islam to be wider than faith. See par. 234.</w:t>
      </w:r>
    </w:p>
    <w:p>
      <w:pPr>
        <w:pStyle w:val="BookText"/>
        <w:bidi w:val="0"/>
        <w:jc w:val="both"/>
        <w:rPr/>
      </w:pPr>
      <w:r>
        <w:rPr>
          <w:rFonts w:eastAsia="Times New Roman" w:cs="Times New Roman" w:ascii="Times New Roman" w:hAnsi="Times New Roman"/>
          <w:color w:val="111111"/>
          <w:sz w:val="28"/>
          <w:szCs w:val="28"/>
          <w:lang w:val="en-US"/>
        </w:rPr>
        <w:t>Par. 38.</w:t>
      </w:r>
    </w:p>
    <w:p>
      <w:pPr>
        <w:pStyle w:val="BookText"/>
        <w:bidi w:val="0"/>
        <w:jc w:val="both"/>
        <w:rPr/>
      </w:pPr>
      <w:r>
        <w:rPr>
          <w:rFonts w:eastAsia="Times New Roman" w:cs="Times New Roman" w:ascii="Times New Roman" w:hAnsi="Times New Roman"/>
          <w:color w:val="111111"/>
          <w:sz w:val="28"/>
          <w:szCs w:val="28"/>
          <w:lang w:val="en-US"/>
        </w:rPr>
        <w:t>The Sunnites usually list the positive qualities as follows: Life, Knowledge, Power, Will, Hearing, Seeing, Speaking (creed of al-Ghazzali, Macdonald, “Development,” p. 304). The Shi‘ites agree with them as to the first four qualities, though they place Power first. But in place of Hearing and Seeing they put Perceiving. They retain Speaking, but add two more to the list, namely, Being Eternal and Veracity.</w:t>
      </w:r>
    </w:p>
    <w:p>
      <w:pPr>
        <w:pStyle w:val="BookText"/>
        <w:bidi w:val="0"/>
        <w:jc w:val="both"/>
        <w:rPr/>
      </w:pPr>
      <w:r>
        <w:rPr>
          <w:rFonts w:eastAsia="Times New Roman" w:cs="Times New Roman" w:ascii="Times New Roman" w:hAnsi="Times New Roman"/>
          <w:color w:val="111111"/>
          <w:sz w:val="28"/>
          <w:szCs w:val="28"/>
          <w:lang w:val="en-US"/>
        </w:rPr>
        <w:t>Par. 47.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an-Nazzam was a prominent Mu‘tazilite. See Macdonald, “Development,” p. 140.</w:t>
      </w:r>
    </w:p>
    <w:p>
      <w:pPr>
        <w:pStyle w:val="BookText"/>
        <w:bidi w:val="0"/>
        <w:jc w:val="both"/>
        <w:rPr/>
      </w:pPr>
      <w:r>
        <w:rPr>
          <w:rFonts w:eastAsia="Times New Roman" w:cs="Times New Roman" w:ascii="Times New Roman" w:hAnsi="Times New Roman"/>
          <w:color w:val="111111"/>
          <w:sz w:val="28"/>
          <w:szCs w:val="28"/>
          <w:lang w:val="en-US"/>
        </w:rPr>
        <w:t>Par. 50.</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By denying that Allah does everything that He has Power to do the Shi‘ites try to guard Him from evil without limiting His Power. </w:t>
      </w:r>
    </w:p>
    <w:p>
      <w:pPr>
        <w:pStyle w:val="BookText"/>
        <w:bidi w:val="0"/>
        <w:rPr/>
      </w:pPr>
      <w:r>
        <w:rPr>
          <w:rFonts w:eastAsia="Times New Roman" w:cs="Times New Roman" w:ascii="Times New Roman" w:hAnsi="Times New Roman"/>
          <w:color w:val="111111"/>
          <w:sz w:val="28"/>
          <w:szCs w:val="28"/>
          <w:lang w:val="en-US"/>
        </w:rPr>
        <w:t>Par. 58.</w:t>
      </w:r>
    </w:p>
    <w:p>
      <w:pPr>
        <w:pStyle w:val="BookText"/>
        <w:bidi w:val="0"/>
        <w:jc w:val="both"/>
        <w:rPr/>
      </w:pPr>
      <w:r>
        <w:rPr>
          <w:rFonts w:eastAsia="Times New Roman" w:cs="Times New Roman" w:ascii="Times New Roman" w:hAnsi="Times New Roman"/>
          <w:color w:val="111111"/>
          <w:sz w:val="28"/>
          <w:szCs w:val="28"/>
          <w:lang w:val="en-US"/>
        </w:rPr>
        <w:t>The Sifatiyya held that the divine qualities were eternally inherent in the essence of Allah. The Mu‘tazilites rejected this doctrine, because “ if the qualities share in priority they would share in godhood also,” and the multiplicity of eternal existences would have to result, and this they denied. They said that the qualities were not in addition to the essence, but were the essence itself. Thus Allah is Knowing by His essence, not by His Knowledge, and is Powerful by His essence, not by His Power. (Shahrastani, p. 29, Macdonald, “Development,” p. 136, Sell, “ The Faith of Islam,” third edition, pp. 194, 195.)</w:t>
      </w:r>
    </w:p>
    <w:p>
      <w:pPr>
        <w:pStyle w:val="BookText"/>
        <w:bidi w:val="0"/>
        <w:jc w:val="both"/>
        <w:rPr/>
      </w:pPr>
      <w:r>
        <w:rPr>
          <w:rFonts w:eastAsia="Times New Roman" w:cs="Times New Roman" w:ascii="Times New Roman" w:hAnsi="Times New Roman"/>
          <w:color w:val="111111"/>
          <w:sz w:val="28"/>
          <w:szCs w:val="28"/>
          <w:lang w:val="en-US"/>
        </w:rPr>
        <w:t>The Ash‘arites held that the qualities were inherent in the essence, and were in addition to the essence. “ He has qualities from all eternity existing in His essence.” But they guarded themselves against the objection of the Mu‘tazilites by adding, “ They are not He nor are they any other than He ” (creed of an-Nasafi, Macdonald, “ Development,” p. 309).</w:t>
      </w:r>
    </w:p>
    <w:p>
      <w:pPr>
        <w:pStyle w:val="BookText"/>
        <w:bidi w:val="0"/>
        <w:jc w:val="both"/>
        <w:rPr/>
      </w:pPr>
      <w:r>
        <w:rPr>
          <w:rFonts w:eastAsia="Times New Roman" w:cs="Times New Roman" w:ascii="Times New Roman" w:hAnsi="Times New Roman"/>
          <w:color w:val="111111"/>
          <w:sz w:val="28"/>
          <w:szCs w:val="28"/>
          <w:lang w:val="en-US"/>
        </w:rPr>
        <w:t>The Shi‘ites adopted the Mu‘tazilite doctrine in full. They teach that the qualities are the essence itself, and that Allah is Powerful by His essence, Knowing by His essence, etc.</w:t>
      </w:r>
    </w:p>
    <w:p>
      <w:pPr>
        <w:pStyle w:val="BookText"/>
        <w:bidi w:val="0"/>
        <w:jc w:val="both"/>
        <w:rPr/>
      </w:pPr>
      <w:r>
        <w:rPr>
          <w:rFonts w:eastAsia="Times New Roman" w:cs="Times New Roman" w:ascii="Times New Roman" w:hAnsi="Times New Roman"/>
          <w:color w:val="111111"/>
          <w:sz w:val="28"/>
          <w:szCs w:val="28"/>
          <w:lang w:val="en-US"/>
        </w:rPr>
        <w:t>Par. 62.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See Macdonald, “Development,” p. 170, etc.</w:t>
      </w:r>
    </w:p>
    <w:p>
      <w:pPr>
        <w:pStyle w:val="BookText"/>
        <w:bidi w:val="0"/>
        <w:jc w:val="both"/>
        <w:rPr/>
      </w:pPr>
      <w:r>
        <w:rPr>
          <w:rFonts w:eastAsia="Times New Roman" w:cs="Times New Roman" w:ascii="Times New Roman" w:hAnsi="Times New Roman"/>
          <w:color w:val="111111"/>
          <w:sz w:val="28"/>
          <w:szCs w:val="28"/>
          <w:lang w:val="en-US"/>
        </w:rPr>
        <w:t>Par. 63.</w:t>
      </w:r>
    </w:p>
    <w:p>
      <w:pPr>
        <w:pStyle w:val="BookText"/>
        <w:bidi w:val="0"/>
        <w:jc w:val="both"/>
        <w:rPr/>
      </w:pPr>
      <w:r>
        <w:rPr>
          <w:rFonts w:eastAsia="Times New Roman" w:cs="Times New Roman" w:ascii="Times New Roman" w:hAnsi="Times New Roman"/>
          <w:color w:val="111111"/>
          <w:sz w:val="28"/>
          <w:szCs w:val="28"/>
          <w:lang w:val="en-US"/>
        </w:rPr>
        <w:t>The doctrine of Will’s being a form of Knowledge is also due to Mu‘tazilite influence. Abu Hudhayl (d. c. 226 a.h.) “ endeavoured — and in this he was followed by most of the Mu‘tazilites — to cut down the number of Allah’s attributes. His Will, he said, was a form of His Knowledge. He knew that there was good in an action, and that knowledge was His will ” (Macdonald, “ Development,” p. 137).</w:t>
      </w:r>
    </w:p>
    <w:p>
      <w:pPr>
        <w:pStyle w:val="BookText"/>
        <w:bidi w:val="0"/>
        <w:jc w:val="both"/>
        <w:rPr/>
      </w:pPr>
      <w:r>
        <w:rPr>
          <w:rFonts w:eastAsia="Times New Roman" w:cs="Times New Roman" w:ascii="Times New Roman" w:hAnsi="Times New Roman"/>
          <w:color w:val="111111"/>
          <w:sz w:val="28"/>
          <w:szCs w:val="28"/>
          <w:lang w:val="en-US"/>
        </w:rPr>
        <w:t>Par. 67.</w:t>
      </w:r>
    </w:p>
    <w:p>
      <w:pPr>
        <w:pStyle w:val="BookText"/>
        <w:bidi w:val="0"/>
        <w:jc w:val="both"/>
        <w:rPr/>
      </w:pPr>
      <w:r>
        <w:rPr>
          <w:rFonts w:eastAsia="Times New Roman" w:cs="Times New Roman" w:ascii="Times New Roman" w:hAnsi="Times New Roman"/>
          <w:color w:val="111111"/>
          <w:sz w:val="28"/>
          <w:szCs w:val="28"/>
          <w:lang w:val="en-US"/>
        </w:rPr>
        <w:t>This quality of Perception is given in place of the two qualities of Hearing and Sight which are always included in the orthodox list. The Shi‘ites inherited from the Mu‘tazilites a dislike to all expressions which seemed to suggest anthropomorphism, and they here resolve Hearing and Sight into the Knowledge of things heard and seen.</w:t>
      </w:r>
    </w:p>
    <w:p>
      <w:pPr>
        <w:pStyle w:val="BookText"/>
        <w:bidi w:val="0"/>
        <w:jc w:val="both"/>
        <w:rPr/>
      </w:pPr>
      <w:r>
        <w:rPr>
          <w:rFonts w:eastAsia="Times New Roman" w:cs="Times New Roman" w:ascii="Times New Roman" w:hAnsi="Times New Roman"/>
          <w:color w:val="111111"/>
          <w:sz w:val="28"/>
          <w:szCs w:val="28"/>
          <w:lang w:val="en-US"/>
        </w:rPr>
        <w:t>Par. 76.</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orthodox belief is thus stated in the creed of al-Ghazzali (Macdonald, “ Development,” pp. 303-304): “ And we witness that He speaks, commanding, forbidding, praising, threatening, with a speech from all eternity, prior, subsisting in His essence, not resembling the speech of created things. It is not a sound which originates through the slipping out of air, or striking of bodies; nor is it a letter which is separated off by the closing down a lip or moving a tongue . . . And the Qur’an is repeated by tongues, written in copies, preserved in hearts: yet it, in spite of that, is prior, subsisting in the essence of Allah, not subject to division and separation through being transferred to hearts and leaves. And Musa heard the speech of Allah without a </w:t>
      </w:r>
    </w:p>
    <w:p>
      <w:pPr>
        <w:pStyle w:val="BookText"/>
        <w:bidi w:val="0"/>
        <w:rPr/>
      </w:pPr>
      <w:r>
        <w:rPr>
          <w:rFonts w:eastAsia="Times New Roman" w:cs="Times New Roman" w:ascii="Times New Roman" w:hAnsi="Times New Roman"/>
          <w:color w:val="111111"/>
          <w:sz w:val="28"/>
          <w:szCs w:val="28"/>
          <w:lang w:val="en-US"/>
        </w:rPr>
        <w:t>sound and without a letter, just as the pious see the essence of Allah in the other world, without a substance or an attribute.”</w:t>
      </w:r>
    </w:p>
    <w:p>
      <w:pPr>
        <w:pStyle w:val="BookText"/>
        <w:bidi w:val="0"/>
        <w:jc w:val="both"/>
        <w:rPr/>
      </w:pPr>
      <w:r>
        <w:rPr>
          <w:rFonts w:eastAsia="Times New Roman" w:cs="Times New Roman" w:ascii="Times New Roman" w:hAnsi="Times New Roman"/>
          <w:color w:val="111111"/>
          <w:sz w:val="28"/>
          <w:szCs w:val="28"/>
          <w:lang w:val="en-US"/>
        </w:rPr>
        <w:t>Par. 79.</w:t>
      </w:r>
    </w:p>
    <w:p>
      <w:pPr>
        <w:pStyle w:val="BookText"/>
        <w:bidi w:val="0"/>
        <w:jc w:val="both"/>
        <w:rPr/>
      </w:pPr>
      <w:r>
        <w:rPr>
          <w:rFonts w:eastAsia="Times New Roman" w:cs="Times New Roman" w:ascii="Times New Roman" w:hAnsi="Times New Roman"/>
          <w:color w:val="111111"/>
          <w:sz w:val="28"/>
          <w:szCs w:val="28"/>
          <w:lang w:val="en-US"/>
        </w:rPr>
        <w:t>al-Ash‘ari had said, “ We teach that the Qur’an is Allah’s Word, and that it is uncreated, and that whoever says it is created is an unbeliever (kafir)” (Macdonald, “Development,” p. 295). The Shi‘ite reply is that the calling of anything prior except the divine essence is kufr.</w:t>
      </w:r>
    </w:p>
    <w:p>
      <w:pPr>
        <w:pStyle w:val="BookText"/>
        <w:bidi w:val="0"/>
        <w:jc w:val="both"/>
        <w:rPr/>
      </w:pPr>
      <w:r>
        <w:rPr>
          <w:rFonts w:eastAsia="Times New Roman" w:cs="Times New Roman" w:ascii="Times New Roman" w:hAnsi="Times New Roman"/>
          <w:color w:val="111111"/>
          <w:sz w:val="28"/>
          <w:szCs w:val="28"/>
          <w:lang w:val="en-US"/>
        </w:rPr>
        <w:t>Par. 81.</w:t>
      </w:r>
    </w:p>
    <w:p>
      <w:pPr>
        <w:pStyle w:val="BookText"/>
        <w:bidi w:val="0"/>
        <w:jc w:val="both"/>
        <w:rPr/>
      </w:pPr>
      <w:r>
        <w:rPr>
          <w:rFonts w:eastAsia="Times New Roman" w:cs="Times New Roman" w:ascii="Times New Roman" w:hAnsi="Times New Roman"/>
          <w:color w:val="111111"/>
          <w:sz w:val="28"/>
          <w:szCs w:val="28"/>
          <w:lang w:val="en-US"/>
        </w:rPr>
        <w:t>Veracity is not given as one of the divine qualities in any of the Sunnite creeds, nor have I found any mention of it by the Mu‘tazilites. But its admission by the Shi‘ites to the list of the positive qualities is no doubt due to their emphasis upon Justice in Allah’s character.</w:t>
      </w:r>
    </w:p>
    <w:p>
      <w:pPr>
        <w:pStyle w:val="BookText"/>
        <w:bidi w:val="0"/>
        <w:jc w:val="both"/>
        <w:rPr/>
      </w:pPr>
      <w:r>
        <w:rPr>
          <w:rFonts w:eastAsia="Times New Roman" w:cs="Times New Roman" w:ascii="Times New Roman" w:hAnsi="Times New Roman"/>
          <w:color w:val="111111"/>
          <w:sz w:val="28"/>
          <w:szCs w:val="28"/>
          <w:lang w:val="en-US"/>
        </w:rPr>
        <w:t>Par. 90.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Mu‘tazilites have agreed in rejecting comparison (tashbih) of Him of every sort, as to direction or locus or form or body or limitation or motion or decrease or change or impression, and they have made it incumbent to explain (ta’wil) the figurative (mutashabih) verses ” (Shahrastani, p. 29). This was a protest against the anthropomorphism of the Hanbalites and Karramites who took literally the statements of the Koran about Allah’s hands, face, His sitting on His throne, etc. The Ash‘arites also rejected this anthropomorphism, but they felt it was impious to pry into the nature of Allah and try to explain what was meant by His hands and His throne. Hence they simply affirmed that “ Allah has settled Himself upon His throne,” that He “ has a countenance — and two hands — and two eyes, without asking (bila kayfa)” (creed of al-Ash‘ari, Macdonald, “Development,” pp. 294, 190). The Shi‘ites follow the Mu‘tazilites in holding that the anthropomorphisms must be explained (ta’wil).</w:t>
      </w:r>
    </w:p>
    <w:p>
      <w:pPr>
        <w:pStyle w:val="BookText"/>
        <w:bidi w:val="0"/>
        <w:jc w:val="both"/>
        <w:rPr/>
      </w:pPr>
      <w:r>
        <w:rPr>
          <w:rFonts w:eastAsia="Times New Roman" w:cs="Times New Roman" w:ascii="Times New Roman" w:hAnsi="Times New Roman"/>
          <w:color w:val="111111"/>
          <w:sz w:val="28"/>
          <w:szCs w:val="28"/>
          <w:lang w:val="en-US"/>
        </w:rPr>
        <w:t>Par. 99.</w:t>
      </w:r>
    </w:p>
    <w:p>
      <w:pPr>
        <w:pStyle w:val="BookText"/>
        <w:bidi w:val="0"/>
        <w:jc w:val="both"/>
        <w:rPr/>
      </w:pPr>
      <w:r>
        <w:rPr>
          <w:rFonts w:eastAsia="Times New Roman" w:cs="Times New Roman" w:ascii="Times New Roman" w:hAnsi="Times New Roman"/>
          <w:color w:val="111111"/>
          <w:sz w:val="28"/>
          <w:szCs w:val="28"/>
          <w:lang w:val="en-US"/>
        </w:rPr>
        <w:t>See note on par. 58.</w:t>
      </w:r>
    </w:p>
    <w:p>
      <w:pPr>
        <w:pStyle w:val="BookText"/>
        <w:bidi w:val="0"/>
        <w:jc w:val="both"/>
        <w:rPr/>
      </w:pPr>
      <w:r>
        <w:rPr>
          <w:rFonts w:eastAsia="Times New Roman" w:cs="Times New Roman" w:ascii="Times New Roman" w:hAnsi="Times New Roman"/>
          <w:color w:val="111111"/>
          <w:sz w:val="28"/>
          <w:szCs w:val="28"/>
          <w:lang w:val="en-US"/>
        </w:rPr>
        <w:t>Par. 101.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have agreed in denying the vision of Allah the Most High with the eyes in the future life ” (Shahrastani, p. 29). The Shi‘ites agree wholly with the Mu‘tazilites in this matter.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al-Ash‘ari said, “ We believe that Allah at the Day of Resurrection will be visible to the eyes, as the moon is seen upon the night of the full moon; the believers will see Him . . . We teach that Moses besought Allah that he might see Him in this world; then Allah revealed Himself to the mountain and turned it into dust and taught Moses thereby that he could not see Him in this world (Qur. 7, 139)” (Macdonald, “De- velopment,” p. 295).</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according to the creed of an-Nasafi, “ That there is a Vision (ru’ya) of Allah the Most High is allowed by reason and certified by tradition (naql). A proof on authority has come down with the affirma- </w:t>
      </w:r>
    </w:p>
    <w:p>
      <w:pPr>
        <w:pStyle w:val="BookText"/>
        <w:bidi w:val="0"/>
        <w:rPr/>
      </w:pPr>
      <w:r>
        <w:rPr>
          <w:rFonts w:eastAsia="Times New Roman" w:cs="Times New Roman" w:ascii="Times New Roman" w:hAnsi="Times New Roman"/>
          <w:color w:val="111111"/>
          <w:sz w:val="28"/>
          <w:szCs w:val="28"/>
          <w:lang w:val="en-US"/>
        </w:rPr>
        <w:t>tion that believers have a Vision of Allah the Most High in Paradise and that He is seen, not in a place or in a direction or by facing or the joining of glances or the placing of a distance between him who sees and Allah the Most High ” (Macdonald, “ Development,” p. 310).</w:t>
      </w:r>
    </w:p>
    <w:p>
      <w:pPr>
        <w:pStyle w:val="BookText"/>
        <w:bidi w:val="0"/>
        <w:jc w:val="both"/>
        <w:rPr/>
      </w:pPr>
      <w:r>
        <w:rPr>
          <w:rFonts w:eastAsia="Times New Roman" w:cs="Times New Roman" w:ascii="Times New Roman" w:hAnsi="Times New Roman"/>
          <w:color w:val="111111"/>
          <w:sz w:val="28"/>
          <w:szCs w:val="28"/>
          <w:lang w:val="en-US"/>
        </w:rPr>
        <w:t>Par. 102.</w:t>
      </w:r>
    </w:p>
    <w:p>
      <w:pPr>
        <w:pStyle w:val="BookText"/>
        <w:bidi w:val="0"/>
        <w:jc w:val="both"/>
        <w:rPr/>
      </w:pPr>
      <w:r>
        <w:rPr>
          <w:rFonts w:eastAsia="Times New Roman" w:cs="Times New Roman" w:ascii="Times New Roman" w:hAnsi="Times New Roman"/>
          <w:color w:val="111111"/>
          <w:sz w:val="28"/>
          <w:szCs w:val="28"/>
          <w:lang w:val="en-US"/>
        </w:rPr>
        <w:t>This is in reply to the Ash‘arites who said that the vision of Allah was denied Moses only in this world.</w:t>
      </w:r>
    </w:p>
    <w:p>
      <w:pPr>
        <w:pStyle w:val="BookText"/>
        <w:bidi w:val="0"/>
        <w:jc w:val="both"/>
        <w:rPr/>
      </w:pPr>
      <w:r>
        <w:rPr>
          <w:rFonts w:eastAsia="Times New Roman" w:cs="Times New Roman" w:ascii="Times New Roman" w:hAnsi="Times New Roman"/>
          <w:color w:val="111111"/>
          <w:sz w:val="28"/>
          <w:szCs w:val="28"/>
          <w:lang w:val="en-US"/>
        </w:rPr>
        <w:t>Par. 106.</w:t>
      </w:r>
    </w:p>
    <w:p>
      <w:pPr>
        <w:pStyle w:val="BookText"/>
        <w:bidi w:val="0"/>
        <w:jc w:val="both"/>
        <w:rPr/>
      </w:pPr>
      <w:r>
        <w:rPr>
          <w:rFonts w:eastAsia="Times New Roman" w:cs="Times New Roman" w:ascii="Times New Roman" w:hAnsi="Times New Roman"/>
          <w:color w:val="111111"/>
          <w:sz w:val="28"/>
          <w:szCs w:val="28"/>
          <w:lang w:val="en-US"/>
        </w:rPr>
        <w:t>See Macdonald, “Development,” p. 160.</w:t>
      </w:r>
    </w:p>
    <w:p>
      <w:pPr>
        <w:pStyle w:val="BookText"/>
        <w:bidi w:val="0"/>
        <w:jc w:val="both"/>
        <w:rPr/>
      </w:pPr>
      <w:r>
        <w:rPr>
          <w:rFonts w:eastAsia="Times New Roman" w:cs="Times New Roman" w:ascii="Times New Roman" w:hAnsi="Times New Roman"/>
          <w:color w:val="111111"/>
          <w:sz w:val="28"/>
          <w:szCs w:val="28"/>
          <w:lang w:val="en-US"/>
        </w:rPr>
        <w:t>Par. 107.</w:t>
      </w:r>
    </w:p>
    <w:p>
      <w:pPr>
        <w:pStyle w:val="BookText"/>
        <w:bidi w:val="0"/>
        <w:jc w:val="both"/>
        <w:rPr/>
      </w:pPr>
      <w:r>
        <w:rPr>
          <w:rFonts w:eastAsia="Times New Roman" w:cs="Times New Roman" w:ascii="Times New Roman" w:hAnsi="Times New Roman"/>
          <w:color w:val="111111"/>
          <w:sz w:val="28"/>
          <w:szCs w:val="28"/>
          <w:lang w:val="en-US"/>
        </w:rPr>
        <w:t>See note on par. 58.</w:t>
      </w:r>
    </w:p>
    <w:p>
      <w:pPr>
        <w:pStyle w:val="BookText"/>
        <w:bidi w:val="0"/>
        <w:jc w:val="both"/>
        <w:rPr/>
      </w:pPr>
      <w:r>
        <w:rPr>
          <w:rFonts w:eastAsia="Times New Roman" w:cs="Times New Roman" w:ascii="Times New Roman" w:hAnsi="Times New Roman"/>
          <w:color w:val="111111"/>
          <w:sz w:val="28"/>
          <w:szCs w:val="28"/>
          <w:lang w:val="en-US"/>
        </w:rPr>
        <w:t>Par. 111.</w:t>
      </w:r>
    </w:p>
    <w:p>
      <w:pPr>
        <w:pStyle w:val="BookText"/>
        <w:bidi w:val="0"/>
        <w:jc w:val="both"/>
        <w:rPr/>
      </w:pPr>
      <w:r>
        <w:rPr>
          <w:rFonts w:eastAsia="Times New Roman" w:cs="Times New Roman" w:ascii="Times New Roman" w:hAnsi="Times New Roman"/>
          <w:color w:val="111111"/>
          <w:sz w:val="28"/>
          <w:szCs w:val="28"/>
          <w:lang w:val="en-US"/>
        </w:rPr>
        <w:t>The Sunnite theologians do not make Justice one of the Principles (usul) of religion. The Shi‘ites owe their emphasis upon Justice to their connection with the Mu‘tazilites, who called themselves “the people of Unity and Justice ” (Shahrastani, p. 29, Macdonald, “ Development,” p. 136).</w:t>
      </w:r>
    </w:p>
    <w:p>
      <w:pPr>
        <w:pStyle w:val="BookText"/>
        <w:bidi w:val="0"/>
        <w:jc w:val="both"/>
        <w:rPr/>
      </w:pPr>
      <w:r>
        <w:rPr>
          <w:rFonts w:eastAsia="Times New Roman" w:cs="Times New Roman" w:ascii="Times New Roman" w:hAnsi="Times New Roman"/>
          <w:color w:val="111111"/>
          <w:sz w:val="28"/>
          <w:szCs w:val="28"/>
          <w:lang w:val="en-US"/>
        </w:rPr>
        <w:t>Par. 115.</w:t>
      </w:r>
    </w:p>
    <w:p>
      <w:pPr>
        <w:pStyle w:val="BookText"/>
        <w:bidi w:val="0"/>
        <w:jc w:val="both"/>
        <w:rPr/>
      </w:pPr>
      <w:r>
        <w:rPr>
          <w:rFonts w:eastAsia="Times New Roman" w:cs="Times New Roman" w:ascii="Times New Roman" w:hAnsi="Times New Roman"/>
          <w:color w:val="111111"/>
          <w:sz w:val="28"/>
          <w:szCs w:val="28"/>
          <w:lang w:val="en-US"/>
        </w:rPr>
        <w:t>According to Shahrastani (p. 30) the Mu‘tazilites hold that “The cognition of good and evil is also within the province of reason; nothing is known to be right or wrong until reason has enlightened us as to the distinction ” (Sell, “ The Faith of Islam,” p. 197).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Note that only an injurious lie is considered evil. Shi‘ites hold that in some circumstances lying is not only justifiable but is positively incumbent.</w:t>
      </w:r>
    </w:p>
    <w:p>
      <w:pPr>
        <w:pStyle w:val="BookText"/>
        <w:bidi w:val="0"/>
        <w:jc w:val="both"/>
        <w:rPr/>
      </w:pPr>
      <w:r>
        <w:rPr>
          <w:rFonts w:eastAsia="Times New Roman" w:cs="Times New Roman" w:ascii="Times New Roman" w:hAnsi="Times New Roman"/>
          <w:color w:val="111111"/>
          <w:sz w:val="28"/>
          <w:szCs w:val="28"/>
          <w:lang w:val="en-US"/>
        </w:rPr>
        <w:t>Par. 119.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See Macdonald, “ Development,” p. 192. In the creed of al-Ash‘ari (Macdonald, p. 294) we read: “There is no Creator but Allah. The works of creatures are created and predestined by Allah, as He said (Qur. 37, 94), ‘ And Allah has created you and what ye do.’ Man is able to create nothing.”</w:t>
      </w:r>
    </w:p>
    <w:p>
      <w:pPr>
        <w:pStyle w:val="BookText"/>
        <w:bidi w:val="0"/>
        <w:jc w:val="both"/>
        <w:rPr/>
      </w:pPr>
      <w:r>
        <w:rPr>
          <w:rFonts w:eastAsia="Times New Roman" w:cs="Times New Roman" w:ascii="Times New Roman" w:hAnsi="Times New Roman"/>
          <w:color w:val="111111"/>
          <w:sz w:val="28"/>
          <w:szCs w:val="28"/>
          <w:lang w:val="en-US"/>
        </w:rPr>
        <w:t>So also the creed of an-Nasafi (Macdonald, p. 310): “ And Allah the Most High is the Creator of all actions of His creatures, whether of unbelief or belief, of obedience or rebellion, all of them are by the will of Allah and His sentence and His conclusion and His decreeing. And to His creatures belong actions of choice, for which they are rewarded or punished, and the good in these is by the good pleasure of Allah (rida) and the vile in them is not by His good pleasure.”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Mu‘tazilites insisted upon man’s freedom, and denied kasb. “ They are united that the creature has power over and creates his actions both good and evil.”</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Zaydites were a Shi‘ite sect who derived their name from Zayd, a grandson of Husayn (see Macdonald, “ Development,” p. 36 etc.). </w:t>
      </w:r>
    </w:p>
    <w:p>
      <w:pPr>
        <w:pStyle w:val="BookText"/>
        <w:bidi w:val="0"/>
        <w:rPr/>
      </w:pPr>
      <w:r>
        <w:rPr>
          <w:rFonts w:eastAsia="Times New Roman" w:cs="Times New Roman" w:ascii="Times New Roman" w:hAnsi="Times New Roman"/>
          <w:color w:val="111111"/>
          <w:sz w:val="28"/>
          <w:szCs w:val="28"/>
          <w:lang w:val="en-US"/>
        </w:rPr>
        <w:t>Par. 120.</w:t>
      </w:r>
    </w:p>
    <w:p>
      <w:pPr>
        <w:pStyle w:val="BookText"/>
        <w:bidi w:val="0"/>
        <w:jc w:val="both"/>
        <w:rPr/>
      </w:pPr>
      <w:r>
        <w:rPr>
          <w:rFonts w:eastAsia="Times New Roman" w:cs="Times New Roman" w:ascii="Times New Roman" w:hAnsi="Times New Roman"/>
          <w:color w:val="111111"/>
          <w:sz w:val="28"/>
          <w:szCs w:val="28"/>
          <w:lang w:val="en-US"/>
        </w:rPr>
        <w:t>The Ash‘arites replied to this objection that Allah gave man the ability to perform the action: “ And the ability to do the action (istita‘a) goes along with the action and is the essence of the power (qudra) by which the action takes place, and this word ‘ ability ’ means the soundness of the causes and instruments and limbs ” (Macdonald, p. 310).</w:t>
      </w:r>
    </w:p>
    <w:p>
      <w:pPr>
        <w:pStyle w:val="BookText"/>
        <w:bidi w:val="0"/>
        <w:jc w:val="both"/>
        <w:rPr/>
      </w:pPr>
      <w:r>
        <w:rPr>
          <w:rFonts w:eastAsia="Times New Roman" w:cs="Times New Roman" w:ascii="Times New Roman" w:hAnsi="Times New Roman"/>
          <w:color w:val="111111"/>
          <w:sz w:val="28"/>
          <w:szCs w:val="28"/>
          <w:lang w:val="en-US"/>
        </w:rPr>
        <w:t>Par. 126.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We witness that He is a Willer of the things that are, a Director of the things that happen, there does not come about in the world, seen or unseen, little or much, small or great, good or evil, advantage or disadvantage, faith or unbelief, knowledge or ignorance, success or loss, increase or diminution, obedience or rebellion, except by His will. What He wills is, and what He wills not is not. Not a glance of one who looks, or a slip of one who thinks is outside of His will. He is the Creator, the Bringer back, the Doer of that which He wills.” (Creed of al-Ghazzali, Macdonald, “ Development,” p. 302.)</w:t>
      </w:r>
    </w:p>
    <w:p>
      <w:pPr>
        <w:pStyle w:val="BookText"/>
        <w:bidi w:val="0"/>
        <w:jc w:val="both"/>
        <w:rPr/>
      </w:pPr>
      <w:r>
        <w:rPr>
          <w:rFonts w:eastAsia="Times New Roman" w:cs="Times New Roman" w:ascii="Times New Roman" w:hAnsi="Times New Roman"/>
          <w:color w:val="111111"/>
          <w:sz w:val="28"/>
          <w:szCs w:val="28"/>
          <w:lang w:val="en-US"/>
        </w:rPr>
        <w:t>Shahrastani says that the Mu‘tazilites taught that “ the Lord is far removed from having evil and injustice and unbelief and disobedience attributed to Him, because if He had created injustice He would be unjust ” (p. 30).</w:t>
      </w:r>
    </w:p>
    <w:p>
      <w:pPr>
        <w:pStyle w:val="BookText"/>
        <w:bidi w:val="0"/>
        <w:jc w:val="both"/>
        <w:rPr/>
      </w:pPr>
      <w:r>
        <w:rPr>
          <w:rFonts w:eastAsia="Times New Roman" w:cs="Times New Roman" w:ascii="Times New Roman" w:hAnsi="Times New Roman"/>
          <w:color w:val="111111"/>
          <w:sz w:val="28"/>
          <w:szCs w:val="28"/>
          <w:lang w:val="en-US"/>
        </w:rPr>
        <w:t>Par. 130.</w:t>
      </w:r>
    </w:p>
    <w:p>
      <w:pPr>
        <w:pStyle w:val="BookText"/>
        <w:bidi w:val="0"/>
        <w:jc w:val="both"/>
        <w:rPr/>
      </w:pPr>
      <w:r>
        <w:rPr>
          <w:rFonts w:eastAsia="Times New Roman" w:cs="Times New Roman" w:ascii="Times New Roman" w:hAnsi="Times New Roman"/>
          <w:color w:val="111111"/>
          <w:sz w:val="28"/>
          <w:szCs w:val="28"/>
          <w:lang w:val="en-US"/>
        </w:rPr>
        <w:t>The Ash‘arites held that “it is not incumbent upon Allah the Most High to do that which may be best for the creature ” (creed of an-Nasafi, Macdonald, p. 300). “ There is nothing incumbent upon Allah, against the doctrine of the Mu‘tazilites, who say that it is incumbent upon Allah to do that which is best (salah) for the creature ” (See the creed of al-Fadali where the Ash‘arite answer to the Mu‘tazilite position is given — Macdonald, p. 343.)</w:t>
      </w:r>
    </w:p>
    <w:p>
      <w:pPr>
        <w:pStyle w:val="BookText"/>
        <w:bidi w:val="0"/>
        <w:jc w:val="both"/>
        <w:rPr/>
      </w:pPr>
      <w:r>
        <w:rPr>
          <w:rFonts w:eastAsia="Times New Roman" w:cs="Times New Roman" w:ascii="Times New Roman" w:hAnsi="Times New Roman"/>
          <w:color w:val="111111"/>
          <w:sz w:val="28"/>
          <w:szCs w:val="28"/>
          <w:lang w:val="en-US"/>
        </w:rPr>
        <w:t>The Mu‘tazilites insisted that Allah could do nothing which was not for the good of the creature. “ And they have agreed that the Wise (al-Hakim) does nothing except what is advantageous (salah) and good (khayr), and because of His wisdom it is necessary for Him to consider the advantage of the creatures. But they differed as to what is most advantageous ” (Shahrastani, p. 29). See Macdonald, “Development,” p. 136.</w:t>
      </w:r>
    </w:p>
    <w:p>
      <w:pPr>
        <w:pStyle w:val="BookText"/>
        <w:bidi w:val="0"/>
        <w:jc w:val="both"/>
        <w:rPr/>
      </w:pPr>
      <w:r>
        <w:rPr>
          <w:rFonts w:eastAsia="Times New Roman" w:cs="Times New Roman" w:ascii="Times New Roman" w:hAnsi="Times New Roman"/>
          <w:color w:val="111111"/>
          <w:sz w:val="28"/>
          <w:szCs w:val="28"/>
          <w:lang w:val="en-US"/>
        </w:rPr>
        <w:t>Par. 131.</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far as I could discover, taklif is mentioned only once in the Sunnite creeds translated by Dr. Macdonald and published in his “ Development.” The emphasis placed upon it in the Shi‘ite creeds is due to the Shi‘ite doctrine that Allah must do what is best for man, and therefore must give man a reward in the future life. But Allah is Just, and cannot reward one who has no desert. Hence He must give man the opportunity to earn reward. Hence He must impose tasks for man to perform, that reward may be merited. But Allah will do more for man than merely give him a recompense for his labours, for the merited advantage will be joined with exaltation (see par. 142). </w:t>
      </w:r>
    </w:p>
    <w:p>
      <w:pPr>
        <w:pStyle w:val="BookText"/>
        <w:bidi w:val="0"/>
        <w:rPr/>
      </w:pPr>
      <w:r>
        <w:rPr>
          <w:rFonts w:eastAsia="Times New Roman" w:cs="Times New Roman" w:ascii="Times New Roman" w:hAnsi="Times New Roman"/>
          <w:color w:val="111111"/>
          <w:sz w:val="28"/>
          <w:szCs w:val="28"/>
          <w:lang w:val="en-US"/>
        </w:rPr>
        <w:t>Par. 137.</w:t>
      </w:r>
    </w:p>
    <w:p>
      <w:pPr>
        <w:pStyle w:val="BookText"/>
        <w:bidi w:val="0"/>
        <w:jc w:val="both"/>
        <w:rPr/>
      </w:pPr>
      <w:r>
        <w:rPr>
          <w:rFonts w:eastAsia="Times New Roman" w:cs="Times New Roman" w:ascii="Times New Roman" w:hAnsi="Times New Roman"/>
          <w:color w:val="111111"/>
          <w:sz w:val="28"/>
          <w:szCs w:val="28"/>
          <w:lang w:val="en-US"/>
        </w:rPr>
        <w:t>Note that the Shi‘ites hold that the usul must be known by reason. The orthodox belief is that the usul must be known by tradition, and that reason has to do only with the furu‘ (Sell, “ The Faith of Islam,” p. 190).</w:t>
      </w:r>
    </w:p>
    <w:p>
      <w:pPr>
        <w:pStyle w:val="BookText"/>
        <w:bidi w:val="0"/>
        <w:jc w:val="both"/>
        <w:rPr/>
      </w:pPr>
      <w:r>
        <w:rPr>
          <w:rFonts w:eastAsia="Times New Roman" w:cs="Times New Roman" w:ascii="Times New Roman" w:hAnsi="Times New Roman"/>
          <w:color w:val="111111"/>
          <w:sz w:val="28"/>
          <w:szCs w:val="28"/>
          <w:lang w:val="en-US"/>
        </w:rPr>
        <w:t>Par. 139.</w:t>
      </w:r>
    </w:p>
    <w:p>
      <w:pPr>
        <w:pStyle w:val="BookText"/>
        <w:bidi w:val="0"/>
        <w:jc w:val="both"/>
        <w:rPr/>
      </w:pPr>
      <w:r>
        <w:rPr>
          <w:rFonts w:eastAsia="Times New Roman" w:cs="Times New Roman" w:ascii="Times New Roman" w:hAnsi="Times New Roman"/>
          <w:color w:val="111111"/>
          <w:sz w:val="28"/>
          <w:szCs w:val="28"/>
          <w:lang w:val="en-US"/>
        </w:rPr>
        <w:t>It is the belief of both Shi‘ites and Sunnites that man was created with a desire for evil as well as for good. This desire has its seat in the nafs-i-ammara, which must therefore be constantly kept under by ‘aql, the seat of all good desires.</w:t>
      </w:r>
    </w:p>
    <w:p>
      <w:pPr>
        <w:pStyle w:val="BookText"/>
        <w:bidi w:val="0"/>
        <w:jc w:val="both"/>
        <w:rPr/>
      </w:pPr>
      <w:r>
        <w:rPr>
          <w:rFonts w:eastAsia="Times New Roman" w:cs="Times New Roman" w:ascii="Times New Roman" w:hAnsi="Times New Roman"/>
          <w:color w:val="111111"/>
          <w:sz w:val="28"/>
          <w:szCs w:val="28"/>
          <w:lang w:val="en-US"/>
        </w:rPr>
        <w:t>Par. 143.</w:t>
      </w:r>
    </w:p>
    <w:p>
      <w:pPr>
        <w:pStyle w:val="BookText"/>
        <w:bidi w:val="0"/>
        <w:jc w:val="both"/>
        <w:rPr/>
      </w:pPr>
      <w:r>
        <w:rPr>
          <w:rFonts w:eastAsia="Times New Roman" w:cs="Times New Roman" w:ascii="Times New Roman" w:hAnsi="Times New Roman"/>
          <w:color w:val="111111"/>
          <w:sz w:val="28"/>
          <w:szCs w:val="28"/>
          <w:lang w:val="en-US"/>
        </w:rPr>
        <w:t>The Mu‘tazilites also distinguished between reward, recompense, and grace. “ Recompense (‘iwad) and grace (tafaddul) have another meaning from reward (thawab) ” (Shahrastani, p. 30).</w:t>
      </w:r>
    </w:p>
    <w:p>
      <w:pPr>
        <w:pStyle w:val="BookText"/>
        <w:bidi w:val="0"/>
        <w:jc w:val="both"/>
        <w:rPr/>
      </w:pPr>
      <w:r>
        <w:rPr>
          <w:rFonts w:eastAsia="Times New Roman" w:cs="Times New Roman" w:ascii="Times New Roman" w:hAnsi="Times New Roman"/>
          <w:color w:val="111111"/>
          <w:sz w:val="28"/>
          <w:szCs w:val="28"/>
          <w:lang w:val="en-US"/>
        </w:rPr>
        <w:t>Par. 144.</w:t>
      </w:r>
    </w:p>
    <w:p>
      <w:pPr>
        <w:pStyle w:val="BookText"/>
        <w:bidi w:val="0"/>
        <w:jc w:val="both"/>
        <w:rPr/>
      </w:pPr>
      <w:r>
        <w:rPr>
          <w:rFonts w:eastAsia="Times New Roman" w:cs="Times New Roman" w:ascii="Times New Roman" w:hAnsi="Times New Roman"/>
          <w:color w:val="111111"/>
          <w:sz w:val="28"/>
          <w:szCs w:val="28"/>
          <w:lang w:val="en-US"/>
        </w:rPr>
        <w:t>Lutf is anything that Allah does, either directly or indirectly, to make it easier for man to obey and harder for him to disobey. Shahrastani says that the Mu‘tazilites differed among themselves as to whether lutf was wajib for Allah or not. None of the Sunnite creeds translated by Dr. Macdonald in the “ Development ” mention lutf, and the Sunnites did not need the doctrine, for since they held that all of man’s actions were created by Allah there was no fear that His will would not be done. But the Shi‘ites and Mu‘tazilites, since they insisted upon man’s freedom, had in some way to make sure that Allah would attain His purpose in human affairs. And so they set forth the doctrine of lutf, by which Allah influenced men to do His will, but did not force them.</w:t>
      </w:r>
    </w:p>
    <w:p>
      <w:pPr>
        <w:pStyle w:val="BookText"/>
        <w:bidi w:val="0"/>
        <w:jc w:val="both"/>
        <w:rPr/>
      </w:pPr>
      <w:r>
        <w:rPr>
          <w:rFonts w:eastAsia="Times New Roman" w:cs="Times New Roman" w:ascii="Times New Roman" w:hAnsi="Times New Roman"/>
          <w:color w:val="111111"/>
          <w:sz w:val="28"/>
          <w:szCs w:val="28"/>
          <w:lang w:val="en-US"/>
        </w:rPr>
        <w:t>Par. 151.</w:t>
      </w:r>
    </w:p>
    <w:p>
      <w:pPr>
        <w:pStyle w:val="BookText"/>
        <w:bidi w:val="0"/>
        <w:jc w:val="both"/>
        <w:rPr/>
      </w:pPr>
      <w:r>
        <w:rPr>
          <w:rFonts w:eastAsia="Times New Roman" w:cs="Times New Roman" w:ascii="Times New Roman" w:hAnsi="Times New Roman"/>
          <w:color w:val="111111"/>
          <w:sz w:val="28"/>
          <w:szCs w:val="28"/>
          <w:lang w:val="en-US"/>
        </w:rPr>
        <w:t>See note on par. 143*.</w:t>
      </w:r>
    </w:p>
    <w:p>
      <w:pPr>
        <w:pStyle w:val="BookText"/>
        <w:bidi w:val="0"/>
        <w:jc w:val="both"/>
        <w:rPr/>
      </w:pPr>
      <w:r>
        <w:rPr>
          <w:rFonts w:eastAsia="Times New Roman" w:cs="Times New Roman" w:ascii="Times New Roman" w:hAnsi="Times New Roman"/>
          <w:color w:val="111111"/>
          <w:sz w:val="28"/>
          <w:szCs w:val="28"/>
          <w:lang w:val="en-US"/>
        </w:rPr>
        <w:t>Par. 154.</w:t>
      </w:r>
    </w:p>
    <w:p>
      <w:pPr>
        <w:pStyle w:val="BookText"/>
        <w:bidi w:val="0"/>
        <w:jc w:val="both"/>
        <w:rPr/>
      </w:pPr>
      <w:r>
        <w:rPr>
          <w:rFonts w:eastAsia="Times New Roman" w:cs="Times New Roman" w:ascii="Times New Roman" w:hAnsi="Times New Roman"/>
          <w:color w:val="111111"/>
          <w:sz w:val="28"/>
          <w:szCs w:val="28"/>
          <w:lang w:val="en-US"/>
        </w:rPr>
        <w:t>See note on par. 130.</w:t>
      </w:r>
    </w:p>
    <w:p>
      <w:pPr>
        <w:pStyle w:val="BookText"/>
        <w:bidi w:val="0"/>
        <w:jc w:val="both"/>
        <w:rPr/>
      </w:pPr>
      <w:r>
        <w:rPr>
          <w:rFonts w:eastAsia="Times New Roman" w:cs="Times New Roman" w:ascii="Times New Roman" w:hAnsi="Times New Roman"/>
          <w:color w:val="111111"/>
          <w:sz w:val="28"/>
          <w:szCs w:val="28"/>
          <w:lang w:val="en-US"/>
        </w:rPr>
        <w:t>Par. 160.</w:t>
      </w:r>
    </w:p>
    <w:p>
      <w:pPr>
        <w:pStyle w:val="BookText"/>
        <w:bidi w:val="0"/>
        <w:jc w:val="both"/>
        <w:rPr/>
      </w:pPr>
      <w:r>
        <w:rPr>
          <w:rFonts w:eastAsia="Times New Roman" w:cs="Times New Roman" w:ascii="Times New Roman" w:hAnsi="Times New Roman"/>
          <w:color w:val="111111"/>
          <w:sz w:val="28"/>
          <w:szCs w:val="28"/>
          <w:lang w:val="en-US"/>
        </w:rPr>
        <w:t>When Musaylima, the false prophet of Arabia, tried to reproduce some of the miracles of Muhammad the result was just the opposite of what he desired. The application of his saliva made sore eyes blind, and wounded limbs leprous, and fresh water brackish. See “ The Hyat-ul-Kuloob ” (Herrick), p. 309.</w:t>
      </w:r>
    </w:p>
    <w:p>
      <w:pPr>
        <w:pStyle w:val="BookText"/>
        <w:bidi w:val="0"/>
        <w:jc w:val="both"/>
        <w:rPr/>
      </w:pPr>
      <w:r>
        <w:rPr>
          <w:rFonts w:eastAsia="Times New Roman" w:cs="Times New Roman" w:ascii="Times New Roman" w:hAnsi="Times New Roman"/>
          <w:color w:val="111111"/>
          <w:sz w:val="28"/>
          <w:szCs w:val="28"/>
          <w:lang w:val="en-US"/>
        </w:rPr>
        <w:t>Par. 164.</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Sunnite creeds of an-Nasafi (d. 537 a.h.) and al-Ghazzali (d. 505 a.h.) and al-Ash‘ari (d. c. 320 a.h.) there is no mention of ‘isma as a quality necessary for a prophet. However, in the late creed of al-Fadali (13th century a.h.) we read that one of the necessary things for messengers is “ their being preserved (‘isma) from falling into </w:t>
      </w:r>
    </w:p>
    <w:p>
      <w:pPr>
        <w:pStyle w:val="BookText"/>
        <w:bidi w:val="0"/>
        <w:rPr/>
      </w:pPr>
      <w:r>
        <w:rPr>
          <w:rFonts w:eastAsia="Times New Roman" w:cs="Times New Roman" w:ascii="Times New Roman" w:hAnsi="Times New Roman"/>
          <w:color w:val="111111"/>
          <w:sz w:val="28"/>
          <w:szCs w:val="28"/>
          <w:lang w:val="en-US"/>
        </w:rPr>
        <w:t>things forbidden (muharram) and disliked (makruh)” (Macdonald, p. 347), and this is now the orthodox belief. See Sell, “ The Faith of Islam,” p. 244.</w:t>
      </w:r>
    </w:p>
    <w:p>
      <w:pPr>
        <w:pStyle w:val="BookText"/>
        <w:bidi w:val="0"/>
        <w:jc w:val="both"/>
        <w:rPr/>
      </w:pPr>
      <w:r>
        <w:rPr>
          <w:rFonts w:eastAsia="Times New Roman" w:cs="Times New Roman" w:ascii="Times New Roman" w:hAnsi="Times New Roman"/>
          <w:color w:val="111111"/>
          <w:sz w:val="28"/>
          <w:szCs w:val="28"/>
          <w:lang w:val="en-US"/>
        </w:rPr>
        <w:t>Par. 166.</w:t>
      </w:r>
    </w:p>
    <w:p>
      <w:pPr>
        <w:pStyle w:val="BookText"/>
        <w:bidi w:val="0"/>
        <w:jc w:val="both"/>
        <w:rPr/>
      </w:pPr>
      <w:r>
        <w:rPr>
          <w:rFonts w:eastAsia="Times New Roman" w:cs="Times New Roman" w:ascii="Times New Roman" w:hAnsi="Times New Roman"/>
          <w:color w:val="111111"/>
          <w:sz w:val="28"/>
          <w:szCs w:val="28"/>
          <w:lang w:val="en-US"/>
        </w:rPr>
        <w:t>Refer to Sell, p. 244, note 2.</w:t>
      </w:r>
    </w:p>
    <w:p>
      <w:pPr>
        <w:pStyle w:val="BookText"/>
        <w:bidi w:val="0"/>
        <w:jc w:val="both"/>
        <w:rPr/>
      </w:pPr>
      <w:r>
        <w:rPr>
          <w:rFonts w:eastAsia="Times New Roman" w:cs="Times New Roman" w:ascii="Times New Roman" w:hAnsi="Times New Roman"/>
          <w:color w:val="111111"/>
          <w:sz w:val="28"/>
          <w:szCs w:val="28"/>
          <w:lang w:val="en-US"/>
        </w:rPr>
        <w:t>Par. 171.</w:t>
      </w:r>
    </w:p>
    <w:p>
      <w:pPr>
        <w:pStyle w:val="BookText"/>
        <w:bidi w:val="0"/>
        <w:jc w:val="both"/>
        <w:rPr/>
      </w:pPr>
      <w:r>
        <w:rPr>
          <w:rFonts w:eastAsia="Times New Roman" w:cs="Times New Roman" w:ascii="Times New Roman" w:hAnsi="Times New Roman"/>
          <w:color w:val="111111"/>
          <w:sz w:val="28"/>
          <w:szCs w:val="28"/>
          <w:lang w:val="en-US"/>
        </w:rPr>
        <w:t>Refer to Nicholson, “ A Literary History of the Arabs,” p. 343.</w:t>
      </w:r>
    </w:p>
    <w:p>
      <w:pPr>
        <w:pStyle w:val="BookText"/>
        <w:bidi w:val="0"/>
        <w:jc w:val="both"/>
        <w:rPr/>
      </w:pPr>
      <w:r>
        <w:rPr>
          <w:rFonts w:eastAsia="Times New Roman" w:cs="Times New Roman" w:ascii="Times New Roman" w:hAnsi="Times New Roman"/>
          <w:color w:val="111111"/>
          <w:sz w:val="28"/>
          <w:szCs w:val="28"/>
          <w:lang w:val="en-US"/>
        </w:rPr>
        <w:t>Par. 174.</w:t>
      </w:r>
    </w:p>
    <w:p>
      <w:pPr>
        <w:pStyle w:val="BookText"/>
        <w:bidi w:val="0"/>
        <w:jc w:val="both"/>
        <w:rPr/>
      </w:pPr>
      <w:r>
        <w:rPr>
          <w:rFonts w:eastAsia="Times New Roman" w:cs="Times New Roman" w:ascii="Times New Roman" w:hAnsi="Times New Roman"/>
          <w:color w:val="111111"/>
          <w:sz w:val="28"/>
          <w:szCs w:val="28"/>
          <w:lang w:val="en-US"/>
        </w:rPr>
        <w:t>Contrast with the Shi‘ite conception of the Imam that of the Sunnites, as expressed in the creed of an-Nasafi (Macdonald, pp. 313- 314): “The Muslims cannot do without a leader (Imam) who shall occupy himself with the enforcing of their decisions, and in maintaining their restrictive ordinances and guarding their frontiers, and equipping their armies, and receiving their alms, and putting down robberies and thieving and highwaymen, and maintaining the Friday services and the Festivals, and removing quarrels that fall between creatures, and receiving evidence bearing on legal claims, and marrying minors, male and female, who have no guardians, and dividing booty. And it is necessary that the leader should be visible, not hidden and expected to appear (muntazar), and that he should be of the tribe of Quraysh and not of any other. And he is not assigned exclusively to the sons of Hashim nor to the children of ‘Ali. And it is not a condition that he should be protected by Allah from sin (‘isma), nor that he should be the most excellent of the people of his time, but it is a condition that he should be juris [i.e., Muslim, free, male, sane, adult], should be a good governor and should be able to carry out decrees and to guard the restrictive ordinances (hudud) of Islam and to protect the wronged against him who wronged him. And he is not to be deposed from the leadership on account of immorality or tyranny.”</w:t>
      </w:r>
    </w:p>
    <w:p>
      <w:pPr>
        <w:pStyle w:val="BookText"/>
        <w:bidi w:val="0"/>
        <w:jc w:val="both"/>
        <w:rPr/>
      </w:pPr>
      <w:r>
        <w:rPr>
          <w:rFonts w:eastAsia="Times New Roman" w:cs="Times New Roman" w:ascii="Times New Roman" w:hAnsi="Times New Roman"/>
          <w:color w:val="111111"/>
          <w:sz w:val="28"/>
          <w:szCs w:val="28"/>
          <w:lang w:val="en-US"/>
        </w:rPr>
        <w:t>The Sunnites want an earthly ruler with sufficient power to govern the Muslim state and repulse all enemies, while the Shi‘ites look for one who can establish the Kingdom of Heaven on earth and bring an end to all the evils of the world. When one recalls the historical situation at the time when the Shi‘ite creed was written it does not seem strange that after the horrors of the Mongol invasion and the wars and confusion which followed, some men should long for a sinless Imam who was able to “ restrain the oppressor from his oppression and avenge the oppressed of his oppressor.”</w:t>
      </w:r>
    </w:p>
    <w:p>
      <w:pPr>
        <w:pStyle w:val="BookText"/>
        <w:bidi w:val="0"/>
        <w:jc w:val="both"/>
        <w:rPr/>
      </w:pPr>
      <w:r>
        <w:rPr>
          <w:rFonts w:eastAsia="Times New Roman" w:cs="Times New Roman" w:ascii="Times New Roman" w:hAnsi="Times New Roman"/>
          <w:color w:val="111111"/>
          <w:sz w:val="28"/>
          <w:szCs w:val="28"/>
          <w:lang w:val="en-US"/>
        </w:rPr>
        <w:t>Par. 184.</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Sunnites the Foundations of religion are the Koran, the Sunna, Ijma‘ and Qiyas. It is evident from the text that the Shi‘ites reject all of these as insufficient in themselves, and look to a divinely guided Imam, who alone can interpret the Koran and make known to men their duty. The Shi‘ite mujtahids are the representatives of the hidden </w:t>
      </w:r>
    </w:p>
    <w:p>
      <w:pPr>
        <w:pStyle w:val="BookText"/>
        <w:bidi w:val="0"/>
        <w:rPr/>
      </w:pPr>
      <w:r>
        <w:rPr>
          <w:rFonts w:eastAsia="Times New Roman" w:cs="Times New Roman" w:ascii="Times New Roman" w:hAnsi="Times New Roman"/>
          <w:color w:val="111111"/>
          <w:sz w:val="28"/>
          <w:szCs w:val="28"/>
          <w:lang w:val="en-US"/>
        </w:rPr>
        <w:t>Imam, but it is possible for them to err, as they do not receive any supernatural guidance from the Imam. There is no place in Shi‘ite theology for kashf (see Macdonald, “ Development,” p. 215, etc.).</w:t>
      </w:r>
    </w:p>
    <w:p>
      <w:pPr>
        <w:pStyle w:val="BookText"/>
        <w:bidi w:val="0"/>
        <w:jc w:val="both"/>
        <w:rPr/>
      </w:pPr>
      <w:r>
        <w:rPr>
          <w:rFonts w:eastAsia="Times New Roman" w:cs="Times New Roman" w:ascii="Times New Roman" w:hAnsi="Times New Roman"/>
          <w:color w:val="111111"/>
          <w:sz w:val="28"/>
          <w:szCs w:val="28"/>
          <w:lang w:val="en-US"/>
        </w:rPr>
        <w:t>Par. 193.</w:t>
      </w:r>
    </w:p>
    <w:p>
      <w:pPr>
        <w:pStyle w:val="BookText"/>
        <w:bidi w:val="0"/>
        <w:jc w:val="both"/>
        <w:rPr/>
      </w:pPr>
      <w:r>
        <w:rPr>
          <w:rFonts w:eastAsia="Times New Roman" w:cs="Times New Roman" w:ascii="Times New Roman" w:hAnsi="Times New Roman"/>
          <w:color w:val="111111"/>
          <w:sz w:val="28"/>
          <w:szCs w:val="28"/>
          <w:lang w:val="en-US"/>
        </w:rPr>
        <w:t>In the creed of an-Nasafi we read: “And the most excellent of mankind after our Prophet is Abu Bakr the Veracious.”</w:t>
      </w:r>
    </w:p>
    <w:p>
      <w:pPr>
        <w:pStyle w:val="BookText"/>
        <w:bidi w:val="0"/>
        <w:jc w:val="both"/>
        <w:rPr/>
      </w:pPr>
      <w:r>
        <w:rPr>
          <w:rFonts w:eastAsia="Times New Roman" w:cs="Times New Roman" w:ascii="Times New Roman" w:hAnsi="Times New Roman"/>
          <w:color w:val="111111"/>
          <w:sz w:val="28"/>
          <w:szCs w:val="28"/>
          <w:lang w:val="en-US"/>
        </w:rPr>
        <w:t>A full account of the incident here referred to is found in chapter 18 of Herrick’s “ Hyat-ul-Kuloob ” (which is a translation of volume ii of the great work of Mulla Muhammad Baqir-i-Majlisi (d. 1070/1659) — Browne’s “ Persian Literature in Modern Times,” pp. 409, 417). The story in brief is as follows: When Muhammad sent letters to the kings of Rome, Persia, etc., summoning them to embrace Islam, the Christians of Najran in South Arabia assembled in their church to decide what they ought to do. After various proposals had been made as to whether they should fight or yield or become Muslims, someone arose and quoted Jesus’ words to Simon Peter promising to send Ahmad the Paraqalit (the parakletos, the Comforter), whose son should conquer the world. But it was replied that Muhammad had no offspring, and so this could not refer to him. Then they brought out the Book of Jami‘ and read from the story of Adam, how Adam once saw a brilliant light with four other lights about it, and was told by Allah that these lights were five of his descendants, namely, Muhammad and his Wazir and his daughter and his two grandsons who would succeed him. Ibrahim also saw a similar vision, and the same thing was predicted by Musa and ‘Isa.</w:t>
      </w:r>
    </w:p>
    <w:p>
      <w:pPr>
        <w:pStyle w:val="BookText"/>
        <w:bidi w:val="0"/>
        <w:jc w:val="both"/>
        <w:rPr/>
      </w:pPr>
      <w:r>
        <w:rPr>
          <w:rFonts w:eastAsia="Times New Roman" w:cs="Times New Roman" w:ascii="Times New Roman" w:hAnsi="Times New Roman"/>
          <w:color w:val="111111"/>
          <w:sz w:val="28"/>
          <w:szCs w:val="28"/>
          <w:lang w:val="en-US"/>
        </w:rPr>
        <w:t>So it was decided to send all their princes and doctors to Medina to see whether Muhammad was the one whom ‘Isa had predicted. Accordingly they entered Medina in great pomp, found Muhammad in the Mosque, and debated the question of the person of Christ with him. At last, unable to convince one another, they proposed to him that they refer the matter to Allah, and call down His curse on whoever lied. Then the verse of Mubahala (mutual cursing) was sent down (Koran 3:53, 54), Muhammad agreed, and the contest was set for the following day. The Christians said to one another, “ If Muhammad comes out with royal pomp, then we shall conquer, for he is only an earthly ruler, but if he comes out with only a few godly people then he is a prophet, and will prevail.”</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next day the Christian leaders came forward with their sons and wives. All the people of Medina came out with banners waving to witness the conflict. Late in the morning Muhammad came forth with the Holy Family only (‘Ali, Fatima, Hasan, and Husayn), and took his place with them under a cloak hung between two small trees. The Christians asked why he brought out those people and not the chief men of his religion. He replied that Allah had so commanded. Then the Christians, remembering what they had read in the Jami‘, turned pale and retired, fearing to make the trial, for they recognized Muham- mad as the Prophet whom ‘Isa had predicted. Muhammad raised his </w:t>
      </w:r>
    </w:p>
    <w:p>
      <w:pPr>
        <w:pStyle w:val="BookText"/>
        <w:bidi w:val="0"/>
        <w:rPr/>
      </w:pPr>
      <w:r>
        <w:rPr>
          <w:rFonts w:eastAsia="Times New Roman" w:cs="Times New Roman" w:ascii="Times New Roman" w:hAnsi="Times New Roman"/>
          <w:color w:val="111111"/>
          <w:sz w:val="28"/>
          <w:szCs w:val="28"/>
          <w:lang w:val="en-US"/>
        </w:rPr>
        <w:t>hands to pray, and at once the mountains began to tremble and smoke covered the earth. If he had spoken but one word everything would have been destroyed! So the Christians made peace, and agreed to pay an annual tribute of 2,000 robes and 1,000 misqals of gold.</w:t>
      </w:r>
    </w:p>
    <w:p>
      <w:pPr>
        <w:pStyle w:val="BookText"/>
        <w:bidi w:val="0"/>
        <w:jc w:val="both"/>
        <w:rPr/>
      </w:pPr>
      <w:r>
        <w:rPr>
          <w:rFonts w:eastAsia="Times New Roman" w:cs="Times New Roman" w:ascii="Times New Roman" w:hAnsi="Times New Roman"/>
          <w:color w:val="111111"/>
          <w:sz w:val="28"/>
          <w:szCs w:val="28"/>
          <w:lang w:val="en-US"/>
        </w:rPr>
        <w:t>The Shi‘ites attach very great importance to this incident, not only as proving the prophetic mission of Muhammad, but also because it establishes their doctrine of the Imamate. See “ Hyat-ul-Kuloob,” pp. 325, 326.</w:t>
      </w:r>
    </w:p>
    <w:p>
      <w:pPr>
        <w:pStyle w:val="BookText"/>
        <w:bidi w:val="0"/>
        <w:jc w:val="both"/>
        <w:rPr/>
      </w:pPr>
      <w:r>
        <w:rPr>
          <w:rFonts w:eastAsia="Times New Roman" w:cs="Times New Roman" w:ascii="Times New Roman" w:hAnsi="Times New Roman"/>
          <w:color w:val="111111"/>
          <w:sz w:val="28"/>
          <w:szCs w:val="28"/>
          <w:lang w:val="en-US"/>
        </w:rPr>
        <w:t>Par. 204.</w:t>
      </w:r>
    </w:p>
    <w:p>
      <w:pPr>
        <w:pStyle w:val="BookText"/>
        <w:bidi w:val="0"/>
        <w:jc w:val="both"/>
        <w:rPr/>
      </w:pPr>
      <w:r>
        <w:rPr>
          <w:rFonts w:eastAsia="Times New Roman" w:cs="Times New Roman" w:ascii="Times New Roman" w:hAnsi="Times New Roman"/>
          <w:color w:val="111111"/>
          <w:sz w:val="28"/>
          <w:szCs w:val="28"/>
          <w:lang w:val="en-US"/>
        </w:rPr>
        <w:t>For a fuller account of this incident see “ Hyat-ul-Kuloob,” ch. 19.</w:t>
      </w:r>
    </w:p>
    <w:p>
      <w:pPr>
        <w:pStyle w:val="BookText"/>
        <w:bidi w:val="0"/>
        <w:jc w:val="both"/>
        <w:rPr/>
      </w:pPr>
      <w:r>
        <w:rPr>
          <w:rFonts w:eastAsia="Times New Roman" w:cs="Times New Roman" w:ascii="Times New Roman" w:hAnsi="Times New Roman"/>
          <w:color w:val="111111"/>
          <w:sz w:val="28"/>
          <w:szCs w:val="28"/>
          <w:lang w:val="en-US"/>
        </w:rPr>
        <w:t>Par. 205.</w:t>
      </w:r>
    </w:p>
    <w:p>
      <w:pPr>
        <w:pStyle w:val="BookText"/>
        <w:bidi w:val="0"/>
        <w:jc w:val="both"/>
        <w:rPr/>
      </w:pPr>
      <w:r>
        <w:rPr>
          <w:rFonts w:eastAsia="Times New Roman" w:cs="Times New Roman" w:ascii="Times New Roman" w:hAnsi="Times New Roman"/>
          <w:color w:val="111111"/>
          <w:sz w:val="28"/>
          <w:szCs w:val="28"/>
          <w:lang w:val="en-US"/>
        </w:rPr>
        <w:t>This idea was possibly derived from Ibn Saba, the founder of the Saba’ites, a Jew who carried on a vigorous campaign for ‘Ali. See Nicholson, “ A Literary History of the Arabs,” p. 215.</w:t>
      </w:r>
    </w:p>
    <w:p>
      <w:pPr>
        <w:pStyle w:val="BookText"/>
        <w:bidi w:val="0"/>
        <w:jc w:val="both"/>
        <w:rPr/>
      </w:pPr>
      <w:r>
        <w:rPr>
          <w:rFonts w:eastAsia="Times New Roman" w:cs="Times New Roman" w:ascii="Times New Roman" w:hAnsi="Times New Roman"/>
          <w:color w:val="111111"/>
          <w:sz w:val="28"/>
          <w:szCs w:val="28"/>
          <w:lang w:val="en-US"/>
        </w:rPr>
        <w:t>Par. 207.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Aided by divine power, Aly seized the outer ring of the gate, and shook it so violently that the whole fortress trembled. The gate broke away, and Aly, using it as a shield, rushed into the town, which he soon overcame. He then hurled the gate forty cubits distance, which seventy men, to satisfy their curiosity, tried in vain to lift ” (“ Hyat-ul-Kuloob,” p. 274).</w:t>
      </w:r>
    </w:p>
    <w:p>
      <w:pPr>
        <w:pStyle w:val="BookText"/>
        <w:bidi w:val="0"/>
        <w:jc w:val="both"/>
        <w:rPr/>
      </w:pPr>
      <w:r>
        <w:rPr>
          <w:rFonts w:eastAsia="Times New Roman" w:cs="Times New Roman" w:ascii="Times New Roman" w:hAnsi="Times New Roman"/>
          <w:color w:val="111111"/>
          <w:sz w:val="28"/>
          <w:szCs w:val="28"/>
          <w:lang w:val="en-US"/>
        </w:rPr>
        <w:t>Par. 226.</w:t>
      </w:r>
    </w:p>
    <w:p>
      <w:pPr>
        <w:pStyle w:val="BookText"/>
        <w:bidi w:val="0"/>
        <w:jc w:val="both"/>
        <w:rPr/>
      </w:pPr>
      <w:r>
        <w:rPr>
          <w:rFonts w:eastAsia="Times New Roman" w:cs="Times New Roman" w:ascii="Times New Roman" w:hAnsi="Times New Roman"/>
          <w:color w:val="111111"/>
          <w:sz w:val="28"/>
          <w:szCs w:val="28"/>
          <w:lang w:val="en-US"/>
        </w:rPr>
        <w:t>The Kharijites divided sins into great (kabira) and small (saghira), and taught that a believer who committed a great sin and did not repent of it became an unbeliever, and if he died without repenting he would remain eternally in the Fire (see Macdonald, “Development,” p. 126).</w:t>
      </w:r>
    </w:p>
    <w:p>
      <w:pPr>
        <w:pStyle w:val="BookText"/>
        <w:bidi w:val="0"/>
        <w:jc w:val="both"/>
        <w:rPr/>
      </w:pPr>
      <w:r>
        <w:rPr>
          <w:rFonts w:eastAsia="Times New Roman" w:cs="Times New Roman" w:ascii="Times New Roman" w:hAnsi="Times New Roman"/>
          <w:color w:val="111111"/>
          <w:sz w:val="28"/>
          <w:szCs w:val="28"/>
          <w:lang w:val="en-US"/>
        </w:rPr>
        <w:t>The Mu‘tazilites said that such a sinner ceased to be a believer, but did not become an unbeliever (kafir), and must remain forever in the Fire, but his sufferings would be mitigated (see Shahrastani, p. 29).</w:t>
      </w:r>
    </w:p>
    <w:p>
      <w:pPr>
        <w:pStyle w:val="BookText"/>
        <w:bidi w:val="0"/>
        <w:jc w:val="both"/>
        <w:rPr/>
      </w:pPr>
      <w:r>
        <w:rPr>
          <w:rFonts w:eastAsia="Times New Roman" w:cs="Times New Roman" w:ascii="Times New Roman" w:hAnsi="Times New Roman"/>
          <w:color w:val="111111"/>
          <w:sz w:val="28"/>
          <w:szCs w:val="28"/>
          <w:lang w:val="en-US"/>
        </w:rPr>
        <w:t>The Ash‘arites said, “ We are of the opinion that we may not accuse anyone of unbelief (kufr), who prays towards Mecca, on account of sin committed by him, such as unchastity, theft, wine-drinking, as the Kharijites believe, who judge that these thereby become unbelievers. We teach that whoever commits a great sin (kabira), or anything like it, holding it to be allowed, is an unbeliever, since he does not believe in its prohibition ” (Macdonald, p. 296). Thus only one who holds that such sins are lawful becomes an unbeliever by committing them.</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With this agrees the creed of an-Nasafi (Macdonald, p. 311): “ A great sin (kabira) does not exclude the creature who believes from the Belief (iman) and does not make him an unbeliever. And Allah does not forgive him who joins another with Himself, but He forgives anything beneath that to whom He wills of sins small (saghira) or great. And there may be punishment for a small and pardon for a great one, if it be not of the nature of considering lawful what is forbidden, for that is </w:t>
      </w:r>
    </w:p>
    <w:p>
      <w:pPr>
        <w:pStyle w:val="BookText"/>
        <w:bidi w:val="0"/>
        <w:rPr/>
      </w:pPr>
      <w:r>
        <w:rPr>
          <w:rFonts w:eastAsia="Times New Roman" w:cs="Times New Roman" w:ascii="Times New Roman" w:hAnsi="Times New Roman"/>
          <w:color w:val="111111"/>
          <w:sz w:val="28"/>
          <w:szCs w:val="28"/>
          <w:lang w:val="en-US"/>
        </w:rPr>
        <w:t>unbelief (kufr).” And according to the creed of al-Ghazzali (Mac- donald, p. 307) “ the attestors of Allah’s Unity (muwahhidun) will be brought forth from the fire after vengeance has been taken on them, so that there will not remain in Hell an attestor of Allah’s Unity.” Thus the orthodox belief came to be that after a period of punishment in Hell all believers would be admitted to the Garden.</w:t>
      </w:r>
    </w:p>
    <w:p>
      <w:pPr>
        <w:pStyle w:val="BookText"/>
        <w:bidi w:val="0"/>
        <w:jc w:val="both"/>
        <w:rPr/>
      </w:pPr>
      <w:r>
        <w:rPr>
          <w:rFonts w:eastAsia="Times New Roman" w:cs="Times New Roman" w:ascii="Times New Roman" w:hAnsi="Times New Roman"/>
          <w:color w:val="111111"/>
          <w:sz w:val="28"/>
          <w:szCs w:val="28"/>
          <w:lang w:val="en-US"/>
        </w:rPr>
        <w:t>The Shi‘ites take the same position. They hold that a believer does not become an unbeliever by committing a great sin. If the sin was against Allah, he will be forgiven whenever he repents. If, however, the sin was against man, he must first make it right, and then he will be forgiven. If he dies without repenting he will go to Hell for a time, and then be transported to the Garden where he will remain for ever. If he has the intercession of the Prophet and the Imams or the forgiveness of Allah, the Fire will not burn him, otherwise he must be tormented to the extent that his sin deserves, and then be carried to the Garden.</w:t>
      </w:r>
    </w:p>
    <w:p>
      <w:pPr>
        <w:pStyle w:val="BookText"/>
        <w:bidi w:val="0"/>
        <w:jc w:val="both"/>
        <w:rPr/>
      </w:pPr>
      <w:r>
        <w:rPr>
          <w:rFonts w:eastAsia="Times New Roman" w:cs="Times New Roman" w:ascii="Times New Roman" w:hAnsi="Times New Roman"/>
          <w:color w:val="111111"/>
          <w:sz w:val="28"/>
          <w:szCs w:val="28"/>
          <w:lang w:val="en-US"/>
        </w:rPr>
        <w:t>The Sunnites also hope for the intercession of Muhammad — “ And the intercession of the Messengers and of the excellent on behalf of those who commit great sins is established ” (creed of an-Nasafi, Macdonald, p. 311). “ We teach that Allah will release a few out of Hell on account of Muhammad’s intercession, after they have been scorched there ” (creed of al-Ash‘ari, Macdonald, p. 296).</w:t>
      </w:r>
    </w:p>
    <w:p>
      <w:pPr>
        <w:pStyle w:val="BookText"/>
        <w:bidi w:val="0"/>
        <w:jc w:val="both"/>
        <w:rPr/>
      </w:pPr>
      <w:r>
        <w:rPr>
          <w:rFonts w:eastAsia="Times New Roman" w:cs="Times New Roman" w:ascii="Times New Roman" w:hAnsi="Times New Roman"/>
          <w:color w:val="111111"/>
          <w:sz w:val="28"/>
          <w:szCs w:val="28"/>
          <w:lang w:val="en-US"/>
        </w:rPr>
        <w:t>Par. 234.</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Mu‘tazilites considered good works essential to faith (Sell, “The Faith of Islam,” p. 185). But Shi‘ites and Sunnites agree in holding that “ faith (iman) is assent (tasdiq) to that which comes from Allah and confession (iqrar) of it ” (creed of an-Nasafi, Macdonald, p. 312), and works are separate from it. </w:t>
      </w:r>
      <w:bookmarkStart w:id="165" w:name="pg18967_203257"/>
    </w:p>
    <w:p>
      <w:pPr>
        <w:pStyle w:val="Heading2"/>
        <w:numPr>
          <w:ilvl w:val="1"/>
          <w:numId w:val="1"/>
        </w:numPr>
        <w:bidi w:val="0"/>
        <w:jc w:val="left"/>
        <w:rPr/>
      </w:pPr>
      <w:bookmarkStart w:id="166" w:name="__RefHeading___Toc16877138_1280447820"/>
      <w:bookmarkStart w:id="167" w:name="_Toc60"/>
      <w:bookmarkEnd w:id="165"/>
      <w:bookmarkEnd w:id="166"/>
      <w:r>
        <w:rPr/>
        <w:t>Index of Names and Important Arabic Words</w:t>
      </w:r>
      <w:bookmarkEnd w:id="167"/>
    </w:p>
    <w:p>
      <w:pPr>
        <w:pStyle w:val="BookText"/>
        <w:bidi w:val="0"/>
        <w:jc w:val="both"/>
        <w:rPr/>
      </w:pPr>
      <w:r>
        <w:rPr>
          <w:rFonts w:eastAsia="Times New Roman" w:cs="Times New Roman" w:ascii="Times New Roman" w:hAnsi="Times New Roman"/>
          <w:color w:val="111111"/>
          <w:sz w:val="28"/>
          <w:szCs w:val="28"/>
          <w:lang w:val="en-US"/>
        </w:rPr>
        <w:t>INDEX OF NAMES AND IMPORTANT</w:t>
      </w:r>
    </w:p>
    <w:p>
      <w:pPr>
        <w:pStyle w:val="BookText"/>
        <w:bidi w:val="0"/>
        <w:jc w:val="both"/>
        <w:rPr/>
      </w:pPr>
      <w:r>
        <w:rPr>
          <w:rFonts w:eastAsia="Times New Roman" w:cs="Times New Roman" w:ascii="Times New Roman" w:hAnsi="Times New Roman"/>
          <w:color w:val="111111"/>
          <w:sz w:val="28"/>
          <w:szCs w:val="28"/>
          <w:lang w:val="en-US"/>
        </w:rPr>
        <w:t>ARABIC WORDS</w:t>
      </w:r>
    </w:p>
    <w:p>
      <w:pPr>
        <w:pStyle w:val="BookText"/>
        <w:bidi w:val="0"/>
        <w:jc w:val="both"/>
        <w:rPr/>
      </w:pPr>
      <w:r>
        <w:rPr>
          <w:rFonts w:eastAsia="Times New Roman" w:cs="Times New Roman" w:ascii="Times New Roman" w:hAnsi="Times New Roman"/>
          <w:color w:val="111111"/>
          <w:sz w:val="28"/>
          <w:szCs w:val="28"/>
          <w:lang w:val="en-US"/>
        </w:rPr>
        <w:t>(The references are to the paragraphs.)</w:t>
      </w:r>
    </w:p>
    <w:p>
      <w:pPr>
        <w:pStyle w:val="BookText"/>
        <w:bidi w:val="0"/>
        <w:jc w:val="both"/>
        <w:rPr/>
      </w:pPr>
      <w:r>
        <w:rPr>
          <w:rFonts w:eastAsia="Times New Roman" w:cs="Times New Roman" w:ascii="Times New Roman" w:hAnsi="Times New Roman"/>
          <w:color w:val="111111"/>
          <w:sz w:val="28"/>
          <w:szCs w:val="28"/>
          <w:lang w:val="en-US"/>
        </w:rPr>
        <w:t>Abadi 69-71</w:t>
      </w:r>
    </w:p>
    <w:p>
      <w:pPr>
        <w:pStyle w:val="BookText"/>
        <w:bidi w:val="0"/>
        <w:jc w:val="both"/>
        <w:rPr/>
      </w:pPr>
      <w:r>
        <w:rPr>
          <w:rFonts w:eastAsia="Times New Roman" w:cs="Times New Roman" w:ascii="Times New Roman" w:hAnsi="Times New Roman"/>
          <w:color w:val="111111"/>
          <w:sz w:val="28"/>
          <w:szCs w:val="28"/>
          <w:lang w:val="en-US"/>
        </w:rPr>
        <w:t>al-‘Abbas 192, 195</w:t>
      </w:r>
    </w:p>
    <w:p>
      <w:pPr>
        <w:pStyle w:val="BookText"/>
        <w:bidi w:val="0"/>
        <w:jc w:val="both"/>
        <w:rPr/>
      </w:pPr>
      <w:r>
        <w:rPr>
          <w:rFonts w:eastAsia="Times New Roman" w:cs="Times New Roman" w:ascii="Times New Roman" w:hAnsi="Times New Roman"/>
          <w:color w:val="111111"/>
          <w:sz w:val="28"/>
          <w:szCs w:val="28"/>
          <w:lang w:val="en-US"/>
        </w:rPr>
        <w:t>Abu Bakr 192, 195, 208, 209</w:t>
      </w:r>
    </w:p>
    <w:p>
      <w:pPr>
        <w:pStyle w:val="BookText"/>
        <w:bidi w:val="0"/>
        <w:jc w:val="both"/>
        <w:rPr/>
      </w:pPr>
      <w:r>
        <w:rPr>
          <w:rFonts w:eastAsia="Times New Roman" w:cs="Times New Roman" w:ascii="Times New Roman" w:hAnsi="Times New Roman"/>
          <w:color w:val="111111"/>
          <w:sz w:val="28"/>
          <w:szCs w:val="28"/>
          <w:lang w:val="en-US"/>
        </w:rPr>
        <w:t>Abu’l-Hasan al-Ash‘ari 119, 198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Adl 111-151</w:t>
      </w:r>
    </w:p>
    <w:p>
      <w:pPr>
        <w:pStyle w:val="BookText"/>
        <w:bidi w:val="0"/>
        <w:jc w:val="both"/>
        <w:rPr/>
      </w:pPr>
      <w:r>
        <w:rPr>
          <w:rFonts w:eastAsia="Times New Roman" w:cs="Times New Roman" w:ascii="Times New Roman" w:hAnsi="Times New Roman"/>
          <w:color w:val="111111"/>
          <w:sz w:val="28"/>
          <w:szCs w:val="28"/>
          <w:lang w:val="en-US"/>
        </w:rPr>
        <w:t>Afdal 170, 189, 191, 193, 215</w:t>
      </w:r>
    </w:p>
    <w:p>
      <w:pPr>
        <w:pStyle w:val="BookText"/>
        <w:bidi w:val="0"/>
        <w:jc w:val="both"/>
        <w:rPr/>
      </w:pPr>
      <w:r>
        <w:rPr>
          <w:rFonts w:eastAsia="Times New Roman" w:cs="Times New Roman" w:ascii="Times New Roman" w:hAnsi="Times New Roman"/>
          <w:color w:val="111111"/>
          <w:sz w:val="28"/>
          <w:szCs w:val="28"/>
          <w:lang w:val="en-US"/>
        </w:rPr>
        <w:t>Alam 91-93, 149-151</w:t>
      </w:r>
    </w:p>
    <w:p>
      <w:pPr>
        <w:pStyle w:val="BookText"/>
        <w:bidi w:val="0"/>
        <w:jc w:val="both"/>
        <w:rPr/>
      </w:pPr>
      <w:r>
        <w:rPr>
          <w:rFonts w:eastAsia="Times New Roman" w:cs="Times New Roman" w:ascii="Times New Roman" w:hAnsi="Times New Roman"/>
          <w:color w:val="111111"/>
          <w:sz w:val="28"/>
          <w:szCs w:val="28"/>
          <w:lang w:val="en-US"/>
        </w:rPr>
        <w:t>A‘lam 191, 196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Alam 42, 43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96, 191-200, etc.</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Alim 51-56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Aql 111, 115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Arad 85, 86</w:t>
      </w:r>
    </w:p>
    <w:p>
      <w:pPr>
        <w:pStyle w:val="BookText"/>
        <w:bidi w:val="0"/>
        <w:jc w:val="both"/>
        <w:rPr/>
      </w:pPr>
      <w:r>
        <w:rPr>
          <w:rFonts w:eastAsia="Times New Roman" w:cs="Times New Roman" w:ascii="Times New Roman" w:hAnsi="Times New Roman"/>
          <w:color w:val="111111"/>
          <w:sz w:val="28"/>
          <w:szCs w:val="28"/>
          <w:lang w:val="en-US"/>
        </w:rPr>
        <w:t>Ash‘arites 58, 60, 62, 65, 72-74, 76, 77, 79, 80, 101, 107, 115, 119, 124, 126, 128, 139, 151, 154, 166, 176, 198, 227</w:t>
      </w:r>
    </w:p>
    <w:p>
      <w:pPr>
        <w:pStyle w:val="BookText"/>
        <w:bidi w:val="0"/>
        <w:jc w:val="both"/>
        <w:rPr/>
      </w:pPr>
      <w:r>
        <w:rPr>
          <w:rFonts w:eastAsia="Times New Roman" w:cs="Times New Roman" w:ascii="Times New Roman" w:hAnsi="Times New Roman"/>
          <w:color w:val="111111"/>
          <w:sz w:val="28"/>
          <w:szCs w:val="28"/>
          <w:lang w:val="en-US"/>
        </w:rPr>
        <w:t>Awla 204</w:t>
      </w:r>
    </w:p>
    <w:p>
      <w:pPr>
        <w:pStyle w:val="BookText"/>
        <w:bidi w:val="0"/>
        <w:jc w:val="both"/>
        <w:rPr/>
      </w:pPr>
      <w:r>
        <w:rPr>
          <w:rFonts w:eastAsia="Times New Roman" w:cs="Times New Roman" w:ascii="Times New Roman" w:hAnsi="Times New Roman"/>
          <w:color w:val="111111"/>
          <w:sz w:val="28"/>
          <w:szCs w:val="28"/>
          <w:lang w:val="en-US"/>
        </w:rPr>
        <w:t>Awsiya 212</w:t>
      </w:r>
    </w:p>
    <w:p>
      <w:pPr>
        <w:pStyle w:val="BookText"/>
        <w:bidi w:val="0"/>
        <w:jc w:val="both"/>
        <w:rPr/>
      </w:pPr>
      <w:r>
        <w:rPr>
          <w:rFonts w:eastAsia="Times New Roman" w:cs="Times New Roman" w:ascii="Times New Roman" w:hAnsi="Times New Roman"/>
          <w:color w:val="111111"/>
          <w:sz w:val="28"/>
          <w:szCs w:val="28"/>
          <w:lang w:val="en-US"/>
        </w:rPr>
        <w:t>Azali 69-71</w:t>
      </w:r>
    </w:p>
    <w:p>
      <w:pPr>
        <w:pStyle w:val="BookText"/>
        <w:bidi w:val="0"/>
        <w:jc w:val="both"/>
        <w:rPr/>
      </w:pPr>
      <w:r>
        <w:rPr>
          <w:rFonts w:eastAsia="Times New Roman" w:cs="Times New Roman" w:ascii="Times New Roman" w:hAnsi="Times New Roman"/>
          <w:color w:val="111111"/>
          <w:sz w:val="28"/>
          <w:szCs w:val="28"/>
          <w:lang w:val="en-US"/>
        </w:rPr>
        <w:t>Bahshamiyya 107</w:t>
      </w:r>
    </w:p>
    <w:p>
      <w:pPr>
        <w:pStyle w:val="BookText"/>
        <w:bidi w:val="0"/>
        <w:jc w:val="both"/>
        <w:rPr/>
      </w:pPr>
      <w:r>
        <w:rPr>
          <w:rFonts w:eastAsia="Times New Roman" w:cs="Times New Roman" w:ascii="Times New Roman" w:hAnsi="Times New Roman"/>
          <w:color w:val="111111"/>
          <w:sz w:val="28"/>
          <w:szCs w:val="28"/>
          <w:lang w:val="en-US"/>
        </w:rPr>
        <w:t>al-Balkhi 47, 61, 227</w:t>
      </w:r>
    </w:p>
    <w:p>
      <w:pPr>
        <w:pStyle w:val="BookText"/>
        <w:bidi w:val="0"/>
        <w:jc w:val="both"/>
        <w:rPr/>
      </w:pPr>
      <w:r>
        <w:rPr>
          <w:rFonts w:eastAsia="Times New Roman" w:cs="Times New Roman" w:ascii="Times New Roman" w:hAnsi="Times New Roman"/>
          <w:color w:val="111111"/>
          <w:sz w:val="28"/>
          <w:szCs w:val="28"/>
          <w:lang w:val="en-US"/>
        </w:rPr>
        <w:t>Baqi 69-71</w:t>
      </w:r>
    </w:p>
    <w:p>
      <w:pPr>
        <w:pStyle w:val="BookText"/>
        <w:bidi w:val="0"/>
        <w:jc w:val="both"/>
        <w:rPr/>
      </w:pPr>
      <w:r>
        <w:rPr>
          <w:rFonts w:eastAsia="Times New Roman" w:cs="Times New Roman" w:ascii="Times New Roman" w:hAnsi="Times New Roman"/>
          <w:color w:val="111111"/>
          <w:sz w:val="28"/>
          <w:szCs w:val="28"/>
          <w:lang w:val="en-US"/>
        </w:rPr>
        <w:t>Bara’a 183, 184</w:t>
      </w:r>
    </w:p>
    <w:p>
      <w:pPr>
        <w:pStyle w:val="BookText"/>
        <w:bidi w:val="0"/>
        <w:jc w:val="both"/>
        <w:rPr/>
      </w:pPr>
      <w:r>
        <w:rPr>
          <w:rFonts w:eastAsia="Times New Roman" w:cs="Times New Roman" w:ascii="Times New Roman" w:hAnsi="Times New Roman"/>
          <w:color w:val="111111"/>
          <w:sz w:val="28"/>
          <w:szCs w:val="28"/>
          <w:lang w:val="en-US"/>
        </w:rPr>
        <w:t>Barahmiyya 154</w:t>
      </w:r>
    </w:p>
    <w:p>
      <w:pPr>
        <w:pStyle w:val="BookText"/>
        <w:bidi w:val="0"/>
        <w:jc w:val="both"/>
        <w:rPr/>
      </w:pPr>
      <w:r>
        <w:rPr>
          <w:rFonts w:eastAsia="Times New Roman" w:cs="Times New Roman" w:ascii="Times New Roman" w:hAnsi="Times New Roman"/>
          <w:color w:val="111111"/>
          <w:sz w:val="28"/>
          <w:szCs w:val="28"/>
          <w:lang w:val="en-US"/>
        </w:rPr>
        <w:t>Ba‘th 131, 133, 222</w:t>
      </w:r>
    </w:p>
    <w:p>
      <w:pPr>
        <w:pStyle w:val="BookText"/>
        <w:bidi w:val="0"/>
        <w:jc w:val="both"/>
        <w:rPr/>
      </w:pPr>
      <w:r>
        <w:rPr>
          <w:rFonts w:eastAsia="Times New Roman" w:cs="Times New Roman" w:ascii="Times New Roman" w:hAnsi="Times New Roman"/>
          <w:color w:val="111111"/>
          <w:sz w:val="28"/>
          <w:szCs w:val="28"/>
          <w:lang w:val="en-US"/>
        </w:rPr>
        <w:t>Bay‘a 188, 209</w:t>
      </w:r>
    </w:p>
    <w:p>
      <w:pPr>
        <w:pStyle w:val="BookText"/>
        <w:bidi w:val="0"/>
        <w:jc w:val="both"/>
        <w:rPr/>
      </w:pPr>
      <w:r>
        <w:rPr>
          <w:rFonts w:eastAsia="Times New Roman" w:cs="Times New Roman" w:ascii="Times New Roman" w:hAnsi="Times New Roman"/>
          <w:color w:val="111111"/>
          <w:sz w:val="28"/>
          <w:szCs w:val="28"/>
          <w:lang w:val="en-US"/>
        </w:rPr>
        <w:t>al-Bukhari 60</w:t>
      </w:r>
    </w:p>
    <w:p>
      <w:pPr>
        <w:pStyle w:val="BookText"/>
        <w:bidi w:val="0"/>
        <w:jc w:val="both"/>
        <w:rPr/>
      </w:pPr>
      <w:r>
        <w:rPr>
          <w:rFonts w:eastAsia="Times New Roman" w:cs="Times New Roman" w:ascii="Times New Roman" w:hAnsi="Times New Roman"/>
          <w:color w:val="111111"/>
          <w:sz w:val="28"/>
          <w:szCs w:val="28"/>
          <w:lang w:val="en-US"/>
        </w:rPr>
        <w:t>Christians 79, 89, 96, 194</w:t>
      </w:r>
    </w:p>
    <w:p>
      <w:pPr>
        <w:pStyle w:val="BookText"/>
        <w:bidi w:val="0"/>
        <w:jc w:val="both"/>
        <w:rPr/>
      </w:pPr>
      <w:r>
        <w:rPr>
          <w:rFonts w:eastAsia="Times New Roman" w:cs="Times New Roman" w:ascii="Times New Roman" w:hAnsi="Times New Roman"/>
          <w:color w:val="111111"/>
          <w:sz w:val="28"/>
          <w:szCs w:val="28"/>
          <w:lang w:val="en-US"/>
        </w:rPr>
        <w:t>Dalil 12-15</w:t>
      </w:r>
    </w:p>
    <w:p>
      <w:pPr>
        <w:pStyle w:val="BookText"/>
        <w:bidi w:val="0"/>
        <w:jc w:val="both"/>
        <w:rPr/>
      </w:pPr>
      <w:r>
        <w:rPr>
          <w:rFonts w:eastAsia="Times New Roman" w:cs="Times New Roman" w:ascii="Times New Roman" w:hAnsi="Times New Roman"/>
          <w:color w:val="111111"/>
          <w:sz w:val="28"/>
          <w:szCs w:val="28"/>
          <w:lang w:val="en-US"/>
        </w:rPr>
        <w:t>Dhanb, 166, 169, 239</w:t>
      </w:r>
    </w:p>
    <w:p>
      <w:pPr>
        <w:pStyle w:val="BookText"/>
        <w:bidi w:val="0"/>
        <w:jc w:val="both"/>
        <w:rPr/>
      </w:pPr>
      <w:r>
        <w:rPr>
          <w:rFonts w:eastAsia="Times New Roman" w:cs="Times New Roman" w:ascii="Times New Roman" w:hAnsi="Times New Roman"/>
          <w:color w:val="111111"/>
          <w:sz w:val="28"/>
          <w:szCs w:val="28"/>
          <w:lang w:val="en-US"/>
        </w:rPr>
        <w:t>Din 7</w:t>
      </w:r>
    </w:p>
    <w:p>
      <w:pPr>
        <w:pStyle w:val="BookText"/>
        <w:bidi w:val="0"/>
        <w:jc w:val="both"/>
        <w:rPr/>
      </w:pPr>
      <w:r>
        <w:rPr>
          <w:rFonts w:eastAsia="Times New Roman" w:cs="Times New Roman" w:ascii="Times New Roman" w:hAnsi="Times New Roman"/>
          <w:color w:val="111111"/>
          <w:sz w:val="28"/>
          <w:szCs w:val="28"/>
          <w:lang w:val="en-US"/>
        </w:rPr>
        <w:t>Fatimite 188</w:t>
      </w:r>
    </w:p>
    <w:p>
      <w:pPr>
        <w:pStyle w:val="BookText"/>
        <w:bidi w:val="0"/>
        <w:jc w:val="both"/>
        <w:rPr/>
      </w:pPr>
      <w:r>
        <w:rPr>
          <w:rFonts w:eastAsia="Times New Roman" w:cs="Times New Roman" w:ascii="Times New Roman" w:hAnsi="Times New Roman"/>
          <w:color w:val="111111"/>
          <w:sz w:val="28"/>
          <w:szCs w:val="28"/>
          <w:lang w:val="en-US"/>
        </w:rPr>
        <w:t>Furqan 200</w:t>
      </w:r>
    </w:p>
    <w:p>
      <w:pPr>
        <w:pStyle w:val="BookText"/>
        <w:bidi w:val="0"/>
        <w:jc w:val="both"/>
        <w:rPr/>
      </w:pPr>
      <w:r>
        <w:rPr>
          <w:rFonts w:eastAsia="Times New Roman" w:cs="Times New Roman" w:ascii="Times New Roman" w:hAnsi="Times New Roman"/>
          <w:color w:val="111111"/>
          <w:sz w:val="28"/>
          <w:szCs w:val="28"/>
          <w:lang w:val="en-US"/>
        </w:rPr>
        <w:t>Gharad 127</w:t>
      </w:r>
    </w:p>
    <w:p>
      <w:pPr>
        <w:pStyle w:val="BookText"/>
        <w:bidi w:val="0"/>
        <w:jc w:val="both"/>
        <w:rPr/>
      </w:pPr>
      <w:r>
        <w:rPr>
          <w:rFonts w:eastAsia="Times New Roman" w:cs="Times New Roman" w:ascii="Times New Roman" w:hAnsi="Times New Roman"/>
          <w:color w:val="111111"/>
          <w:sz w:val="28"/>
          <w:szCs w:val="28"/>
          <w:lang w:val="en-US"/>
        </w:rPr>
        <w:t>Ghaniyy 109</w:t>
      </w:r>
    </w:p>
    <w:p>
      <w:pPr>
        <w:pStyle w:val="BookText"/>
        <w:bidi w:val="0"/>
        <w:jc w:val="both"/>
        <w:rPr/>
      </w:pPr>
      <w:r>
        <w:rPr>
          <w:rFonts w:eastAsia="Times New Roman" w:cs="Times New Roman" w:ascii="Times New Roman" w:hAnsi="Times New Roman"/>
          <w:color w:val="111111"/>
          <w:sz w:val="28"/>
          <w:szCs w:val="28"/>
          <w:lang w:val="en-US"/>
        </w:rPr>
        <w:t>Hal 106-108</w:t>
      </w:r>
    </w:p>
    <w:p>
      <w:pPr>
        <w:pStyle w:val="BookText"/>
        <w:bidi w:val="0"/>
        <w:jc w:val="both"/>
        <w:rPr/>
      </w:pPr>
      <w:r>
        <w:rPr>
          <w:rFonts w:eastAsia="Times New Roman" w:cs="Times New Roman" w:ascii="Times New Roman" w:hAnsi="Times New Roman"/>
          <w:color w:val="111111"/>
          <w:sz w:val="28"/>
          <w:szCs w:val="28"/>
          <w:lang w:val="en-US"/>
        </w:rPr>
        <w:t>al-Hanafiyya 198</w:t>
      </w:r>
    </w:p>
    <w:p>
      <w:pPr>
        <w:pStyle w:val="BookText"/>
        <w:bidi w:val="0"/>
        <w:jc w:val="both"/>
        <w:rPr/>
      </w:pPr>
      <w:r>
        <w:rPr>
          <w:rFonts w:eastAsia="Times New Roman" w:cs="Times New Roman" w:ascii="Times New Roman" w:hAnsi="Times New Roman"/>
          <w:color w:val="111111"/>
          <w:sz w:val="28"/>
          <w:szCs w:val="28"/>
          <w:lang w:val="en-US"/>
        </w:rPr>
        <w:t>Hanbalites 75, 76, 79</w:t>
      </w:r>
    </w:p>
    <w:p>
      <w:pPr>
        <w:pStyle w:val="BookText"/>
        <w:bidi w:val="0"/>
        <w:jc w:val="both"/>
        <w:rPr/>
      </w:pPr>
      <w:r>
        <w:rPr>
          <w:rFonts w:eastAsia="Times New Roman" w:cs="Times New Roman" w:ascii="Times New Roman" w:hAnsi="Times New Roman"/>
          <w:color w:val="111111"/>
          <w:sz w:val="28"/>
          <w:szCs w:val="28"/>
          <w:lang w:val="en-US"/>
        </w:rPr>
        <w:t>Haram 113</w:t>
      </w:r>
    </w:p>
    <w:p>
      <w:pPr>
        <w:pStyle w:val="BookText"/>
        <w:bidi w:val="0"/>
        <w:jc w:val="both"/>
        <w:rPr/>
      </w:pPr>
      <w:r>
        <w:rPr>
          <w:rFonts w:eastAsia="Times New Roman" w:cs="Times New Roman" w:ascii="Times New Roman" w:hAnsi="Times New Roman"/>
          <w:color w:val="111111"/>
          <w:sz w:val="28"/>
          <w:szCs w:val="28"/>
          <w:lang w:val="en-US"/>
        </w:rPr>
        <w:t>Harun 205</w:t>
      </w:r>
    </w:p>
    <w:p>
      <w:pPr>
        <w:pStyle w:val="BookText"/>
        <w:bidi w:val="0"/>
        <w:jc w:val="both"/>
        <w:rPr/>
      </w:pPr>
      <w:r>
        <w:rPr>
          <w:rFonts w:eastAsia="Times New Roman" w:cs="Times New Roman" w:ascii="Times New Roman" w:hAnsi="Times New Roman"/>
          <w:color w:val="111111"/>
          <w:sz w:val="28"/>
          <w:szCs w:val="28"/>
          <w:lang w:val="en-US"/>
        </w:rPr>
        <w:t>Hasan 111-115</w:t>
      </w:r>
    </w:p>
    <w:p>
      <w:pPr>
        <w:pStyle w:val="BookText"/>
        <w:bidi w:val="0"/>
        <w:jc w:val="both"/>
        <w:rPr/>
      </w:pPr>
      <w:r>
        <w:rPr>
          <w:rFonts w:eastAsia="Times New Roman" w:cs="Times New Roman" w:ascii="Times New Roman" w:hAnsi="Times New Roman"/>
          <w:color w:val="111111"/>
          <w:sz w:val="28"/>
          <w:szCs w:val="28"/>
          <w:lang w:val="en-US"/>
        </w:rPr>
        <w:t>Hashwites 166</w:t>
      </w:r>
    </w:p>
    <w:p>
      <w:pPr>
        <w:pStyle w:val="BookText"/>
        <w:bidi w:val="0"/>
        <w:jc w:val="both"/>
        <w:rPr/>
      </w:pPr>
      <w:r>
        <w:rPr>
          <w:rFonts w:eastAsia="Times New Roman" w:cs="Times New Roman" w:ascii="Times New Roman" w:hAnsi="Times New Roman"/>
          <w:color w:val="111111"/>
          <w:sz w:val="28"/>
          <w:szCs w:val="28"/>
          <w:lang w:val="en-US"/>
        </w:rPr>
        <w:t>Hayy 55-57</w:t>
      </w:r>
    </w:p>
    <w:p>
      <w:pPr>
        <w:pStyle w:val="BookText"/>
        <w:bidi w:val="0"/>
        <w:jc w:val="both"/>
        <w:rPr/>
      </w:pPr>
      <w:r>
        <w:rPr>
          <w:rFonts w:eastAsia="Times New Roman" w:cs="Times New Roman" w:ascii="Times New Roman" w:hAnsi="Times New Roman"/>
          <w:color w:val="111111"/>
          <w:sz w:val="28"/>
          <w:szCs w:val="28"/>
          <w:lang w:val="en-US"/>
        </w:rPr>
        <w:t>al-Hilli 1</w:t>
      </w:r>
    </w:p>
    <w:p>
      <w:pPr>
        <w:pStyle w:val="BookText"/>
        <w:bidi w:val="0"/>
        <w:jc w:val="both"/>
        <w:rPr/>
      </w:pPr>
      <w:r>
        <w:rPr>
          <w:rFonts w:eastAsia="Times New Roman" w:cs="Times New Roman" w:ascii="Times New Roman" w:hAnsi="Times New Roman"/>
          <w:color w:val="111111"/>
          <w:sz w:val="28"/>
          <w:szCs w:val="28"/>
          <w:lang w:val="en-US"/>
        </w:rPr>
        <w:t>Hikma 47, 56, 58, 101, 104, 105, 220</w:t>
      </w:r>
    </w:p>
    <w:p>
      <w:pPr>
        <w:pStyle w:val="BookText"/>
        <w:bidi w:val="0"/>
        <w:jc w:val="both"/>
        <w:rPr/>
      </w:pPr>
      <w:r>
        <w:rPr>
          <w:rFonts w:eastAsia="Times New Roman" w:cs="Times New Roman" w:ascii="Times New Roman" w:hAnsi="Times New Roman"/>
          <w:color w:val="111111"/>
          <w:sz w:val="28"/>
          <w:szCs w:val="28"/>
          <w:lang w:val="en-US"/>
        </w:rPr>
        <w:t>Hulul 89</w:t>
      </w:r>
    </w:p>
    <w:p>
      <w:pPr>
        <w:pStyle w:val="BookText"/>
        <w:bidi w:val="0"/>
        <w:jc w:val="both"/>
        <w:rPr/>
      </w:pPr>
      <w:r>
        <w:rPr>
          <w:rFonts w:eastAsia="Times New Roman" w:cs="Times New Roman" w:ascii="Times New Roman" w:hAnsi="Times New Roman"/>
          <w:color w:val="111111"/>
          <w:sz w:val="28"/>
          <w:szCs w:val="28"/>
          <w:lang w:val="en-US"/>
        </w:rPr>
        <w:t>al-Husayn 210-212</w:t>
      </w:r>
    </w:p>
    <w:p>
      <w:pPr>
        <w:pStyle w:val="BookText"/>
        <w:bidi w:val="0"/>
        <w:jc w:val="both"/>
        <w:rPr/>
      </w:pPr>
      <w:r>
        <w:rPr>
          <w:rFonts w:eastAsia="Times New Roman" w:cs="Times New Roman" w:ascii="Times New Roman" w:hAnsi="Times New Roman"/>
          <w:color w:val="111111"/>
          <w:sz w:val="28"/>
          <w:szCs w:val="28"/>
          <w:lang w:val="en-US"/>
        </w:rPr>
        <w:t>Ibn ‘Abbas 198</w:t>
      </w:r>
    </w:p>
    <w:p>
      <w:pPr>
        <w:pStyle w:val="BookText"/>
        <w:bidi w:val="0"/>
        <w:jc w:val="both"/>
        <w:rPr/>
      </w:pPr>
      <w:r>
        <w:rPr>
          <w:rFonts w:eastAsia="Times New Roman" w:cs="Times New Roman" w:ascii="Times New Roman" w:hAnsi="Times New Roman"/>
          <w:color w:val="111111"/>
          <w:sz w:val="28"/>
          <w:szCs w:val="28"/>
          <w:lang w:val="en-US"/>
        </w:rPr>
        <w:t>Idrak 67</w:t>
      </w:r>
    </w:p>
    <w:p>
      <w:pPr>
        <w:pStyle w:val="BookText"/>
        <w:bidi w:val="0"/>
        <w:jc w:val="both"/>
        <w:rPr/>
      </w:pPr>
      <w:r>
        <w:rPr>
          <w:rFonts w:eastAsia="Times New Roman" w:cs="Times New Roman" w:ascii="Times New Roman" w:hAnsi="Times New Roman"/>
          <w:color w:val="111111"/>
          <w:sz w:val="28"/>
          <w:szCs w:val="28"/>
          <w:lang w:val="en-US"/>
        </w:rPr>
        <w:t>Ijma‘ 8, 9, 183, 220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Ilm 13, 137, 161</w:t>
      </w:r>
    </w:p>
    <w:p>
      <w:pPr>
        <w:pStyle w:val="BookText"/>
        <w:bidi w:val="0"/>
        <w:jc w:val="both"/>
        <w:rPr/>
      </w:pPr>
      <w:r>
        <w:rPr>
          <w:rFonts w:eastAsia="Times New Roman" w:cs="Times New Roman" w:ascii="Times New Roman" w:hAnsi="Times New Roman"/>
          <w:color w:val="111111"/>
          <w:sz w:val="28"/>
          <w:szCs w:val="28"/>
          <w:lang w:val="en-US"/>
        </w:rPr>
        <w:t>Imam 9, 153, 174-218, 235</w:t>
      </w:r>
    </w:p>
    <w:p>
      <w:pPr>
        <w:pStyle w:val="BookText"/>
        <w:bidi w:val="0"/>
        <w:jc w:val="both"/>
        <w:rPr/>
      </w:pPr>
      <w:r>
        <w:rPr>
          <w:rFonts w:eastAsia="Times New Roman" w:cs="Times New Roman" w:ascii="Times New Roman" w:hAnsi="Times New Roman"/>
          <w:color w:val="111111"/>
          <w:sz w:val="28"/>
          <w:szCs w:val="28"/>
          <w:lang w:val="en-US"/>
        </w:rPr>
        <w:t>Imamites 76, 115, 119, 128, 166, 168, 176, 187, 198</w:t>
      </w:r>
    </w:p>
    <w:p>
      <w:pPr>
        <w:pStyle w:val="BookText"/>
        <w:bidi w:val="0"/>
        <w:jc w:val="both"/>
        <w:rPr/>
      </w:pPr>
      <w:r>
        <w:rPr>
          <w:rFonts w:eastAsia="Times New Roman" w:cs="Times New Roman" w:ascii="Times New Roman" w:hAnsi="Times New Roman"/>
          <w:color w:val="111111"/>
          <w:sz w:val="28"/>
          <w:szCs w:val="28"/>
          <w:lang w:val="en-US"/>
        </w:rPr>
        <w:t>Iman 19, 234</w:t>
      </w:r>
    </w:p>
    <w:p>
      <w:pPr>
        <w:pStyle w:val="BookText"/>
        <w:bidi w:val="0"/>
        <w:jc w:val="both"/>
        <w:rPr/>
      </w:pPr>
      <w:r>
        <w:rPr>
          <w:rFonts w:eastAsia="Times New Roman" w:cs="Times New Roman" w:ascii="Times New Roman" w:hAnsi="Times New Roman"/>
          <w:color w:val="111111"/>
          <w:sz w:val="28"/>
          <w:szCs w:val="28"/>
          <w:lang w:val="en-US"/>
        </w:rPr>
        <w:t>Injil 200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Iqab 19, 226-233</w:t>
      </w:r>
    </w:p>
    <w:p>
      <w:pPr>
        <w:pStyle w:val="BookText"/>
        <w:bidi w:val="0"/>
        <w:jc w:val="both"/>
        <w:rPr/>
      </w:pPr>
      <w:r>
        <w:rPr>
          <w:rFonts w:eastAsia="Times New Roman" w:cs="Times New Roman" w:ascii="Times New Roman" w:hAnsi="Times New Roman"/>
          <w:color w:val="111111"/>
          <w:sz w:val="28"/>
          <w:szCs w:val="28"/>
          <w:lang w:val="en-US"/>
        </w:rPr>
        <w:t>Irada 59-65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Isa 96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Isma 164-169, 179-185</w:t>
      </w:r>
    </w:p>
    <w:p>
      <w:pPr>
        <w:pStyle w:val="BookText"/>
        <w:bidi w:val="0"/>
        <w:jc w:val="both"/>
        <w:rPr/>
      </w:pPr>
      <w:r>
        <w:rPr>
          <w:rFonts w:eastAsia="Times New Roman" w:cs="Times New Roman" w:ascii="Times New Roman" w:hAnsi="Times New Roman"/>
          <w:color w:val="111111"/>
          <w:sz w:val="28"/>
          <w:szCs w:val="28"/>
          <w:lang w:val="en-US"/>
        </w:rPr>
        <w:t>Isma‘ilites 180</w:t>
      </w:r>
    </w:p>
    <w:p>
      <w:pPr>
        <w:pStyle w:val="BookText"/>
        <w:bidi w:val="0"/>
        <w:jc w:val="both"/>
        <w:rPr/>
      </w:pPr>
      <w:r>
        <w:rPr>
          <w:rFonts w:eastAsia="Times New Roman" w:cs="Times New Roman" w:ascii="Times New Roman" w:hAnsi="Times New Roman"/>
          <w:color w:val="111111"/>
          <w:sz w:val="28"/>
          <w:szCs w:val="28"/>
          <w:lang w:val="en-US"/>
        </w:rPr>
        <w:t>Istishab 183</w:t>
      </w:r>
    </w:p>
    <w:p>
      <w:pPr>
        <w:pStyle w:val="BookText"/>
        <w:bidi w:val="0"/>
        <w:jc w:val="both"/>
        <w:rPr/>
      </w:pPr>
      <w:r>
        <w:rPr>
          <w:rFonts w:eastAsia="Times New Roman" w:cs="Times New Roman" w:ascii="Times New Roman" w:hAnsi="Times New Roman"/>
          <w:color w:val="111111"/>
          <w:sz w:val="28"/>
          <w:szCs w:val="28"/>
          <w:lang w:val="en-US"/>
        </w:rPr>
        <w:t>Ittihad 94-96, 193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Iwad 143, 149-151</w:t>
      </w:r>
    </w:p>
    <w:p>
      <w:pPr>
        <w:pStyle w:val="BookText"/>
        <w:bidi w:val="0"/>
        <w:jc w:val="both"/>
        <w:rPr/>
      </w:pPr>
      <w:r>
        <w:rPr>
          <w:rFonts w:eastAsia="Times New Roman" w:cs="Times New Roman" w:ascii="Times New Roman" w:hAnsi="Times New Roman"/>
          <w:color w:val="111111"/>
          <w:sz w:val="28"/>
          <w:szCs w:val="28"/>
          <w:lang w:val="en-US"/>
        </w:rPr>
        <w:t>Jalal 84</w:t>
      </w:r>
    </w:p>
    <w:p>
      <w:pPr>
        <w:pStyle w:val="BookText"/>
        <w:bidi w:val="0"/>
        <w:jc w:val="both"/>
        <w:rPr/>
      </w:pPr>
      <w:r>
        <w:rPr>
          <w:rFonts w:eastAsia="Times New Roman" w:cs="Times New Roman" w:ascii="Times New Roman" w:hAnsi="Times New Roman"/>
          <w:color w:val="111111"/>
          <w:sz w:val="28"/>
          <w:szCs w:val="28"/>
          <w:lang w:val="en-US"/>
        </w:rPr>
        <w:t>Jawhar, 85, 86</w:t>
      </w:r>
    </w:p>
    <w:p>
      <w:pPr>
        <w:pStyle w:val="BookText"/>
        <w:bidi w:val="0"/>
        <w:jc w:val="both"/>
        <w:rPr/>
      </w:pPr>
      <w:r>
        <w:rPr>
          <w:rFonts w:eastAsia="Times New Roman" w:cs="Times New Roman" w:ascii="Times New Roman" w:hAnsi="Times New Roman"/>
          <w:color w:val="111111"/>
          <w:sz w:val="28"/>
          <w:szCs w:val="28"/>
          <w:lang w:val="en-US"/>
        </w:rPr>
        <w:t>Jibra’il 209</w:t>
      </w:r>
    </w:p>
    <w:p>
      <w:pPr>
        <w:pStyle w:val="BookText"/>
        <w:bidi w:val="0"/>
        <w:jc w:val="both"/>
        <w:rPr/>
      </w:pPr>
      <w:r>
        <w:rPr>
          <w:rFonts w:eastAsia="Times New Roman" w:cs="Times New Roman" w:ascii="Times New Roman" w:hAnsi="Times New Roman"/>
          <w:color w:val="111111"/>
          <w:sz w:val="28"/>
          <w:szCs w:val="28"/>
          <w:lang w:val="en-US"/>
        </w:rPr>
        <w:t>Jiha 88, 90</w:t>
      </w:r>
    </w:p>
    <w:p>
      <w:pPr>
        <w:pStyle w:val="BookText"/>
        <w:bidi w:val="0"/>
        <w:jc w:val="both"/>
        <w:rPr/>
      </w:pPr>
      <w:r>
        <w:rPr>
          <w:rFonts w:eastAsia="Times New Roman" w:cs="Times New Roman" w:ascii="Times New Roman" w:hAnsi="Times New Roman"/>
          <w:color w:val="111111"/>
          <w:sz w:val="28"/>
          <w:szCs w:val="28"/>
          <w:lang w:val="en-US"/>
        </w:rPr>
        <w:t>Jinni 77</w:t>
      </w:r>
    </w:p>
    <w:p>
      <w:pPr>
        <w:pStyle w:val="BookText"/>
        <w:bidi w:val="0"/>
        <w:jc w:val="both"/>
        <w:rPr/>
      </w:pPr>
      <w:r>
        <w:rPr>
          <w:rFonts w:eastAsia="Times New Roman" w:cs="Times New Roman" w:ascii="Times New Roman" w:hAnsi="Times New Roman"/>
          <w:color w:val="111111"/>
          <w:sz w:val="28"/>
          <w:szCs w:val="28"/>
          <w:lang w:val="en-US"/>
        </w:rPr>
        <w:t>Jism 42, 86</w:t>
      </w:r>
    </w:p>
    <w:p>
      <w:pPr>
        <w:pStyle w:val="BookText"/>
        <w:bidi w:val="0"/>
        <w:jc w:val="both"/>
        <w:rPr/>
      </w:pPr>
      <w:r>
        <w:rPr>
          <w:rFonts w:eastAsia="Times New Roman" w:cs="Times New Roman" w:ascii="Times New Roman" w:hAnsi="Times New Roman"/>
          <w:color w:val="111111"/>
          <w:sz w:val="28"/>
          <w:szCs w:val="28"/>
          <w:lang w:val="en-US"/>
        </w:rPr>
        <w:t>al-Jubba’i 198</w:t>
      </w:r>
    </w:p>
    <w:p>
      <w:pPr>
        <w:pStyle w:val="BookText"/>
        <w:bidi w:val="0"/>
        <w:jc w:val="both"/>
        <w:rPr/>
      </w:pPr>
      <w:r>
        <w:rPr>
          <w:rFonts w:eastAsia="Times New Roman" w:cs="Times New Roman" w:ascii="Times New Roman" w:hAnsi="Times New Roman"/>
          <w:color w:val="111111"/>
          <w:sz w:val="28"/>
          <w:szCs w:val="28"/>
          <w:lang w:val="en-US"/>
        </w:rPr>
        <w:t>Jubba’iyya 47</w:t>
      </w:r>
    </w:p>
    <w:p>
      <w:pPr>
        <w:pStyle w:val="BookText"/>
        <w:bidi w:val="0"/>
        <w:jc w:val="both"/>
        <w:rPr/>
      </w:pPr>
      <w:r>
        <w:rPr>
          <w:rFonts w:eastAsia="Times New Roman" w:cs="Times New Roman" w:ascii="Times New Roman" w:hAnsi="Times New Roman"/>
          <w:color w:val="111111"/>
          <w:sz w:val="28"/>
          <w:szCs w:val="28"/>
          <w:lang w:val="en-US"/>
        </w:rPr>
        <w:t>al-Kabira 231-234</w:t>
      </w:r>
    </w:p>
    <w:p>
      <w:pPr>
        <w:pStyle w:val="BookText"/>
        <w:bidi w:val="0"/>
        <w:jc w:val="both"/>
        <w:rPr/>
      </w:pPr>
      <w:r>
        <w:rPr>
          <w:rFonts w:eastAsia="Times New Roman" w:cs="Times New Roman" w:ascii="Times New Roman" w:hAnsi="Times New Roman"/>
          <w:color w:val="111111"/>
          <w:sz w:val="28"/>
          <w:szCs w:val="28"/>
          <w:lang w:val="en-US"/>
        </w:rPr>
        <w:t>Kaffara 184</w:t>
      </w:r>
    </w:p>
    <w:p>
      <w:pPr>
        <w:pStyle w:val="BookText"/>
        <w:bidi w:val="0"/>
        <w:jc w:val="both"/>
        <w:rPr/>
      </w:pPr>
      <w:r>
        <w:rPr>
          <w:rFonts w:eastAsia="Times New Roman" w:cs="Times New Roman" w:ascii="Times New Roman" w:hAnsi="Times New Roman"/>
          <w:color w:val="111111"/>
          <w:sz w:val="28"/>
          <w:szCs w:val="28"/>
          <w:lang w:val="en-US"/>
        </w:rPr>
        <w:t>Kalam 72-80</w:t>
      </w:r>
    </w:p>
    <w:p>
      <w:pPr>
        <w:pStyle w:val="BookText"/>
        <w:bidi w:val="0"/>
        <w:jc w:val="both"/>
        <w:rPr/>
      </w:pPr>
      <w:r>
        <w:rPr>
          <w:rFonts w:eastAsia="Times New Roman" w:cs="Times New Roman" w:ascii="Times New Roman" w:hAnsi="Times New Roman"/>
          <w:color w:val="111111"/>
          <w:sz w:val="28"/>
          <w:szCs w:val="28"/>
          <w:lang w:val="en-US"/>
        </w:rPr>
        <w:t>Kamal 84</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Karih 59 </w:t>
      </w:r>
    </w:p>
    <w:p>
      <w:pPr>
        <w:pStyle w:val="BookText"/>
        <w:bidi w:val="0"/>
        <w:rPr/>
      </w:pPr>
      <w:r>
        <w:rPr>
          <w:rFonts w:eastAsia="Times New Roman" w:cs="Times New Roman" w:ascii="Times New Roman" w:hAnsi="Times New Roman"/>
          <w:color w:val="111111"/>
          <w:sz w:val="28"/>
          <w:szCs w:val="28"/>
          <w:lang w:val="en-US"/>
        </w:rPr>
        <w:t>Karramites 62, 65, 75, 76, 79, 90, 99, 101</w:t>
      </w:r>
    </w:p>
    <w:p>
      <w:pPr>
        <w:pStyle w:val="BookText"/>
        <w:bidi w:val="0"/>
        <w:jc w:val="both"/>
        <w:rPr/>
      </w:pPr>
      <w:r>
        <w:rPr>
          <w:rFonts w:eastAsia="Times New Roman" w:cs="Times New Roman" w:ascii="Times New Roman" w:hAnsi="Times New Roman"/>
          <w:color w:val="111111"/>
          <w:sz w:val="28"/>
          <w:szCs w:val="28"/>
          <w:lang w:val="en-US"/>
        </w:rPr>
        <w:t>Kasb 119</w:t>
      </w:r>
    </w:p>
    <w:p>
      <w:pPr>
        <w:pStyle w:val="BookText"/>
        <w:bidi w:val="0"/>
        <w:jc w:val="both"/>
        <w:rPr/>
      </w:pPr>
      <w:r>
        <w:rPr>
          <w:rFonts w:eastAsia="Times New Roman" w:cs="Times New Roman" w:ascii="Times New Roman" w:hAnsi="Times New Roman"/>
          <w:color w:val="111111"/>
          <w:sz w:val="28"/>
          <w:szCs w:val="28"/>
          <w:lang w:val="en-US"/>
        </w:rPr>
        <w:t>Khalifa 177, 188, 192, 206</w:t>
      </w:r>
    </w:p>
    <w:p>
      <w:pPr>
        <w:pStyle w:val="BookText"/>
        <w:bidi w:val="0"/>
        <w:jc w:val="both"/>
        <w:rPr/>
      </w:pPr>
      <w:r>
        <w:rPr>
          <w:rFonts w:eastAsia="Times New Roman" w:cs="Times New Roman" w:ascii="Times New Roman" w:hAnsi="Times New Roman"/>
          <w:color w:val="111111"/>
          <w:sz w:val="28"/>
          <w:szCs w:val="28"/>
          <w:lang w:val="en-US"/>
        </w:rPr>
        <w:t>Kharijites 166, 176</w:t>
      </w:r>
    </w:p>
    <w:p>
      <w:pPr>
        <w:pStyle w:val="BookText"/>
        <w:bidi w:val="0"/>
        <w:jc w:val="both"/>
        <w:rPr/>
      </w:pPr>
      <w:r>
        <w:rPr>
          <w:rFonts w:eastAsia="Times New Roman" w:cs="Times New Roman" w:ascii="Times New Roman" w:hAnsi="Times New Roman"/>
          <w:color w:val="111111"/>
          <w:sz w:val="28"/>
          <w:szCs w:val="28"/>
          <w:lang w:val="en-US"/>
        </w:rPr>
        <w:t>Khum 204</w:t>
      </w:r>
    </w:p>
    <w:p>
      <w:pPr>
        <w:pStyle w:val="BookText"/>
        <w:bidi w:val="0"/>
        <w:jc w:val="both"/>
        <w:rPr/>
      </w:pPr>
      <w:r>
        <w:rPr>
          <w:rFonts w:eastAsia="Times New Roman" w:cs="Times New Roman" w:ascii="Times New Roman" w:hAnsi="Times New Roman"/>
          <w:color w:val="111111"/>
          <w:sz w:val="28"/>
          <w:szCs w:val="28"/>
          <w:lang w:val="en-US"/>
        </w:rPr>
        <w:t>Kidhb 81, 111-117</w:t>
      </w:r>
    </w:p>
    <w:p>
      <w:pPr>
        <w:pStyle w:val="BookText"/>
        <w:bidi w:val="0"/>
        <w:jc w:val="both"/>
        <w:rPr/>
      </w:pPr>
      <w:r>
        <w:rPr>
          <w:rFonts w:eastAsia="Times New Roman" w:cs="Times New Roman" w:ascii="Times New Roman" w:hAnsi="Times New Roman"/>
          <w:color w:val="111111"/>
          <w:sz w:val="28"/>
          <w:szCs w:val="28"/>
          <w:lang w:val="en-US"/>
        </w:rPr>
        <w:t>Koran, 157, 161, 162, 183, 207</w:t>
      </w:r>
    </w:p>
    <w:p>
      <w:pPr>
        <w:pStyle w:val="BookText"/>
        <w:bidi w:val="0"/>
        <w:jc w:val="both"/>
        <w:rPr/>
      </w:pPr>
      <w:r>
        <w:rPr>
          <w:rFonts w:eastAsia="Times New Roman" w:cs="Times New Roman" w:ascii="Times New Roman" w:hAnsi="Times New Roman"/>
          <w:color w:val="111111"/>
          <w:sz w:val="28"/>
          <w:szCs w:val="28"/>
          <w:lang w:val="en-US"/>
        </w:rPr>
        <w:t>Lahutiyya 96</w:t>
      </w:r>
    </w:p>
    <w:p>
      <w:pPr>
        <w:pStyle w:val="BookText"/>
        <w:bidi w:val="0"/>
        <w:jc w:val="both"/>
        <w:rPr/>
      </w:pPr>
      <w:r>
        <w:rPr>
          <w:rFonts w:eastAsia="Times New Roman" w:cs="Times New Roman" w:ascii="Times New Roman" w:hAnsi="Times New Roman"/>
          <w:color w:val="111111"/>
          <w:sz w:val="28"/>
          <w:szCs w:val="28"/>
          <w:lang w:val="en-US"/>
        </w:rPr>
        <w:t>Lutf 144-148, 150, 164, 165, 174, 176, 217, 227, 242</w:t>
      </w:r>
    </w:p>
    <w:p>
      <w:pPr>
        <w:pStyle w:val="BookText"/>
        <w:bidi w:val="0"/>
        <w:jc w:val="both"/>
        <w:rPr/>
      </w:pPr>
      <w:r>
        <w:rPr>
          <w:rFonts w:eastAsia="Times New Roman" w:cs="Times New Roman" w:ascii="Times New Roman" w:hAnsi="Times New Roman"/>
          <w:color w:val="111111"/>
          <w:sz w:val="28"/>
          <w:szCs w:val="28"/>
          <w:lang w:val="en-US"/>
        </w:rPr>
        <w:t>Ma‘ad 219-236</w:t>
      </w:r>
    </w:p>
    <w:p>
      <w:pPr>
        <w:pStyle w:val="BookText"/>
        <w:bidi w:val="0"/>
        <w:jc w:val="both"/>
        <w:rPr/>
      </w:pPr>
      <w:r>
        <w:rPr>
          <w:rFonts w:eastAsia="Times New Roman" w:cs="Times New Roman" w:ascii="Times New Roman" w:hAnsi="Times New Roman"/>
          <w:color w:val="111111"/>
          <w:sz w:val="28"/>
          <w:szCs w:val="28"/>
          <w:lang w:val="en-US"/>
        </w:rPr>
        <w:t>Makan 86, 88</w:t>
      </w:r>
    </w:p>
    <w:p>
      <w:pPr>
        <w:pStyle w:val="BookText"/>
        <w:bidi w:val="0"/>
        <w:jc w:val="both"/>
        <w:rPr/>
      </w:pPr>
      <w:r>
        <w:rPr>
          <w:rFonts w:eastAsia="Times New Roman" w:cs="Times New Roman" w:ascii="Times New Roman" w:hAnsi="Times New Roman"/>
          <w:color w:val="111111"/>
          <w:sz w:val="28"/>
          <w:szCs w:val="28"/>
          <w:lang w:val="en-US"/>
        </w:rPr>
        <w:t>Makruh 113</w:t>
      </w:r>
    </w:p>
    <w:p>
      <w:pPr>
        <w:pStyle w:val="BookText"/>
        <w:bidi w:val="0"/>
        <w:jc w:val="both"/>
        <w:rPr/>
      </w:pPr>
      <w:r>
        <w:rPr>
          <w:rFonts w:eastAsia="Times New Roman" w:cs="Times New Roman" w:ascii="Times New Roman" w:hAnsi="Times New Roman"/>
          <w:color w:val="111111"/>
          <w:sz w:val="28"/>
          <w:szCs w:val="28"/>
          <w:lang w:val="en-US"/>
        </w:rPr>
        <w:t>Malahida 111, 116</w:t>
      </w:r>
    </w:p>
    <w:p>
      <w:pPr>
        <w:pStyle w:val="BookText"/>
        <w:bidi w:val="0"/>
        <w:jc w:val="both"/>
        <w:rPr/>
      </w:pPr>
      <w:r>
        <w:rPr>
          <w:rFonts w:eastAsia="Times New Roman" w:cs="Times New Roman" w:ascii="Times New Roman" w:hAnsi="Times New Roman"/>
          <w:color w:val="111111"/>
          <w:sz w:val="28"/>
          <w:szCs w:val="28"/>
          <w:lang w:val="en-US"/>
        </w:rPr>
        <w:t>Mansus 186-191</w:t>
      </w:r>
    </w:p>
    <w:p>
      <w:pPr>
        <w:pStyle w:val="BookText"/>
        <w:bidi w:val="0"/>
        <w:jc w:val="both"/>
        <w:rPr/>
      </w:pPr>
      <w:r>
        <w:rPr>
          <w:rFonts w:eastAsia="Times New Roman" w:cs="Times New Roman" w:ascii="Times New Roman" w:hAnsi="Times New Roman"/>
          <w:color w:val="111111"/>
          <w:sz w:val="28"/>
          <w:szCs w:val="28"/>
          <w:lang w:val="en-US"/>
        </w:rPr>
        <w:t>Ma‘lum 55</w:t>
      </w:r>
    </w:p>
    <w:p>
      <w:pPr>
        <w:pStyle w:val="BookText"/>
        <w:bidi w:val="0"/>
        <w:jc w:val="both"/>
        <w:rPr/>
      </w:pPr>
      <w:r>
        <w:rPr>
          <w:rFonts w:eastAsia="Times New Roman" w:cs="Times New Roman" w:ascii="Times New Roman" w:hAnsi="Times New Roman"/>
          <w:color w:val="111111"/>
          <w:sz w:val="28"/>
          <w:szCs w:val="28"/>
          <w:lang w:val="en-US"/>
        </w:rPr>
        <w:t>Ma‘na 62, 65, 74, 107</w:t>
      </w:r>
    </w:p>
    <w:p>
      <w:pPr>
        <w:pStyle w:val="BookText"/>
        <w:bidi w:val="0"/>
        <w:jc w:val="both"/>
        <w:rPr/>
      </w:pPr>
      <w:r>
        <w:rPr>
          <w:rFonts w:eastAsia="Times New Roman" w:cs="Times New Roman" w:ascii="Times New Roman" w:hAnsi="Times New Roman"/>
          <w:color w:val="111111"/>
          <w:sz w:val="28"/>
          <w:szCs w:val="28"/>
          <w:lang w:val="en-US"/>
        </w:rPr>
        <w:t>Mandub 113, 228</w:t>
      </w:r>
    </w:p>
    <w:p>
      <w:pPr>
        <w:pStyle w:val="BookText"/>
        <w:bidi w:val="0"/>
        <w:jc w:val="both"/>
        <w:rPr/>
      </w:pPr>
      <w:r>
        <w:rPr>
          <w:rFonts w:eastAsia="Times New Roman" w:cs="Times New Roman" w:ascii="Times New Roman" w:hAnsi="Times New Roman"/>
          <w:color w:val="111111"/>
          <w:sz w:val="28"/>
          <w:szCs w:val="28"/>
          <w:lang w:val="en-US"/>
        </w:rPr>
        <w:t>Maqdur 46-50</w:t>
      </w:r>
    </w:p>
    <w:p>
      <w:pPr>
        <w:pStyle w:val="BookText"/>
        <w:bidi w:val="0"/>
        <w:jc w:val="both"/>
        <w:rPr/>
      </w:pPr>
      <w:r>
        <w:rPr>
          <w:rFonts w:eastAsia="Times New Roman" w:cs="Times New Roman" w:ascii="Times New Roman" w:hAnsi="Times New Roman"/>
          <w:color w:val="111111"/>
          <w:sz w:val="28"/>
          <w:szCs w:val="28"/>
          <w:lang w:val="en-US"/>
        </w:rPr>
        <w:t>Ma‘rifa 1, 4, 8-10, 13</w:t>
      </w:r>
    </w:p>
    <w:p>
      <w:pPr>
        <w:pStyle w:val="BookText"/>
        <w:bidi w:val="0"/>
        <w:jc w:val="both"/>
        <w:rPr/>
      </w:pPr>
      <w:r>
        <w:rPr>
          <w:rFonts w:eastAsia="Times New Roman" w:cs="Times New Roman" w:ascii="Times New Roman" w:hAnsi="Times New Roman"/>
          <w:color w:val="111111"/>
          <w:sz w:val="28"/>
          <w:szCs w:val="28"/>
          <w:lang w:val="en-US"/>
        </w:rPr>
        <w:t>al-Ma‘ruf 241-244</w:t>
      </w:r>
    </w:p>
    <w:p>
      <w:pPr>
        <w:pStyle w:val="BookText"/>
        <w:bidi w:val="0"/>
        <w:jc w:val="both"/>
        <w:rPr/>
      </w:pPr>
      <w:r>
        <w:rPr>
          <w:rFonts w:eastAsia="Times New Roman" w:cs="Times New Roman" w:ascii="Times New Roman" w:hAnsi="Times New Roman"/>
          <w:color w:val="111111"/>
          <w:sz w:val="28"/>
          <w:szCs w:val="28"/>
          <w:lang w:val="en-US"/>
        </w:rPr>
        <w:t>Ma‘siya 164-169, 179-185</w:t>
      </w:r>
    </w:p>
    <w:p>
      <w:pPr>
        <w:pStyle w:val="BookText"/>
        <w:bidi w:val="0"/>
        <w:jc w:val="both"/>
        <w:rPr/>
      </w:pPr>
      <w:r>
        <w:rPr>
          <w:rFonts w:eastAsia="Times New Roman" w:cs="Times New Roman" w:ascii="Times New Roman" w:hAnsi="Times New Roman"/>
          <w:color w:val="111111"/>
          <w:sz w:val="28"/>
          <w:szCs w:val="28"/>
          <w:lang w:val="en-US"/>
        </w:rPr>
        <w:t>Maslaha 60, 61, 63, 65, 128, 154</w:t>
      </w:r>
    </w:p>
    <w:p>
      <w:pPr>
        <w:pStyle w:val="BookText"/>
        <w:bidi w:val="0"/>
        <w:jc w:val="both"/>
        <w:rPr/>
      </w:pPr>
      <w:r>
        <w:rPr>
          <w:rFonts w:eastAsia="Times New Roman" w:cs="Times New Roman" w:ascii="Times New Roman" w:hAnsi="Times New Roman"/>
          <w:color w:val="111111"/>
          <w:sz w:val="28"/>
          <w:szCs w:val="28"/>
          <w:lang w:val="en-US"/>
        </w:rPr>
        <w:t>Ma‘sum 9, 165-169, 179-185, 195, 214, 217</w:t>
      </w:r>
    </w:p>
    <w:p>
      <w:pPr>
        <w:pStyle w:val="BookText"/>
        <w:bidi w:val="0"/>
        <w:jc w:val="both"/>
        <w:rPr/>
      </w:pPr>
      <w:r>
        <w:rPr>
          <w:rFonts w:eastAsia="Times New Roman" w:cs="Times New Roman" w:ascii="Times New Roman" w:hAnsi="Times New Roman"/>
          <w:color w:val="111111"/>
          <w:sz w:val="28"/>
          <w:szCs w:val="28"/>
          <w:lang w:val="en-US"/>
        </w:rPr>
        <w:t>Mawla 204</w:t>
      </w:r>
    </w:p>
    <w:p>
      <w:pPr>
        <w:pStyle w:val="BookText"/>
        <w:bidi w:val="0"/>
        <w:jc w:val="both"/>
        <w:rPr/>
      </w:pPr>
      <w:r>
        <w:rPr>
          <w:rFonts w:eastAsia="Times New Roman" w:cs="Times New Roman" w:ascii="Times New Roman" w:hAnsi="Times New Roman"/>
          <w:color w:val="111111"/>
          <w:sz w:val="28"/>
          <w:szCs w:val="28"/>
          <w:lang w:val="en-US"/>
        </w:rPr>
        <w:t>Mizan 224</w:t>
      </w:r>
    </w:p>
    <w:p>
      <w:pPr>
        <w:pStyle w:val="BookText"/>
        <w:bidi w:val="0"/>
        <w:jc w:val="both"/>
        <w:rPr/>
      </w:pPr>
      <w:r>
        <w:rPr>
          <w:rFonts w:eastAsia="Times New Roman" w:cs="Times New Roman" w:ascii="Times New Roman" w:hAnsi="Times New Roman"/>
          <w:color w:val="111111"/>
          <w:sz w:val="28"/>
          <w:szCs w:val="28"/>
          <w:lang w:val="en-US"/>
        </w:rPr>
        <w:t>Moses 76, 100, 102, 205</w:t>
      </w:r>
    </w:p>
    <w:p>
      <w:pPr>
        <w:pStyle w:val="BookText"/>
        <w:bidi w:val="0"/>
        <w:jc w:val="both"/>
        <w:rPr/>
      </w:pPr>
      <w:r>
        <w:rPr>
          <w:rFonts w:eastAsia="Times New Roman" w:cs="Times New Roman" w:ascii="Times New Roman" w:hAnsi="Times New Roman"/>
          <w:color w:val="111111"/>
          <w:sz w:val="28"/>
          <w:szCs w:val="28"/>
          <w:lang w:val="en-US"/>
        </w:rPr>
        <w:t>Mu’aththir, 28, 34</w:t>
      </w:r>
    </w:p>
    <w:p>
      <w:pPr>
        <w:pStyle w:val="BookText"/>
        <w:bidi w:val="0"/>
        <w:jc w:val="both"/>
        <w:rPr/>
      </w:pPr>
      <w:r>
        <w:rPr>
          <w:rFonts w:eastAsia="Times New Roman" w:cs="Times New Roman" w:ascii="Times New Roman" w:hAnsi="Times New Roman"/>
          <w:color w:val="111111"/>
          <w:sz w:val="28"/>
          <w:szCs w:val="28"/>
          <w:lang w:val="en-US"/>
        </w:rPr>
        <w:t>Mubah 113</w:t>
      </w:r>
    </w:p>
    <w:p>
      <w:pPr>
        <w:pStyle w:val="BookText"/>
        <w:bidi w:val="0"/>
        <w:jc w:val="both"/>
        <w:rPr/>
      </w:pPr>
      <w:r>
        <w:rPr>
          <w:rFonts w:eastAsia="Times New Roman" w:cs="Times New Roman" w:ascii="Times New Roman" w:hAnsi="Times New Roman"/>
          <w:color w:val="111111"/>
          <w:sz w:val="28"/>
          <w:szCs w:val="28"/>
          <w:lang w:val="en-US"/>
        </w:rPr>
        <w:t>Mubahala 191-194</w:t>
      </w:r>
    </w:p>
    <w:p>
      <w:pPr>
        <w:pStyle w:val="BookText"/>
        <w:bidi w:val="0"/>
        <w:jc w:val="both"/>
        <w:rPr/>
      </w:pPr>
      <w:r>
        <w:rPr>
          <w:rFonts w:eastAsia="Times New Roman" w:cs="Times New Roman" w:ascii="Times New Roman" w:hAnsi="Times New Roman"/>
          <w:color w:val="111111"/>
          <w:sz w:val="28"/>
          <w:szCs w:val="28"/>
          <w:lang w:val="en-US"/>
        </w:rPr>
        <w:t>Mudrik 66-68</w:t>
      </w:r>
    </w:p>
    <w:p>
      <w:pPr>
        <w:pStyle w:val="BookText"/>
        <w:bidi w:val="0"/>
        <w:jc w:val="both"/>
        <w:rPr/>
      </w:pPr>
      <w:r>
        <w:rPr>
          <w:rFonts w:eastAsia="Times New Roman" w:cs="Times New Roman" w:ascii="Times New Roman" w:hAnsi="Times New Roman"/>
          <w:color w:val="111111"/>
          <w:sz w:val="28"/>
          <w:szCs w:val="28"/>
          <w:lang w:val="en-US"/>
        </w:rPr>
        <w:t>Muhammad 157, 162</w:t>
      </w:r>
    </w:p>
    <w:p>
      <w:pPr>
        <w:pStyle w:val="BookText"/>
        <w:bidi w:val="0"/>
        <w:jc w:val="both"/>
        <w:rPr/>
      </w:pPr>
      <w:r>
        <w:rPr>
          <w:rFonts w:eastAsia="Times New Roman" w:cs="Times New Roman" w:ascii="Times New Roman" w:hAnsi="Times New Roman"/>
          <w:color w:val="111111"/>
          <w:sz w:val="28"/>
          <w:szCs w:val="28"/>
          <w:lang w:val="en-US"/>
        </w:rPr>
        <w:t>Muhdath 38, 42</w:t>
      </w:r>
    </w:p>
    <w:p>
      <w:pPr>
        <w:pStyle w:val="BookText"/>
        <w:bidi w:val="0"/>
        <w:jc w:val="both"/>
        <w:rPr/>
      </w:pPr>
      <w:r>
        <w:rPr>
          <w:rFonts w:eastAsia="Times New Roman" w:cs="Times New Roman" w:ascii="Times New Roman" w:hAnsi="Times New Roman"/>
          <w:color w:val="111111"/>
          <w:sz w:val="28"/>
          <w:szCs w:val="28"/>
          <w:lang w:val="en-US"/>
        </w:rPr>
        <w:t>Mujarrad 101</w:t>
      </w:r>
    </w:p>
    <w:p>
      <w:pPr>
        <w:pStyle w:val="BookText"/>
        <w:bidi w:val="0"/>
        <w:jc w:val="both"/>
        <w:rPr/>
      </w:pPr>
      <w:r>
        <w:rPr>
          <w:rFonts w:eastAsia="Times New Roman" w:cs="Times New Roman" w:ascii="Times New Roman" w:hAnsi="Times New Roman"/>
          <w:color w:val="111111"/>
          <w:sz w:val="28"/>
          <w:szCs w:val="28"/>
          <w:lang w:val="en-US"/>
        </w:rPr>
        <w:t>Mujassima, 87, 101</w:t>
      </w:r>
    </w:p>
    <w:p>
      <w:pPr>
        <w:pStyle w:val="BookText"/>
        <w:bidi w:val="0"/>
        <w:jc w:val="both"/>
        <w:rPr/>
      </w:pPr>
      <w:r>
        <w:rPr>
          <w:rFonts w:eastAsia="Times New Roman" w:cs="Times New Roman" w:ascii="Times New Roman" w:hAnsi="Times New Roman"/>
          <w:color w:val="111111"/>
          <w:sz w:val="28"/>
          <w:szCs w:val="28"/>
          <w:lang w:val="en-US"/>
        </w:rPr>
        <w:t>Mujib, 38,41</w:t>
      </w:r>
    </w:p>
    <w:p>
      <w:pPr>
        <w:pStyle w:val="BookText"/>
        <w:bidi w:val="0"/>
        <w:jc w:val="both"/>
        <w:rPr/>
      </w:pPr>
      <w:r>
        <w:rPr>
          <w:rFonts w:eastAsia="Times New Roman" w:cs="Times New Roman" w:ascii="Times New Roman" w:hAnsi="Times New Roman"/>
          <w:color w:val="111111"/>
          <w:sz w:val="28"/>
          <w:szCs w:val="28"/>
          <w:lang w:val="en-US"/>
        </w:rPr>
        <w:t>Mujid 30</w:t>
      </w:r>
    </w:p>
    <w:p>
      <w:pPr>
        <w:pStyle w:val="BookText"/>
        <w:bidi w:val="0"/>
        <w:jc w:val="both"/>
        <w:rPr/>
      </w:pPr>
      <w:r>
        <w:rPr>
          <w:rFonts w:eastAsia="Times New Roman" w:cs="Times New Roman" w:ascii="Times New Roman" w:hAnsi="Times New Roman"/>
          <w:color w:val="111111"/>
          <w:sz w:val="28"/>
          <w:szCs w:val="28"/>
          <w:lang w:val="en-US"/>
        </w:rPr>
        <w:t>Mu‘jiza 157, 160-163, 186, 187, 207, 216</w:t>
      </w:r>
    </w:p>
    <w:p>
      <w:pPr>
        <w:pStyle w:val="BookText"/>
        <w:bidi w:val="0"/>
        <w:jc w:val="both"/>
        <w:rPr/>
      </w:pPr>
      <w:r>
        <w:rPr>
          <w:rFonts w:eastAsia="Times New Roman" w:cs="Times New Roman" w:ascii="Times New Roman" w:hAnsi="Times New Roman"/>
          <w:color w:val="111111"/>
          <w:sz w:val="28"/>
          <w:szCs w:val="28"/>
          <w:lang w:val="en-US"/>
        </w:rPr>
        <w:t>Mukallaf 5, 134-136, 143, 145, 147, 163</w:t>
      </w:r>
    </w:p>
    <w:p>
      <w:pPr>
        <w:pStyle w:val="BookText"/>
        <w:bidi w:val="0"/>
        <w:jc w:val="both"/>
        <w:rPr/>
      </w:pPr>
      <w:r>
        <w:rPr>
          <w:rFonts w:eastAsia="Times New Roman" w:cs="Times New Roman" w:ascii="Times New Roman" w:hAnsi="Times New Roman"/>
          <w:color w:val="111111"/>
          <w:sz w:val="28"/>
          <w:szCs w:val="28"/>
          <w:lang w:val="en-US"/>
        </w:rPr>
        <w:t>Mukallif 135, 141</w:t>
      </w:r>
    </w:p>
    <w:p>
      <w:pPr>
        <w:pStyle w:val="BookText"/>
        <w:bidi w:val="0"/>
        <w:jc w:val="both"/>
        <w:rPr/>
      </w:pPr>
      <w:r>
        <w:rPr>
          <w:rFonts w:eastAsia="Times New Roman" w:cs="Times New Roman" w:ascii="Times New Roman" w:hAnsi="Times New Roman"/>
          <w:color w:val="111111"/>
          <w:sz w:val="28"/>
          <w:szCs w:val="28"/>
          <w:lang w:val="en-US"/>
        </w:rPr>
        <w:t>Mukhassis 59, 63</w:t>
      </w:r>
    </w:p>
    <w:p>
      <w:pPr>
        <w:pStyle w:val="BookText"/>
        <w:bidi w:val="0"/>
        <w:jc w:val="both"/>
        <w:rPr/>
      </w:pPr>
      <w:r>
        <w:rPr>
          <w:rFonts w:eastAsia="Times New Roman" w:cs="Times New Roman" w:ascii="Times New Roman" w:hAnsi="Times New Roman"/>
          <w:color w:val="111111"/>
          <w:sz w:val="28"/>
          <w:szCs w:val="28"/>
          <w:lang w:val="en-US"/>
        </w:rPr>
        <w:t>Mukhtar 38, 41</w:t>
      </w:r>
    </w:p>
    <w:p>
      <w:pPr>
        <w:pStyle w:val="BookText"/>
        <w:bidi w:val="0"/>
        <w:jc w:val="both"/>
        <w:rPr/>
      </w:pPr>
      <w:r>
        <w:rPr>
          <w:rFonts w:eastAsia="Times New Roman" w:cs="Times New Roman" w:ascii="Times New Roman" w:hAnsi="Times New Roman"/>
          <w:color w:val="111111"/>
          <w:sz w:val="28"/>
          <w:szCs w:val="28"/>
          <w:lang w:val="en-US"/>
        </w:rPr>
        <w:t>Mumkinu’l-Wujud 21-23, 26, 27-29</w:t>
      </w:r>
    </w:p>
    <w:p>
      <w:pPr>
        <w:pStyle w:val="BookText"/>
        <w:bidi w:val="0"/>
        <w:jc w:val="both"/>
        <w:rPr/>
      </w:pPr>
      <w:r>
        <w:rPr>
          <w:rFonts w:eastAsia="Times New Roman" w:cs="Times New Roman" w:ascii="Times New Roman" w:hAnsi="Times New Roman"/>
          <w:color w:val="111111"/>
          <w:sz w:val="28"/>
          <w:szCs w:val="28"/>
          <w:lang w:val="en-US"/>
        </w:rPr>
        <w:t>Mumtani‘u’l-Wujud 21-24</w:t>
      </w:r>
    </w:p>
    <w:p>
      <w:pPr>
        <w:pStyle w:val="BookText"/>
        <w:bidi w:val="0"/>
        <w:jc w:val="both"/>
        <w:rPr/>
      </w:pPr>
      <w:r>
        <w:rPr>
          <w:rFonts w:eastAsia="Times New Roman" w:cs="Times New Roman" w:ascii="Times New Roman" w:hAnsi="Times New Roman"/>
          <w:color w:val="111111"/>
          <w:sz w:val="28"/>
          <w:szCs w:val="28"/>
          <w:lang w:val="en-US"/>
        </w:rPr>
        <w:t>al-Munkar 240-244</w:t>
      </w:r>
    </w:p>
    <w:p>
      <w:pPr>
        <w:pStyle w:val="BookText"/>
        <w:bidi w:val="0"/>
        <w:jc w:val="both"/>
        <w:rPr/>
      </w:pPr>
      <w:r>
        <w:rPr>
          <w:rFonts w:eastAsia="Times New Roman" w:cs="Times New Roman" w:ascii="Times New Roman" w:hAnsi="Times New Roman"/>
          <w:color w:val="111111"/>
          <w:sz w:val="28"/>
          <w:szCs w:val="28"/>
          <w:lang w:val="en-US"/>
        </w:rPr>
        <w:t>Murajjih 10</w:t>
      </w:r>
    </w:p>
    <w:p>
      <w:pPr>
        <w:pStyle w:val="BookText"/>
        <w:bidi w:val="0"/>
        <w:jc w:val="both"/>
        <w:rPr/>
      </w:pPr>
      <w:r>
        <w:rPr>
          <w:rFonts w:eastAsia="Times New Roman" w:cs="Times New Roman" w:ascii="Times New Roman" w:hAnsi="Times New Roman"/>
          <w:color w:val="111111"/>
          <w:sz w:val="28"/>
          <w:szCs w:val="28"/>
          <w:lang w:val="en-US"/>
        </w:rPr>
        <w:t>Murakkab 83-86</w:t>
      </w:r>
    </w:p>
    <w:p>
      <w:pPr>
        <w:pStyle w:val="BookText"/>
        <w:bidi w:val="0"/>
        <w:jc w:val="both"/>
        <w:rPr/>
      </w:pPr>
      <w:r>
        <w:rPr>
          <w:rFonts w:eastAsia="Times New Roman" w:cs="Times New Roman" w:ascii="Times New Roman" w:hAnsi="Times New Roman"/>
          <w:color w:val="111111"/>
          <w:sz w:val="28"/>
          <w:szCs w:val="28"/>
          <w:lang w:val="en-US"/>
        </w:rPr>
        <w:t>Murid 59-65, 126</w:t>
      </w:r>
    </w:p>
    <w:p>
      <w:pPr>
        <w:pStyle w:val="BookText"/>
        <w:bidi w:val="0"/>
        <w:jc w:val="both"/>
        <w:rPr/>
      </w:pPr>
      <w:r>
        <w:rPr>
          <w:rFonts w:eastAsia="Times New Roman" w:cs="Times New Roman" w:ascii="Times New Roman" w:hAnsi="Times New Roman"/>
          <w:color w:val="111111"/>
          <w:sz w:val="28"/>
          <w:szCs w:val="28"/>
          <w:lang w:val="en-US"/>
        </w:rPr>
        <w:t>Murshid 174</w:t>
      </w:r>
    </w:p>
    <w:p>
      <w:pPr>
        <w:pStyle w:val="BookText"/>
        <w:bidi w:val="0"/>
        <w:jc w:val="both"/>
        <w:rPr/>
      </w:pPr>
      <w:r>
        <w:rPr>
          <w:rFonts w:eastAsia="Times New Roman" w:cs="Times New Roman" w:ascii="Times New Roman" w:hAnsi="Times New Roman"/>
          <w:color w:val="111111"/>
          <w:sz w:val="28"/>
          <w:szCs w:val="28"/>
          <w:lang w:val="en-US"/>
        </w:rPr>
        <w:t>Mutakallim 72</w:t>
      </w:r>
    </w:p>
    <w:p>
      <w:pPr>
        <w:pStyle w:val="BookText"/>
        <w:bidi w:val="0"/>
        <w:jc w:val="both"/>
        <w:rPr/>
      </w:pPr>
      <w:r>
        <w:rPr>
          <w:rFonts w:eastAsia="Times New Roman" w:cs="Times New Roman" w:ascii="Times New Roman" w:hAnsi="Times New Roman"/>
          <w:color w:val="111111"/>
          <w:sz w:val="28"/>
          <w:szCs w:val="28"/>
          <w:lang w:val="en-US"/>
        </w:rPr>
        <w:t>Mu‘tazilites 62, 65, 73, 75, 76, 79, 101, 115, 119, 124, 126, 128, 139, 151, 154, 166, 176, 198, 227</w:t>
      </w:r>
    </w:p>
    <w:p>
      <w:pPr>
        <w:pStyle w:val="BookText"/>
        <w:bidi w:val="0"/>
        <w:jc w:val="both"/>
        <w:rPr/>
      </w:pPr>
      <w:r>
        <w:rPr>
          <w:rFonts w:eastAsia="Times New Roman" w:cs="Times New Roman" w:ascii="Times New Roman" w:hAnsi="Times New Roman"/>
          <w:color w:val="111111"/>
          <w:sz w:val="28"/>
          <w:szCs w:val="28"/>
          <w:lang w:val="en-US"/>
        </w:rPr>
        <w:t>Mutawatir 183, 191, 192</w:t>
      </w:r>
    </w:p>
    <w:p>
      <w:pPr>
        <w:pStyle w:val="BookText"/>
        <w:bidi w:val="0"/>
        <w:jc w:val="both"/>
        <w:rPr/>
      </w:pPr>
      <w:r>
        <w:rPr>
          <w:rFonts w:eastAsia="Times New Roman" w:cs="Times New Roman" w:ascii="Times New Roman" w:hAnsi="Times New Roman"/>
          <w:color w:val="111111"/>
          <w:sz w:val="28"/>
          <w:szCs w:val="28"/>
          <w:lang w:val="en-US"/>
        </w:rPr>
        <w:t>Nabi 152, 173</w:t>
      </w:r>
    </w:p>
    <w:p>
      <w:pPr>
        <w:pStyle w:val="BookText"/>
        <w:bidi w:val="0"/>
        <w:jc w:val="both"/>
        <w:rPr/>
      </w:pPr>
      <w:r>
        <w:rPr>
          <w:rFonts w:eastAsia="Times New Roman" w:cs="Times New Roman" w:ascii="Times New Roman" w:hAnsi="Times New Roman"/>
          <w:color w:val="111111"/>
          <w:sz w:val="28"/>
          <w:szCs w:val="28"/>
          <w:lang w:val="en-US"/>
        </w:rPr>
        <w:t>Naf‘ 128-132, 143</w:t>
      </w:r>
    </w:p>
    <w:p>
      <w:pPr>
        <w:pStyle w:val="BookText"/>
        <w:bidi w:val="0"/>
        <w:jc w:val="both"/>
        <w:rPr/>
      </w:pPr>
      <w:r>
        <w:rPr>
          <w:rFonts w:eastAsia="Times New Roman" w:cs="Times New Roman" w:ascii="Times New Roman" w:hAnsi="Times New Roman"/>
          <w:color w:val="111111"/>
          <w:sz w:val="28"/>
          <w:szCs w:val="28"/>
          <w:lang w:val="en-US"/>
        </w:rPr>
        <w:t>Najran 194</w:t>
      </w:r>
    </w:p>
    <w:p>
      <w:pPr>
        <w:pStyle w:val="BookText"/>
        <w:bidi w:val="0"/>
        <w:jc w:val="both"/>
        <w:rPr/>
      </w:pPr>
      <w:r>
        <w:rPr>
          <w:rFonts w:eastAsia="Times New Roman" w:cs="Times New Roman" w:ascii="Times New Roman" w:hAnsi="Times New Roman"/>
          <w:color w:val="111111"/>
          <w:sz w:val="28"/>
          <w:szCs w:val="28"/>
          <w:lang w:val="en-US"/>
        </w:rPr>
        <w:t>Nasikh 158</w:t>
      </w:r>
    </w:p>
    <w:p>
      <w:pPr>
        <w:pStyle w:val="BookText"/>
        <w:bidi w:val="0"/>
        <w:jc w:val="both"/>
        <w:rPr/>
      </w:pPr>
      <w:r>
        <w:rPr>
          <w:rFonts w:eastAsia="Times New Roman" w:cs="Times New Roman" w:ascii="Times New Roman" w:hAnsi="Times New Roman"/>
          <w:color w:val="111111"/>
          <w:sz w:val="28"/>
          <w:szCs w:val="28"/>
          <w:lang w:val="en-US"/>
        </w:rPr>
        <w:t>Nass 178, 186-191, 208, 211, 213</w:t>
      </w:r>
    </w:p>
    <w:p>
      <w:pPr>
        <w:pStyle w:val="BookText"/>
        <w:bidi w:val="0"/>
        <w:jc w:val="both"/>
        <w:rPr/>
      </w:pPr>
      <w:r>
        <w:rPr>
          <w:rFonts w:eastAsia="Times New Roman" w:cs="Times New Roman" w:ascii="Times New Roman" w:hAnsi="Times New Roman"/>
          <w:color w:val="111111"/>
          <w:sz w:val="28"/>
          <w:szCs w:val="28"/>
          <w:lang w:val="en-US"/>
        </w:rPr>
        <w:t>Nasutiyya 96</w:t>
      </w:r>
    </w:p>
    <w:p>
      <w:pPr>
        <w:pStyle w:val="BookText"/>
        <w:bidi w:val="0"/>
        <w:jc w:val="both"/>
        <w:rPr/>
      </w:pPr>
      <w:r>
        <w:rPr>
          <w:rFonts w:eastAsia="Times New Roman" w:cs="Times New Roman" w:ascii="Times New Roman" w:hAnsi="Times New Roman"/>
          <w:color w:val="111111"/>
          <w:sz w:val="28"/>
          <w:szCs w:val="28"/>
          <w:lang w:val="en-US"/>
        </w:rPr>
        <w:t>Nazar 15, 32</w:t>
      </w:r>
    </w:p>
    <w:p>
      <w:pPr>
        <w:pStyle w:val="BookText"/>
        <w:bidi w:val="0"/>
        <w:jc w:val="both"/>
        <w:rPr/>
      </w:pPr>
      <w:r>
        <w:rPr>
          <w:rFonts w:eastAsia="Times New Roman" w:cs="Times New Roman" w:ascii="Times New Roman" w:hAnsi="Times New Roman"/>
          <w:color w:val="111111"/>
          <w:sz w:val="28"/>
          <w:szCs w:val="28"/>
          <w:lang w:val="en-US"/>
        </w:rPr>
        <w:t>an-Nazzam 47</w:t>
      </w:r>
    </w:p>
    <w:p>
      <w:pPr>
        <w:pStyle w:val="BookText"/>
        <w:bidi w:val="0"/>
        <w:jc w:val="both"/>
        <w:rPr/>
      </w:pPr>
      <w:r>
        <w:rPr>
          <w:rFonts w:eastAsia="Times New Roman" w:cs="Times New Roman" w:ascii="Times New Roman" w:hAnsi="Times New Roman"/>
          <w:color w:val="111111"/>
          <w:sz w:val="28"/>
          <w:szCs w:val="28"/>
          <w:lang w:val="en-US"/>
        </w:rPr>
        <w:t>Noah 79</w:t>
      </w:r>
    </w:p>
    <w:p>
      <w:pPr>
        <w:pStyle w:val="BookText"/>
        <w:bidi w:val="0"/>
        <w:jc w:val="both"/>
        <w:rPr/>
      </w:pPr>
      <w:r>
        <w:rPr>
          <w:rFonts w:eastAsia="Times New Roman" w:cs="Times New Roman" w:ascii="Times New Roman" w:hAnsi="Times New Roman"/>
          <w:color w:val="111111"/>
          <w:sz w:val="28"/>
          <w:szCs w:val="28"/>
          <w:lang w:val="en-US"/>
        </w:rPr>
        <w:t>Qabih 47, 80, 81, 111-115, 123-126, 238</w:t>
      </w:r>
    </w:p>
    <w:p>
      <w:pPr>
        <w:pStyle w:val="BookText"/>
        <w:bidi w:val="0"/>
        <w:jc w:val="both"/>
        <w:rPr/>
      </w:pPr>
      <w:r>
        <w:rPr>
          <w:rFonts w:eastAsia="Times New Roman" w:cs="Times New Roman" w:ascii="Times New Roman" w:hAnsi="Times New Roman"/>
          <w:color w:val="111111"/>
          <w:sz w:val="28"/>
          <w:szCs w:val="28"/>
          <w:lang w:val="en-US"/>
        </w:rPr>
        <w:t>Qadim 42, 69-71</w:t>
      </w:r>
    </w:p>
    <w:p>
      <w:pPr>
        <w:pStyle w:val="BookText"/>
        <w:bidi w:val="0"/>
        <w:jc w:val="both"/>
        <w:rPr/>
      </w:pPr>
      <w:r>
        <w:rPr>
          <w:rFonts w:eastAsia="Times New Roman" w:cs="Times New Roman" w:ascii="Times New Roman" w:hAnsi="Times New Roman"/>
          <w:color w:val="111111"/>
          <w:sz w:val="28"/>
          <w:szCs w:val="28"/>
          <w:lang w:val="en-US"/>
        </w:rPr>
        <w:t>Qadir 38-50</w:t>
      </w:r>
    </w:p>
    <w:p>
      <w:pPr>
        <w:pStyle w:val="BookText"/>
        <w:bidi w:val="0"/>
        <w:jc w:val="both"/>
        <w:rPr/>
      </w:pPr>
      <w:r>
        <w:rPr>
          <w:rFonts w:eastAsia="Times New Roman" w:cs="Times New Roman" w:ascii="Times New Roman" w:hAnsi="Times New Roman"/>
          <w:color w:val="111111"/>
          <w:sz w:val="28"/>
          <w:szCs w:val="28"/>
          <w:lang w:val="en-US"/>
        </w:rPr>
        <w:t>al-Qa’im 211</w:t>
      </w:r>
    </w:p>
    <w:p>
      <w:pPr>
        <w:pStyle w:val="BookText"/>
        <w:bidi w:val="0"/>
        <w:jc w:val="both"/>
        <w:rPr/>
      </w:pPr>
      <w:r>
        <w:rPr>
          <w:rFonts w:eastAsia="Times New Roman" w:cs="Times New Roman" w:ascii="Times New Roman" w:hAnsi="Times New Roman"/>
          <w:color w:val="111111"/>
          <w:sz w:val="28"/>
          <w:szCs w:val="28"/>
          <w:lang w:val="en-US"/>
        </w:rPr>
        <w:t>Qiyas 183, 184</w:t>
      </w:r>
    </w:p>
    <w:p>
      <w:pPr>
        <w:pStyle w:val="BookText"/>
        <w:bidi w:val="0"/>
        <w:jc w:val="both"/>
        <w:rPr/>
      </w:pPr>
      <w:r>
        <w:rPr>
          <w:rFonts w:eastAsia="Times New Roman" w:cs="Times New Roman" w:ascii="Times New Roman" w:hAnsi="Times New Roman"/>
          <w:color w:val="111111"/>
          <w:sz w:val="28"/>
          <w:szCs w:val="28"/>
          <w:lang w:val="en-US"/>
        </w:rPr>
        <w:t>Qubh 123-126</w:t>
      </w:r>
    </w:p>
    <w:p>
      <w:pPr>
        <w:pStyle w:val="BookText"/>
        <w:bidi w:val="0"/>
        <w:jc w:val="both"/>
        <w:rPr/>
      </w:pPr>
      <w:r>
        <w:rPr>
          <w:rFonts w:eastAsia="Times New Roman" w:cs="Times New Roman" w:ascii="Times New Roman" w:hAnsi="Times New Roman"/>
          <w:color w:val="111111"/>
          <w:sz w:val="28"/>
          <w:szCs w:val="28"/>
          <w:lang w:val="en-US"/>
        </w:rPr>
        <w:t>Ra’is 174</w:t>
      </w:r>
    </w:p>
    <w:p>
      <w:pPr>
        <w:pStyle w:val="BookText"/>
        <w:bidi w:val="0"/>
        <w:jc w:val="both"/>
        <w:rPr/>
      </w:pPr>
      <w:r>
        <w:rPr>
          <w:rFonts w:eastAsia="Times New Roman" w:cs="Times New Roman" w:ascii="Times New Roman" w:hAnsi="Times New Roman"/>
          <w:color w:val="111111"/>
          <w:sz w:val="28"/>
          <w:szCs w:val="28"/>
          <w:lang w:val="en-US"/>
        </w:rPr>
        <w:t>Riyasa 174</w:t>
      </w:r>
    </w:p>
    <w:p>
      <w:pPr>
        <w:pStyle w:val="BookText"/>
        <w:bidi w:val="0"/>
        <w:jc w:val="both"/>
        <w:rPr/>
      </w:pPr>
      <w:r>
        <w:rPr>
          <w:rFonts w:eastAsia="Times New Roman" w:cs="Times New Roman" w:ascii="Times New Roman" w:hAnsi="Times New Roman"/>
          <w:color w:val="111111"/>
          <w:sz w:val="28"/>
          <w:szCs w:val="28"/>
          <w:lang w:val="en-US"/>
        </w:rPr>
        <w:t>Ru’ya 100-102</w:t>
      </w:r>
    </w:p>
    <w:p>
      <w:pPr>
        <w:pStyle w:val="BookText"/>
        <w:bidi w:val="0"/>
        <w:jc w:val="both"/>
        <w:rPr/>
      </w:pPr>
      <w:r>
        <w:rPr>
          <w:rFonts w:eastAsia="Times New Roman" w:cs="Times New Roman" w:ascii="Times New Roman" w:hAnsi="Times New Roman"/>
          <w:color w:val="111111"/>
          <w:sz w:val="28"/>
          <w:szCs w:val="28"/>
          <w:lang w:val="en-US"/>
        </w:rPr>
        <w:t>Sa‘ada 156</w:t>
      </w:r>
    </w:p>
    <w:p>
      <w:pPr>
        <w:pStyle w:val="BookText"/>
        <w:bidi w:val="0"/>
        <w:jc w:val="both"/>
        <w:rPr/>
      </w:pPr>
      <w:r>
        <w:rPr>
          <w:rFonts w:eastAsia="Times New Roman" w:cs="Times New Roman" w:ascii="Times New Roman" w:hAnsi="Times New Roman"/>
          <w:color w:val="111111"/>
          <w:sz w:val="28"/>
          <w:szCs w:val="28"/>
          <w:lang w:val="en-US"/>
        </w:rPr>
        <w:t>Sadiq 81, 157, 225</w:t>
      </w:r>
    </w:p>
    <w:p>
      <w:pPr>
        <w:pStyle w:val="BookText"/>
        <w:bidi w:val="0"/>
        <w:jc w:val="both"/>
        <w:rPr/>
      </w:pPr>
      <w:r>
        <w:rPr>
          <w:rFonts w:eastAsia="Times New Roman" w:cs="Times New Roman" w:ascii="Times New Roman" w:hAnsi="Times New Roman"/>
          <w:color w:val="111111"/>
          <w:sz w:val="28"/>
          <w:szCs w:val="28"/>
          <w:lang w:val="en-US"/>
        </w:rPr>
        <w:t>as-Saghira 233, 234</w:t>
      </w:r>
    </w:p>
    <w:p>
      <w:pPr>
        <w:pStyle w:val="BookText"/>
        <w:bidi w:val="0"/>
        <w:jc w:val="both"/>
        <w:rPr/>
      </w:pPr>
      <w:r>
        <w:rPr>
          <w:rFonts w:eastAsia="Times New Roman" w:cs="Times New Roman" w:ascii="Times New Roman" w:hAnsi="Times New Roman"/>
          <w:color w:val="111111"/>
          <w:sz w:val="28"/>
          <w:szCs w:val="28"/>
          <w:lang w:val="en-US"/>
        </w:rPr>
        <w:t>Sahibu’z-Zaman 210</w:t>
      </w:r>
    </w:p>
    <w:p>
      <w:pPr>
        <w:pStyle w:val="BookText"/>
        <w:bidi w:val="0"/>
        <w:jc w:val="both"/>
        <w:rPr/>
      </w:pPr>
      <w:r>
        <w:rPr>
          <w:rFonts w:eastAsia="Times New Roman" w:cs="Times New Roman" w:ascii="Times New Roman" w:hAnsi="Times New Roman"/>
          <w:color w:val="111111"/>
          <w:sz w:val="28"/>
          <w:szCs w:val="28"/>
          <w:lang w:val="en-US"/>
        </w:rPr>
        <w:t>Sayyidu’l-Murtada 242, 243</w:t>
      </w:r>
    </w:p>
    <w:p>
      <w:pPr>
        <w:pStyle w:val="BookText"/>
        <w:bidi w:val="0"/>
        <w:jc w:val="both"/>
        <w:rPr/>
      </w:pPr>
      <w:r>
        <w:rPr>
          <w:rFonts w:eastAsia="Times New Roman" w:cs="Times New Roman" w:ascii="Times New Roman" w:hAnsi="Times New Roman"/>
          <w:color w:val="111111"/>
          <w:sz w:val="28"/>
          <w:szCs w:val="28"/>
          <w:lang w:val="en-US"/>
        </w:rPr>
        <w:t>Shafa‘a 234, 235</w:t>
      </w:r>
    </w:p>
    <w:p>
      <w:pPr>
        <w:pStyle w:val="BookText"/>
        <w:bidi w:val="0"/>
        <w:jc w:val="both"/>
        <w:rPr/>
      </w:pPr>
      <w:r>
        <w:rPr>
          <w:rFonts w:eastAsia="Times New Roman" w:cs="Times New Roman" w:ascii="Times New Roman" w:hAnsi="Times New Roman"/>
          <w:color w:val="111111"/>
          <w:sz w:val="28"/>
          <w:szCs w:val="28"/>
          <w:lang w:val="en-US"/>
        </w:rPr>
        <w:t>Shahwa, 138, 139</w:t>
      </w:r>
    </w:p>
    <w:p>
      <w:pPr>
        <w:pStyle w:val="BookText"/>
        <w:bidi w:val="0"/>
        <w:jc w:val="both"/>
        <w:rPr/>
      </w:pPr>
      <w:r>
        <w:rPr>
          <w:rFonts w:eastAsia="Times New Roman" w:cs="Times New Roman" w:ascii="Times New Roman" w:hAnsi="Times New Roman"/>
          <w:color w:val="111111"/>
          <w:sz w:val="28"/>
          <w:szCs w:val="28"/>
          <w:lang w:val="en-US"/>
        </w:rPr>
        <w:t>Shari‘a 158</w:t>
      </w:r>
    </w:p>
    <w:p>
      <w:pPr>
        <w:pStyle w:val="BookText"/>
        <w:bidi w:val="0"/>
        <w:jc w:val="both"/>
        <w:rPr/>
      </w:pPr>
      <w:r>
        <w:rPr>
          <w:rFonts w:eastAsia="Times New Roman" w:cs="Times New Roman" w:ascii="Times New Roman" w:hAnsi="Times New Roman"/>
          <w:color w:val="111111"/>
          <w:sz w:val="28"/>
          <w:szCs w:val="28"/>
          <w:lang w:val="en-US"/>
        </w:rPr>
        <w:t>Sharik 103</w:t>
      </w:r>
    </w:p>
    <w:p>
      <w:pPr>
        <w:pStyle w:val="BookText"/>
        <w:bidi w:val="0"/>
        <w:jc w:val="both"/>
        <w:rPr/>
      </w:pPr>
      <w:r>
        <w:rPr>
          <w:rFonts w:eastAsia="Times New Roman" w:cs="Times New Roman" w:ascii="Times New Roman" w:hAnsi="Times New Roman"/>
          <w:color w:val="111111"/>
          <w:sz w:val="28"/>
          <w:szCs w:val="28"/>
          <w:lang w:val="en-US"/>
        </w:rPr>
        <w:t>Sharr 47</w:t>
      </w:r>
    </w:p>
    <w:p>
      <w:pPr>
        <w:pStyle w:val="BookText"/>
        <w:bidi w:val="0"/>
        <w:jc w:val="both"/>
        <w:rPr/>
      </w:pPr>
      <w:r>
        <w:rPr>
          <w:rFonts w:eastAsia="Times New Roman" w:cs="Times New Roman" w:ascii="Times New Roman" w:hAnsi="Times New Roman"/>
          <w:color w:val="111111"/>
          <w:sz w:val="28"/>
          <w:szCs w:val="28"/>
          <w:lang w:val="en-US"/>
        </w:rPr>
        <w:t>Shaykh Tusi 3, 242, 243</w:t>
      </w:r>
    </w:p>
    <w:p>
      <w:pPr>
        <w:pStyle w:val="BookText"/>
        <w:bidi w:val="0"/>
        <w:jc w:val="both"/>
        <w:rPr/>
      </w:pPr>
      <w:r>
        <w:rPr>
          <w:rFonts w:eastAsia="Times New Roman" w:cs="Times New Roman" w:ascii="Times New Roman" w:hAnsi="Times New Roman"/>
          <w:color w:val="111111"/>
          <w:sz w:val="28"/>
          <w:szCs w:val="28"/>
          <w:lang w:val="en-US"/>
        </w:rPr>
        <w:t>Shi‘ites 9, 192, 235</w:t>
      </w:r>
    </w:p>
    <w:p>
      <w:pPr>
        <w:pStyle w:val="BookText"/>
        <w:bidi w:val="0"/>
        <w:jc w:val="both"/>
        <w:rPr/>
      </w:pPr>
      <w:r>
        <w:rPr>
          <w:rFonts w:eastAsia="Times New Roman" w:cs="Times New Roman" w:ascii="Times New Roman" w:hAnsi="Times New Roman"/>
          <w:color w:val="111111"/>
          <w:sz w:val="28"/>
          <w:szCs w:val="28"/>
          <w:lang w:val="en-US"/>
        </w:rPr>
        <w:t>as-Sifatu’dh-Dhatiyya 56, 62, 97-99</w:t>
      </w:r>
    </w:p>
    <w:p>
      <w:pPr>
        <w:pStyle w:val="BookText"/>
        <w:bidi w:val="0"/>
        <w:jc w:val="both"/>
        <w:rPr/>
      </w:pPr>
      <w:r>
        <w:rPr>
          <w:rFonts w:eastAsia="Times New Roman" w:cs="Times New Roman" w:ascii="Times New Roman" w:hAnsi="Times New Roman"/>
          <w:color w:val="111111"/>
          <w:sz w:val="28"/>
          <w:szCs w:val="28"/>
          <w:lang w:val="en-US"/>
        </w:rPr>
        <w:t>as-Sifatu’th-Thubutiyya 38-82</w:t>
      </w:r>
    </w:p>
    <w:p>
      <w:pPr>
        <w:pStyle w:val="BookText"/>
        <w:bidi w:val="0"/>
        <w:jc w:val="both"/>
        <w:rPr/>
      </w:pPr>
      <w:r>
        <w:rPr>
          <w:rFonts w:eastAsia="Times New Roman" w:cs="Times New Roman" w:ascii="Times New Roman" w:hAnsi="Times New Roman"/>
          <w:color w:val="111111"/>
          <w:sz w:val="28"/>
          <w:szCs w:val="28"/>
          <w:lang w:val="en-US"/>
        </w:rPr>
        <w:t>as-Sifatu’s-Salbiyya 83-110 66, 68</w:t>
      </w:r>
    </w:p>
    <w:p>
      <w:pPr>
        <w:pStyle w:val="BookText"/>
        <w:bidi w:val="0"/>
        <w:jc w:val="both"/>
        <w:rPr/>
      </w:pPr>
      <w:r>
        <w:rPr>
          <w:rFonts w:eastAsia="Times New Roman" w:cs="Times New Roman" w:ascii="Times New Roman" w:hAnsi="Times New Roman"/>
          <w:color w:val="111111"/>
          <w:sz w:val="28"/>
          <w:szCs w:val="28"/>
          <w:lang w:val="en-US"/>
        </w:rPr>
        <w:t>Sirat 224</w:t>
      </w:r>
    </w:p>
    <w:p>
      <w:pPr>
        <w:pStyle w:val="BookText"/>
        <w:bidi w:val="0"/>
        <w:jc w:val="both"/>
        <w:rPr/>
      </w:pPr>
      <w:r>
        <w:rPr>
          <w:rFonts w:eastAsia="Times New Roman" w:cs="Times New Roman" w:ascii="Times New Roman" w:hAnsi="Times New Roman"/>
          <w:color w:val="111111"/>
          <w:sz w:val="28"/>
          <w:szCs w:val="28"/>
          <w:lang w:val="en-US"/>
        </w:rPr>
        <w:t>Sufis 89, 96</w:t>
      </w:r>
    </w:p>
    <w:p>
      <w:pPr>
        <w:pStyle w:val="BookText"/>
        <w:bidi w:val="0"/>
        <w:jc w:val="both"/>
        <w:rPr/>
      </w:pPr>
      <w:r>
        <w:rPr>
          <w:rFonts w:eastAsia="Times New Roman" w:cs="Times New Roman" w:ascii="Times New Roman" w:hAnsi="Times New Roman"/>
          <w:color w:val="111111"/>
          <w:sz w:val="28"/>
          <w:szCs w:val="28"/>
          <w:lang w:val="en-US"/>
        </w:rPr>
        <w:t>Sunnites 9, 188</w:t>
      </w:r>
    </w:p>
    <w:p>
      <w:pPr>
        <w:pStyle w:val="BookText"/>
        <w:bidi w:val="0"/>
        <w:jc w:val="both"/>
        <w:rPr/>
      </w:pPr>
      <w:r>
        <w:rPr>
          <w:rFonts w:eastAsia="Times New Roman" w:cs="Times New Roman" w:ascii="Times New Roman" w:hAnsi="Times New Roman"/>
          <w:color w:val="111111"/>
          <w:sz w:val="28"/>
          <w:szCs w:val="28"/>
          <w:lang w:val="en-US"/>
        </w:rPr>
        <w:t>Ta‘alluq, 46, 49, 98</w:t>
      </w:r>
    </w:p>
    <w:p>
      <w:pPr>
        <w:pStyle w:val="BookText"/>
        <w:bidi w:val="0"/>
        <w:jc w:val="both"/>
        <w:rPr/>
      </w:pPr>
      <w:r>
        <w:rPr>
          <w:rFonts w:eastAsia="Times New Roman" w:cs="Times New Roman" w:ascii="Times New Roman" w:hAnsi="Times New Roman"/>
          <w:color w:val="111111"/>
          <w:sz w:val="28"/>
          <w:szCs w:val="28"/>
          <w:lang w:val="en-US"/>
        </w:rPr>
        <w:t>Tafaddul 143, 151</w:t>
      </w:r>
    </w:p>
    <w:p>
      <w:pPr>
        <w:pStyle w:val="BookText"/>
        <w:bidi w:val="0"/>
        <w:jc w:val="both"/>
        <w:rPr/>
      </w:pPr>
      <w:r>
        <w:rPr>
          <w:rFonts w:eastAsia="Times New Roman" w:cs="Times New Roman" w:ascii="Times New Roman" w:hAnsi="Times New Roman"/>
          <w:color w:val="111111"/>
          <w:sz w:val="28"/>
          <w:szCs w:val="28"/>
          <w:lang w:val="en-US"/>
        </w:rPr>
        <w:t>Taklif 10, 120, 131-143, 217-220, 226</w:t>
      </w:r>
    </w:p>
    <w:p>
      <w:pPr>
        <w:pStyle w:val="BookText"/>
        <w:bidi w:val="0"/>
        <w:jc w:val="both"/>
        <w:rPr/>
      </w:pPr>
      <w:r>
        <w:rPr>
          <w:rFonts w:eastAsia="Times New Roman" w:cs="Times New Roman" w:ascii="Times New Roman" w:hAnsi="Times New Roman"/>
          <w:color w:val="111111"/>
          <w:sz w:val="28"/>
          <w:szCs w:val="28"/>
          <w:lang w:val="en-US"/>
        </w:rPr>
        <w:t>Taqlid 12, 16, 17</w:t>
      </w:r>
    </w:p>
    <w:p>
      <w:pPr>
        <w:pStyle w:val="BookText"/>
        <w:bidi w:val="0"/>
        <w:jc w:val="both"/>
        <w:rPr/>
      </w:pPr>
      <w:r>
        <w:rPr>
          <w:rFonts w:eastAsia="Times New Roman" w:cs="Times New Roman" w:ascii="Times New Roman" w:hAnsi="Times New Roman"/>
          <w:color w:val="111111"/>
          <w:sz w:val="28"/>
          <w:szCs w:val="28"/>
          <w:lang w:val="en-US"/>
        </w:rPr>
        <w:t>Tarku’l-awla 169</w:t>
      </w:r>
    </w:p>
    <w:p>
      <w:pPr>
        <w:pStyle w:val="BookText"/>
        <w:bidi w:val="0"/>
        <w:jc w:val="both"/>
        <w:rPr/>
      </w:pPr>
      <w:r>
        <w:rPr>
          <w:rFonts w:eastAsia="Times New Roman" w:cs="Times New Roman" w:ascii="Times New Roman" w:hAnsi="Times New Roman"/>
          <w:color w:val="111111"/>
          <w:sz w:val="28"/>
          <w:szCs w:val="28"/>
          <w:lang w:val="en-US"/>
        </w:rPr>
        <w:t>Tawatur 161</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Tawba 237-240 </w:t>
      </w:r>
    </w:p>
    <w:p>
      <w:pPr>
        <w:pStyle w:val="BookText"/>
        <w:bidi w:val="0"/>
        <w:rPr/>
      </w:pPr>
      <w:r>
        <w:rPr>
          <w:rFonts w:eastAsia="Times New Roman" w:cs="Times New Roman" w:ascii="Times New Roman" w:hAnsi="Times New Roman"/>
          <w:color w:val="111111"/>
          <w:sz w:val="28"/>
          <w:szCs w:val="28"/>
          <w:lang w:val="en-US"/>
        </w:rPr>
        <w:t>Ta’wil 90</w:t>
      </w:r>
    </w:p>
    <w:p>
      <w:pPr>
        <w:pStyle w:val="BookText"/>
        <w:bidi w:val="0"/>
        <w:jc w:val="both"/>
        <w:rPr/>
      </w:pPr>
      <w:r>
        <w:rPr>
          <w:rFonts w:eastAsia="Times New Roman" w:cs="Times New Roman" w:ascii="Times New Roman" w:hAnsi="Times New Roman"/>
          <w:color w:val="111111"/>
          <w:sz w:val="28"/>
          <w:szCs w:val="28"/>
          <w:lang w:val="en-US"/>
        </w:rPr>
        <w:t>Tawrat 200</w:t>
      </w:r>
    </w:p>
    <w:p>
      <w:pPr>
        <w:pStyle w:val="BookText"/>
        <w:bidi w:val="0"/>
        <w:jc w:val="both"/>
        <w:rPr/>
      </w:pPr>
      <w:r>
        <w:rPr>
          <w:rFonts w:eastAsia="Times New Roman" w:cs="Times New Roman" w:ascii="Times New Roman" w:hAnsi="Times New Roman"/>
          <w:color w:val="111111"/>
          <w:sz w:val="28"/>
          <w:szCs w:val="28"/>
          <w:lang w:val="en-US"/>
        </w:rPr>
        <w:t>al-Uqnum 79</w:t>
      </w:r>
    </w:p>
    <w:p>
      <w:pPr>
        <w:pStyle w:val="BookText"/>
        <w:bidi w:val="0"/>
        <w:jc w:val="both"/>
        <w:rPr/>
      </w:pPr>
      <w:r>
        <w:rPr>
          <w:rFonts w:eastAsia="Times New Roman" w:cs="Times New Roman" w:ascii="Times New Roman" w:hAnsi="Times New Roman"/>
          <w:color w:val="111111"/>
          <w:sz w:val="28"/>
          <w:szCs w:val="28"/>
          <w:lang w:val="en-US"/>
        </w:rPr>
        <w:t>Usama 209</w:t>
      </w:r>
    </w:p>
    <w:p>
      <w:pPr>
        <w:pStyle w:val="BookText"/>
        <w:bidi w:val="0"/>
        <w:jc w:val="both"/>
        <w:rPr/>
      </w:pPr>
      <w:r>
        <w:rPr>
          <w:rFonts w:eastAsia="Times New Roman" w:cs="Times New Roman" w:ascii="Times New Roman" w:hAnsi="Times New Roman"/>
          <w:color w:val="111111"/>
          <w:sz w:val="28"/>
          <w:szCs w:val="28"/>
          <w:lang w:val="en-US"/>
        </w:rPr>
        <w:t>Usul 6, 7</w:t>
      </w:r>
    </w:p>
    <w:p>
      <w:pPr>
        <w:pStyle w:val="BookText"/>
        <w:bidi w:val="0"/>
        <w:jc w:val="both"/>
        <w:rPr/>
      </w:pPr>
      <w:r>
        <w:rPr>
          <w:rFonts w:eastAsia="Times New Roman" w:cs="Times New Roman" w:ascii="Times New Roman" w:hAnsi="Times New Roman"/>
          <w:color w:val="111111"/>
          <w:sz w:val="28"/>
          <w:szCs w:val="28"/>
          <w:lang w:val="en-US"/>
        </w:rPr>
        <w:t>Wahy 168, 177</w:t>
      </w:r>
    </w:p>
    <w:p>
      <w:pPr>
        <w:pStyle w:val="BookText"/>
        <w:bidi w:val="0"/>
        <w:jc w:val="both"/>
        <w:rPr/>
      </w:pPr>
      <w:r>
        <w:rPr>
          <w:rFonts w:eastAsia="Times New Roman" w:cs="Times New Roman" w:ascii="Times New Roman" w:hAnsi="Times New Roman"/>
          <w:color w:val="111111"/>
          <w:sz w:val="28"/>
          <w:szCs w:val="28"/>
          <w:lang w:val="en-US"/>
        </w:rPr>
        <w:t>Wajib 3, 4, 113, 139, 228, 242</w:t>
      </w:r>
    </w:p>
    <w:p>
      <w:pPr>
        <w:pStyle w:val="BookText"/>
        <w:bidi w:val="0"/>
        <w:jc w:val="both"/>
        <w:rPr/>
      </w:pPr>
      <w:r>
        <w:rPr>
          <w:rFonts w:eastAsia="Times New Roman" w:cs="Times New Roman" w:ascii="Times New Roman" w:hAnsi="Times New Roman"/>
          <w:color w:val="111111"/>
          <w:sz w:val="28"/>
          <w:szCs w:val="28"/>
          <w:lang w:val="en-US"/>
        </w:rPr>
        <w:t>Wajibu’l-Wujud 21-23, 26</w:t>
      </w:r>
    </w:p>
    <w:p>
      <w:pPr>
        <w:pStyle w:val="BookText"/>
        <w:bidi w:val="0"/>
        <w:jc w:val="both"/>
        <w:rPr/>
      </w:pPr>
      <w:r>
        <w:rPr>
          <w:rFonts w:eastAsia="Times New Roman" w:cs="Times New Roman" w:ascii="Times New Roman" w:hAnsi="Times New Roman"/>
          <w:color w:val="111111"/>
          <w:sz w:val="28"/>
          <w:szCs w:val="28"/>
          <w:lang w:val="en-US"/>
        </w:rPr>
        <w:t>Wali 203</w:t>
      </w:r>
    </w:p>
    <w:p>
      <w:pPr>
        <w:pStyle w:val="BookText"/>
        <w:bidi w:val="0"/>
        <w:jc w:val="both"/>
        <w:rPr/>
      </w:pPr>
      <w:r>
        <w:rPr>
          <w:rFonts w:eastAsia="Times New Roman" w:cs="Times New Roman" w:ascii="Times New Roman" w:hAnsi="Times New Roman"/>
          <w:color w:val="111111"/>
          <w:sz w:val="28"/>
          <w:szCs w:val="28"/>
          <w:lang w:val="en-US"/>
        </w:rPr>
        <w:t>Wujub 4</w:t>
      </w:r>
    </w:p>
    <w:p>
      <w:pPr>
        <w:pStyle w:val="BookText"/>
        <w:bidi w:val="0"/>
        <w:jc w:val="both"/>
        <w:rPr/>
      </w:pPr>
      <w:r>
        <w:rPr>
          <w:rFonts w:eastAsia="Times New Roman" w:cs="Times New Roman" w:ascii="Times New Roman" w:hAnsi="Times New Roman"/>
          <w:color w:val="111111"/>
          <w:sz w:val="28"/>
          <w:szCs w:val="28"/>
          <w:lang w:val="en-US"/>
        </w:rPr>
        <w:t>Zabur 200</w:t>
      </w:r>
    </w:p>
    <w:p>
      <w:pPr>
        <w:pStyle w:val="BookText"/>
        <w:bidi w:val="0"/>
        <w:jc w:val="both"/>
        <w:rPr/>
      </w:pPr>
      <w:r>
        <w:rPr>
          <w:rFonts w:eastAsia="Times New Roman" w:cs="Times New Roman" w:ascii="Times New Roman" w:hAnsi="Times New Roman"/>
          <w:color w:val="111111"/>
          <w:sz w:val="28"/>
          <w:szCs w:val="28"/>
          <w:lang w:val="en-US"/>
        </w:rPr>
        <w:t>Za’id 58, 62, 65, 108</w:t>
      </w:r>
    </w:p>
    <w:p>
      <w:pPr>
        <w:pStyle w:val="BookText"/>
        <w:bidi w:val="0"/>
        <w:jc w:val="both"/>
        <w:rPr/>
      </w:pPr>
      <w:r>
        <w:rPr>
          <w:rFonts w:eastAsia="Times New Roman" w:cs="Times New Roman" w:ascii="Times New Roman" w:hAnsi="Times New Roman"/>
          <w:color w:val="111111"/>
          <w:sz w:val="28"/>
          <w:szCs w:val="28"/>
          <w:lang w:val="en-US"/>
        </w:rPr>
        <w:t>Zaydites 119, 188</w:t>
      </w:r>
    </w:p>
    <w:p>
      <w:pPr>
        <w:pStyle w:val="BookText"/>
        <w:bidi w:val="0"/>
        <w:jc w:val="both"/>
        <w:rPr/>
      </w:pPr>
      <w:r>
        <w:rPr>
          <w:rFonts w:eastAsia="Times New Roman" w:cs="Times New Roman" w:ascii="Times New Roman" w:hAnsi="Times New Roman"/>
          <w:color w:val="111111"/>
          <w:sz w:val="28"/>
          <w:szCs w:val="28"/>
          <w:lang w:val="en-US"/>
        </w:rPr>
        <w:t>Zihar 184</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Zuhd 201 </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image" Target="media/image2.jpeg"/><Relationship Id="rId129" Type="http://schemas.openxmlformats.org/officeDocument/2006/relationships/image" Target="media/image2.jpeg"/><Relationship Id="rId130" Type="http://schemas.openxmlformats.org/officeDocument/2006/relationships/footer" Target="footer123.xml"/><Relationship Id="rId131" Type="http://schemas.openxmlformats.org/officeDocument/2006/relationships/numbering" Target="numbering.xml"/><Relationship Id="rId132" Type="http://schemas.openxmlformats.org/officeDocument/2006/relationships/fontTable" Target="fontTable.xml"/><Relationship Id="rId133" Type="http://schemas.openxmlformats.org/officeDocument/2006/relationships/settings" Target="settings.xml"/><Relationship Id="rId1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134</Pages>
  <Words>41284</Words>
  <Characters>189089</Characters>
  <CharactersWithSpaces>229310</CharactersWithSpaces>
  <Paragraphs>1256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2026-08-25T20:10:19Z</dcterms:created>
  <dc:creator>ghaemiyeh.com</dc:creator>
  <dc:description/>
  <dc:language>en-US</dc:language>
  <cp:lastModifiedBy/>
  <dcterms:modified xsi:type="dcterms:W3CDTF">2026-08-25T23:40:23Z</dcterms:modified>
  <cp:revision>1</cp:revision>
  <dc:subject/>
  <dc:title>al-bAbu l-hAdI ASHAR</dc:title>
</cp:coreProperties>
</file>

<file path=docProps/custom.xml><?xml version="1.0" encoding="utf-8"?>
<Properties xmlns="http://schemas.openxmlformats.org/officeDocument/2006/custom-properties" xmlns:vt="http://schemas.openxmlformats.org/officeDocument/2006/docPropsVTypes"/>
</file>