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تبصرة الفقهاء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87037_2142443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4587039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4587041_2142443653">
            <w:r>
              <w:rPr>
                <w:webHidden/>
                <w:rStyle w:val="IndexLink"/>
                <w:rtl w:val="true"/>
              </w:rPr>
              <w:t>كتاب الزكاة</w:t>
            </w:r>
            <w:r>
              <w:rPr>
                <w:rStyle w:val="IndexLink"/>
                <w:rtl w:val="true"/>
              </w:rPr>
              <w:tab/>
            </w:r>
            <w:r>
              <w:rPr>
                <w:rStyle w:val="IndexLink"/>
              </w:rPr>
              <w:t>9</w:t>
            </w:r>
          </w:hyperlink>
        </w:p>
        <w:p>
          <w:pPr>
            <w:pStyle w:val="Contents3"/>
            <w:tabs>
              <w:tab w:val="clear" w:pos="8459"/>
              <w:tab w:val="right" w:pos="9026" w:leader="dot"/>
            </w:tabs>
            <w:rPr/>
          </w:pPr>
          <w:hyperlink w:anchor="__RefHeading___Toc14587043_2142443653">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4587045_2142443653">
            <w:r>
              <w:rPr>
                <w:webHidden/>
                <w:rStyle w:val="IndexLink"/>
                <w:rtl w:val="true"/>
              </w:rPr>
              <w:t>تبصرة</w:t>
            </w:r>
            <w:r>
              <w:rPr>
                <w:rStyle w:val="IndexLink"/>
                <w:rtl w:val="true"/>
              </w:rPr>
              <w:t xml:space="preserve">: [ </w:t>
            </w:r>
            <w:r>
              <w:rPr>
                <w:rStyle w:val="IndexLink"/>
                <w:rtl w:val="true"/>
              </w:rPr>
              <w:t xml:space="preserve">في شرائط وجوب الزكاة </w:t>
            </w:r>
            <w:r>
              <w:rPr>
                <w:rStyle w:val="IndexLink"/>
                <w:rtl w:val="true"/>
              </w:rPr>
              <w:t>]</w:t>
              <w:tab/>
            </w:r>
            <w:r>
              <w:rPr>
                <w:rStyle w:val="IndexLink"/>
              </w:rPr>
              <w:t>11</w:t>
            </w:r>
          </w:hyperlink>
        </w:p>
        <w:p>
          <w:pPr>
            <w:pStyle w:val="Contents4"/>
            <w:tabs>
              <w:tab w:val="clear" w:pos="8176"/>
              <w:tab w:val="right" w:pos="9026" w:leader="dot"/>
            </w:tabs>
            <w:rPr/>
          </w:pPr>
          <w:hyperlink w:anchor="__RefHeading___Toc14587047_2142443653">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14587049_2142443653">
            <w:r>
              <w:rPr>
                <w:webHidden/>
                <w:rStyle w:val="IndexLink"/>
                <w:rtl w:val="true"/>
              </w:rPr>
              <w:t xml:space="preserve">[ </w:t>
            </w:r>
            <w:r>
              <w:rPr>
                <w:rStyle w:val="IndexLink"/>
                <w:rtl w:val="true"/>
              </w:rPr>
              <w:t xml:space="preserve">تتميم </w:t>
            </w:r>
            <w:r>
              <w:rPr>
                <w:rStyle w:val="IndexLink"/>
                <w:rtl w:val="true"/>
              </w:rPr>
              <w:t>]</w:t>
              <w:tab/>
            </w:r>
            <w:r>
              <w:rPr>
                <w:rStyle w:val="IndexLink"/>
              </w:rPr>
              <w:t>18</w:t>
            </w:r>
          </w:hyperlink>
        </w:p>
        <w:p>
          <w:pPr>
            <w:pStyle w:val="Contents4"/>
            <w:tabs>
              <w:tab w:val="clear" w:pos="8176"/>
              <w:tab w:val="right" w:pos="9026" w:leader="dot"/>
            </w:tabs>
            <w:rPr/>
          </w:pPr>
          <w:hyperlink w:anchor="__RefHeading___Toc14587051_2142443653">
            <w:r>
              <w:rPr>
                <w:webHidden/>
                <w:rStyle w:val="IndexLink"/>
                <w:rtl w:val="true"/>
              </w:rPr>
              <w:t>[</w:t>
            </w:r>
            <w:r>
              <w:rPr>
                <w:rStyle w:val="IndexLink"/>
                <w:rtl w:val="true"/>
              </w:rPr>
              <w:t>تنبيهات</w:t>
            </w:r>
            <w:r>
              <w:rPr>
                <w:rStyle w:val="IndexLink"/>
                <w:rtl w:val="true"/>
              </w:rPr>
              <w:t>]</w:t>
              <w:tab/>
            </w:r>
            <w:r>
              <w:rPr>
                <w:rStyle w:val="IndexLink"/>
              </w:rPr>
              <w:t>33</w:t>
            </w:r>
          </w:hyperlink>
        </w:p>
        <w:p>
          <w:pPr>
            <w:pStyle w:val="Contents4"/>
            <w:tabs>
              <w:tab w:val="clear" w:pos="8176"/>
              <w:tab w:val="right" w:pos="9026" w:leader="dot"/>
            </w:tabs>
            <w:rPr/>
          </w:pPr>
          <w:hyperlink w:anchor="__RefHeading___Toc14587053_2142443653">
            <w:r>
              <w:rPr>
                <w:webHidden/>
                <w:rStyle w:val="IndexLink"/>
                <w:rtl w:val="true"/>
              </w:rPr>
              <w:t>تبصرة</w:t>
            </w:r>
            <w:r>
              <w:rPr>
                <w:rStyle w:val="IndexLink"/>
                <w:rtl w:val="true"/>
              </w:rPr>
              <w:t xml:space="preserve">: [ </w:t>
            </w:r>
            <w:r>
              <w:rPr>
                <w:rStyle w:val="IndexLink"/>
                <w:rtl w:val="true"/>
              </w:rPr>
              <w:t xml:space="preserve">في اشتراط الحرية </w:t>
            </w:r>
            <w:r>
              <w:rPr>
                <w:rStyle w:val="IndexLink"/>
                <w:rtl w:val="true"/>
              </w:rPr>
              <w:t>]</w:t>
              <w:tab/>
            </w:r>
            <w:r>
              <w:rPr>
                <w:rStyle w:val="IndexLink"/>
              </w:rPr>
              <w:t>46</w:t>
            </w:r>
          </w:hyperlink>
        </w:p>
        <w:p>
          <w:pPr>
            <w:pStyle w:val="Contents5"/>
            <w:tabs>
              <w:tab w:val="clear" w:pos="7892"/>
              <w:tab w:val="right" w:pos="9026" w:leader="dot"/>
            </w:tabs>
            <w:rPr/>
          </w:pPr>
          <w:hyperlink w:anchor="__RefHeading___Toc14587055_2142443653">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14587057_2142443653">
            <w:r>
              <w:rPr>
                <w:webHidden/>
                <w:rStyle w:val="IndexLink"/>
                <w:rtl w:val="true"/>
              </w:rPr>
              <w:t xml:space="preserve">[ </w:t>
            </w:r>
            <w:r>
              <w:rPr>
                <w:rStyle w:val="IndexLink"/>
                <w:rtl w:val="true"/>
              </w:rPr>
              <w:t xml:space="preserve">تنبيهات </w:t>
            </w:r>
            <w:r>
              <w:rPr>
                <w:rStyle w:val="IndexLink"/>
                <w:rtl w:val="true"/>
              </w:rPr>
              <w:t>]</w:t>
              <w:tab/>
            </w:r>
            <w:r>
              <w:rPr>
                <w:rStyle w:val="IndexLink"/>
              </w:rPr>
              <w:t>50</w:t>
            </w:r>
          </w:hyperlink>
        </w:p>
        <w:p>
          <w:pPr>
            <w:pStyle w:val="Contents4"/>
            <w:tabs>
              <w:tab w:val="clear" w:pos="8176"/>
              <w:tab w:val="right" w:pos="9026" w:leader="dot"/>
            </w:tabs>
            <w:rPr/>
          </w:pPr>
          <w:hyperlink w:anchor="__RefHeading___Toc14587059_2142443653">
            <w:r>
              <w:rPr>
                <w:webHidden/>
                <w:rStyle w:val="IndexLink"/>
                <w:rtl w:val="true"/>
              </w:rPr>
              <w:t>تبصرة</w:t>
            </w:r>
            <w:r>
              <w:rPr>
                <w:rStyle w:val="IndexLink"/>
                <w:rtl w:val="true"/>
              </w:rPr>
              <w:t xml:space="preserve">: [ </w:t>
            </w:r>
            <w:r>
              <w:rPr>
                <w:rStyle w:val="IndexLink"/>
                <w:rtl w:val="true"/>
              </w:rPr>
              <w:t xml:space="preserve">في اشتراط التملك </w:t>
            </w:r>
            <w:r>
              <w:rPr>
                <w:rStyle w:val="IndexLink"/>
                <w:rtl w:val="true"/>
              </w:rPr>
              <w:t>]</w:t>
              <w:tab/>
            </w:r>
            <w:r>
              <w:rPr>
                <w:rStyle w:val="IndexLink"/>
              </w:rPr>
              <w:t>55</w:t>
            </w:r>
          </w:hyperlink>
        </w:p>
        <w:p>
          <w:pPr>
            <w:pStyle w:val="Contents4"/>
            <w:tabs>
              <w:tab w:val="clear" w:pos="8176"/>
              <w:tab w:val="right" w:pos="9026" w:leader="dot"/>
            </w:tabs>
            <w:rPr/>
          </w:pPr>
          <w:hyperlink w:anchor="__RefHeading___Toc14587061_2142443653">
            <w:r>
              <w:rPr>
                <w:webHidden/>
                <w:rStyle w:val="IndexLink"/>
                <w:rtl w:val="true"/>
              </w:rPr>
              <w:t>تبصرة</w:t>
            </w:r>
            <w:r>
              <w:rPr>
                <w:rStyle w:val="IndexLink"/>
                <w:rtl w:val="true"/>
              </w:rPr>
              <w:t xml:space="preserve">: [ </w:t>
            </w:r>
            <w:r>
              <w:rPr>
                <w:rStyle w:val="IndexLink"/>
                <w:rtl w:val="true"/>
              </w:rPr>
              <w:t xml:space="preserve">في اشتراط التمكّن </w:t>
            </w:r>
            <w:r>
              <w:rPr>
                <w:rStyle w:val="IndexLink"/>
                <w:rtl w:val="true"/>
              </w:rPr>
              <w:t>]</w:t>
              <w:tab/>
            </w:r>
            <w:r>
              <w:rPr>
                <w:rStyle w:val="IndexLink"/>
              </w:rPr>
              <w:t>62</w:t>
            </w:r>
          </w:hyperlink>
        </w:p>
        <w:p>
          <w:pPr>
            <w:pStyle w:val="Contents5"/>
            <w:tabs>
              <w:tab w:val="clear" w:pos="7892"/>
              <w:tab w:val="right" w:pos="9026" w:leader="dot"/>
            </w:tabs>
            <w:rPr/>
          </w:pPr>
          <w:hyperlink w:anchor="__RefHeading___Toc14587063_2142443653">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14587065_2142443653">
            <w:r>
              <w:rPr>
                <w:webHidden/>
                <w:rStyle w:val="IndexLink"/>
                <w:rtl w:val="true"/>
              </w:rPr>
              <w:t xml:space="preserve">[ </w:t>
            </w:r>
            <w:r>
              <w:rPr>
                <w:rStyle w:val="IndexLink"/>
                <w:rtl w:val="true"/>
              </w:rPr>
              <w:t xml:space="preserve">مسائل </w:t>
            </w:r>
            <w:r>
              <w:rPr>
                <w:rStyle w:val="IndexLink"/>
                <w:rtl w:val="true"/>
              </w:rPr>
              <w:t>]</w:t>
              <w:tab/>
            </w:r>
            <w:r>
              <w:rPr>
                <w:rStyle w:val="IndexLink"/>
              </w:rPr>
              <w:t>66</w:t>
            </w:r>
          </w:hyperlink>
        </w:p>
        <w:p>
          <w:pPr>
            <w:pStyle w:val="Contents5"/>
            <w:tabs>
              <w:tab w:val="clear" w:pos="7892"/>
              <w:tab w:val="right" w:pos="9026" w:leader="dot"/>
            </w:tabs>
            <w:rPr/>
          </w:pPr>
          <w:hyperlink w:anchor="__RefHeading___Toc14587067_2142443653">
            <w:r>
              <w:rPr>
                <w:webHidden/>
                <w:rStyle w:val="IndexLink"/>
                <w:rtl w:val="true"/>
              </w:rPr>
              <w:t xml:space="preserve">[ </w:t>
            </w:r>
            <w:r>
              <w:rPr>
                <w:rStyle w:val="IndexLink"/>
                <w:rtl w:val="true"/>
              </w:rPr>
              <w:t xml:space="preserve">تنبيهات </w:t>
            </w:r>
            <w:r>
              <w:rPr>
                <w:rStyle w:val="IndexLink"/>
                <w:rtl w:val="true"/>
              </w:rPr>
              <w:t>]</w:t>
              <w:tab/>
            </w:r>
            <w:r>
              <w:rPr>
                <w:rStyle w:val="IndexLink"/>
              </w:rPr>
              <w:t>74</w:t>
            </w:r>
          </w:hyperlink>
        </w:p>
        <w:p>
          <w:pPr>
            <w:pStyle w:val="Contents4"/>
            <w:tabs>
              <w:tab w:val="clear" w:pos="8176"/>
              <w:tab w:val="right" w:pos="9026" w:leader="dot"/>
            </w:tabs>
            <w:rPr/>
          </w:pPr>
          <w:hyperlink w:anchor="__RefHeading___Toc14587069_2142443653">
            <w:r>
              <w:rPr>
                <w:webHidden/>
                <w:rStyle w:val="IndexLink"/>
                <w:rtl w:val="true"/>
              </w:rPr>
              <w:t>تبصرة</w:t>
            </w:r>
            <w:r>
              <w:rPr>
                <w:rStyle w:val="IndexLink"/>
                <w:rtl w:val="true"/>
              </w:rPr>
              <w:t xml:space="preserve">: [ </w:t>
            </w:r>
            <w:r>
              <w:rPr>
                <w:rStyle w:val="IndexLink"/>
                <w:rtl w:val="true"/>
              </w:rPr>
              <w:t xml:space="preserve">فيما إذا كان النصاب في موضع الحظر </w:t>
            </w:r>
            <w:r>
              <w:rPr>
                <w:rStyle w:val="IndexLink"/>
                <w:rtl w:val="true"/>
              </w:rPr>
              <w:t>]</w:t>
              <w:tab/>
            </w:r>
            <w:r>
              <w:rPr>
                <w:rStyle w:val="IndexLink"/>
              </w:rPr>
              <w:t>80</w:t>
            </w:r>
          </w:hyperlink>
        </w:p>
        <w:p>
          <w:pPr>
            <w:pStyle w:val="Contents5"/>
            <w:tabs>
              <w:tab w:val="clear" w:pos="7892"/>
              <w:tab w:val="right" w:pos="9026" w:leader="dot"/>
            </w:tabs>
            <w:rPr/>
          </w:pPr>
          <w:hyperlink w:anchor="__RefHeading___Toc14587071_2142443653">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14587073_2142443653">
            <w:r>
              <w:rPr>
                <w:webHidden/>
                <w:rStyle w:val="IndexLink"/>
                <w:rtl w:val="true"/>
              </w:rPr>
              <w:t xml:space="preserve">[ </w:t>
            </w:r>
            <w:r>
              <w:rPr>
                <w:rStyle w:val="IndexLink"/>
                <w:rtl w:val="true"/>
              </w:rPr>
              <w:t xml:space="preserve">فروع </w:t>
            </w:r>
            <w:r>
              <w:rPr>
                <w:rStyle w:val="IndexLink"/>
                <w:rtl w:val="true"/>
              </w:rPr>
              <w:t>]</w:t>
              <w:tab/>
            </w:r>
            <w:r>
              <w:rPr>
                <w:rStyle w:val="IndexLink"/>
              </w:rPr>
              <w:t>85</w:t>
            </w:r>
          </w:hyperlink>
        </w:p>
        <w:p>
          <w:pPr>
            <w:pStyle w:val="Contents4"/>
            <w:tabs>
              <w:tab w:val="clear" w:pos="8176"/>
              <w:tab w:val="right" w:pos="9026" w:leader="dot"/>
            </w:tabs>
            <w:rPr/>
          </w:pPr>
          <w:hyperlink w:anchor="__RefHeading___Toc14587075_2142443653">
            <w:r>
              <w:rPr>
                <w:webHidden/>
                <w:rStyle w:val="IndexLink"/>
                <w:rtl w:val="true"/>
              </w:rPr>
              <w:t>تبصرة</w:t>
            </w:r>
            <w:r>
              <w:rPr>
                <w:rStyle w:val="IndexLink"/>
                <w:rtl w:val="true"/>
              </w:rPr>
              <w:t xml:space="preserve">: [ </w:t>
            </w:r>
            <w:r>
              <w:rPr>
                <w:rStyle w:val="IndexLink"/>
                <w:rtl w:val="true"/>
              </w:rPr>
              <w:t xml:space="preserve">في تعلّق الحق بعين النصاب </w:t>
            </w:r>
            <w:r>
              <w:rPr>
                <w:rStyle w:val="IndexLink"/>
                <w:rtl w:val="true"/>
              </w:rPr>
              <w:t>]</w:t>
              <w:tab/>
            </w:r>
            <w:r>
              <w:rPr>
                <w:rStyle w:val="IndexLink"/>
              </w:rPr>
              <w:t>96</w:t>
            </w:r>
          </w:hyperlink>
        </w:p>
        <w:p>
          <w:pPr>
            <w:pStyle w:val="Contents5"/>
            <w:tabs>
              <w:tab w:val="clear" w:pos="7892"/>
              <w:tab w:val="right" w:pos="9026" w:leader="dot"/>
            </w:tabs>
            <w:rPr/>
          </w:pPr>
          <w:hyperlink w:anchor="__RefHeading___Toc14587077_2142443653">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14587079_2142443653">
            <w:r>
              <w:rPr>
                <w:webHidden/>
                <w:rStyle w:val="IndexLink"/>
                <w:rtl w:val="true"/>
              </w:rPr>
              <w:t>فروع</w:t>
            </w:r>
            <w:r>
              <w:rPr>
                <w:rStyle w:val="IndexLink"/>
                <w:rtl w:val="true"/>
              </w:rPr>
              <w:tab/>
            </w:r>
            <w:r>
              <w:rPr>
                <w:rStyle w:val="IndexLink"/>
              </w:rPr>
              <w:t>98</w:t>
            </w:r>
          </w:hyperlink>
        </w:p>
        <w:p>
          <w:pPr>
            <w:pStyle w:val="Contents5"/>
            <w:tabs>
              <w:tab w:val="clear" w:pos="7892"/>
              <w:tab w:val="right" w:pos="9026" w:leader="dot"/>
            </w:tabs>
            <w:rPr/>
          </w:pPr>
          <w:hyperlink w:anchor="__RefHeading___Toc14587081_2142443653">
            <w:r>
              <w:rPr>
                <w:webHidden/>
                <w:rStyle w:val="IndexLink"/>
                <w:rtl w:val="true"/>
              </w:rPr>
              <w:t xml:space="preserve">[ </w:t>
            </w:r>
            <w:r>
              <w:rPr>
                <w:rStyle w:val="IndexLink"/>
                <w:rtl w:val="true"/>
              </w:rPr>
              <w:t xml:space="preserve">تنبيهات </w:t>
            </w:r>
            <w:r>
              <w:rPr>
                <w:rStyle w:val="IndexLink"/>
                <w:rtl w:val="true"/>
              </w:rPr>
              <w:t>]</w:t>
              <w:tab/>
            </w:r>
            <w:r>
              <w:rPr>
                <w:rStyle w:val="IndexLink"/>
              </w:rPr>
              <w:t>109</w:t>
            </w:r>
          </w:hyperlink>
        </w:p>
        <w:p>
          <w:pPr>
            <w:pStyle w:val="Contents5"/>
            <w:tabs>
              <w:tab w:val="clear" w:pos="7892"/>
              <w:tab w:val="right" w:pos="9026" w:leader="dot"/>
            </w:tabs>
            <w:rPr/>
          </w:pPr>
          <w:hyperlink w:anchor="__RefHeading___Toc14587083_2142443653">
            <w:r>
              <w:rPr>
                <w:webHidden/>
                <w:rStyle w:val="IndexLink"/>
                <w:rtl w:val="true"/>
              </w:rPr>
              <w:t xml:space="preserve">[ </w:t>
            </w:r>
            <w:r>
              <w:rPr>
                <w:rStyle w:val="IndexLink"/>
                <w:rtl w:val="true"/>
              </w:rPr>
              <w:t xml:space="preserve">تتمّة </w:t>
            </w:r>
            <w:r>
              <w:rPr>
                <w:rStyle w:val="IndexLink"/>
                <w:rtl w:val="true"/>
              </w:rPr>
              <w:t>]</w:t>
              <w:tab/>
            </w:r>
            <w:r>
              <w:rPr>
                <w:rStyle w:val="IndexLink"/>
              </w:rPr>
              <w:t>117</w:t>
            </w:r>
          </w:hyperlink>
        </w:p>
        <w:p>
          <w:pPr>
            <w:pStyle w:val="Contents3"/>
            <w:tabs>
              <w:tab w:val="clear" w:pos="8459"/>
              <w:tab w:val="right" w:pos="9026" w:leader="dot"/>
            </w:tabs>
            <w:rPr/>
          </w:pPr>
          <w:hyperlink w:anchor="__RefHeading___Toc14587085_2142443653">
            <w:r>
              <w:rPr>
                <w:webHidden/>
                <w:rStyle w:val="IndexLink"/>
                <w:rtl w:val="true"/>
              </w:rPr>
              <w:t>الباب الثاني</w:t>
            </w:r>
            <w:r>
              <w:rPr>
                <w:rStyle w:val="IndexLink"/>
                <w:rtl w:val="true"/>
              </w:rPr>
              <w:t xml:space="preserve">: </w:t>
            </w:r>
            <w:r>
              <w:rPr>
                <w:rStyle w:val="IndexLink"/>
                <w:rtl w:val="true"/>
              </w:rPr>
              <w:t>في بيان ما يجب الزكاة فيه وما يستحب الشرائط المعتبرة في ثبوت الزكاة في كلّ منها وما يلحق بذلك من الأحكام</w:t>
            </w:r>
            <w:r>
              <w:rPr>
                <w:rStyle w:val="IndexLink"/>
                <w:rtl w:val="true"/>
              </w:rPr>
              <w:tab/>
            </w:r>
            <w:r>
              <w:rPr>
                <w:rStyle w:val="IndexLink"/>
              </w:rPr>
              <w:t>121</w:t>
            </w:r>
          </w:hyperlink>
        </w:p>
        <w:p>
          <w:pPr>
            <w:pStyle w:val="Contents4"/>
            <w:tabs>
              <w:tab w:val="clear" w:pos="8176"/>
              <w:tab w:val="right" w:pos="9026" w:leader="dot"/>
            </w:tabs>
            <w:rPr/>
          </w:pPr>
          <w:hyperlink w:anchor="__RefHeading___Toc14587087_2142443653">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14587089_2142443653">
            <w:r>
              <w:rPr>
                <w:webHidden/>
                <w:rStyle w:val="IndexLink"/>
                <w:rtl w:val="true"/>
              </w:rPr>
              <w:t>تبصرة</w:t>
            </w:r>
            <w:r>
              <w:rPr>
                <w:rStyle w:val="IndexLink"/>
                <w:rtl w:val="true"/>
              </w:rPr>
              <w:t xml:space="preserve">: [ </w:t>
            </w:r>
            <w:r>
              <w:rPr>
                <w:rStyle w:val="IndexLink"/>
                <w:rtl w:val="true"/>
              </w:rPr>
              <w:t xml:space="preserve">في بيان ما يجب الزكاة فيه </w:t>
            </w:r>
            <w:r>
              <w:rPr>
                <w:rStyle w:val="IndexLink"/>
                <w:rtl w:val="true"/>
              </w:rPr>
              <w:t>]</w:t>
              <w:tab/>
            </w:r>
            <w:r>
              <w:rPr>
                <w:rStyle w:val="IndexLink"/>
              </w:rPr>
              <w:t>121</w:t>
            </w:r>
          </w:hyperlink>
        </w:p>
        <w:p>
          <w:pPr>
            <w:pStyle w:val="Contents4"/>
            <w:tabs>
              <w:tab w:val="clear" w:pos="8176"/>
              <w:tab w:val="right" w:pos="9026" w:leader="dot"/>
            </w:tabs>
            <w:rPr/>
          </w:pPr>
          <w:hyperlink w:anchor="__RefHeading___Toc14587091_2142443653">
            <w:r>
              <w:rPr>
                <w:webHidden/>
                <w:rStyle w:val="IndexLink"/>
                <w:rtl w:val="true"/>
              </w:rPr>
              <w:t>الفصل الأوّل</w:t>
            </w:r>
            <w:r>
              <w:rPr>
                <w:rStyle w:val="IndexLink"/>
                <w:rtl w:val="true"/>
              </w:rPr>
              <w:t xml:space="preserve">: </w:t>
            </w:r>
            <w:r>
              <w:rPr>
                <w:rStyle w:val="IndexLink"/>
                <w:rtl w:val="true"/>
              </w:rPr>
              <w:t>في زكاة الأنعام</w:t>
            </w:r>
            <w:r>
              <w:rPr>
                <w:rStyle w:val="IndexLink"/>
                <w:rtl w:val="true"/>
              </w:rPr>
              <w:tab/>
            </w:r>
            <w:r>
              <w:rPr>
                <w:rStyle w:val="IndexLink"/>
              </w:rPr>
              <w:t>131</w:t>
            </w:r>
          </w:hyperlink>
        </w:p>
        <w:p>
          <w:pPr>
            <w:pStyle w:val="Contents5"/>
            <w:tabs>
              <w:tab w:val="clear" w:pos="7892"/>
              <w:tab w:val="right" w:pos="9026" w:leader="dot"/>
            </w:tabs>
            <w:rPr/>
          </w:pPr>
          <w:hyperlink w:anchor="__RefHeading___Toc14587093_2142443653">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14587095_2142443653">
            <w:r>
              <w:rPr>
                <w:webHidden/>
                <w:rStyle w:val="IndexLink"/>
                <w:rtl w:val="true"/>
              </w:rPr>
              <w:t>البحث الأوّل</w:t>
            </w:r>
            <w:r>
              <w:rPr>
                <w:rStyle w:val="IndexLink"/>
                <w:rtl w:val="true"/>
              </w:rPr>
              <w:t xml:space="preserve">: </w:t>
            </w:r>
            <w:r>
              <w:rPr>
                <w:rStyle w:val="IndexLink"/>
                <w:rtl w:val="true"/>
              </w:rPr>
              <w:t>في بيان شروط وجوب الزكاة فيها</w:t>
            </w:r>
            <w:r>
              <w:rPr>
                <w:rStyle w:val="IndexLink"/>
                <w:rtl w:val="true"/>
              </w:rPr>
              <w:tab/>
            </w:r>
            <w:r>
              <w:rPr>
                <w:rStyle w:val="IndexLink"/>
              </w:rPr>
              <w:t>131</w:t>
            </w:r>
          </w:hyperlink>
        </w:p>
        <w:p>
          <w:pPr>
            <w:pStyle w:val="Contents6"/>
            <w:tabs>
              <w:tab w:val="clear" w:pos="7609"/>
              <w:tab w:val="right" w:pos="9026" w:leader="dot"/>
            </w:tabs>
            <w:rPr/>
          </w:pPr>
          <w:hyperlink w:anchor="__RefHeading___Toc14587097_2142443653">
            <w:r>
              <w:rPr>
                <w:webHidden/>
                <w:rStyle w:val="IndexLink"/>
                <w:rtl w:val="true"/>
              </w:rPr>
              <w:t>تبصرة</w:t>
            </w:r>
            <w:r>
              <w:rPr>
                <w:rStyle w:val="IndexLink"/>
                <w:rtl w:val="true"/>
              </w:rPr>
              <w:t xml:space="preserve">: [ </w:t>
            </w:r>
            <w:r>
              <w:rPr>
                <w:rStyle w:val="IndexLink"/>
                <w:rtl w:val="true"/>
              </w:rPr>
              <w:t xml:space="preserve">في اشتراط النصاب </w:t>
            </w:r>
            <w:r>
              <w:rPr>
                <w:rStyle w:val="IndexLink"/>
                <w:rtl w:val="true"/>
              </w:rPr>
              <w:t>]</w:t>
              <w:tab/>
            </w:r>
            <w:r>
              <w:rPr>
                <w:rStyle w:val="IndexLink"/>
              </w:rPr>
              <w:t>131</w:t>
            </w:r>
          </w:hyperlink>
        </w:p>
        <w:p>
          <w:pPr>
            <w:pStyle w:val="Contents6"/>
            <w:tabs>
              <w:tab w:val="clear" w:pos="7609"/>
              <w:tab w:val="right" w:pos="9026" w:leader="dot"/>
            </w:tabs>
            <w:rPr/>
          </w:pPr>
          <w:hyperlink w:anchor="__RefHeading___Toc14587099_2142443653">
            <w:r>
              <w:rPr>
                <w:webHidden/>
                <w:rStyle w:val="IndexLink"/>
                <w:rtl w:val="true"/>
              </w:rPr>
              <w:t>تبصرة</w:t>
            </w:r>
            <w:r>
              <w:rPr>
                <w:rStyle w:val="IndexLink"/>
                <w:rtl w:val="true"/>
              </w:rPr>
              <w:t xml:space="preserve">: [ </w:t>
            </w:r>
            <w:r>
              <w:rPr>
                <w:rStyle w:val="IndexLink"/>
                <w:rtl w:val="true"/>
              </w:rPr>
              <w:t xml:space="preserve">في نصاب البقر </w:t>
            </w:r>
            <w:r>
              <w:rPr>
                <w:rStyle w:val="IndexLink"/>
                <w:rtl w:val="true"/>
              </w:rPr>
              <w:t>]</w:t>
              <w:tab/>
            </w:r>
            <w:r>
              <w:rPr>
                <w:rStyle w:val="IndexLink"/>
              </w:rPr>
              <w:t>148</w:t>
            </w:r>
          </w:hyperlink>
        </w:p>
        <w:p>
          <w:pPr>
            <w:pStyle w:val="Contents6"/>
            <w:tabs>
              <w:tab w:val="clear" w:pos="7609"/>
              <w:tab w:val="right" w:pos="9026" w:leader="dot"/>
            </w:tabs>
            <w:rPr/>
          </w:pPr>
          <w:hyperlink w:anchor="__RefHeading___Toc14587101_2142443653">
            <w:r>
              <w:rPr>
                <w:webHidden/>
                <w:rStyle w:val="IndexLink"/>
                <w:rtl w:val="true"/>
              </w:rPr>
              <w:t>تبصرة</w:t>
            </w:r>
            <w:r>
              <w:rPr>
                <w:rStyle w:val="IndexLink"/>
                <w:rtl w:val="true"/>
              </w:rPr>
              <w:t xml:space="preserve">: [ </w:t>
            </w:r>
            <w:r>
              <w:rPr>
                <w:rStyle w:val="IndexLink"/>
                <w:rtl w:val="true"/>
              </w:rPr>
              <w:t xml:space="preserve">في نصاب الغنم </w:t>
            </w:r>
            <w:r>
              <w:rPr>
                <w:rStyle w:val="IndexLink"/>
                <w:rtl w:val="true"/>
              </w:rPr>
              <w:t>]</w:t>
              <w:tab/>
            </w:r>
            <w:r>
              <w:rPr>
                <w:rStyle w:val="IndexLink"/>
              </w:rPr>
              <w:t>152</w:t>
            </w:r>
          </w:hyperlink>
        </w:p>
        <w:p>
          <w:pPr>
            <w:pStyle w:val="Contents6"/>
            <w:tabs>
              <w:tab w:val="clear" w:pos="7609"/>
              <w:tab w:val="right" w:pos="9026" w:leader="dot"/>
            </w:tabs>
            <w:rPr/>
          </w:pPr>
          <w:hyperlink w:anchor="__RefHeading___Toc14587103_2142443653">
            <w:r>
              <w:rPr>
                <w:webHidden/>
                <w:rStyle w:val="IndexLink"/>
                <w:rtl w:val="true"/>
              </w:rPr>
              <w:t>تبصرة</w:t>
            </w:r>
            <w:r>
              <w:rPr>
                <w:rStyle w:val="IndexLink"/>
                <w:rtl w:val="true"/>
              </w:rPr>
              <w:t xml:space="preserve">: [ </w:t>
            </w:r>
            <w:r>
              <w:rPr>
                <w:rStyle w:val="IndexLink"/>
                <w:rtl w:val="true"/>
              </w:rPr>
              <w:t xml:space="preserve">في نصاب الغنم </w:t>
            </w:r>
            <w:r>
              <w:rPr>
                <w:rStyle w:val="IndexLink"/>
                <w:rtl w:val="true"/>
              </w:rPr>
              <w:t>]</w:t>
              <w:tab/>
            </w:r>
            <w:r>
              <w:rPr>
                <w:rStyle w:val="IndexLink"/>
              </w:rPr>
              <w:t>163</w:t>
            </w:r>
          </w:hyperlink>
        </w:p>
        <w:p>
          <w:pPr>
            <w:pStyle w:val="Contents6"/>
            <w:tabs>
              <w:tab w:val="clear" w:pos="7609"/>
              <w:tab w:val="right" w:pos="9026" w:leader="dot"/>
            </w:tabs>
            <w:rPr/>
          </w:pPr>
          <w:hyperlink w:anchor="__RefHeading___Toc14587105_2142443653">
            <w:r>
              <w:rPr>
                <w:webHidden/>
                <w:rStyle w:val="IndexLink"/>
                <w:rtl w:val="true"/>
              </w:rPr>
              <w:t>تبصرة</w:t>
            </w:r>
            <w:r>
              <w:rPr>
                <w:rStyle w:val="IndexLink"/>
                <w:rtl w:val="true"/>
              </w:rPr>
              <w:t xml:space="preserve">: [ </w:t>
            </w:r>
            <w:r>
              <w:rPr>
                <w:rStyle w:val="IndexLink"/>
                <w:rtl w:val="true"/>
              </w:rPr>
              <w:t xml:space="preserve">في اشتراط السوم </w:t>
            </w:r>
            <w:r>
              <w:rPr>
                <w:rStyle w:val="IndexLink"/>
                <w:rtl w:val="true"/>
              </w:rPr>
              <w:t>]</w:t>
              <w:tab/>
            </w:r>
            <w:r>
              <w:rPr>
                <w:rStyle w:val="IndexLink"/>
              </w:rPr>
              <w:t>169</w:t>
            </w:r>
          </w:hyperlink>
        </w:p>
        <w:p>
          <w:pPr>
            <w:pStyle w:val="Contents6"/>
            <w:tabs>
              <w:tab w:val="clear" w:pos="7609"/>
              <w:tab w:val="right" w:pos="9026" w:leader="dot"/>
            </w:tabs>
            <w:rPr/>
          </w:pPr>
          <w:hyperlink w:anchor="__RefHeading___Toc14587107_2142443653">
            <w:r>
              <w:rPr>
                <w:webHidden/>
                <w:rStyle w:val="IndexLink"/>
                <w:rtl w:val="true"/>
              </w:rPr>
              <w:t>تبصرة</w:t>
            </w:r>
            <w:r>
              <w:rPr>
                <w:rStyle w:val="IndexLink"/>
                <w:rtl w:val="true"/>
              </w:rPr>
              <w:t xml:space="preserve">: [ </w:t>
            </w:r>
            <w:r>
              <w:rPr>
                <w:rStyle w:val="IndexLink"/>
                <w:rtl w:val="true"/>
              </w:rPr>
              <w:t xml:space="preserve">في اشتراط الحول </w:t>
            </w:r>
            <w:r>
              <w:rPr>
                <w:rStyle w:val="IndexLink"/>
                <w:rtl w:val="true"/>
              </w:rPr>
              <w:t>]</w:t>
              <w:tab/>
            </w:r>
            <w:r>
              <w:rPr>
                <w:rStyle w:val="IndexLink"/>
              </w:rPr>
              <w:t>173</w:t>
            </w:r>
          </w:hyperlink>
        </w:p>
        <w:p>
          <w:pPr>
            <w:pStyle w:val="Contents6"/>
            <w:tabs>
              <w:tab w:val="clear" w:pos="7609"/>
              <w:tab w:val="right" w:pos="9026" w:leader="dot"/>
            </w:tabs>
            <w:rPr/>
          </w:pPr>
          <w:hyperlink w:anchor="__RefHeading___Toc14587109_2142443653">
            <w:r>
              <w:rPr>
                <w:webHidden/>
                <w:rStyle w:val="IndexLink"/>
                <w:rtl w:val="true"/>
              </w:rPr>
              <w:t>تبصرة</w:t>
            </w:r>
            <w:r>
              <w:rPr>
                <w:rStyle w:val="IndexLink"/>
                <w:rtl w:val="true"/>
              </w:rPr>
              <w:t xml:space="preserve">: [ </w:t>
            </w:r>
            <w:r>
              <w:rPr>
                <w:rStyle w:val="IndexLink"/>
                <w:rtl w:val="true"/>
              </w:rPr>
              <w:t xml:space="preserve">في اشتراط أن لا تكون الإبل والبقر عوامل </w:t>
            </w:r>
            <w:r>
              <w:rPr>
                <w:rStyle w:val="IndexLink"/>
                <w:rtl w:val="true"/>
              </w:rPr>
              <w:t>]</w:t>
              <w:tab/>
            </w:r>
            <w:r>
              <w:rPr>
                <w:rStyle w:val="IndexLink"/>
              </w:rPr>
              <w:t>181</w:t>
            </w:r>
          </w:hyperlink>
        </w:p>
        <w:p>
          <w:pPr>
            <w:pStyle w:val="Contents5"/>
            <w:tabs>
              <w:tab w:val="clear" w:pos="7892"/>
              <w:tab w:val="right" w:pos="9026" w:leader="dot"/>
            </w:tabs>
            <w:rPr/>
          </w:pPr>
          <w:hyperlink w:anchor="__RefHeading___Toc14587111_2142443653">
            <w:r>
              <w:rPr>
                <w:webHidden/>
                <w:rStyle w:val="IndexLink"/>
                <w:rtl w:val="true"/>
              </w:rPr>
              <w:t>البحث الثاني</w:t>
            </w:r>
            <w:r>
              <w:rPr>
                <w:rStyle w:val="IndexLink"/>
                <w:rtl w:val="true"/>
              </w:rPr>
              <w:t xml:space="preserve">: </w:t>
            </w:r>
            <w:r>
              <w:rPr>
                <w:rStyle w:val="IndexLink"/>
                <w:rtl w:val="true"/>
              </w:rPr>
              <w:t>في اللواحق</w:t>
            </w:r>
            <w:r>
              <w:rPr>
                <w:rStyle w:val="IndexLink"/>
                <w:rtl w:val="true"/>
              </w:rPr>
              <w:tab/>
            </w:r>
            <w:r>
              <w:rPr>
                <w:rStyle w:val="IndexLink"/>
              </w:rPr>
              <w:t>183</w:t>
            </w:r>
          </w:hyperlink>
        </w:p>
        <w:p>
          <w:pPr>
            <w:pStyle w:val="Contents6"/>
            <w:tabs>
              <w:tab w:val="clear" w:pos="7609"/>
              <w:tab w:val="right" w:pos="9026" w:leader="dot"/>
            </w:tabs>
            <w:rPr/>
          </w:pPr>
          <w:hyperlink w:anchor="__RefHeading___Toc14587113_2142443653">
            <w:r>
              <w:rPr>
                <w:webHidden/>
                <w:rStyle w:val="IndexLink"/>
                <w:rtl w:val="true"/>
              </w:rPr>
              <w:t>تبصرة</w:t>
            </w:r>
            <w:r>
              <w:rPr>
                <w:rStyle w:val="IndexLink"/>
                <w:rtl w:val="true"/>
              </w:rPr>
              <w:t xml:space="preserve">: [ </w:t>
            </w:r>
            <w:r>
              <w:rPr>
                <w:rStyle w:val="IndexLink"/>
                <w:rtl w:val="true"/>
              </w:rPr>
              <w:t xml:space="preserve">في مصاديق الغنم </w:t>
            </w:r>
            <w:r>
              <w:rPr>
                <w:rStyle w:val="IndexLink"/>
                <w:rtl w:val="true"/>
              </w:rPr>
              <w:t>]</w:t>
              <w:tab/>
            </w:r>
            <w:r>
              <w:rPr>
                <w:rStyle w:val="IndexLink"/>
              </w:rPr>
              <w:t>183</w:t>
            </w:r>
          </w:hyperlink>
        </w:p>
        <w:p>
          <w:pPr>
            <w:pStyle w:val="Contents6"/>
            <w:tabs>
              <w:tab w:val="clear" w:pos="7609"/>
              <w:tab w:val="right" w:pos="9026" w:leader="dot"/>
            </w:tabs>
            <w:rPr/>
          </w:pPr>
          <w:hyperlink w:anchor="__RefHeading___Toc14587115_2142443653">
            <w:r>
              <w:rPr>
                <w:webHidden/>
                <w:rStyle w:val="IndexLink"/>
                <w:rtl w:val="true"/>
              </w:rPr>
              <w:t>تبصرة</w:t>
            </w:r>
            <w:r>
              <w:rPr>
                <w:rStyle w:val="IndexLink"/>
                <w:rtl w:val="true"/>
              </w:rPr>
              <w:t xml:space="preserve">: [ </w:t>
            </w:r>
            <w:r>
              <w:rPr>
                <w:rStyle w:val="IndexLink"/>
                <w:rtl w:val="true"/>
              </w:rPr>
              <w:t xml:space="preserve">في المريضة والهرمة وذات العوار </w:t>
            </w:r>
            <w:r>
              <w:rPr>
                <w:rStyle w:val="IndexLink"/>
                <w:rtl w:val="true"/>
              </w:rPr>
              <w:t>]</w:t>
              <w:tab/>
            </w:r>
            <w:r>
              <w:rPr>
                <w:rStyle w:val="IndexLink"/>
              </w:rPr>
              <w:t>188</w:t>
            </w:r>
          </w:hyperlink>
        </w:p>
        <w:p>
          <w:pPr>
            <w:pStyle w:val="Contents6"/>
            <w:tabs>
              <w:tab w:val="clear" w:pos="7609"/>
              <w:tab w:val="right" w:pos="9026" w:leader="dot"/>
            </w:tabs>
            <w:rPr/>
          </w:pPr>
          <w:hyperlink w:anchor="__RefHeading___Toc14587117_2142443653">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14587119_2142443653">
            <w:r>
              <w:rPr>
                <w:webHidden/>
                <w:rStyle w:val="IndexLink"/>
                <w:rtl w:val="true"/>
              </w:rPr>
              <w:t xml:space="preserve">[ </w:t>
            </w:r>
            <w:r>
              <w:rPr>
                <w:rStyle w:val="IndexLink"/>
                <w:rtl w:val="true"/>
              </w:rPr>
              <w:t xml:space="preserve">تنبيهات </w:t>
            </w:r>
            <w:r>
              <w:rPr>
                <w:rStyle w:val="IndexLink"/>
                <w:rtl w:val="true"/>
              </w:rPr>
              <w:t>]</w:t>
              <w:tab/>
            </w:r>
            <w:r>
              <w:rPr>
                <w:rStyle w:val="IndexLink"/>
              </w:rPr>
              <w:t>189</w:t>
            </w:r>
          </w:hyperlink>
        </w:p>
        <w:p>
          <w:pPr>
            <w:pStyle w:val="Contents6"/>
            <w:tabs>
              <w:tab w:val="clear" w:pos="7609"/>
              <w:tab w:val="right" w:pos="9026" w:leader="dot"/>
            </w:tabs>
            <w:rPr/>
          </w:pPr>
          <w:hyperlink w:anchor="__RefHeading___Toc14587121_2142443653">
            <w:r>
              <w:rPr>
                <w:webHidden/>
                <w:rStyle w:val="IndexLink"/>
                <w:rtl w:val="true"/>
              </w:rPr>
              <w:t>تبصرة</w:t>
            </w:r>
            <w:r>
              <w:rPr>
                <w:rStyle w:val="IndexLink"/>
                <w:rtl w:val="true"/>
              </w:rPr>
              <w:t xml:space="preserve">: [ </w:t>
            </w:r>
            <w:r>
              <w:rPr>
                <w:rStyle w:val="IndexLink"/>
                <w:rtl w:val="true"/>
              </w:rPr>
              <w:t xml:space="preserve">في الأكولة وفحل الضراب والرّبى </w:t>
            </w:r>
            <w:r>
              <w:rPr>
                <w:rStyle w:val="IndexLink"/>
                <w:rtl w:val="true"/>
              </w:rPr>
              <w:t>]</w:t>
              <w:tab/>
            </w:r>
            <w:r>
              <w:rPr>
                <w:rStyle w:val="IndexLink"/>
              </w:rPr>
              <w:t>192</w:t>
            </w:r>
          </w:hyperlink>
        </w:p>
        <w:p>
          <w:pPr>
            <w:pStyle w:val="Contents6"/>
            <w:tabs>
              <w:tab w:val="clear" w:pos="7609"/>
              <w:tab w:val="right" w:pos="9026" w:leader="dot"/>
            </w:tabs>
            <w:rPr/>
          </w:pPr>
          <w:hyperlink w:anchor="__RefHeading___Toc14587123_2142443653">
            <w:r>
              <w:rPr>
                <w:webHidden/>
                <w:rStyle w:val="IndexLink"/>
                <w:rtl w:val="true"/>
              </w:rPr>
              <w:t>تبصرة</w:t>
            </w:r>
            <w:r>
              <w:rPr>
                <w:rStyle w:val="IndexLink"/>
                <w:rtl w:val="true"/>
              </w:rPr>
              <w:t xml:space="preserve">: [ </w:t>
            </w:r>
            <w:r>
              <w:rPr>
                <w:rStyle w:val="IndexLink"/>
                <w:rtl w:val="true"/>
              </w:rPr>
              <w:t xml:space="preserve">في تعدّد ما هو بصفة الواجب </w:t>
            </w:r>
            <w:r>
              <w:rPr>
                <w:rStyle w:val="IndexLink"/>
                <w:rtl w:val="true"/>
              </w:rPr>
              <w:t>]</w:t>
              <w:tab/>
            </w:r>
            <w:r>
              <w:rPr>
                <w:rStyle w:val="IndexLink"/>
              </w:rPr>
              <w:t>199</w:t>
            </w:r>
          </w:hyperlink>
        </w:p>
        <w:p>
          <w:pPr>
            <w:pStyle w:val="Contents6"/>
            <w:tabs>
              <w:tab w:val="clear" w:pos="7609"/>
              <w:tab w:val="right" w:pos="9026" w:leader="dot"/>
            </w:tabs>
            <w:rPr/>
          </w:pPr>
          <w:hyperlink w:anchor="__RefHeading___Toc14587125_2142443653">
            <w:r>
              <w:rPr>
                <w:webHidden/>
                <w:rStyle w:val="IndexLink"/>
                <w:rtl w:val="true"/>
              </w:rPr>
              <w:t>تبصرة</w:t>
            </w:r>
            <w:r>
              <w:rPr>
                <w:rStyle w:val="IndexLink"/>
                <w:rtl w:val="true"/>
              </w:rPr>
              <w:t xml:space="preserve">: [ </w:t>
            </w:r>
            <w:r>
              <w:rPr>
                <w:rStyle w:val="IndexLink"/>
                <w:rtl w:val="true"/>
              </w:rPr>
              <w:t xml:space="preserve">في زكاة العين المستقرضة </w:t>
            </w:r>
            <w:r>
              <w:rPr>
                <w:rStyle w:val="IndexLink"/>
                <w:rtl w:val="true"/>
              </w:rPr>
              <w:t>]</w:t>
              <w:tab/>
            </w:r>
            <w:r>
              <w:rPr>
                <w:rStyle w:val="IndexLink"/>
              </w:rPr>
              <w:t>200</w:t>
            </w:r>
          </w:hyperlink>
        </w:p>
        <w:p>
          <w:pPr>
            <w:pStyle w:val="Contents6"/>
            <w:tabs>
              <w:tab w:val="clear" w:pos="7609"/>
              <w:tab w:val="right" w:pos="9026" w:leader="dot"/>
            </w:tabs>
            <w:rPr/>
          </w:pPr>
          <w:hyperlink w:anchor="__RefHeading___Toc14587127_2142443653">
            <w:r>
              <w:rPr>
                <w:webHidden/>
                <w:rStyle w:val="IndexLink"/>
                <w:rtl w:val="true"/>
              </w:rPr>
              <w:t>تبصرة</w:t>
            </w:r>
            <w:r>
              <w:rPr>
                <w:rStyle w:val="IndexLink"/>
                <w:rtl w:val="true"/>
              </w:rPr>
              <w:t xml:space="preserve">: [ </w:t>
            </w:r>
            <w:r>
              <w:rPr>
                <w:rStyle w:val="IndexLink"/>
                <w:rtl w:val="true"/>
              </w:rPr>
              <w:t xml:space="preserve">في تعيين أصناف المستحقين </w:t>
            </w:r>
            <w:r>
              <w:rPr>
                <w:rStyle w:val="IndexLink"/>
                <w:rtl w:val="true"/>
              </w:rPr>
              <w:t>]</w:t>
              <w:tab/>
            </w:r>
            <w:r>
              <w:rPr>
                <w:rStyle w:val="IndexLink"/>
              </w:rPr>
              <w:t>207</w:t>
            </w:r>
          </w:hyperlink>
        </w:p>
        <w:p>
          <w:pPr>
            <w:pStyle w:val="Contents6"/>
            <w:tabs>
              <w:tab w:val="clear" w:pos="7609"/>
              <w:tab w:val="right" w:pos="9026" w:leader="dot"/>
            </w:tabs>
            <w:rPr/>
          </w:pPr>
          <w:hyperlink w:anchor="__RefHeading___Toc14587129_2142443653">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14587131_2142443653">
            <w:r>
              <w:rPr>
                <w:webHidden/>
                <w:rStyle w:val="IndexLink"/>
                <w:rtl w:val="true"/>
              </w:rPr>
              <w:t xml:space="preserve">[ </w:t>
            </w:r>
            <w:r>
              <w:rPr>
                <w:rStyle w:val="IndexLink"/>
                <w:rtl w:val="true"/>
              </w:rPr>
              <w:t xml:space="preserve">تنبيهات </w:t>
            </w:r>
            <w:r>
              <w:rPr>
                <w:rStyle w:val="IndexLink"/>
                <w:rtl w:val="true"/>
              </w:rPr>
              <w:t>]</w:t>
              <w:tab/>
            </w:r>
            <w:r>
              <w:rPr>
                <w:rStyle w:val="IndexLink"/>
              </w:rPr>
              <w:t>220</w:t>
            </w:r>
          </w:hyperlink>
        </w:p>
        <w:p>
          <w:pPr>
            <w:pStyle w:val="Contents6"/>
            <w:tabs>
              <w:tab w:val="clear" w:pos="7609"/>
              <w:tab w:val="right" w:pos="9026" w:leader="dot"/>
            </w:tabs>
            <w:rPr/>
          </w:pPr>
          <w:hyperlink w:anchor="__RefHeading___Toc14587133_2142443653">
            <w:r>
              <w:rPr>
                <w:webHidden/>
                <w:rStyle w:val="IndexLink"/>
                <w:rtl w:val="true"/>
              </w:rPr>
              <w:t>تبصرة</w:t>
            </w:r>
            <w:r>
              <w:rPr>
                <w:rStyle w:val="IndexLink"/>
                <w:rtl w:val="true"/>
              </w:rPr>
              <w:t xml:space="preserve">: [ </w:t>
            </w:r>
            <w:r>
              <w:rPr>
                <w:rStyle w:val="IndexLink"/>
                <w:rtl w:val="true"/>
              </w:rPr>
              <w:t xml:space="preserve">في مدّعي الفقر </w:t>
            </w:r>
            <w:r>
              <w:rPr>
                <w:rStyle w:val="IndexLink"/>
                <w:rtl w:val="true"/>
              </w:rPr>
              <w:t>]</w:t>
              <w:tab/>
            </w:r>
            <w:r>
              <w:rPr>
                <w:rStyle w:val="IndexLink"/>
              </w:rPr>
              <w:t>235</w:t>
            </w:r>
          </w:hyperlink>
        </w:p>
        <w:p>
          <w:pPr>
            <w:pStyle w:val="Contents6"/>
            <w:tabs>
              <w:tab w:val="clear" w:pos="7609"/>
              <w:tab w:val="right" w:pos="9026" w:leader="dot"/>
            </w:tabs>
            <w:rPr/>
          </w:pPr>
          <w:hyperlink w:anchor="__RefHeading___Toc14587135_2142443653">
            <w:r>
              <w:rPr>
                <w:webHidden/>
                <w:rStyle w:val="IndexLink"/>
                <w:rtl w:val="true"/>
              </w:rPr>
              <w:t>تبصرة</w:t>
            </w:r>
            <w:r>
              <w:rPr>
                <w:rStyle w:val="IndexLink"/>
                <w:rtl w:val="true"/>
              </w:rPr>
              <w:t xml:space="preserve">: [ </w:t>
            </w:r>
            <w:r>
              <w:rPr>
                <w:rStyle w:val="IndexLink"/>
                <w:rtl w:val="true"/>
              </w:rPr>
              <w:t xml:space="preserve">في دفع الزكاة إلى غير المستحقّ </w:t>
            </w:r>
            <w:r>
              <w:rPr>
                <w:rStyle w:val="IndexLink"/>
                <w:rtl w:val="true"/>
              </w:rPr>
              <w:t>]</w:t>
              <w:tab/>
            </w:r>
            <w:r>
              <w:rPr>
                <w:rStyle w:val="IndexLink"/>
              </w:rPr>
              <w:t>240</w:t>
            </w:r>
          </w:hyperlink>
        </w:p>
        <w:p>
          <w:pPr>
            <w:pStyle w:val="Contents6"/>
            <w:tabs>
              <w:tab w:val="clear" w:pos="7609"/>
              <w:tab w:val="right" w:pos="9026" w:leader="dot"/>
            </w:tabs>
            <w:rPr/>
          </w:pPr>
          <w:hyperlink w:anchor="__RefHeading___Toc14587137_2142443653">
            <w:r>
              <w:rPr>
                <w:webHidden/>
                <w:rStyle w:val="IndexLink"/>
                <w:rtl w:val="true"/>
              </w:rPr>
              <w:t>اشارة</w:t>
            </w:r>
            <w:r>
              <w:rPr>
                <w:rStyle w:val="IndexLink"/>
                <w:rtl w:val="true"/>
              </w:rPr>
              <w:tab/>
            </w:r>
            <w:r>
              <w:rPr>
                <w:rStyle w:val="IndexLink"/>
              </w:rPr>
              <w:t>240</w:t>
            </w:r>
          </w:hyperlink>
        </w:p>
        <w:p>
          <w:pPr>
            <w:pStyle w:val="Contents6"/>
            <w:tabs>
              <w:tab w:val="clear" w:pos="7609"/>
              <w:tab w:val="right" w:pos="9026" w:leader="dot"/>
            </w:tabs>
            <w:rPr/>
          </w:pPr>
          <w:hyperlink w:anchor="__RefHeading___Toc14587139_2142443653">
            <w:r>
              <w:rPr>
                <w:webHidden/>
                <w:rStyle w:val="IndexLink"/>
                <w:rtl w:val="true"/>
              </w:rPr>
              <w:t>فروع</w:t>
            </w:r>
            <w:r>
              <w:rPr>
                <w:rStyle w:val="IndexLink"/>
                <w:rtl w:val="true"/>
              </w:rPr>
              <w:tab/>
            </w:r>
            <w:r>
              <w:rPr>
                <w:rStyle w:val="IndexLink"/>
              </w:rPr>
              <w:t>246</w:t>
            </w:r>
          </w:hyperlink>
        </w:p>
        <w:p>
          <w:pPr>
            <w:pStyle w:val="Contents6"/>
            <w:tabs>
              <w:tab w:val="clear" w:pos="7609"/>
              <w:tab w:val="right" w:pos="9026" w:leader="dot"/>
            </w:tabs>
            <w:rPr/>
          </w:pPr>
          <w:hyperlink w:anchor="__RefHeading___Toc14587141_2142443653">
            <w:r>
              <w:rPr>
                <w:webHidden/>
                <w:rStyle w:val="IndexLink"/>
                <w:rtl w:val="true"/>
              </w:rPr>
              <w:t>تبصرة</w:t>
            </w:r>
            <w:r>
              <w:rPr>
                <w:rStyle w:val="IndexLink"/>
                <w:rtl w:val="true"/>
              </w:rPr>
              <w:t xml:space="preserve">: [ </w:t>
            </w:r>
            <w:r>
              <w:rPr>
                <w:rStyle w:val="IndexLink"/>
                <w:rtl w:val="true"/>
              </w:rPr>
              <w:t xml:space="preserve">في العاملين على الزكاة </w:t>
            </w:r>
            <w:r>
              <w:rPr>
                <w:rStyle w:val="IndexLink"/>
                <w:rtl w:val="true"/>
              </w:rPr>
              <w:t>]</w:t>
              <w:tab/>
            </w:r>
            <w:r>
              <w:rPr>
                <w:rStyle w:val="IndexLink"/>
              </w:rPr>
              <w:t>248</w:t>
            </w:r>
          </w:hyperlink>
        </w:p>
        <w:p>
          <w:pPr>
            <w:pStyle w:val="Contents6"/>
            <w:tabs>
              <w:tab w:val="clear" w:pos="7609"/>
              <w:tab w:val="right" w:pos="9026" w:leader="dot"/>
            </w:tabs>
            <w:rPr/>
          </w:pPr>
          <w:hyperlink w:anchor="__RefHeading___Toc14587143_2142443653">
            <w:r>
              <w:rPr>
                <w:webHidden/>
                <w:rStyle w:val="IndexLink"/>
                <w:rtl w:val="true"/>
              </w:rPr>
              <w:t xml:space="preserve">تبصرة </w:t>
            </w:r>
            <w:r>
              <w:rPr>
                <w:rStyle w:val="IndexLink"/>
                <w:rtl w:val="true"/>
              </w:rPr>
              <w:t xml:space="preserve">[ </w:t>
            </w:r>
            <w:r>
              <w:rPr>
                <w:rStyle w:val="IndexLink"/>
                <w:rtl w:val="true"/>
              </w:rPr>
              <w:t xml:space="preserve">في المؤلّفة قلوبهم </w:t>
            </w:r>
            <w:r>
              <w:rPr>
                <w:rStyle w:val="IndexLink"/>
                <w:rtl w:val="true"/>
              </w:rPr>
              <w:t>]</w:t>
              <w:tab/>
            </w:r>
            <w:r>
              <w:rPr>
                <w:rStyle w:val="IndexLink"/>
              </w:rPr>
              <w:t>257</w:t>
            </w:r>
          </w:hyperlink>
        </w:p>
        <w:p>
          <w:pPr>
            <w:pStyle w:val="Contents6"/>
            <w:tabs>
              <w:tab w:val="clear" w:pos="7609"/>
              <w:tab w:val="right" w:pos="9026" w:leader="dot"/>
            </w:tabs>
            <w:rPr/>
          </w:pPr>
          <w:hyperlink w:anchor="__RefHeading___Toc14587145_2142443653">
            <w:r>
              <w:rPr>
                <w:webHidden/>
                <w:rStyle w:val="IndexLink"/>
                <w:rtl w:val="true"/>
              </w:rPr>
              <w:t>تبصرة</w:t>
            </w:r>
            <w:r>
              <w:rPr>
                <w:rStyle w:val="IndexLink"/>
                <w:rtl w:val="true"/>
              </w:rPr>
              <w:t xml:space="preserve">: [ </w:t>
            </w:r>
            <w:r>
              <w:rPr>
                <w:rStyle w:val="IndexLink"/>
                <w:rtl w:val="true"/>
              </w:rPr>
              <w:t xml:space="preserve">في الرقاب </w:t>
            </w:r>
            <w:r>
              <w:rPr>
                <w:rStyle w:val="IndexLink"/>
                <w:rtl w:val="true"/>
              </w:rPr>
              <w:t>]</w:t>
              <w:tab/>
            </w:r>
            <w:r>
              <w:rPr>
                <w:rStyle w:val="IndexLink"/>
              </w:rPr>
              <w:t>265</w:t>
            </w:r>
          </w:hyperlink>
        </w:p>
        <w:p>
          <w:pPr>
            <w:pStyle w:val="Contents6"/>
            <w:tabs>
              <w:tab w:val="clear" w:pos="7609"/>
              <w:tab w:val="right" w:pos="9026" w:leader="dot"/>
            </w:tabs>
            <w:rPr/>
          </w:pPr>
          <w:hyperlink w:anchor="__RefHeading___Toc14587147_2142443653">
            <w:r>
              <w:rPr>
                <w:webHidden/>
                <w:rStyle w:val="IndexLink"/>
                <w:rtl w:val="true"/>
              </w:rPr>
              <w:t>اشارة</w:t>
            </w:r>
            <w:r>
              <w:rPr>
                <w:rStyle w:val="IndexLink"/>
                <w:rtl w:val="true"/>
              </w:rPr>
              <w:tab/>
            </w:r>
            <w:r>
              <w:rPr>
                <w:rStyle w:val="IndexLink"/>
              </w:rPr>
              <w:t>265</w:t>
            </w:r>
          </w:hyperlink>
        </w:p>
        <w:p>
          <w:pPr>
            <w:pStyle w:val="Contents6"/>
            <w:tabs>
              <w:tab w:val="clear" w:pos="7609"/>
              <w:tab w:val="right" w:pos="9026" w:leader="dot"/>
            </w:tabs>
            <w:rPr/>
          </w:pPr>
          <w:hyperlink w:anchor="__RefHeading___Toc14587149_2142443653">
            <w:r>
              <w:rPr>
                <w:webHidden/>
                <w:rStyle w:val="IndexLink"/>
                <w:rtl w:val="true"/>
              </w:rPr>
              <w:t xml:space="preserve">[ </w:t>
            </w:r>
            <w:r>
              <w:rPr>
                <w:rStyle w:val="IndexLink"/>
                <w:rtl w:val="true"/>
              </w:rPr>
              <w:t xml:space="preserve">تنبيهات </w:t>
            </w:r>
            <w:r>
              <w:rPr>
                <w:rStyle w:val="IndexLink"/>
                <w:rtl w:val="true"/>
              </w:rPr>
              <w:t>]</w:t>
              <w:tab/>
            </w:r>
            <w:r>
              <w:rPr>
                <w:rStyle w:val="IndexLink"/>
              </w:rPr>
              <w:t>274</w:t>
            </w:r>
          </w:hyperlink>
        </w:p>
        <w:p>
          <w:pPr>
            <w:pStyle w:val="Contents6"/>
            <w:tabs>
              <w:tab w:val="clear" w:pos="7609"/>
              <w:tab w:val="right" w:pos="9026" w:leader="dot"/>
            </w:tabs>
            <w:rPr/>
          </w:pPr>
          <w:hyperlink w:anchor="__RefHeading___Toc14587151_2142443653">
            <w:r>
              <w:rPr>
                <w:webHidden/>
                <w:rStyle w:val="IndexLink"/>
                <w:rtl w:val="true"/>
              </w:rPr>
              <w:t>تبصرة</w:t>
            </w:r>
            <w:r>
              <w:rPr>
                <w:rStyle w:val="IndexLink"/>
                <w:rtl w:val="true"/>
              </w:rPr>
              <w:t xml:space="preserve">: [ </w:t>
            </w:r>
            <w:r>
              <w:rPr>
                <w:rStyle w:val="IndexLink"/>
                <w:rtl w:val="true"/>
              </w:rPr>
              <w:t xml:space="preserve">في الغارمين </w:t>
            </w:r>
            <w:r>
              <w:rPr>
                <w:rStyle w:val="IndexLink"/>
                <w:rtl w:val="true"/>
              </w:rPr>
              <w:t>]</w:t>
              <w:tab/>
            </w:r>
            <w:r>
              <w:rPr>
                <w:rStyle w:val="IndexLink"/>
              </w:rPr>
              <w:t>283</w:t>
            </w:r>
          </w:hyperlink>
        </w:p>
        <w:p>
          <w:pPr>
            <w:pStyle w:val="Contents3"/>
            <w:tabs>
              <w:tab w:val="clear" w:pos="8459"/>
              <w:tab w:val="right" w:pos="9026" w:leader="dot"/>
            </w:tabs>
            <w:rPr/>
          </w:pPr>
          <w:hyperlink w:anchor="__RefHeading___Toc14587153_2142443653">
            <w:r>
              <w:rPr>
                <w:webHidden/>
                <w:rStyle w:val="IndexLink"/>
                <w:rtl w:val="true"/>
              </w:rPr>
              <w:t>الباب الثالث</w:t>
            </w:r>
            <w:r>
              <w:rPr>
                <w:rStyle w:val="IndexLink"/>
                <w:rtl w:val="true"/>
              </w:rPr>
              <w:t xml:space="preserve">: </w:t>
            </w:r>
            <w:r>
              <w:rPr>
                <w:rStyle w:val="IndexLink"/>
                <w:rtl w:val="true"/>
              </w:rPr>
              <w:t>في زكاة الفطرة</w:t>
            </w:r>
            <w:r>
              <w:rPr>
                <w:rStyle w:val="IndexLink"/>
                <w:rtl w:val="true"/>
              </w:rPr>
              <w:tab/>
            </w:r>
            <w:r>
              <w:rPr>
                <w:rStyle w:val="IndexLink"/>
              </w:rPr>
              <w:t>291</w:t>
            </w:r>
          </w:hyperlink>
        </w:p>
        <w:p>
          <w:pPr>
            <w:pStyle w:val="Contents4"/>
            <w:tabs>
              <w:tab w:val="clear" w:pos="8176"/>
              <w:tab w:val="right" w:pos="9026" w:leader="dot"/>
            </w:tabs>
            <w:rPr/>
          </w:pPr>
          <w:hyperlink w:anchor="__RefHeading___Toc14587155_2142443653">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14587157_2142443653">
            <w:r>
              <w:rPr>
                <w:webHidden/>
                <w:rStyle w:val="IndexLink"/>
                <w:rtl w:val="true"/>
              </w:rPr>
              <w:t>الفصل الأول</w:t>
            </w:r>
            <w:r>
              <w:rPr>
                <w:rStyle w:val="IndexLink"/>
                <w:rtl w:val="true"/>
              </w:rPr>
              <w:t xml:space="preserve">: </w:t>
            </w:r>
            <w:r>
              <w:rPr>
                <w:rStyle w:val="IndexLink"/>
                <w:rtl w:val="true"/>
              </w:rPr>
              <w:t>في بيان شرائط وجوبها</w:t>
            </w:r>
            <w:r>
              <w:rPr>
                <w:rStyle w:val="IndexLink"/>
                <w:rtl w:val="true"/>
              </w:rPr>
              <w:tab/>
            </w:r>
            <w:r>
              <w:rPr>
                <w:rStyle w:val="IndexLink"/>
              </w:rPr>
              <w:t>292</w:t>
            </w:r>
          </w:hyperlink>
        </w:p>
        <w:p>
          <w:pPr>
            <w:pStyle w:val="Contents5"/>
            <w:tabs>
              <w:tab w:val="clear" w:pos="7892"/>
              <w:tab w:val="right" w:pos="9026" w:leader="dot"/>
            </w:tabs>
            <w:rPr/>
          </w:pPr>
          <w:hyperlink w:anchor="__RefHeading___Toc14587159_2142443653">
            <w:r>
              <w:rPr>
                <w:webHidden/>
                <w:rStyle w:val="IndexLink"/>
                <w:rtl w:val="true"/>
              </w:rPr>
              <w:t>تبصرة</w:t>
            </w:r>
            <w:r>
              <w:rPr>
                <w:rStyle w:val="IndexLink"/>
                <w:rtl w:val="true"/>
              </w:rPr>
              <w:t xml:space="preserve">: [ </w:t>
            </w:r>
            <w:r>
              <w:rPr>
                <w:rStyle w:val="IndexLink"/>
                <w:rtl w:val="true"/>
              </w:rPr>
              <w:t xml:space="preserve">في اشتراط التكليف </w:t>
            </w:r>
            <w:r>
              <w:rPr>
                <w:rStyle w:val="IndexLink"/>
                <w:rtl w:val="true"/>
              </w:rPr>
              <w:t>]</w:t>
              <w:tab/>
            </w:r>
            <w:r>
              <w:rPr>
                <w:rStyle w:val="IndexLink"/>
              </w:rPr>
              <w:t>292</w:t>
            </w:r>
          </w:hyperlink>
        </w:p>
        <w:p>
          <w:pPr>
            <w:pStyle w:val="Contents5"/>
            <w:tabs>
              <w:tab w:val="clear" w:pos="7892"/>
              <w:tab w:val="right" w:pos="9026" w:leader="dot"/>
            </w:tabs>
            <w:rPr/>
          </w:pPr>
          <w:hyperlink w:anchor="__RefHeading___Toc14587161_2142443653">
            <w:r>
              <w:rPr>
                <w:webHidden/>
                <w:rStyle w:val="IndexLink"/>
                <w:rtl w:val="true"/>
              </w:rPr>
              <w:t>تبصرة</w:t>
            </w:r>
            <w:r>
              <w:rPr>
                <w:rStyle w:val="IndexLink"/>
                <w:rtl w:val="true"/>
              </w:rPr>
              <w:t xml:space="preserve">: [ </w:t>
            </w:r>
            <w:r>
              <w:rPr>
                <w:rStyle w:val="IndexLink"/>
                <w:rtl w:val="true"/>
              </w:rPr>
              <w:t xml:space="preserve">في اشتراط الحرية </w:t>
            </w:r>
            <w:r>
              <w:rPr>
                <w:rStyle w:val="IndexLink"/>
                <w:rtl w:val="true"/>
              </w:rPr>
              <w:t>]</w:t>
              <w:tab/>
            </w:r>
            <w:r>
              <w:rPr>
                <w:rStyle w:val="IndexLink"/>
              </w:rPr>
              <w:t>294</w:t>
            </w:r>
          </w:hyperlink>
        </w:p>
        <w:p>
          <w:pPr>
            <w:pStyle w:val="Contents5"/>
            <w:tabs>
              <w:tab w:val="clear" w:pos="7892"/>
              <w:tab w:val="right" w:pos="9026" w:leader="dot"/>
            </w:tabs>
            <w:rPr/>
          </w:pPr>
          <w:hyperlink w:anchor="__RefHeading___Toc14587163_2142443653">
            <w:r>
              <w:rPr>
                <w:webHidden/>
                <w:rStyle w:val="IndexLink"/>
                <w:rtl w:val="true"/>
              </w:rPr>
              <w:t>تبصرة</w:t>
            </w:r>
            <w:r>
              <w:rPr>
                <w:rStyle w:val="IndexLink"/>
                <w:rtl w:val="true"/>
              </w:rPr>
              <w:t xml:space="preserve">: [ </w:t>
            </w:r>
            <w:r>
              <w:rPr>
                <w:rStyle w:val="IndexLink"/>
                <w:rtl w:val="true"/>
              </w:rPr>
              <w:t xml:space="preserve">في اشتراط الغنى </w:t>
            </w:r>
            <w:r>
              <w:rPr>
                <w:rStyle w:val="IndexLink"/>
                <w:rtl w:val="true"/>
              </w:rPr>
              <w:t>]</w:t>
              <w:tab/>
            </w:r>
            <w:r>
              <w:rPr>
                <w:rStyle w:val="IndexLink"/>
              </w:rPr>
              <w:t>300</w:t>
            </w:r>
          </w:hyperlink>
        </w:p>
        <w:p>
          <w:pPr>
            <w:pStyle w:val="Contents5"/>
            <w:tabs>
              <w:tab w:val="clear" w:pos="7892"/>
              <w:tab w:val="right" w:pos="9026" w:leader="dot"/>
            </w:tabs>
            <w:rPr/>
          </w:pPr>
          <w:hyperlink w:anchor="__RefHeading___Toc14587165_2142443653">
            <w:r>
              <w:rPr>
                <w:webHidden/>
                <w:rStyle w:val="IndexLink"/>
                <w:rtl w:val="true"/>
              </w:rPr>
              <w:t>تبصرة</w:t>
            </w:r>
            <w:r>
              <w:rPr>
                <w:rStyle w:val="IndexLink"/>
                <w:rtl w:val="true"/>
              </w:rPr>
              <w:t xml:space="preserve">: [ </w:t>
            </w:r>
            <w:r>
              <w:rPr>
                <w:rStyle w:val="IndexLink"/>
                <w:rtl w:val="true"/>
              </w:rPr>
              <w:t xml:space="preserve">في وجوب إخراجها عند تكامل شرائطها </w:t>
            </w:r>
            <w:r>
              <w:rPr>
                <w:rStyle w:val="IndexLink"/>
                <w:rtl w:val="true"/>
              </w:rPr>
              <w:t>]</w:t>
              <w:tab/>
            </w:r>
            <w:r>
              <w:rPr>
                <w:rStyle w:val="IndexLink"/>
              </w:rPr>
              <w:t>305</w:t>
            </w:r>
          </w:hyperlink>
        </w:p>
        <w:p>
          <w:pPr>
            <w:pStyle w:val="Contents5"/>
            <w:tabs>
              <w:tab w:val="clear" w:pos="7892"/>
              <w:tab w:val="right" w:pos="9026" w:leader="dot"/>
            </w:tabs>
            <w:rPr/>
          </w:pPr>
          <w:hyperlink w:anchor="__RefHeading___Toc14587167_2142443653">
            <w:r>
              <w:rPr>
                <w:webHidden/>
                <w:rStyle w:val="IndexLink"/>
                <w:rtl w:val="true"/>
              </w:rPr>
              <w:t>تبصرة</w:t>
            </w:r>
            <w:r>
              <w:rPr>
                <w:rStyle w:val="IndexLink"/>
                <w:rtl w:val="true"/>
              </w:rPr>
              <w:t xml:space="preserve">: [ </w:t>
            </w:r>
            <w:r>
              <w:rPr>
                <w:rStyle w:val="IndexLink"/>
                <w:rtl w:val="true"/>
              </w:rPr>
              <w:t xml:space="preserve">في فطرة الضيف </w:t>
            </w:r>
            <w:r>
              <w:rPr>
                <w:rStyle w:val="IndexLink"/>
                <w:rtl w:val="true"/>
              </w:rPr>
              <w:t>]</w:t>
              <w:tab/>
            </w:r>
            <w:r>
              <w:rPr>
                <w:rStyle w:val="IndexLink"/>
              </w:rPr>
              <w:t>316</w:t>
            </w:r>
          </w:hyperlink>
        </w:p>
        <w:p>
          <w:pPr>
            <w:pStyle w:val="Contents6"/>
            <w:tabs>
              <w:tab w:val="clear" w:pos="7609"/>
              <w:tab w:val="right" w:pos="9026" w:leader="dot"/>
            </w:tabs>
            <w:rPr/>
          </w:pPr>
          <w:hyperlink w:anchor="__RefHeading___Toc14587169_2142443653">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14587171_2142443653">
            <w:r>
              <w:rPr>
                <w:webHidden/>
                <w:rStyle w:val="IndexLink"/>
                <w:rtl w:val="true"/>
              </w:rPr>
              <w:t>فروع</w:t>
            </w:r>
            <w:r>
              <w:rPr>
                <w:rStyle w:val="IndexLink"/>
                <w:rtl w:val="true"/>
              </w:rPr>
              <w:tab/>
            </w:r>
            <w:r>
              <w:rPr>
                <w:rStyle w:val="IndexLink"/>
              </w:rPr>
              <w:t>319</w:t>
            </w:r>
          </w:hyperlink>
        </w:p>
        <w:p>
          <w:pPr>
            <w:pStyle w:val="Contents5"/>
            <w:tabs>
              <w:tab w:val="clear" w:pos="7892"/>
              <w:tab w:val="right" w:pos="9026" w:leader="dot"/>
            </w:tabs>
            <w:rPr/>
          </w:pPr>
          <w:hyperlink w:anchor="__RefHeading___Toc14587173_2142443653">
            <w:r>
              <w:rPr>
                <w:webHidden/>
                <w:rStyle w:val="IndexLink"/>
                <w:rtl w:val="true"/>
              </w:rPr>
              <w:t>تبصرة</w:t>
            </w:r>
            <w:r>
              <w:rPr>
                <w:rStyle w:val="IndexLink"/>
                <w:rtl w:val="true"/>
              </w:rPr>
              <w:t xml:space="preserve">: [ </w:t>
            </w:r>
            <w:r>
              <w:rPr>
                <w:rStyle w:val="IndexLink"/>
                <w:rtl w:val="true"/>
              </w:rPr>
              <w:t xml:space="preserve">في أداء مال الفطرة عن نفسه </w:t>
            </w:r>
            <w:r>
              <w:rPr>
                <w:rStyle w:val="IndexLink"/>
                <w:rtl w:val="true"/>
              </w:rPr>
              <w:t>]</w:t>
              <w:tab/>
            </w:r>
            <w:r>
              <w:rPr>
                <w:rStyle w:val="IndexLink"/>
              </w:rPr>
              <w:t>321</w:t>
            </w:r>
          </w:hyperlink>
        </w:p>
        <w:p>
          <w:pPr>
            <w:pStyle w:val="Contents5"/>
            <w:tabs>
              <w:tab w:val="clear" w:pos="7892"/>
              <w:tab w:val="right" w:pos="9026" w:leader="dot"/>
            </w:tabs>
            <w:rPr/>
          </w:pPr>
          <w:hyperlink w:anchor="__RefHeading___Toc14587175_2142443653">
            <w:r>
              <w:rPr>
                <w:webHidden/>
                <w:rStyle w:val="IndexLink"/>
                <w:rtl w:val="true"/>
              </w:rPr>
              <w:t>تبصرة</w:t>
            </w:r>
            <w:r>
              <w:rPr>
                <w:rStyle w:val="IndexLink"/>
                <w:rtl w:val="true"/>
              </w:rPr>
              <w:t xml:space="preserve">: [ </w:t>
            </w:r>
            <w:r>
              <w:rPr>
                <w:rStyle w:val="IndexLink"/>
                <w:rtl w:val="true"/>
              </w:rPr>
              <w:t xml:space="preserve">في اشتراط نيّة أداء الفطرة </w:t>
            </w:r>
            <w:r>
              <w:rPr>
                <w:rStyle w:val="IndexLink"/>
                <w:rtl w:val="true"/>
              </w:rPr>
              <w:t>]</w:t>
              <w:tab/>
            </w:r>
            <w:r>
              <w:rPr>
                <w:rStyle w:val="IndexLink"/>
              </w:rPr>
              <w:t>325</w:t>
            </w:r>
          </w:hyperlink>
        </w:p>
        <w:p>
          <w:pPr>
            <w:pStyle w:val="Contents5"/>
            <w:tabs>
              <w:tab w:val="clear" w:pos="7892"/>
              <w:tab w:val="right" w:pos="9026" w:leader="dot"/>
            </w:tabs>
            <w:rPr/>
          </w:pPr>
          <w:hyperlink w:anchor="__RefHeading___Toc14587177_2142443653">
            <w:r>
              <w:rPr>
                <w:webHidden/>
                <w:rStyle w:val="IndexLink"/>
                <w:rtl w:val="true"/>
              </w:rPr>
              <w:t>تبصرة</w:t>
            </w:r>
            <w:r>
              <w:rPr>
                <w:rStyle w:val="IndexLink"/>
                <w:rtl w:val="true"/>
              </w:rPr>
              <w:t xml:space="preserve">: [ </w:t>
            </w:r>
            <w:r>
              <w:rPr>
                <w:rStyle w:val="IndexLink"/>
                <w:rtl w:val="true"/>
              </w:rPr>
              <w:t xml:space="preserve">في الخروج عن المكيّة بالتعيين </w:t>
            </w:r>
            <w:r>
              <w:rPr>
                <w:rStyle w:val="IndexLink"/>
                <w:rtl w:val="true"/>
              </w:rPr>
              <w:t>]</w:t>
              <w:tab/>
            </w:r>
            <w:r>
              <w:rPr>
                <w:rStyle w:val="IndexLink"/>
              </w:rPr>
              <w:t>328</w:t>
            </w:r>
          </w:hyperlink>
        </w:p>
        <w:p>
          <w:pPr>
            <w:pStyle w:val="Contents5"/>
            <w:tabs>
              <w:tab w:val="clear" w:pos="7892"/>
              <w:tab w:val="right" w:pos="9026" w:leader="dot"/>
            </w:tabs>
            <w:rPr/>
          </w:pPr>
          <w:hyperlink w:anchor="__RefHeading___Toc14587179_2142443653">
            <w:r>
              <w:rPr>
                <w:webHidden/>
                <w:rStyle w:val="IndexLink"/>
                <w:rtl w:val="true"/>
              </w:rPr>
              <w:t>تبصرة</w:t>
            </w:r>
            <w:r>
              <w:rPr>
                <w:rStyle w:val="IndexLink"/>
                <w:rtl w:val="true"/>
              </w:rPr>
              <w:t xml:space="preserve">: [ </w:t>
            </w:r>
            <w:r>
              <w:rPr>
                <w:rStyle w:val="IndexLink"/>
                <w:rtl w:val="true"/>
              </w:rPr>
              <w:t xml:space="preserve">في إسلام الكافر </w:t>
            </w:r>
            <w:r>
              <w:rPr>
                <w:rStyle w:val="IndexLink"/>
                <w:rtl w:val="true"/>
              </w:rPr>
              <w:t>]</w:t>
              <w:tab/>
            </w:r>
            <w:r>
              <w:rPr>
                <w:rStyle w:val="IndexLink"/>
              </w:rPr>
              <w:t>331</w:t>
            </w:r>
          </w:hyperlink>
        </w:p>
        <w:p>
          <w:pPr>
            <w:pStyle w:val="Contents2"/>
            <w:tabs>
              <w:tab w:val="clear" w:pos="8743"/>
              <w:tab w:val="right" w:pos="9026" w:leader="dot"/>
            </w:tabs>
            <w:rPr/>
          </w:pPr>
          <w:hyperlink w:anchor="__RefHeading___Toc14587181_2142443653">
            <w:r>
              <w:rPr>
                <w:webHidden/>
                <w:rStyle w:val="IndexLink"/>
                <w:rtl w:val="true"/>
              </w:rPr>
              <w:t>كتاب البيع</w:t>
            </w:r>
            <w:r>
              <w:rPr>
                <w:rStyle w:val="IndexLink"/>
                <w:rtl w:val="true"/>
              </w:rPr>
              <w:tab/>
            </w:r>
            <w:r>
              <w:rPr>
                <w:rStyle w:val="IndexLink"/>
              </w:rPr>
              <w:t>333</w:t>
            </w:r>
          </w:hyperlink>
        </w:p>
        <w:p>
          <w:pPr>
            <w:pStyle w:val="Contents3"/>
            <w:tabs>
              <w:tab w:val="clear" w:pos="8459"/>
              <w:tab w:val="right" w:pos="9026" w:leader="dot"/>
            </w:tabs>
            <w:rPr/>
          </w:pPr>
          <w:hyperlink w:anchor="__RefHeading___Toc14587183_2142443653">
            <w:r>
              <w:rPr>
                <w:webHidden/>
                <w:rStyle w:val="IndexLink"/>
                <w:rtl w:val="true"/>
              </w:rPr>
              <w:t>اشارة</w:t>
            </w:r>
            <w:r>
              <w:rPr>
                <w:rStyle w:val="IndexLink"/>
                <w:rtl w:val="true"/>
              </w:rPr>
              <w:tab/>
            </w:r>
            <w:r>
              <w:rPr>
                <w:rStyle w:val="IndexLink"/>
              </w:rPr>
              <w:t>333</w:t>
            </w:r>
          </w:hyperlink>
        </w:p>
        <w:p>
          <w:pPr>
            <w:pStyle w:val="Contents3"/>
            <w:tabs>
              <w:tab w:val="clear" w:pos="8459"/>
              <w:tab w:val="right" w:pos="9026" w:leader="dot"/>
            </w:tabs>
            <w:rPr/>
          </w:pPr>
          <w:hyperlink w:anchor="__RefHeading___Toc14587185_2142443653">
            <w:r>
              <w:rPr>
                <w:webHidden/>
                <w:rStyle w:val="IndexLink"/>
                <w:rtl w:val="true"/>
              </w:rPr>
              <w:t xml:space="preserve">[ </w:t>
            </w:r>
            <w:r>
              <w:rPr>
                <w:rStyle w:val="IndexLink"/>
                <w:rtl w:val="true"/>
              </w:rPr>
              <w:t xml:space="preserve">تبصرة </w:t>
            </w:r>
            <w:r>
              <w:rPr>
                <w:rStyle w:val="IndexLink"/>
                <w:rtl w:val="true"/>
              </w:rPr>
              <w:t xml:space="preserve">]: [ </w:t>
            </w:r>
            <w:r>
              <w:rPr>
                <w:rStyle w:val="IndexLink"/>
                <w:rtl w:val="true"/>
              </w:rPr>
              <w:t xml:space="preserve">في بيع الفضولي </w:t>
            </w:r>
            <w:r>
              <w:rPr>
                <w:rStyle w:val="IndexLink"/>
                <w:rtl w:val="true"/>
              </w:rPr>
              <w:t>]</w:t>
              <w:tab/>
            </w:r>
            <w:r>
              <w:rPr>
                <w:rStyle w:val="IndexLink"/>
              </w:rPr>
              <w:t>335</w:t>
            </w:r>
          </w:hyperlink>
        </w:p>
        <w:p>
          <w:pPr>
            <w:pStyle w:val="Contents4"/>
            <w:tabs>
              <w:tab w:val="clear" w:pos="8176"/>
              <w:tab w:val="right" w:pos="9026" w:leader="dot"/>
            </w:tabs>
            <w:rPr/>
          </w:pPr>
          <w:hyperlink w:anchor="__RefHeading___Toc14587187_2142443653">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14587189_2142443653">
            <w:r>
              <w:rPr>
                <w:webHidden/>
                <w:rStyle w:val="IndexLink"/>
                <w:rtl w:val="true"/>
              </w:rPr>
              <w:t xml:space="preserve">[ </w:t>
            </w:r>
            <w:r>
              <w:rPr>
                <w:rStyle w:val="IndexLink"/>
                <w:rtl w:val="true"/>
              </w:rPr>
              <w:t xml:space="preserve">تتميم </w:t>
            </w:r>
            <w:r>
              <w:rPr>
                <w:rStyle w:val="IndexLink"/>
                <w:rtl w:val="true"/>
              </w:rPr>
              <w:t>]</w:t>
              <w:tab/>
            </w:r>
            <w:r>
              <w:rPr>
                <w:rStyle w:val="IndexLink"/>
              </w:rPr>
              <w:t>345</w:t>
            </w:r>
          </w:hyperlink>
        </w:p>
        <w:p>
          <w:pPr>
            <w:pStyle w:val="Contents3"/>
            <w:tabs>
              <w:tab w:val="clear" w:pos="8459"/>
              <w:tab w:val="right" w:pos="9026" w:leader="dot"/>
            </w:tabs>
            <w:rPr/>
          </w:pPr>
          <w:hyperlink w:anchor="__RefHeading___Toc14587191_2142443653">
            <w:r>
              <w:rPr>
                <w:webHidden/>
                <w:rStyle w:val="IndexLink"/>
                <w:rtl w:val="true"/>
              </w:rPr>
              <w:t>تبصرة</w:t>
            </w:r>
            <w:r>
              <w:rPr>
                <w:rStyle w:val="IndexLink"/>
                <w:rtl w:val="true"/>
              </w:rPr>
              <w:t xml:space="preserve">: [ </w:t>
            </w:r>
            <w:r>
              <w:rPr>
                <w:rStyle w:val="IndexLink"/>
                <w:rtl w:val="true"/>
              </w:rPr>
              <w:t xml:space="preserve">في بيع ما يملكه غيره </w:t>
            </w:r>
            <w:r>
              <w:rPr>
                <w:rStyle w:val="IndexLink"/>
                <w:rtl w:val="true"/>
              </w:rPr>
              <w:t>]</w:t>
              <w:tab/>
            </w:r>
            <w:r>
              <w:rPr>
                <w:rStyle w:val="IndexLink"/>
              </w:rPr>
              <w:t>366</w:t>
            </w:r>
          </w:hyperlink>
        </w:p>
        <w:p>
          <w:pPr>
            <w:pStyle w:val="Contents4"/>
            <w:tabs>
              <w:tab w:val="clear" w:pos="8176"/>
              <w:tab w:val="right" w:pos="9026" w:leader="dot"/>
            </w:tabs>
            <w:rPr/>
          </w:pPr>
          <w:hyperlink w:anchor="__RefHeading___Toc14587193_2142443653">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14587195_2142443653">
            <w:r>
              <w:rPr>
                <w:webHidden/>
                <w:rStyle w:val="IndexLink"/>
                <w:rtl w:val="true"/>
              </w:rPr>
              <w:t xml:space="preserve">[ </w:t>
            </w:r>
            <w:r>
              <w:rPr>
                <w:rStyle w:val="IndexLink"/>
                <w:rtl w:val="true"/>
              </w:rPr>
              <w:t xml:space="preserve">تتميم </w:t>
            </w:r>
            <w:r>
              <w:rPr>
                <w:rStyle w:val="IndexLink"/>
                <w:rtl w:val="true"/>
              </w:rPr>
              <w:t>]</w:t>
              <w:tab/>
            </w:r>
            <w:r>
              <w:rPr>
                <w:rStyle w:val="IndexLink"/>
              </w:rPr>
              <w:t>368</w:t>
            </w:r>
          </w:hyperlink>
        </w:p>
        <w:p>
          <w:pPr>
            <w:pStyle w:val="Contents3"/>
            <w:tabs>
              <w:tab w:val="clear" w:pos="8459"/>
              <w:tab w:val="right" w:pos="9026" w:leader="dot"/>
            </w:tabs>
            <w:rPr/>
          </w:pPr>
          <w:hyperlink w:anchor="__RefHeading___Toc14587197_2142443653">
            <w:r>
              <w:rPr>
                <w:webHidden/>
                <w:rStyle w:val="IndexLink"/>
                <w:rtl w:val="true"/>
              </w:rPr>
              <w:t>تبصرة</w:t>
            </w:r>
            <w:r>
              <w:rPr>
                <w:rStyle w:val="IndexLink"/>
                <w:rtl w:val="true"/>
              </w:rPr>
              <w:t xml:space="preserve">: [ </w:t>
            </w:r>
            <w:r>
              <w:rPr>
                <w:rStyle w:val="IndexLink"/>
                <w:rtl w:val="true"/>
              </w:rPr>
              <w:t xml:space="preserve">في بيع ما يملكه المسلم وما لا يملكه </w:t>
            </w:r>
            <w:r>
              <w:rPr>
                <w:rStyle w:val="IndexLink"/>
                <w:rtl w:val="true"/>
              </w:rPr>
              <w:t>]</w:t>
              <w:tab/>
            </w:r>
            <w:r>
              <w:rPr>
                <w:rStyle w:val="IndexLink"/>
              </w:rPr>
              <w:t>379</w:t>
            </w:r>
          </w:hyperlink>
        </w:p>
        <w:p>
          <w:pPr>
            <w:pStyle w:val="Contents4"/>
            <w:tabs>
              <w:tab w:val="clear" w:pos="8176"/>
              <w:tab w:val="right" w:pos="9026" w:leader="dot"/>
            </w:tabs>
            <w:rPr/>
          </w:pPr>
          <w:hyperlink w:anchor="__RefHeading___Toc14587199_2142443653">
            <w:r>
              <w:rPr>
                <w:webHidden/>
                <w:rStyle w:val="IndexLink"/>
                <w:rtl w:val="true"/>
              </w:rPr>
              <w:t>اشارة</w:t>
            </w:r>
            <w:r>
              <w:rPr>
                <w:rStyle w:val="IndexLink"/>
                <w:rtl w:val="true"/>
              </w:rPr>
              <w:tab/>
            </w:r>
            <w:r>
              <w:rPr>
                <w:rStyle w:val="IndexLink"/>
              </w:rPr>
              <w:t>379</w:t>
            </w:r>
          </w:hyperlink>
        </w:p>
        <w:p>
          <w:pPr>
            <w:pStyle w:val="Contents4"/>
            <w:tabs>
              <w:tab w:val="clear" w:pos="8176"/>
              <w:tab w:val="right" w:pos="9026" w:leader="dot"/>
            </w:tabs>
            <w:rPr/>
          </w:pPr>
          <w:hyperlink w:anchor="__RefHeading___Toc14587201_2142443653">
            <w:r>
              <w:rPr>
                <w:webHidden/>
                <w:rStyle w:val="IndexLink"/>
                <w:rtl w:val="true"/>
              </w:rPr>
              <w:t xml:space="preserve">[ </w:t>
            </w:r>
            <w:r>
              <w:rPr>
                <w:rStyle w:val="IndexLink"/>
                <w:rtl w:val="true"/>
              </w:rPr>
              <w:t xml:space="preserve">تنبيهات </w:t>
            </w:r>
            <w:r>
              <w:rPr>
                <w:rStyle w:val="IndexLink"/>
                <w:rtl w:val="true"/>
              </w:rPr>
              <w:t>]</w:t>
              <w:tab/>
            </w:r>
            <w:r>
              <w:rPr>
                <w:rStyle w:val="IndexLink"/>
              </w:rPr>
              <w:t>389</w:t>
            </w:r>
          </w:hyperlink>
        </w:p>
        <w:p>
          <w:pPr>
            <w:pStyle w:val="Contents4"/>
            <w:tabs>
              <w:tab w:val="clear" w:pos="8176"/>
              <w:tab w:val="right" w:pos="9026" w:leader="dot"/>
            </w:tabs>
            <w:rPr/>
          </w:pPr>
          <w:hyperlink w:anchor="__RefHeading___Toc14587203_2142443653">
            <w:r>
              <w:rPr>
                <w:webHidden/>
                <w:rStyle w:val="IndexLink"/>
                <w:rtl w:val="true"/>
              </w:rPr>
              <w:t xml:space="preserve">[ </w:t>
            </w:r>
            <w:r>
              <w:rPr>
                <w:rStyle w:val="IndexLink"/>
                <w:rtl w:val="true"/>
              </w:rPr>
              <w:t xml:space="preserve">فروع </w:t>
            </w:r>
            <w:r>
              <w:rPr>
                <w:rStyle w:val="IndexLink"/>
                <w:rtl w:val="true"/>
              </w:rPr>
              <w:t>]</w:t>
              <w:tab/>
            </w:r>
            <w:r>
              <w:rPr>
                <w:rStyle w:val="IndexLink"/>
              </w:rPr>
              <w:t>422</w:t>
            </w:r>
          </w:hyperlink>
        </w:p>
        <w:p>
          <w:pPr>
            <w:pStyle w:val="Contents2"/>
            <w:tabs>
              <w:tab w:val="clear" w:pos="8743"/>
              <w:tab w:val="right" w:pos="9026" w:leader="dot"/>
            </w:tabs>
            <w:rPr/>
          </w:pPr>
          <w:hyperlink w:anchor="__RefHeading___Toc14587205_2142443653">
            <w:r>
              <w:rPr>
                <w:webHidden/>
                <w:rStyle w:val="IndexLink"/>
                <w:rtl w:val="true"/>
              </w:rPr>
              <w:t>فهرس المواضيع الجزء الثالث</w:t>
            </w:r>
            <w:r>
              <w:rPr>
                <w:rStyle w:val="IndexLink"/>
                <w:rtl w:val="true"/>
              </w:rPr>
              <w:tab/>
            </w:r>
            <w:r>
              <w:rPr>
                <w:rStyle w:val="IndexLink"/>
              </w:rPr>
              <w:t>439</w:t>
            </w:r>
          </w:hyperlink>
        </w:p>
        <w:p>
          <w:pPr>
            <w:pStyle w:val="Contents2"/>
            <w:tabs>
              <w:tab w:val="clear" w:pos="8743"/>
              <w:tab w:val="right" w:pos="9026" w:leader="dot"/>
            </w:tabs>
            <w:rPr/>
          </w:pPr>
          <w:hyperlink w:anchor="__RefHeading___Toc14587207_2142443653">
            <w:r>
              <w:rPr>
                <w:webHidden/>
                <w:rStyle w:val="IndexLink"/>
                <w:rtl w:val="true"/>
              </w:rPr>
              <w:t xml:space="preserve">بعض إصدارات مجمع الذخائر الإسلامية </w:t>
            </w:r>
            <w:r>
              <w:rPr>
                <w:rStyle w:val="IndexLink"/>
                <w:rtl w:val="true"/>
              </w:rPr>
              <w:t xml:space="preserve">- </w:t>
            </w:r>
            <w:r>
              <w:rPr>
                <w:rStyle w:val="IndexLink"/>
                <w:rtl w:val="true"/>
              </w:rPr>
              <w:t>قم</w:t>
            </w:r>
            <w:r>
              <w:rPr>
                <w:rStyle w:val="IndexLink"/>
                <w:rtl w:val="true"/>
              </w:rPr>
              <w:tab/>
            </w:r>
            <w:r>
              <w:rPr>
                <w:rStyle w:val="IndexLink"/>
              </w:rPr>
              <w:t>443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53_153230"/>
      <w:bookmarkStart w:id="1" w:name="pg15853_153230"/>
      <w:bookmarkEnd w:id="1"/>
    </w:p>
    <w:p>
      <w:pPr>
        <w:pStyle w:val="Heading2"/>
        <w:numPr>
          <w:ilvl w:val="1"/>
          <w:numId w:val="1"/>
        </w:numPr>
        <w:rPr/>
      </w:pPr>
      <w:bookmarkStart w:id="2" w:name="pg15853_153230"/>
      <w:bookmarkStart w:id="3" w:name="__RefHeading___Toc14587037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تقي الرازي النجفي الاصفهاني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صادق الحسيني الإشكوري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الذخائر الإسلامية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الكوثر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تبصرة الفقهاء</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587039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تبصرة الفقهاء</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المحقق و الأصولي المدقق الشيخ محمد تقي الرازي النجفي الإصفهاني قدس سره</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الجزء الثالث</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صادق الحسيني الإشكوري </w:t>
      </w:r>
    </w:p>
    <w:p>
      <w:pPr>
        <w:pStyle w:val="BookText"/>
        <w:rPr/>
      </w:pPr>
      <w:r>
        <w:rPr>
          <w:rFonts w:ascii="IRNazanin" w:hAnsi="IRNazanin" w:eastAsia="IRNazanin"/>
          <w:color w:val="111111"/>
          <w:sz w:val="28"/>
          <w:sz w:val="28"/>
          <w:szCs w:val="28"/>
          <w:rtl w:val="true"/>
          <w:lang w:bidi="fa-IR"/>
        </w:rPr>
        <w:t xml:space="preserve">رازی نجفی اصفهانی، محمد تقی، </w:t>
      </w:r>
      <w:r>
        <w:rPr>
          <w:rFonts w:eastAsia="IRNazanin" w:cs="IRNazanin"/>
          <w:color w:val="111111"/>
          <w:sz w:val="28"/>
          <w:szCs w:val="28"/>
          <w:rtl w:val="true"/>
          <w:lang w:bidi="fa-IR"/>
        </w:rPr>
        <w:t xml:space="preserve">... -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محمد تقی رازی نجفی اصفهانی؛ تحقیق سید صادق حسینی اشكوری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ذخائر اسلامی،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ISBN: 978-988-003-7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كتابنامه به صورت زیرنویس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اشكوری، سید صادق، </w:t>
      </w: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297/3</w:t>
      </w:r>
    </w:p>
    <w:p>
      <w:pPr>
        <w:pStyle w:val="BookText"/>
        <w:rPr/>
      </w:pPr>
      <w:r>
        <w:rPr>
          <w:rFonts w:ascii="Amiri" w:hAnsi="Amiri" w:eastAsia="Amiri" w:cs="Amiri"/>
          <w:color w:val="111111"/>
          <w:sz w:val="28"/>
          <w:sz w:val="28"/>
          <w:szCs w:val="28"/>
          <w:rtl w:val="true"/>
          <w:lang w:bidi="ar-SA"/>
        </w:rPr>
        <w:t xml:space="preserve">تبصرة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تقي الرازي النجفي الاصفهاني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صادق الحسيني الإشكوري</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الذخائر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 ايران</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طبعة الكوثر، الطبعة الأولی</w:t>
      </w:r>
    </w:p>
    <w:p>
      <w:pPr>
        <w:pStyle w:val="BookText"/>
        <w:rPr/>
      </w:pPr>
      <w:r>
        <w:rPr>
          <w:rFonts w:ascii="Amiri" w:hAnsi="Amiri" w:eastAsia="Amiri" w:cs="Amiri"/>
          <w:color w:val="111111"/>
          <w:sz w:val="28"/>
          <w:sz w:val="28"/>
          <w:szCs w:val="28"/>
          <w:rtl w:val="true"/>
          <w:lang w:bidi="ar-SA"/>
        </w:rPr>
        <w:t>ليتوغراف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w:t>
      </w:r>
    </w:p>
    <w:p>
      <w:pPr>
        <w:pStyle w:val="BookText"/>
        <w:rPr/>
      </w:pPr>
      <w:r>
        <w:rPr>
          <w:rFonts w:ascii="Amiri" w:hAnsi="Amiri" w:eastAsia="Amiri" w:cs="Amiri"/>
          <w:color w:val="111111"/>
          <w:sz w:val="28"/>
          <w:sz w:val="28"/>
          <w:szCs w:val="28"/>
          <w:rtl w:val="true"/>
          <w:lang w:bidi="ar-SA"/>
        </w:rPr>
        <w:t>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قمشارع آذرزقاق</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09122524335</w:t>
      </w:r>
    </w:p>
    <w:p>
      <w:pPr>
        <w:pStyle w:val="BookText"/>
        <w:rPr/>
      </w:pPr>
      <w:r>
        <w:rPr>
          <w:rFonts w:eastAsia="Times New Roman" w:cs="Times New Roman" w:ascii="Times New Roman" w:hAnsi="Times New Roman"/>
          <w:color w:val="111111"/>
          <w:sz w:val="28"/>
          <w:szCs w:val="28"/>
          <w:lang w:val="en-US" w:bidi="en-US"/>
        </w:rPr>
        <w:t>www.ismajma.com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www.zakhair.net</w:t>
      </w:r>
      <w:r>
        <w:rPr>
          <w:rFonts w:eastAsia="Times New Roman" w:cs="Times New Roman" w:ascii="Times New Roman" w:hAnsi="Times New Roman"/>
          <w:color w:val="111111"/>
          <w:sz w:val="28"/>
          <w:szCs w:val="28"/>
          <w:rtl w:val="true"/>
          <w:lang w:val="en-US" w:bidi="en-US"/>
        </w:rPr>
        <w:t xml:space="preserve"> </w:t>
      </w:r>
      <w:bookmarkStart w:id="7" w:name="pg15853_153234"/>
    </w:p>
    <w:p>
      <w:pPr>
        <w:pStyle w:val="Heading2"/>
        <w:numPr>
          <w:ilvl w:val="1"/>
          <w:numId w:val="1"/>
        </w:numPr>
        <w:rPr/>
      </w:pPr>
      <w:bookmarkStart w:id="8" w:name="__RefHeading___Toc14587041_2142443653"/>
      <w:bookmarkStart w:id="9" w:name="_Toc3"/>
      <w:bookmarkEnd w:id="7"/>
      <w:bookmarkEnd w:id="8"/>
      <w:r>
        <w:rPr>
          <w:rtl w:val="true"/>
        </w:rPr>
        <w:t>كتاب الزكاة</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4587043_2142443653"/>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853_153236"/>
      <w:bookmarkStart w:id="13" w:name="pg15853_153236"/>
      <w:bookmarkEnd w:id="13"/>
    </w:p>
    <w:p>
      <w:pPr>
        <w:pStyle w:val="Heading3"/>
        <w:numPr>
          <w:ilvl w:val="2"/>
          <w:numId w:val="1"/>
        </w:numPr>
        <w:rPr/>
      </w:pPr>
      <w:bookmarkStart w:id="14" w:name="pg15853_153236"/>
      <w:bookmarkStart w:id="15" w:name="__RefHeading___Toc14587045_2142443653"/>
      <w:bookmarkStart w:id="16" w:name="_Toc5"/>
      <w:bookmarkEnd w:id="14"/>
      <w:bookmarkEnd w:id="15"/>
      <w:r>
        <w:rPr>
          <w:rtl w:val="true"/>
        </w:rPr>
        <w:t>تبصرة</w:t>
      </w:r>
      <w:r>
        <w:rPr>
          <w:rtl w:val="true"/>
        </w:rPr>
        <w:t xml:space="preserve">: [ </w:t>
      </w:r>
      <w:r>
        <w:rPr>
          <w:rtl w:val="true"/>
        </w:rPr>
        <w:t xml:space="preserve">في شرائط وجوب الزكاة </w:t>
      </w:r>
      <w:r>
        <w:rPr>
          <w:rtl w:val="true"/>
        </w:rPr>
        <w:t>]</w:t>
      </w:r>
      <w:bookmarkEnd w:id="16"/>
    </w:p>
    <w:p>
      <w:pPr>
        <w:pStyle w:val="Heading4"/>
        <w:numPr>
          <w:ilvl w:val="3"/>
          <w:numId w:val="1"/>
        </w:numPr>
        <w:rPr/>
      </w:pPr>
      <w:bookmarkStart w:id="17" w:name="__RefHeading___Toc14587047_2142443653"/>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يشترط وجوب الزكاة بكمال المالك بالبلوغ والعقل ، فلا يجب في مال الطفل والمجنون مطلقا على المعروف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عليه في المدارك </w:t>
      </w:r>
      <w:r>
        <w:rPr>
          <w:rStyle w:val="FootnoteAnchor"/>
          <w:rtl w:val="true"/>
        </w:rPr>
        <w:footnoteReference w:id="2"/>
      </w:r>
      <w:r>
        <w:rPr>
          <w:rFonts w:ascii="Amiri" w:hAnsi="Amiri" w:eastAsia="Amiri" w:cs="Amiri"/>
          <w:color w:val="111111"/>
          <w:sz w:val="28"/>
          <w:sz w:val="28"/>
          <w:szCs w:val="28"/>
          <w:rtl w:val="true"/>
          <w:lang w:bidi="ar-SA"/>
        </w:rPr>
        <w:t xml:space="preserve">تبعا لما في المعتبر </w:t>
      </w:r>
      <w:r>
        <w:rPr>
          <w:rStyle w:val="FootnoteAnchor"/>
          <w:rtl w:val="true"/>
        </w:rPr>
        <w:footnoteReference w:id="3"/>
      </w:r>
      <w:r>
        <w:rPr>
          <w:rFonts w:ascii="Amiri" w:hAnsi="Amiri" w:eastAsia="Amiri" w:cs="Amiri"/>
          <w:color w:val="111111"/>
          <w:sz w:val="28"/>
          <w:sz w:val="28"/>
          <w:szCs w:val="28"/>
          <w:rtl w:val="true"/>
          <w:lang w:bidi="ar-SA"/>
        </w:rPr>
        <w:t xml:space="preserve">وغيره من كتب الأصحاب بما دل على رفع القلم عنهما ، وبأنّ أوامر الزكاة لا يتناولهما ، وتكليف </w:t>
      </w:r>
      <w:r>
        <w:rPr>
          <w:rStyle w:val="FootnoteAnchor"/>
          <w:rtl w:val="true"/>
        </w:rPr>
        <w:footnoteReference w:id="4"/>
      </w:r>
      <w:r>
        <w:rPr>
          <w:rFonts w:ascii="Amiri" w:hAnsi="Amiri" w:eastAsia="Amiri" w:cs="Amiri"/>
          <w:color w:val="111111"/>
          <w:sz w:val="28"/>
          <w:sz w:val="28"/>
          <w:szCs w:val="28"/>
          <w:rtl w:val="true"/>
          <w:lang w:bidi="ar-SA"/>
        </w:rPr>
        <w:t xml:space="preserve">الولي بذلك منع </w:t>
      </w:r>
      <w:r>
        <w:rPr>
          <w:rStyle w:val="FootnoteAnchor"/>
          <w:rtl w:val="true"/>
        </w:rPr>
        <w:footnoteReference w:id="5"/>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ويضعف الأوّل أنّ قضية رفع القلم عنهما عدم تعلّق التكليف بالإخراج بهما ، وهو ممّا لا كلام فيه ، إنّما الكلام في تعلّقها بأموالهما يستحق الفقراء بعضا منها ، وليس في رفع القلم عنهما دلالة على عدمه </w:t>
      </w:r>
      <w:r>
        <w:rPr>
          <w:rStyle w:val="FootnoteAnchor"/>
          <w:rtl w:val="true"/>
        </w:rPr>
        <w:footnoteReference w:id="6"/>
      </w:r>
      <w:r>
        <w:rPr>
          <w:rFonts w:ascii="Amiri" w:hAnsi="Amiri" w:eastAsia="Amiri" w:cs="Amiri"/>
          <w:color w:val="111111"/>
          <w:sz w:val="28"/>
          <w:sz w:val="28"/>
          <w:szCs w:val="28"/>
          <w:rtl w:val="true"/>
          <w:lang w:bidi="ar-SA"/>
        </w:rPr>
        <w:t>لظهوره في رفع التكليف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جماعة من الأصحاب إلى شمول الاستحباب والكراهة للأطفال المميّزين ، ومن ثمّ ذهبوا إلى مشروعيّة العبادات الصادرة منهم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الغضّ عن ذلك فليس ثبوت الزكاة في ماله واستحقاق الفقراء شيئا منه حكما واردا على الصبيّ كما أنّه ليس استحقاق المشترى لماله إذا باعه الولي من ثبوت العلم على الطفل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بما قلناه أنّهم ذهبوا إلى استحباب الزكاة في مال الطفل من دون منافاة فيه لرفع القلم المعلوم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جميع ما دلّ على ثبوت الزكاة من قبيل الأوامر ، وما بمعناها لئلا يتناول الصبيّ والمجنون بل جملة منه شاملة لأموالهما كقوله عليه‌السلام </w:t>
      </w:r>
      <w:r>
        <w:rPr>
          <w:rStyle w:val="FootnoteAnchor"/>
          <w:rtl w:val="true"/>
        </w:rPr>
        <w:footnoteReference w:id="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بلغت عشرين دينارا ففيه نصف دينار ، وفيما سقت السماء العشر ، وفي خمس من الإبل شاة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الروايات الكثيرة المسوقة سوق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روايات كثيرة أخرى مشتملة على وضع الرسول صلى‌اللّه‌عليه‌وآله الزكاة على الأجناس </w:t>
      </w:r>
      <w:r>
        <w:rPr>
          <w:rStyle w:val="FootnoteAnchor"/>
          <w:rtl w:val="true"/>
        </w:rPr>
        <w:footnoteReference w:id="9"/>
      </w:r>
      <w:r>
        <w:rPr>
          <w:rFonts w:ascii="Amiri" w:hAnsi="Amiri" w:eastAsia="Amiri" w:cs="Amiri"/>
          <w:color w:val="111111"/>
          <w:sz w:val="28"/>
          <w:sz w:val="28"/>
          <w:szCs w:val="28"/>
          <w:rtl w:val="true"/>
          <w:lang w:bidi="ar-SA"/>
        </w:rPr>
        <w:t xml:space="preserve">التسعة </w:t>
      </w:r>
      <w:r>
        <w:rPr>
          <w:rStyle w:val="FootnoteAnchor"/>
          <w:rtl w:val="true"/>
        </w:rPr>
        <w:footnoteReference w:id="10"/>
      </w:r>
      <w:r>
        <w:rPr>
          <w:rFonts w:ascii="Amiri" w:hAnsi="Amiri" w:eastAsia="Amiri" w:cs="Amiri"/>
          <w:color w:val="111111"/>
          <w:sz w:val="28"/>
          <w:sz w:val="28"/>
          <w:szCs w:val="28"/>
          <w:rtl w:val="true"/>
          <w:lang w:bidi="ar-SA"/>
        </w:rPr>
        <w:t>؛ فانّها تعم ما إذا كانت مملوكة للبالغ العاقل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والمناقشة في إطلاق تلك الروايات لورودها لبيان </w:t>
      </w:r>
      <w:r>
        <w:rPr>
          <w:rStyle w:val="FootnoteAnchor"/>
          <w:rtl w:val="true"/>
        </w:rPr>
        <w:footnoteReference w:id="11"/>
      </w:r>
      <w:r>
        <w:rPr>
          <w:rFonts w:ascii="Amiri" w:hAnsi="Amiri" w:eastAsia="Amiri" w:cs="Amiri"/>
          <w:color w:val="111111"/>
          <w:sz w:val="28"/>
          <w:sz w:val="28"/>
          <w:szCs w:val="28"/>
          <w:rtl w:val="true"/>
          <w:lang w:bidi="ar-SA"/>
        </w:rPr>
        <w:t>حكم آخر لكونها في مقام بيان النصاب في الأخبار الأوّلة وبيان ما يجب فيه الزكاة في الأخيرة ليس على ما ينبغي إذا قضى ما يلزم من ذلك أن لا تكون الإطلاقات المذكورة بتلك المكانة من الظهور ، لأنّها تكون خارجة عن الإطلاق إلى حد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قد يقال من ورودها بيانا لأوامر الزكاة ، فتكون الحال فيها حال تلك الأوامر ، فلا تعمّ أموال غير مكلفين ؛ غير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 عدم شمول الأوامر لأموال </w:t>
      </w:r>
      <w:r>
        <w:rPr>
          <w:rStyle w:val="FootnoteAnchor"/>
          <w:rtl w:val="true"/>
        </w:rPr>
        <w:footnoteReference w:id="12"/>
      </w:r>
      <w:r>
        <w:rPr>
          <w:rFonts w:ascii="Amiri" w:hAnsi="Amiri" w:eastAsia="Amiri" w:cs="Amiri"/>
          <w:color w:val="111111"/>
          <w:sz w:val="28"/>
          <w:sz w:val="28"/>
          <w:szCs w:val="28"/>
          <w:rtl w:val="true"/>
          <w:lang w:bidi="ar-SA"/>
        </w:rPr>
        <w:t>غير المكلفين غير ظاهر أيضا ؛ إذ لا بعد في إرادة وجوب إيتاء الزكاة من المال الذي يكون متسلّطا عليه ، ويكون أمره في الأخذ والإعطاء إليه سواء كان ذلك على سبيل الملكيّة أو الولاية ، وانصراف الإطلاق إلى خصوص الأوّل غير معلوم ، فالرجوع إلى الأصل المذكور ممّا لا وجه له في المقام ، وإنّما المرجع فيه هو الأدلّة خاصة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عدم وجوب الزكاة في مال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المعتبرة المستفيضة المشتملة على </w:t>
      </w:r>
    </w:p>
    <w:p>
      <w:pPr>
        <w:pStyle w:val="BookText"/>
        <w:rPr/>
      </w:pPr>
      <w:r>
        <w:rPr>
          <w:rFonts w:ascii="Amiri" w:hAnsi="Amiri" w:eastAsia="Amiri" w:cs="Amiri"/>
          <w:color w:val="111111"/>
          <w:sz w:val="28"/>
          <w:sz w:val="28"/>
          <w:szCs w:val="28"/>
          <w:rtl w:val="true"/>
          <w:lang w:bidi="ar-SA"/>
        </w:rPr>
        <w:t xml:space="preserve">الصحاح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مال اليتيم زكاة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أخرى ، عن أحدهما عليهما‌السلام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مال اليتيم؟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فيه زكاة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 عن يونس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إلى أبي عبد اللّه عليه‌السلام أنّ لي إخوة صغارا فمتى يجب عليهم الزكاة؟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وجبت عليهم الصلاة وجبت الزكاة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يخالف الناس في مال اليتيم ليس عليه زكاة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مكاتبة </w:t>
      </w:r>
      <w:r>
        <w:rPr>
          <w:rStyle w:val="FootnoteAnchor"/>
          <w:rtl w:val="true"/>
        </w:rPr>
        <w:footnoteReference w:id="18"/>
      </w:r>
      <w:r>
        <w:rPr>
          <w:rFonts w:ascii="IRNazanin" w:hAnsi="IRNazanin" w:eastAsia="IRNazanin"/>
          <w:color w:val="111111"/>
          <w:sz w:val="28"/>
          <w:sz w:val="28"/>
          <w:szCs w:val="28"/>
          <w:rtl w:val="true"/>
          <w:lang w:bidi="fa-IR"/>
        </w:rPr>
        <w:t xml:space="preserve">محمد بن القاسم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يربح </w:t>
      </w:r>
      <w:r>
        <w:rPr>
          <w:rStyle w:val="FootnoteAnchor"/>
          <w:rtl w:val="true"/>
        </w:rPr>
        <w:footnoteReference w:id="20"/>
      </w:r>
      <w:r>
        <w:rPr>
          <w:rFonts w:ascii="Amiri" w:hAnsi="Amiri" w:eastAsia="Amiri" w:cs="Amiri"/>
          <w:color w:val="111111"/>
          <w:sz w:val="28"/>
          <w:sz w:val="28"/>
          <w:szCs w:val="28"/>
          <w:rtl w:val="true"/>
          <w:lang w:bidi="ar-SA"/>
        </w:rPr>
        <w:t xml:space="preserve">زكاة الفطرة عن اليتامى إذا كان لهم مال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زكاة على اليتيم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عدم وجوبه في مال المجنون بالصحيح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في أهلنا مختلطة أعليها زكاة؟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عمل به فعليها الزكاة ، وإن لم يعمل به فلا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الخبر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مصابة ولها مال في يد أخيها ، هل عليها زكاة في مال المجنون واستحبابها إذا اتّجر به وليه وإلّا لم تستحب ،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w:t>
      </w:r>
    </w:p>
    <w:p>
      <w:pPr>
        <w:pStyle w:val="BookText"/>
        <w:rPr/>
      </w:pPr>
      <w:r>
        <w:rPr>
          <w:rFonts w:ascii="Amiri" w:hAnsi="Amiri" w:eastAsia="Amiri" w:cs="Amiri"/>
          <w:color w:val="111111"/>
          <w:sz w:val="28"/>
          <w:sz w:val="28"/>
          <w:szCs w:val="28"/>
          <w:rtl w:val="true"/>
          <w:lang w:bidi="ar-SA"/>
        </w:rPr>
        <w:t xml:space="preserve">أخوها يتّجر به فعليه 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إطلاق منطوق الأولى ومفهوم الثانية عدم ثبوت الزكاة في أموال المجانين مطلقا إلّا في صورة الاتّجار به ، إلّا أنّه يمكن المناقشة بدعوى ظهورهما في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الحكم المذكور بالنسبة إلى النقدين ممّا لا خلاف فيه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إجماعهم عليه جماعة من الأصحاب منهم الشيخ في الخلاف </w:t>
      </w:r>
      <w:r>
        <w:rPr>
          <w:rStyle w:val="FootnoteAnchor"/>
          <w:rtl w:val="true"/>
        </w:rPr>
        <w:footnoteReference w:id="23"/>
      </w:r>
      <w:r>
        <w:rPr>
          <w:rFonts w:ascii="Amiri" w:hAnsi="Amiri" w:eastAsia="Amiri" w:cs="Amiri"/>
          <w:color w:val="111111"/>
          <w:sz w:val="28"/>
          <w:sz w:val="28"/>
          <w:szCs w:val="28"/>
          <w:rtl w:val="true"/>
          <w:lang w:bidi="ar-SA"/>
        </w:rPr>
        <w:t xml:space="preserve">والفاضلان في المعتبر </w:t>
      </w:r>
      <w:r>
        <w:rPr>
          <w:rStyle w:val="FootnoteAnchor"/>
          <w:rtl w:val="true"/>
        </w:rPr>
        <w:footnoteReference w:id="24"/>
      </w:r>
      <w:r>
        <w:rPr>
          <w:rFonts w:ascii="IRNazanin" w:hAnsi="IRNazanin" w:eastAsia="IRNazanin"/>
          <w:color w:val="111111"/>
          <w:sz w:val="28"/>
          <w:sz w:val="28"/>
          <w:szCs w:val="28"/>
          <w:rtl w:val="true"/>
          <w:lang w:bidi="fa-IR"/>
        </w:rPr>
        <w:t xml:space="preserve">والمنتهى </w:t>
      </w:r>
      <w:r>
        <w:rPr>
          <w:rStyle w:val="FootnoteAnchor"/>
          <w:rtl w:val="true"/>
        </w:rPr>
        <w:footnoteReference w:id="25"/>
      </w:r>
      <w:r>
        <w:rPr>
          <w:rFonts w:ascii="Amiri" w:hAnsi="Amiri" w:eastAsia="Amiri" w:cs="Amiri"/>
          <w:color w:val="111111"/>
          <w:sz w:val="28"/>
          <w:sz w:val="28"/>
          <w:szCs w:val="28"/>
          <w:rtl w:val="true"/>
          <w:lang w:bidi="ar-SA"/>
        </w:rPr>
        <w:t xml:space="preserve">والشهيد الثاني في الروضة </w:t>
      </w:r>
      <w:r>
        <w:rPr>
          <w:rStyle w:val="FootnoteAnchor"/>
          <w:rtl w:val="true"/>
        </w:rPr>
        <w:footnoteReference w:id="26"/>
      </w:r>
      <w:r>
        <w:rPr>
          <w:rFonts w:ascii="Amiri" w:hAnsi="Amiri" w:eastAsia="Amiri" w:cs="Amiri"/>
          <w:color w:val="111111"/>
          <w:sz w:val="28"/>
          <w:sz w:val="28"/>
          <w:szCs w:val="28"/>
          <w:rtl w:val="true"/>
          <w:lang w:bidi="ar-SA"/>
        </w:rPr>
        <w:t xml:space="preserve">وسبطه في المدارك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بعد ذلك الروايات المستفيضة ، وقد أشرنا إلى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يعزى إلى ظاهر الطوسي وجوب الزكاة فيهما في مال الطفل حيث أطلق إيجاب الزكاة في ماله ، وليس كذلك لنصّه بعد الإطلاق المذكور بعدم وجوب الزكاة في مال الطفل والمجنون من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وجوب الزكاة في غلات الأطفال ومواشيهم ، فعن الشيخين والقاضي </w:t>
      </w:r>
      <w:r>
        <w:rPr>
          <w:rStyle w:val="FootnoteAnchor"/>
          <w:rtl w:val="true"/>
        </w:rPr>
        <w:footnoteReference w:id="28"/>
      </w:r>
      <w:r>
        <w:rPr>
          <w:rFonts w:ascii="Amiri" w:hAnsi="Amiri" w:eastAsia="Amiri" w:cs="Amiri"/>
          <w:color w:val="111111"/>
          <w:sz w:val="28"/>
          <w:sz w:val="28"/>
          <w:szCs w:val="28"/>
          <w:rtl w:val="true"/>
          <w:lang w:bidi="ar-SA"/>
        </w:rPr>
        <w:t xml:space="preserve">والحلبي </w:t>
      </w:r>
      <w:r>
        <w:rPr>
          <w:rStyle w:val="FootnoteAnchor"/>
          <w:rtl w:val="true"/>
        </w:rPr>
        <w:footnoteReference w:id="29"/>
      </w:r>
      <w:r>
        <w:rPr>
          <w:rFonts w:ascii="Amiri" w:hAnsi="Amiri" w:eastAsia="Amiri" w:cs="Amiri"/>
          <w:color w:val="111111"/>
          <w:sz w:val="28"/>
          <w:sz w:val="28"/>
          <w:szCs w:val="28"/>
          <w:rtl w:val="true"/>
          <w:lang w:bidi="ar-SA"/>
        </w:rPr>
        <w:t xml:space="preserve">والطوسي </w:t>
      </w:r>
      <w:r>
        <w:rPr>
          <w:rStyle w:val="FootnoteAnchor"/>
          <w:rtl w:val="true"/>
        </w:rPr>
        <w:footnoteReference w:id="30"/>
      </w:r>
      <w:r>
        <w:rPr>
          <w:rFonts w:ascii="IRNazanin" w:hAnsi="IRNazanin" w:eastAsia="IRNazanin"/>
          <w:color w:val="111111"/>
          <w:sz w:val="28"/>
          <w:sz w:val="28"/>
          <w:szCs w:val="28"/>
          <w:rtl w:val="true"/>
          <w:lang w:bidi="fa-IR"/>
        </w:rPr>
        <w:t>القول بالوجوب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وعزاه السيد في الناصريات </w:t>
      </w:r>
      <w:r>
        <w:rPr>
          <w:rStyle w:val="FootnoteAnchor"/>
          <w:rtl w:val="true"/>
        </w:rPr>
        <w:footnoteReference w:id="31"/>
      </w:r>
      <w:r>
        <w:rPr>
          <w:rFonts w:ascii="Amiri" w:hAnsi="Amiri" w:eastAsia="Amiri" w:cs="Amiri"/>
          <w:color w:val="111111"/>
          <w:sz w:val="28"/>
          <w:sz w:val="28"/>
          <w:szCs w:val="28"/>
          <w:rtl w:val="true"/>
          <w:lang w:bidi="ar-SA"/>
        </w:rPr>
        <w:t>إلى أكثر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وحكاه العامّة عن أمير المؤمنين ومولانا الحسن عليهما‌السلام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القديمين والسيد والديلمي والحلّي القول بالعدم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واختاره الفاضلان والشهيدان وعامّة المتأخرين بلا خلاف يظهر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غيرة أنه المشهور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ويعزى إلى أكثر القدماء المصير إلى نفي وجوب الزكاة في غلات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لما عرفت من إطلاق الروايات سيّما ما دلّ على ارتباط وجوب الزكاة بوجوب الصلاة الدالّ على اتحاد المناط فيهما ، وخصوص موثقة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مال اليتيم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جميع غلاته من نخل أو زرع أو غلة زكاة ، فإن بلغ فليس عليه لما مضى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لما يستقبل حتى يدرك ، وإذا </w:t>
      </w:r>
      <w:r>
        <w:rPr>
          <w:rStyle w:val="FootnoteAnchor"/>
          <w:rtl w:val="true"/>
        </w:rPr>
        <w:footnoteReference w:id="32"/>
      </w:r>
      <w:r>
        <w:rPr>
          <w:rFonts w:ascii="Amiri" w:hAnsi="Amiri" w:eastAsia="Amiri" w:cs="Amiri"/>
          <w:color w:val="111111"/>
          <w:sz w:val="28"/>
          <w:sz w:val="28"/>
          <w:szCs w:val="28"/>
          <w:rtl w:val="true"/>
          <w:lang w:bidi="ar-SA"/>
        </w:rPr>
        <w:t xml:space="preserve">أدرك كانت عليه زكاة واحدة ، وكان عليه مثل ما على غيره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تأيده بالأصل ، والاستصحاب ، والشهرة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الفاضلين ، عن الصادقين عليه‌السلام </w:t>
      </w:r>
      <w:r>
        <w:rPr>
          <w:rStyle w:val="FootnoteAnchor"/>
          <w:rtl w:val="true"/>
        </w:rPr>
        <w:footnoteReference w:id="33"/>
      </w:r>
      <w:r>
        <w:rPr>
          <w:rFonts w:ascii="Amiri" w:hAnsi="Amiri" w:eastAsia="Amiri" w:cs="Amiri"/>
          <w:color w:val="111111"/>
          <w:sz w:val="28"/>
          <w:sz w:val="28"/>
          <w:szCs w:val="28"/>
          <w:rtl w:val="true"/>
          <w:lang w:bidi="ar-SA"/>
        </w:rPr>
        <w:t xml:space="preserve">أنّهما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اليتيم ليس عليه في العين والصامت شي‌ء وأمّا الغلات فانّ عليها الصدقة واجبة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موافقته للاحتياط كما ذكره في النافع ، بل ربّما يحتج بالاحتياط كما قد يستفاد من المعتبر </w:t>
      </w:r>
      <w:r>
        <w:rPr>
          <w:rStyle w:val="FootnoteAnchor"/>
          <w:rtl w:val="true"/>
        </w:rPr>
        <w:footnoteReference w:id="34"/>
      </w:r>
      <w:r>
        <w:rPr>
          <w:rFonts w:ascii="Amiri" w:hAnsi="Amiri" w:eastAsia="Amiri" w:cs="Amiri"/>
          <w:color w:val="111111"/>
          <w:sz w:val="28"/>
          <w:sz w:val="28"/>
          <w:szCs w:val="28"/>
          <w:rtl w:val="true"/>
          <w:lang w:bidi="ar-SA"/>
        </w:rPr>
        <w:t>؛ نظرا إلى دوران الأمر فيه بين الوجوب والاستحباب ؛ لضعف البناء على عدم الثبوت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ضعفه ؛ إذ بعد تسليم موافقته للاحتياط لا دليل على وجوب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كما ترى غير صريحة في الوجوب المصطلح ، فلتحمل على مطلق الثبوت المراد بها الندب في المقام ؛ جمعا بينها وبين ما دلّ على عدم الوجوب ممّا تقدّمت الإشارة إليه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موافقتها للعامة حيث إنّ القول به مذهب فقهاء الجمهور كما حكاه في المنتهى </w:t>
      </w:r>
      <w:r>
        <w:rPr>
          <w:rStyle w:val="FootnoteAnchor"/>
          <w:rtl w:val="true"/>
        </w:rPr>
        <w:footnoteReference w:id="35"/>
      </w:r>
      <w:r>
        <w:rPr>
          <w:rFonts w:ascii="Amiri" w:hAnsi="Amiri" w:eastAsia="Amiri" w:cs="Amiri"/>
          <w:color w:val="111111"/>
          <w:sz w:val="28"/>
          <w:sz w:val="28"/>
          <w:szCs w:val="28"/>
          <w:rtl w:val="true"/>
          <w:lang w:bidi="ar-SA"/>
        </w:rPr>
        <w:t xml:space="preserve">، وعزاه في المعتبر </w:t>
      </w:r>
      <w:r>
        <w:rPr>
          <w:rStyle w:val="FootnoteAnchor"/>
          <w:rtl w:val="true"/>
        </w:rPr>
        <w:footnoteReference w:id="36"/>
      </w:r>
      <w:r>
        <w:rPr>
          <w:rFonts w:ascii="Amiri" w:hAnsi="Amiri" w:eastAsia="Amiri" w:cs="Amiri"/>
          <w:color w:val="111111"/>
          <w:sz w:val="28"/>
          <w:sz w:val="28"/>
          <w:szCs w:val="28"/>
          <w:rtl w:val="true"/>
          <w:lang w:bidi="ar-SA"/>
        </w:rPr>
        <w:t>إلى أئمتهم الثلاثة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 الرواية إنّما تفيد ثبوتها في الغلات دون المواشي ، فلا توافق تمام المدّعى ، بل تفيد عدم الوجوب في المواشي إن لم نجعل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العطف ، والظاهر من رجحان التأسيس على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روي ذلك في بعض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مال اليتيم في الدين والمال الصامت شي‌ء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ربّما يفيد ثبوته في المواشي لمفهوم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المعتبر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مال اليتيم العين شي‌ء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اعترف جماعة منهم الفاضلان في المعتبر </w:t>
      </w:r>
      <w:r>
        <w:rPr>
          <w:rStyle w:val="FootnoteAnchor"/>
          <w:rtl w:val="true"/>
        </w:rPr>
        <w:footnoteReference w:id="39"/>
      </w:r>
      <w:r>
        <w:rPr>
          <w:rFonts w:ascii="IRNazanin" w:hAnsi="IRNazanin" w:eastAsia="IRNazanin"/>
          <w:color w:val="111111"/>
          <w:sz w:val="28"/>
          <w:sz w:val="28"/>
          <w:szCs w:val="28"/>
          <w:rtl w:val="true"/>
          <w:lang w:bidi="fa-IR"/>
        </w:rPr>
        <w:t xml:space="preserve">والمنتهى </w:t>
      </w:r>
      <w:r>
        <w:rPr>
          <w:rStyle w:val="FootnoteAnchor"/>
          <w:rtl w:val="true"/>
        </w:rPr>
        <w:footnoteReference w:id="40"/>
      </w:r>
      <w:r>
        <w:rPr>
          <w:rFonts w:ascii="Amiri" w:hAnsi="Amiri" w:eastAsia="Amiri" w:cs="Amiri"/>
          <w:color w:val="111111"/>
          <w:sz w:val="28"/>
          <w:sz w:val="28"/>
          <w:szCs w:val="28"/>
          <w:rtl w:val="true"/>
          <w:lang w:bidi="ar-SA"/>
        </w:rPr>
        <w:t xml:space="preserve">والسيد في المدارك </w:t>
      </w:r>
      <w:r>
        <w:rPr>
          <w:rStyle w:val="FootnoteAnchor"/>
          <w:rtl w:val="true"/>
        </w:rPr>
        <w:footnoteReference w:id="41"/>
      </w:r>
      <w:r>
        <w:rPr>
          <w:rFonts w:ascii="Amiri" w:hAnsi="Amiri" w:eastAsia="Amiri" w:cs="Amiri"/>
          <w:color w:val="111111"/>
          <w:sz w:val="28"/>
          <w:sz w:val="28"/>
          <w:szCs w:val="28"/>
          <w:rtl w:val="true"/>
          <w:lang w:bidi="ar-SA"/>
        </w:rPr>
        <w:t>بعدم الوقوف على مستند لهم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يحتج لهم بالإطلاقات الدالّة على ثبوت الزكاة في المواشي ممّا أشرنا إليها ؛ لعدم اختصاصها بمال البالغ ، ومفهوم الوصف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ويضعفه ما عرفت ممّا دلّ على عدم ثبوت الزكاة في مال الطفل مطلقا سيّما الموثقة المتقدمة ، وكون التعارض بينهما من قبيل العموم من وجه لا ينافي الاحتجاج بها ؛ لوضوح قوّة تلك العمومات وأظهر منها في الإطلاق ، وموافقتها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تكافئهما فالمرجع حينئذ إلى الأصل ، وهو كاف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من مفهوم الوصف فمع ضعفه في الدلالة بل عدم حجيته كما هو الأظهر موهون باضطراب متن الرواية في المقام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الغلات فإن عليها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يفيد بمفهوم المخالفة عدم وجوبها في </w:t>
      </w:r>
    </w:p>
    <w:p>
      <w:pPr>
        <w:pStyle w:val="BookText"/>
        <w:rPr/>
      </w:pP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أيضا في غلات المجنون ومواشيه ، فعن الشيخين </w:t>
      </w:r>
      <w:r>
        <w:rPr>
          <w:rStyle w:val="FootnoteAnchor"/>
          <w:rtl w:val="true"/>
        </w:rPr>
        <w:footnoteReference w:id="42"/>
      </w:r>
      <w:r>
        <w:rPr>
          <w:rFonts w:ascii="Amiri" w:hAnsi="Amiri" w:eastAsia="Amiri" w:cs="Amiri"/>
          <w:color w:val="111111"/>
          <w:sz w:val="28"/>
          <w:sz w:val="28"/>
          <w:szCs w:val="28"/>
          <w:rtl w:val="true"/>
          <w:lang w:bidi="ar-SA"/>
        </w:rPr>
        <w:t xml:space="preserve">والقاضي </w:t>
      </w:r>
      <w:r>
        <w:rPr>
          <w:rStyle w:val="FootnoteAnchor"/>
          <w:rtl w:val="true"/>
        </w:rPr>
        <w:footnoteReference w:id="43"/>
      </w:r>
      <w:r>
        <w:rPr>
          <w:rFonts w:ascii="Amiri" w:hAnsi="Amiri" w:eastAsia="Amiri" w:cs="Amiri"/>
          <w:color w:val="111111"/>
          <w:sz w:val="28"/>
          <w:sz w:val="28"/>
          <w:szCs w:val="28"/>
          <w:rtl w:val="true"/>
          <w:lang w:bidi="ar-SA"/>
        </w:rPr>
        <w:t xml:space="preserve">والحلبي </w:t>
      </w:r>
      <w:r>
        <w:rPr>
          <w:rStyle w:val="FootnoteAnchor"/>
          <w:rtl w:val="true"/>
        </w:rPr>
        <w:footnoteReference w:id="44"/>
      </w:r>
      <w:r>
        <w:rPr>
          <w:rFonts w:ascii="Amiri" w:hAnsi="Amiri" w:eastAsia="Amiri" w:cs="Amiri"/>
          <w:color w:val="111111"/>
          <w:sz w:val="28"/>
          <w:sz w:val="28"/>
          <w:szCs w:val="28"/>
          <w:rtl w:val="true"/>
          <w:lang w:bidi="ar-SA"/>
        </w:rPr>
        <w:t>إلحاقه بالطفل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واعترف جماعة بعدم العثور على مستنده سوى حمله على الطفل ؛ لاشتراكهما في عدم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قياس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عرفت من عدم قيام دليل بيّن على ثبوت الزكاة في مواشي الطفل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يمكن الاحتجاج لهم بالإطلاقات المتقدّمة مع استظهار اختصاص ما دلّ على سقوط الزكاة عن المجنون بالنقدين حسبما مرّت الإشارة إليه ، فيبقى الباقي تحت الإطلاقات من غير ظهور ما يقيّدها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ويدفعه أنّ ظاهر إطلاق الروايتين المذكورتين يعمّ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انصرافهما على النقدين غير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يخلو ظاهره عن إشعار بذلك ، وكونه صارفا للعبارة عن ظاهر إطلاقها غير ظاهر ، سيّما مع اعتضاده بالأصل ، والشهرة بين الأصحاب ، وموافقته لما ورد في الطفل ؛ لاشتراكهما في انتفاء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دلّ على كون التكليف بالزكاة ملازما للتكليف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ظاهر صحيحة يونس بن يعقوب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ويومي إليه الموثقة المذكورة وصحيحة الفضلاء عن الصادقين </w:t>
      </w:r>
      <w:r>
        <w:rPr>
          <w:rStyle w:val="FootnoteAnchor"/>
          <w:rtl w:val="true"/>
        </w:rPr>
        <w:footnoteReference w:id="45"/>
      </w:r>
      <w:r>
        <w:rPr>
          <w:rFonts w:ascii="Amiri" w:hAnsi="Amiri" w:eastAsia="Amiri" w:cs="Amiri"/>
          <w:color w:val="111111"/>
          <w:sz w:val="28"/>
          <w:sz w:val="28"/>
          <w:szCs w:val="28"/>
          <w:rtl w:val="true"/>
          <w:lang w:bidi="ar-SA"/>
        </w:rPr>
        <w:t xml:space="preserve">عليهم‌السلام قال </w:t>
      </w:r>
      <w:r>
        <w:rPr>
          <w:rStyle w:val="FootnoteAnchor"/>
          <w:rtl w:val="true"/>
        </w:rPr>
        <w:footnoteReference w:id="4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فرض اللّه عزوجل الزكاة مع الصلاة في الأموال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فيفيد ذلك كون المناط في ارتفاعه عن الصبي هو انتفاء التكليف الحاصل في المجنون </w:t>
      </w:r>
      <w:bookmarkStart w:id="19" w:name="pg15853_153243"/>
    </w:p>
    <w:p>
      <w:pPr>
        <w:pStyle w:val="BookText"/>
        <w:rPr/>
      </w:pPr>
      <w:bookmarkEnd w:id="19"/>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4587049_2142443653"/>
      <w:bookmarkStart w:id="21" w:name="_Toc7"/>
      <w:bookmarkEnd w:id="20"/>
      <w:r>
        <w:rPr>
          <w:rtl w:val="true"/>
        </w:rPr>
        <w:t xml:space="preserve">[ </w:t>
      </w:r>
      <w:r>
        <w:rPr>
          <w:rtl w:val="true"/>
        </w:rPr>
        <w:t xml:space="preserve">تتميم </w:t>
      </w:r>
      <w:r>
        <w:rPr>
          <w:rtl w:val="true"/>
        </w:rPr>
        <w:t>]</w:t>
      </w:r>
      <w:bookmarkEnd w:id="21"/>
    </w:p>
    <w:p>
      <w:pPr>
        <w:pStyle w:val="BookText"/>
        <w:rPr/>
      </w:pPr>
      <w:r>
        <w:rPr>
          <w:rFonts w:ascii="IRNazanin" w:hAnsi="IRNazanin" w:eastAsia="IRNazanin"/>
          <w:color w:val="111111"/>
          <w:sz w:val="28"/>
          <w:sz w:val="28"/>
          <w:szCs w:val="28"/>
          <w:rtl w:val="true"/>
          <w:lang w:bidi="fa-IR"/>
        </w:rPr>
        <w:t xml:space="preserve">هذا ، ولنتمّم </w:t>
      </w:r>
      <w:r>
        <w:rPr>
          <w:rStyle w:val="FootnoteAnchor"/>
          <w:rtl w:val="true"/>
        </w:rPr>
        <w:footnoteReference w:id="47"/>
      </w:r>
      <w:r>
        <w:rPr>
          <w:rFonts w:ascii="Amiri" w:hAnsi="Amiri" w:eastAsia="Amiri" w:cs="Amiri"/>
          <w:color w:val="111111"/>
          <w:sz w:val="28"/>
          <w:sz w:val="28"/>
          <w:szCs w:val="28"/>
          <w:rtl w:val="true"/>
          <w:lang w:bidi="ar-SA"/>
        </w:rPr>
        <w:t xml:space="preserve">الكلام في المرام برسم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نصّ جماعة باستحباب الزكاة في غلات الطفل والمجنون ومواشيهما ، وربّما يعزى ذلك إلى جميع القائلين بعدم وجوب الزكاة في أموالهما عدا من نشير إلى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في الشرائع </w:t>
      </w:r>
      <w:r>
        <w:rPr>
          <w:rStyle w:val="FootnoteAnchor"/>
          <w:rtl w:val="true"/>
        </w:rPr>
        <w:footnoteReference w:id="48"/>
      </w:r>
      <w:r>
        <w:rPr>
          <w:rFonts w:ascii="Amiri" w:hAnsi="Amiri" w:eastAsia="Amiri" w:cs="Amiri"/>
          <w:color w:val="111111"/>
          <w:sz w:val="28"/>
          <w:sz w:val="28"/>
          <w:szCs w:val="28"/>
          <w:rtl w:val="true"/>
          <w:lang w:bidi="ar-SA"/>
        </w:rPr>
        <w:t>بين الطفل والمجنون ، فحكم باستحباب الزكاة في غلات الأوّل ومواشيه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المختار عند جماعة من المتأخرين إلّا في استحبابه في مواشي الطفل ، فاستشكل فيه في المدارك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وظاهره نفي ذلك ، وهو الظاهر من المحقق الأردبيلي </w:t>
      </w:r>
      <w:r>
        <w:rPr>
          <w:rStyle w:val="FootnoteAnchor"/>
          <w:rtl w:val="true"/>
        </w:rPr>
        <w:footnoteReference w:id="50"/>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واستظهره في الذخيرة </w:t>
      </w:r>
      <w:r>
        <w:rPr>
          <w:rStyle w:val="FootnoteAnchor"/>
          <w:rtl w:val="true"/>
        </w:rPr>
        <w:footnoteReference w:id="51"/>
      </w:r>
      <w:r>
        <w:rPr>
          <w:rFonts w:ascii="IRNazanin" w:hAnsi="IRNazanin" w:eastAsia="IRNazanin"/>
          <w:color w:val="111111"/>
          <w:sz w:val="28"/>
          <w:sz w:val="28"/>
          <w:szCs w:val="28"/>
          <w:rtl w:val="true"/>
          <w:lang w:bidi="fa-IR"/>
        </w:rPr>
        <w:t>، وهو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استحبابها في غلات الطفل فللصحيحة المتقدّمة المحمولة على الندب بملاحظة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بأنّ ظاهر الرواية الوجوب ، وعدم مكافئتها لما دلّ على عدم الوجوب إنّما يقضي بترجيح الرواية الأخرى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وحملها على الندب من باب الحمل التبرّعي لا يصحّح الاستناد في ذلك إليه من دون ورود دليل آخر يكون شاهدا على حملها عليه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دفعها بما مرّ من عدم صراحة لفظ الوجوب في الوجوب </w:t>
      </w:r>
      <w:r>
        <w:rPr>
          <w:rStyle w:val="FootnoteAnchor"/>
          <w:rtl w:val="true"/>
        </w:rPr>
        <w:footnoteReference w:id="52"/>
      </w:r>
      <w:r>
        <w:rPr>
          <w:rFonts w:ascii="Amiri" w:hAnsi="Amiri" w:eastAsia="Amiri" w:cs="Amiri"/>
          <w:color w:val="111111"/>
          <w:sz w:val="28"/>
          <w:sz w:val="28"/>
          <w:szCs w:val="28"/>
          <w:rtl w:val="true"/>
          <w:lang w:bidi="ar-SA"/>
        </w:rPr>
        <w:t>المصطلح بخصوصه بل عدم دلالته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في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في ذلك ، وهو لا يكافئ ما دلّ على عدم الوجوب ، فيكون ذلك قرينة على إرادة الندب منه سيّما بعد اعتضاده بالشهرة المعلومة بل الاتفاق عليه فيما يظهر ؛ إذ لم نعثر على مخالف في مطلق رجحان الإخراج ويلوح حكاية الإجماع عليه من مجمع البرهان </w:t>
      </w:r>
      <w:r>
        <w:rPr>
          <w:rStyle w:val="FootnoteAnchor"/>
          <w:rtl w:val="true"/>
        </w:rPr>
        <w:footnoteReference w:id="53"/>
      </w:r>
      <w:r>
        <w:rPr>
          <w:rFonts w:ascii="Amiri" w:hAnsi="Amiri" w:eastAsia="Amiri" w:cs="Amiri"/>
          <w:color w:val="111111"/>
          <w:sz w:val="28"/>
          <w:sz w:val="28"/>
          <w:szCs w:val="28"/>
          <w:rtl w:val="true"/>
          <w:lang w:bidi="ar-SA"/>
        </w:rPr>
        <w:t>فلا مجال للمناقشة في الاستحباب بعد دفع الوجوب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يلوح من السرائر </w:t>
      </w:r>
      <w:r>
        <w:rPr>
          <w:rStyle w:val="FootnoteAnchor"/>
          <w:rtl w:val="true"/>
        </w:rPr>
        <w:footnoteReference w:id="54"/>
      </w:r>
      <w:r>
        <w:rPr>
          <w:rFonts w:ascii="Amiri" w:hAnsi="Amiri" w:eastAsia="Amiri" w:cs="Amiri"/>
          <w:color w:val="111111"/>
          <w:sz w:val="28"/>
          <w:sz w:val="28"/>
          <w:szCs w:val="28"/>
          <w:rtl w:val="true"/>
          <w:lang w:bidi="ar-SA"/>
        </w:rPr>
        <w:t>منع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عزا في البيان </w:t>
      </w:r>
      <w:r>
        <w:rPr>
          <w:rStyle w:val="FootnoteAnchor"/>
          <w:rtl w:val="true"/>
        </w:rPr>
        <w:footnoteReference w:id="55"/>
      </w:r>
      <w:r>
        <w:rPr>
          <w:rFonts w:ascii="Amiri" w:hAnsi="Amiri" w:eastAsia="Amiri" w:cs="Amiri"/>
          <w:color w:val="111111"/>
          <w:sz w:val="28"/>
          <w:sz w:val="28"/>
          <w:szCs w:val="28"/>
          <w:rtl w:val="true"/>
          <w:lang w:bidi="ar-SA"/>
        </w:rPr>
        <w:t>إلى ظاهره منعه لاستحباب الزكاة في مال الطفل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وضعفه ظاهر ممّا قررناه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عدم استحباب في مواشي الطفل وغلات المجنون ومواشيه فلعدم العثور فيه على مستند كما اعترف به جماعة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مناط في المقام ليمكن تسرية الحكم من غلات الطفل إلى مواشيه ومنه إلى المجنون ، كيف ولو كان كذلك لجرى في تعديه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اتّحاد حكم الطفل والمجنون غالبا لا ينهض حجّة شرعيّة حتّى يمكن لذلك انسحاب الحكم من الطفل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عدم الخلاف في اتحاد حكمهما في المقام وجوبا واستحبابا غير ظاهر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حكى في الإيضاح </w:t>
      </w:r>
      <w:r>
        <w:rPr>
          <w:rStyle w:val="FootnoteAnchor"/>
          <w:rtl w:val="true"/>
        </w:rPr>
        <w:footnoteReference w:id="56"/>
      </w:r>
      <w:r>
        <w:rPr>
          <w:rFonts w:ascii="Amiri" w:hAnsi="Amiri" w:eastAsia="Amiri" w:cs="Amiri"/>
          <w:color w:val="111111"/>
          <w:sz w:val="28"/>
          <w:sz w:val="28"/>
          <w:szCs w:val="28"/>
          <w:rtl w:val="true"/>
          <w:lang w:bidi="ar-SA"/>
        </w:rPr>
        <w:t>عن الطوسي دعوى الإجماع على عدم الفصل بين القول بوجوبه في غلات الطفل ووجوبه في مواشيه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فيه على عدم الفصل في الاستحباب فلا يصحّ هدم القواعد الثابتة المقرّرة بمجرد الوجوه المذكورة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والتسامح في أدلّة السنن غير جار في المقام ؛ لدوران الأمر بين المندوب والحرام ؛ لكونه إتلافا لمال المولى عليه من غير مصلحة مالية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لو قيل باستحباب إخراجهما للزكاة بعد كمالهما وبقاء العين لم يكن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نصّ جماعة من الأصحاب بأنّه لو اتّجر الولي بمال الطفل لأجله استحب له إخراج الزكاة عنه وإن اتّجر به لنفسه وكان مليا كان له الربح واستحبّ له إخراج الزكاة من نفسه ، وإلّا كان الربح لليتيم ولا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المتّجر بمال الطفل إمّا أن يكون وليا ومن بمنزلته أو لا ، وعلى التقديرين إمّا أن يكون مليا أو لا ، وعلى التقادير إمّا أن يكون </w:t>
      </w:r>
      <w:r>
        <w:rPr>
          <w:rStyle w:val="FootnoteAnchor"/>
          <w:rtl w:val="true"/>
        </w:rPr>
        <w:footnoteReference w:id="57"/>
      </w:r>
      <w:r>
        <w:rPr>
          <w:rFonts w:ascii="Amiri" w:hAnsi="Amiri" w:eastAsia="Amiri" w:cs="Amiri"/>
          <w:color w:val="111111"/>
          <w:sz w:val="28"/>
          <w:sz w:val="28"/>
          <w:szCs w:val="28"/>
          <w:rtl w:val="true"/>
          <w:lang w:bidi="ar-SA"/>
        </w:rPr>
        <w:t>الاتّجار للطفل أو لا ، وعلى صور عدم الولاية إمّا أن يتعقّبه الإجازة من الولي للمتّجر أو للطفل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إمّا أن يكون في ضمان مال الطفل أو وقوع المعاملة </w:t>
      </w:r>
      <w:r>
        <w:rPr>
          <w:rStyle w:val="FootnoteAnchor"/>
          <w:rtl w:val="true"/>
        </w:rPr>
        <w:footnoteReference w:id="58"/>
      </w:r>
      <w:r>
        <w:rPr>
          <w:rFonts w:ascii="Amiri" w:hAnsi="Amiri" w:eastAsia="Amiri" w:cs="Amiri"/>
          <w:color w:val="111111"/>
          <w:sz w:val="28"/>
          <w:sz w:val="28"/>
          <w:szCs w:val="28"/>
          <w:rtl w:val="true"/>
          <w:lang w:bidi="ar-SA"/>
        </w:rPr>
        <w:t>مصلحة له أو دفع مفسدة عنه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ولنفصّل الكلام في ذلك برسم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الاتّجار من الولي للطفل ، ويكون الربح حينئذ للطفل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للولي إخراج الزكاة عنه مع حصول الشرائط الآتية في زكاة التجارة ، على المعروف من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وعزاه في المعتبر </w:t>
      </w:r>
      <w:r>
        <w:rPr>
          <w:rStyle w:val="FootnoteAnchor"/>
          <w:rtl w:val="true"/>
        </w:rPr>
        <w:footnoteReference w:id="59"/>
      </w:r>
      <w:r>
        <w:rPr>
          <w:rFonts w:ascii="IRNazanin" w:hAnsi="IRNazanin" w:eastAsia="IRNazanin"/>
          <w:color w:val="111111"/>
          <w:sz w:val="28"/>
          <w:sz w:val="28"/>
          <w:szCs w:val="28"/>
          <w:rtl w:val="true"/>
          <w:lang w:bidi="fa-IR"/>
        </w:rPr>
        <w:t>إلى علمائنا أجمع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المنتهى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فتوى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الغنية </w:t>
      </w:r>
      <w:r>
        <w:rPr>
          <w:rStyle w:val="FootnoteAnchor"/>
          <w:rtl w:val="true"/>
        </w:rPr>
        <w:footnoteReference w:id="61"/>
      </w:r>
      <w:r>
        <w:rPr>
          <w:rFonts w:ascii="Amiri" w:hAnsi="Amiri" w:eastAsia="Amiri" w:cs="Amiri"/>
          <w:color w:val="111111"/>
          <w:sz w:val="28"/>
          <w:sz w:val="28"/>
          <w:szCs w:val="28"/>
          <w:rtl w:val="true"/>
          <w:lang w:bidi="ar-SA"/>
        </w:rPr>
        <w:t xml:space="preserve">ونهاية </w:t>
      </w:r>
      <w:r>
        <w:rPr>
          <w:rStyle w:val="FootnoteAnchor"/>
          <w:rtl w:val="true"/>
        </w:rPr>
        <w:footnoteReference w:id="62"/>
      </w:r>
      <w:r>
        <w:rPr>
          <w:rFonts w:ascii="Amiri" w:hAnsi="Amiri" w:eastAsia="Amiri" w:cs="Amiri"/>
          <w:color w:val="111111"/>
          <w:sz w:val="28"/>
          <w:sz w:val="28"/>
          <w:szCs w:val="28"/>
          <w:rtl w:val="true"/>
          <w:lang w:bidi="ar-SA"/>
        </w:rPr>
        <w:t>الإحكام حكاية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بعد ذلك المعتبرة المستفيضة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على مال اليتيم زكاة؟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إلّا أن يتّجر به أو تعمل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صحيحة الآخرين </w:t>
      </w:r>
      <w:r>
        <w:rPr>
          <w:rStyle w:val="FootnoteAnchor"/>
          <w:rtl w:val="true"/>
        </w:rPr>
        <w:footnoteReference w:id="6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مال اليتيم زكاة إلّا أن يتّجر به ، فإن اتّجر به ففيه الزكاة ، والربح لليتيم ، وعلى التاجر ضمان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ذيل الرواية كون المفروض فيها وقوع الاتّجار عن غير الولي أو عنه لا على الوجه المشروع ، وإلّا فلا وجه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فهي حينئذ تدل </w:t>
      </w:r>
      <w:r>
        <w:rPr>
          <w:rStyle w:val="FootnoteAnchor"/>
          <w:rtl w:val="true"/>
        </w:rPr>
        <w:footnoteReference w:id="65"/>
      </w:r>
      <w:r>
        <w:rPr>
          <w:rFonts w:ascii="IRNazanin" w:hAnsi="IRNazanin" w:eastAsia="IRNazanin"/>
          <w:color w:val="111111"/>
          <w:sz w:val="28"/>
          <w:sz w:val="28"/>
          <w:szCs w:val="28"/>
          <w:rtl w:val="true"/>
          <w:lang w:bidi="fa-IR"/>
        </w:rPr>
        <w:t>على المدّعى بالأولى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مال اليتيم زكاة إلّا أن يتّجر به ، فإن اتّجر به فالربح لليتيم ، وإن وضع فعلى الذي يتّجر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كالرواية السابقة دلالتها </w:t>
      </w:r>
      <w:r>
        <w:rPr>
          <w:rStyle w:val="FootnoteAnchor"/>
          <w:rtl w:val="true"/>
        </w:rPr>
        <w:footnoteReference w:id="66"/>
      </w:r>
      <w:r>
        <w:rPr>
          <w:rFonts w:ascii="Amiri" w:hAnsi="Amiri" w:eastAsia="Amiri" w:cs="Amiri"/>
          <w:color w:val="111111"/>
          <w:sz w:val="28"/>
          <w:sz w:val="28"/>
          <w:szCs w:val="28"/>
          <w:rtl w:val="true"/>
          <w:lang w:bidi="ar-SA"/>
        </w:rPr>
        <w:t>على المدّعى بالأولوية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يونس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إلى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مرّت الاشارة إليه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 يجب عليهم الصلاة؟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اتّجر به فزكاة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w:t>
      </w:r>
      <w:r>
        <w:rPr>
          <w:rStyle w:val="FootnoteAnchor"/>
          <w:rtl w:val="true"/>
        </w:rPr>
        <w:footnoteReference w:id="67"/>
      </w:r>
      <w:r>
        <w:rPr>
          <w:rFonts w:ascii="Amiri" w:hAnsi="Amiri" w:eastAsia="Amiri" w:cs="Amiri"/>
          <w:color w:val="111111"/>
          <w:sz w:val="28"/>
          <w:sz w:val="28"/>
          <w:szCs w:val="28"/>
          <w:rtl w:val="true"/>
          <w:lang w:bidi="ar-SA"/>
        </w:rPr>
        <w:t xml:space="preserve">إلى عمر بن أبي شعبة ، عن الصادق عليه‌السلام أنه سئل عن مال اليتيم؟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زكاة عليه إلّا أن يعمل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الروايات المستفيضة المؤيّدة بعمل الطائفة تقيّد الإطلاقات الكثيرة الدالّة على نفي الزكاة عن مال اليتيم كما هو قضية الأصل في حمل المطلق على المقيّد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يستشكل في المقام بأنّ ثبوت الزكاة هنا فرع ثبوتها في مال التجارة ؛ إذ لا يزيد حكم مال الطفل على غيره ، والأخبار هناك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ثبوت الزكاة فيه مذهب العامّة وظاهر الأخبار الواردة هناك هو الوجوب أيضا على طبق ما ذهبوا إليه فيحتمل حينئذ قويّا </w:t>
      </w:r>
    </w:p>
    <w:p>
      <w:pPr>
        <w:pStyle w:val="BookText"/>
        <w:rPr/>
      </w:pPr>
      <w:r>
        <w:rPr>
          <w:rFonts w:ascii="Amiri" w:hAnsi="Amiri" w:eastAsia="Amiri" w:cs="Amiri"/>
          <w:color w:val="111111"/>
          <w:sz w:val="28"/>
          <w:sz w:val="28"/>
          <w:szCs w:val="28"/>
          <w:rtl w:val="true"/>
          <w:lang w:bidi="ar-SA"/>
        </w:rPr>
        <w:t xml:space="preserve">حمل تلك الأخبار على التقية ، وكذا في </w:t>
      </w:r>
      <w:r>
        <w:rPr>
          <w:rStyle w:val="FootnoteAnchor"/>
          <w:rtl w:val="true"/>
        </w:rPr>
        <w:footnoteReference w:id="68"/>
      </w:r>
      <w:r>
        <w:rPr>
          <w:rFonts w:ascii="Amiri" w:hAnsi="Amiri" w:eastAsia="Amiri" w:cs="Amiri"/>
          <w:color w:val="111111"/>
          <w:sz w:val="28"/>
          <w:sz w:val="28"/>
          <w:szCs w:val="28"/>
          <w:rtl w:val="true"/>
          <w:lang w:bidi="ar-SA"/>
        </w:rPr>
        <w:t>المقام حيث إنّه العمدة في وجه اختلاف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حملها على التقيّة لا يبقى فيها حجة على ما ذكروه ، فلا يتجه القول باستحباب زكاة التجارة ، ومعه فلا يتم الكلام المذكور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يجري الكلام المذكور في المقام أيضا ؛ لما عرفت من الإطلاقات النافية للزكاة في مال الأيتام الظاهرة في نفيها على سبيل الوجوب والاستحباب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الإشكال المذكور وإن كان متّجها إلّا أن شهرة القول باستحباب زكاة التجارة بين علمائنا قديما وحديثا شاهد على حمل تلك الروايات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صراحتها في الوجوب ، فيمكن جعل الأخبار النافية للوجوب قرينة على إرادة الندب منها كما سيجي‌ء الإشارة إليها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الواردة في المقام مؤيّدة لذلك ، ولا معارض لها سوى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اشتهار الحكم به في المقام ، وما عرفت من الإجماعات المحكية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الروايات في المقام صريحة في الوجوب ليبعد حملها على الندب ، بل غاية الأمر ظهورها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وحملها على الندب بعد ملاحظة ما دلّ على عدم الوجوب في غاية القرب ، بل ذلك هو الشاهد على الحمل المذكور ؛ لكون بعض أخبارهم عليهم‌السلام كاشفا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ظهور بعضها في الاستحباب كصحيحة يونس بن يعقوب النافية لوجوب الزكاة في مال اليتيم المشتملة على ارتباط وجوب الزكاة بوجوب الصلاة ؛ فإنّ قوله عليه‌السلام بعد نفيه الوجوب بأبلغ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اتّجر به فزكاة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كمال الظهور في إرادة الندب كما لا يخفى</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عبارة المقنع </w:t>
      </w:r>
      <w:r>
        <w:rPr>
          <w:rStyle w:val="FootnoteAnchor"/>
          <w:rtl w:val="true"/>
        </w:rPr>
        <w:footnoteReference w:id="69"/>
      </w:r>
      <w:r>
        <w:rPr>
          <w:rFonts w:ascii="Amiri" w:hAnsi="Amiri" w:eastAsia="Amiri" w:cs="Amiri"/>
          <w:color w:val="111111"/>
          <w:sz w:val="28"/>
          <w:sz w:val="28"/>
          <w:szCs w:val="28"/>
          <w:rtl w:val="true"/>
          <w:lang w:bidi="ar-SA"/>
        </w:rPr>
        <w:t xml:space="preserve">والمقنعة </w:t>
      </w:r>
      <w:r>
        <w:rPr>
          <w:rStyle w:val="FootnoteAnchor"/>
          <w:rtl w:val="true"/>
        </w:rPr>
        <w:footnoteReference w:id="70"/>
      </w:r>
      <w:r>
        <w:rPr>
          <w:rFonts w:ascii="Amiri" w:hAnsi="Amiri" w:eastAsia="Amiri" w:cs="Amiri"/>
          <w:color w:val="111111"/>
          <w:sz w:val="28"/>
          <w:sz w:val="28"/>
          <w:szCs w:val="28"/>
          <w:rtl w:val="true"/>
          <w:lang w:bidi="ar-SA"/>
        </w:rPr>
        <w:t xml:space="preserve">القول بوجوب الزكاة حينئذ إلّا أنّ الشيخ في التهذيب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حمل عبارة شيخه على إرادة الاستحباب ؛ إذ لا يزيد حكم مال الطفل على أموال البالغين ، وزكاة التجارة غير واجبة عليهم فكيف يجب في أموال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الأوائل غير صريح في الوجوب المصطلح ، فكثيرا ما يراد به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الحمل المذكور في عبارة المقنع أيضا ، وإن لم يعتبر هناك بلفظ الوجوب ؛ نظرا إلى نصّه أوّلا بأنّه لا يجب الزكاة فيما عدا الأمور التسعة ، فيكون ذلك قرينة على إرادة الندب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بعد ما يعزى إلى الصدوق من القول بوجوب زكاة التجارة كما سيجي‌ء الإشارة إليه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ويلوح من الحلي في كتاب الزكاة من السرائر </w:t>
      </w:r>
      <w:r>
        <w:rPr>
          <w:rStyle w:val="FootnoteAnchor"/>
          <w:rtl w:val="true"/>
        </w:rPr>
        <w:footnoteReference w:id="72"/>
      </w:r>
      <w:r>
        <w:rPr>
          <w:rFonts w:ascii="Amiri" w:hAnsi="Amiri" w:eastAsia="Amiri" w:cs="Amiri"/>
          <w:color w:val="111111"/>
          <w:sz w:val="28"/>
          <w:sz w:val="28"/>
          <w:szCs w:val="28"/>
          <w:rtl w:val="true"/>
          <w:lang w:bidi="ar-SA"/>
        </w:rPr>
        <w:t>إنكاره لاستحباب الزكاة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صرّح في باب التصرّف في أموال اليتامى </w:t>
      </w:r>
      <w:r>
        <w:rPr>
          <w:rStyle w:val="FootnoteAnchor"/>
          <w:rtl w:val="true"/>
        </w:rPr>
        <w:footnoteReference w:id="73"/>
      </w:r>
      <w:r>
        <w:rPr>
          <w:rFonts w:ascii="Amiri" w:hAnsi="Amiri" w:eastAsia="Amiri" w:cs="Amiri"/>
          <w:color w:val="111111"/>
          <w:sz w:val="28"/>
          <w:sz w:val="28"/>
          <w:szCs w:val="28"/>
          <w:rtl w:val="true"/>
          <w:lang w:bidi="ar-SA"/>
        </w:rPr>
        <w:t>معلّلا بأنّه لا دلالة عليه من كتاب ولا سنّة مقطوع بها ولا إجماع ، وأنّه لا يجوز التصرّف إلّا فيما فيه مصلحة لهم ، ولا مصلحة لهم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نفى البعد في المدارك </w:t>
      </w:r>
      <w:r>
        <w:rPr>
          <w:rStyle w:val="FootnoteAnchor"/>
          <w:rtl w:val="true"/>
        </w:rPr>
        <w:footnoteReference w:id="74"/>
      </w:r>
      <w:r>
        <w:rPr>
          <w:rFonts w:ascii="Amiri" w:hAnsi="Amiri" w:eastAsia="Amiri" w:cs="Amiri"/>
          <w:color w:val="111111"/>
          <w:sz w:val="28"/>
          <w:sz w:val="28"/>
          <w:szCs w:val="28"/>
          <w:rtl w:val="true"/>
          <w:lang w:bidi="ar-SA"/>
        </w:rPr>
        <w:t>من المصير إليه ؛ نظرا إلى أنّ ما استدلّ به على الاستحباب غير نقيّ الإسناد ، بل ولا واضح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الاحتياط حيث إنّه لا مجال لاحتمال الوجوب ، فيدور الأمر فيه بين الحرمة والاستحباب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بما فيه ؛ إذ ما ذكره من الطعن في أسانيد الأخبار الدالّة عليه غير ظاهرة ؛ لاعتبار أسانيد جملة من تلك الأخبار سيّما مع اعتضادها بعمل الأصحاب ، وما ذكر من الإجماعات ، وما ذكره من المناقشة في الدلالة بعد ما عرفت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والاحتياط ليس دليلا </w:t>
      </w:r>
    </w:p>
    <w:p>
      <w:pPr>
        <w:pStyle w:val="BookText"/>
        <w:rPr/>
      </w:pPr>
      <w:r>
        <w:rPr>
          <w:rFonts w:ascii="Amiri" w:hAnsi="Amiri" w:eastAsia="Amiri" w:cs="Amiri"/>
          <w:color w:val="111111"/>
          <w:sz w:val="28"/>
          <w:sz w:val="28"/>
          <w:szCs w:val="28"/>
          <w:rtl w:val="true"/>
          <w:lang w:bidi="ar-SA"/>
        </w:rPr>
        <w:t>شرعيّا بعد قيام الحجة على الاستحباب وإن كانت مراعاتها أولى ؛ لما عرفت ، وللخروج عن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قرّرنا ظهر ضعف ما ذكره الحلي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هو جيّد على أصله من إنكار العمل بأخبار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ظاهر إطلاق الأخبار وكلام الأصحاب يعمّ ما إذا كان الاتّجار للطفل مجّانا أو بعوض خارجي أو من الربح وإن اتّفق استيعابه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بنى الاتّجار على استيعاب الأجرة للربح أو زيادتها عليه كما لو جعل تمام الربح للعامل فيما إذا كان هناك مصلحة قاضية بذلك أو كان في عدم تحريك مال الطفل مفسدة عليه ، فربّما أشكل الحكم المذكور ؛ لاحتمال خروج ذلك من موضوع الاتّجار للطفل حيث إنّه لم يقصد به حصول ربح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 بصدق الاتّجار بماله حينئذ ، وقد جعل ذلك مناطا للحكم في عدّة من الأخبار ، إلّا انّه لا يبعد انصرافه إلى غير الفرض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فشمول الاستحباب للصورة المفروضة محلّ خفا ، والأصول الشرعيّة قاضية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الاتّجار للطفل من غير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فإن لحقه إجازة الولي صحّت </w:t>
      </w:r>
      <w:r>
        <w:rPr>
          <w:rStyle w:val="FootnoteAnchor"/>
          <w:rtl w:val="true"/>
        </w:rPr>
        <w:footnoteReference w:id="76"/>
      </w:r>
      <w:r>
        <w:rPr>
          <w:rFonts w:ascii="Amiri" w:hAnsi="Amiri" w:eastAsia="Amiri" w:cs="Amiri"/>
          <w:color w:val="111111"/>
          <w:sz w:val="28"/>
          <w:sz w:val="28"/>
          <w:szCs w:val="28"/>
          <w:rtl w:val="true"/>
          <w:lang w:bidi="ar-SA"/>
        </w:rPr>
        <w:t>المعاملة وكان الربح للطفل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إلحاقه حينئذ بالمسألة المتقدّمة ، فيتّجه اندراجه تحت روايات المسألة ، بل ظاهر صحيحة الآخرين والتي بعدها ورودها في ذلك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ما ذكر فيهما وفي غيرهما من كون الربح لليتيم مبنيّ على وقوعه على وفق المصلحة ، فيلحقه إجازة الولي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الاتّجار من الولي لأجل الطفل حسبما أشرنا إليه ، وحينئذ فلا حاجة </w:t>
      </w:r>
    </w:p>
    <w:p>
      <w:pPr>
        <w:pStyle w:val="BookText"/>
        <w:rPr/>
      </w:pPr>
      <w:r>
        <w:rPr>
          <w:rFonts w:ascii="Amiri" w:hAnsi="Amiri" w:eastAsia="Amiri" w:cs="Amiri"/>
          <w:color w:val="111111"/>
          <w:sz w:val="28"/>
          <w:sz w:val="28"/>
          <w:szCs w:val="28"/>
          <w:rtl w:val="true"/>
          <w:lang w:bidi="ar-SA"/>
        </w:rPr>
        <w:t>إلى الإجازة إن اكتفينا بمجرّد وقوع المعاملة من الولي في نفاذها للصبيّ إذا وقعت بعين ماله وإن لم يقصده ، وإلّا افتقر أيضا إلى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دلالة على ما بيّناه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الفاضلان </w:t>
      </w:r>
      <w:r>
        <w:rPr>
          <w:rStyle w:val="FootnoteAnchor"/>
          <w:rtl w:val="true"/>
        </w:rPr>
        <w:footnoteReference w:id="77"/>
      </w:r>
      <w:r>
        <w:rPr>
          <w:rFonts w:ascii="Amiri" w:hAnsi="Amiri" w:eastAsia="Amiri" w:cs="Amiri"/>
          <w:color w:val="111111"/>
          <w:sz w:val="28"/>
          <w:sz w:val="28"/>
          <w:szCs w:val="28"/>
          <w:rtl w:val="true"/>
          <w:lang w:bidi="ar-SA"/>
        </w:rPr>
        <w:t>في ظاهر كلامهما ، والمحقّق الأردبيلي في ظاهر كلامه ، والسيوري إلى أنّه لا زكاة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بعض أفاضل المتأخرين ؛ للأصل ، مع انصراف الأخبار بحكم التبادر </w:t>
      </w:r>
      <w:r>
        <w:rPr>
          <w:rStyle w:val="FootnoteAnchor"/>
          <w:rtl w:val="true"/>
        </w:rPr>
        <w:footnoteReference w:id="78"/>
      </w:r>
      <w:r>
        <w:rPr>
          <w:rFonts w:ascii="Amiri" w:hAnsi="Amiri" w:eastAsia="Amiri" w:cs="Amiri"/>
          <w:color w:val="111111"/>
          <w:sz w:val="28"/>
          <w:sz w:val="28"/>
          <w:szCs w:val="28"/>
          <w:rtl w:val="true"/>
          <w:lang w:bidi="ar-SA"/>
        </w:rPr>
        <w:t>إلى ما إذا كانت المعاملة من الولي للطفل ، فلا يندرج فيها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التعويل في إثبات الاستحباب على الإجماع ؛ لقوة احتمال جعل الروايات في مقام الجمع على التقيّة ، ولا إجماع في المقام ، فلا يصحّ التصرّف فيه بإخراج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انصراف الإطلاقات إلى ما ذكر محلّ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عرفت من كون الصحيحة المتقدّمة وغيرها منصرفة إلى غير الصورة المذكورة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ورودها في خصوص المفروض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التعويل في المسألة على الإجماع دون الأخبار موهون بأنّه لا داعي إلى الإعراض عن الأخبار المذكورة مع وضوح إسناد غير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واندفاع المناقشة في دلالتها كما مرّ سوى حكاية موافقتها للعامة القاضية بقوّة حملها على التقية في مقام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اعتضد احتمال حملها على الندب بالإجماع المذكور والشهرة العظيمة من الفرقة ترجّح 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لا وجه للاقتصار على مورد الإجماع ، والإعراض </w:t>
      </w:r>
      <w:r>
        <w:rPr>
          <w:rStyle w:val="FootnoteAnchor"/>
          <w:rtl w:val="true"/>
        </w:rPr>
        <w:footnoteReference w:id="79"/>
      </w:r>
      <w:r>
        <w:rPr>
          <w:rFonts w:ascii="Amiri" w:hAnsi="Amiri" w:eastAsia="Amiri" w:cs="Amiri"/>
          <w:color w:val="111111"/>
          <w:sz w:val="28"/>
          <w:sz w:val="28"/>
          <w:szCs w:val="28"/>
          <w:rtl w:val="true"/>
          <w:lang w:bidi="ar-SA"/>
        </w:rPr>
        <w:t>عن الاحتجاج بتلك الأخبار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فالقول بثبوت الاستحباب في المقام هو الأظهر كما حكي القول به عن </w:t>
      </w:r>
    </w:p>
    <w:p>
      <w:pPr>
        <w:pStyle w:val="BookText"/>
        <w:rPr/>
      </w:pPr>
      <w:r>
        <w:rPr>
          <w:rFonts w:ascii="Amiri" w:hAnsi="Amiri" w:eastAsia="Amiri" w:cs="Amiri"/>
          <w:color w:val="111111"/>
          <w:sz w:val="28"/>
          <w:sz w:val="28"/>
          <w:szCs w:val="28"/>
          <w:rtl w:val="true"/>
          <w:lang w:bidi="ar-SA"/>
        </w:rPr>
        <w:t xml:space="preserve">الشهيدين </w:t>
      </w:r>
      <w:r>
        <w:rPr>
          <w:rStyle w:val="FootnoteAnchor"/>
          <w:rtl w:val="true"/>
        </w:rPr>
        <w:footnoteReference w:id="80"/>
      </w:r>
      <w:r>
        <w:rPr>
          <w:rFonts w:ascii="Amiri" w:hAnsi="Amiri" w:eastAsia="Amiri" w:cs="Amiri"/>
          <w:color w:val="111111"/>
          <w:sz w:val="28"/>
          <w:sz w:val="28"/>
          <w:szCs w:val="28"/>
          <w:rtl w:val="true"/>
          <w:lang w:bidi="ar-SA"/>
        </w:rPr>
        <w:t xml:space="preserve">والمحقق الكركي </w:t>
      </w:r>
      <w:r>
        <w:rPr>
          <w:rStyle w:val="FootnoteAnchor"/>
          <w:rtl w:val="true"/>
        </w:rPr>
        <w:footnoteReference w:id="81"/>
      </w:r>
      <w:r>
        <w:rPr>
          <w:rFonts w:ascii="Amiri" w:hAnsi="Amiri" w:eastAsia="Amiri" w:cs="Amiri"/>
          <w:color w:val="111111"/>
          <w:sz w:val="28"/>
          <w:sz w:val="28"/>
          <w:szCs w:val="28"/>
          <w:rtl w:val="true"/>
          <w:lang w:bidi="ar-SA"/>
        </w:rPr>
        <w:t>أن يكون الاتّجار من الولي الملي لنفسه بعد ضمانه مال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فالمعروف أنّ الربح له والزكاة عليه ، أو هو حينئذ كسائر أموال التجارة ممّا يستحب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خالف الحلّي </w:t>
      </w:r>
      <w:r>
        <w:rPr>
          <w:rStyle w:val="FootnoteAnchor"/>
          <w:rtl w:val="true"/>
        </w:rPr>
        <w:footnoteReference w:id="82"/>
      </w:r>
      <w:r>
        <w:rPr>
          <w:rFonts w:ascii="Amiri" w:hAnsi="Amiri" w:eastAsia="Amiri" w:cs="Amiri"/>
          <w:color w:val="111111"/>
          <w:sz w:val="28"/>
          <w:sz w:val="28"/>
          <w:szCs w:val="28"/>
          <w:rtl w:val="true"/>
          <w:lang w:bidi="ar-SA"/>
        </w:rPr>
        <w:t xml:space="preserve">في المقام ، فلم يصحّح الضمان في المقام وجعل الربح لليتيم كالمسألة الآتية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لمن اتّجر في أموالهم أن يأخذ الربح سواء كان في الحال متمكّنا من مقدار ما يضمن به مال الطفل أو لم يكن ، والربح في الحالين معا لليتيم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علّل ذلك أنّ الواجب على الولي </w:t>
      </w:r>
      <w:r>
        <w:rPr>
          <w:rStyle w:val="FootnoteAnchor"/>
          <w:rtl w:val="true"/>
        </w:rPr>
        <w:footnoteReference w:id="83"/>
      </w:r>
      <w:r>
        <w:rPr>
          <w:rFonts w:ascii="Amiri" w:hAnsi="Amiri" w:eastAsia="Amiri" w:cs="Amiri"/>
          <w:color w:val="111111"/>
          <w:sz w:val="28"/>
          <w:sz w:val="28"/>
          <w:szCs w:val="28"/>
          <w:rtl w:val="true"/>
          <w:lang w:bidi="ar-SA"/>
        </w:rPr>
        <w:t xml:space="preserve">مراعاة غبطة الصبيّ والأصلح بحاله ، فلا وجه لمراعاة غبطة </w:t>
      </w:r>
      <w:r>
        <w:rPr>
          <w:rStyle w:val="FootnoteAnchor"/>
          <w:rtl w:val="true"/>
        </w:rPr>
        <w:footnoteReference w:id="84"/>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خبير بما فيه ؛ إذ قد يعتبر في تصرف الولي مراعاة الغبطة كما إذا كان أبا أو جدّا ؛ بناء على الاكتفاء في تصرفاته بعدم الاشتمال على المفسدة حسبما يأتي الكلام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عنه ، فقد يكون غبطة الصبيّ في ضمان المال كما إذا كان الخطر في بقاء المال عظيما ، وفائدة الاتّجار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فمن البيّن أنه لا يجب على الولي الاتّجار بمال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ريب أن ضمانه للمال مع الملاءة احفظ لمال الصبيّ غالبا من بقائه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النصوص المستفيضة الآتية المصرّحة بجواز الضمان مع الملاءة ، فلا ريب إذن في صحّة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عليه كون الربح له ، وثبوت زكاة التجارة عليه ، فما ذكره الحلي في غاية الضعف</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رابعها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الاتّجار من الولي الغير الملّي نفسه بعد ضمانه لماله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فقد نصّ </w:t>
      </w:r>
    </w:p>
    <w:p>
      <w:pPr>
        <w:pStyle w:val="BookText"/>
        <w:rPr/>
      </w:pPr>
      <w:r>
        <w:rPr>
          <w:rFonts w:ascii="Amiri" w:hAnsi="Amiri" w:eastAsia="Amiri" w:cs="Amiri"/>
          <w:color w:val="111111"/>
          <w:sz w:val="28"/>
          <w:sz w:val="28"/>
          <w:szCs w:val="28"/>
          <w:rtl w:val="true"/>
          <w:lang w:bidi="ar-SA"/>
        </w:rPr>
        <w:t>جماعة بعدم صحّة ضمانه ، وضمانه للمال بمعنى تغريمه إيّاه مع تلفه كلّا أو بعضا وكون الربح للطفل ، ولا زكاة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صحّة ضمانه للمال فلأنّه يعتبر الملاءة في ضمانه مال الطفل كما دلّت عليه النّصوص المستفيضة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عنده مال اليتيم؟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محتاجا ليس له مال فلا يمسّ ماله ، وإن هو اتّجر به فالربح لليتيم ، وهو ضامن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 اليتيم يعمل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عندك مال وضمنته فلك الربح وأنت ضامن للمال ، وإن كان لا مال </w:t>
      </w:r>
      <w:r>
        <w:rPr>
          <w:rStyle w:val="FootnoteAnchor"/>
          <w:rtl w:val="true"/>
        </w:rPr>
        <w:footnoteReference w:id="88"/>
      </w:r>
      <w:r>
        <w:rPr>
          <w:rFonts w:ascii="Amiri" w:hAnsi="Amiri" w:eastAsia="Amiri" w:cs="Amiri"/>
          <w:color w:val="111111"/>
          <w:sz w:val="28"/>
          <w:sz w:val="28"/>
          <w:szCs w:val="28"/>
          <w:rtl w:val="true"/>
          <w:lang w:bidi="ar-SA"/>
        </w:rPr>
        <w:t xml:space="preserve">لك وعملت به فالربح للغلام وأنت ضامن للمال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أمرني أن أسألك عن مال يتيم في حجره يتّجر 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لأخيك مال يحيط بمال اليتيم إن تلف أو أصابه شي‌ء غرمه ، وإلّا فلا يتعرض لمال اليتيم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الروايات كما ترى غير شاملة للأب ؛ لفرض الحكم فيها في اليتيم ، وظاهر إطلاقها وإن عمّ الجد إلّا أنّها أظهر في غيره فاشتراط الملاءة في الأب بل الجد أيضا خال </w:t>
      </w:r>
      <w:r>
        <w:rPr>
          <w:rStyle w:val="FootnoteAnchor"/>
          <w:rtl w:val="true"/>
        </w:rPr>
        <w:footnoteReference w:id="90"/>
      </w:r>
      <w:r>
        <w:rPr>
          <w:rFonts w:ascii="Amiri" w:hAnsi="Amiri" w:eastAsia="Amiri" w:cs="Amiri"/>
          <w:color w:val="111111"/>
          <w:sz w:val="28"/>
          <w:sz w:val="28"/>
          <w:szCs w:val="28"/>
          <w:rtl w:val="true"/>
          <w:lang w:bidi="ar-SA"/>
        </w:rPr>
        <w:t>عن الدليل ، ولذا ذهب كثير من المتأخرين إلى عدم اشتراط الملاءة فيهما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وعزاه في حواشي التهذيب إلى المتأخرين مؤذنا بإطباقهم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 العلّامة في القواعد </w:t>
      </w:r>
      <w:r>
        <w:rPr>
          <w:rStyle w:val="FootnoteAnchor"/>
          <w:rtl w:val="true"/>
        </w:rPr>
        <w:footnoteReference w:id="91"/>
      </w:r>
      <w:r>
        <w:rPr>
          <w:rFonts w:ascii="Amiri" w:hAnsi="Amiri" w:eastAsia="Amiri" w:cs="Amiri"/>
          <w:color w:val="111111"/>
          <w:sz w:val="28"/>
          <w:sz w:val="28"/>
          <w:szCs w:val="28"/>
          <w:rtl w:val="true"/>
          <w:lang w:bidi="ar-SA"/>
        </w:rPr>
        <w:t xml:space="preserve">وتحرير الأحكام </w:t>
      </w:r>
      <w:r>
        <w:rPr>
          <w:rStyle w:val="FootnoteAnchor"/>
          <w:rtl w:val="true"/>
        </w:rPr>
        <w:footnoteReference w:id="92"/>
      </w:r>
      <w:r>
        <w:rPr>
          <w:rFonts w:ascii="Amiri" w:hAnsi="Amiri" w:eastAsia="Amiri" w:cs="Amiri"/>
          <w:color w:val="111111"/>
          <w:sz w:val="28"/>
          <w:sz w:val="28"/>
          <w:szCs w:val="28"/>
          <w:rtl w:val="true"/>
          <w:lang w:bidi="ar-SA"/>
        </w:rPr>
        <w:t>وغيرهما أن للأب اقتراض مال الطفل مع العسر واليسر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عزا عدم اعتبار الملاءة فيهما في الحدائق </w:t>
      </w:r>
      <w:r>
        <w:rPr>
          <w:rStyle w:val="FootnoteAnchor"/>
          <w:rtl w:val="true"/>
        </w:rPr>
        <w:footnoteReference w:id="93"/>
      </w:r>
      <w:r>
        <w:rPr>
          <w:rFonts w:ascii="Amiri" w:hAnsi="Amiri" w:eastAsia="Amiri" w:cs="Amiri"/>
          <w:color w:val="111111"/>
          <w:sz w:val="28"/>
          <w:sz w:val="28"/>
          <w:szCs w:val="28"/>
          <w:rtl w:val="true"/>
          <w:lang w:bidi="ar-SA"/>
        </w:rPr>
        <w:t>إلى الأصحاب من غير خلاف يعرف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وعزاه في الرياض </w:t>
      </w:r>
      <w:r>
        <w:rPr>
          <w:rStyle w:val="FootnoteAnchor"/>
          <w:rtl w:val="true"/>
        </w:rPr>
        <w:footnoteReference w:id="94"/>
      </w:r>
      <w:r>
        <w:rPr>
          <w:rFonts w:ascii="Amiri" w:hAnsi="Amiri" w:eastAsia="Amiri" w:cs="Amiri"/>
          <w:color w:val="111111"/>
          <w:sz w:val="28"/>
          <w:sz w:val="28"/>
          <w:szCs w:val="28"/>
          <w:rtl w:val="true"/>
          <w:lang w:bidi="ar-SA"/>
        </w:rPr>
        <w:t>إلى كافّة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فيه في المدارك </w:t>
      </w:r>
      <w:r>
        <w:rPr>
          <w:rStyle w:val="FootnoteAnchor"/>
          <w:rtl w:val="true"/>
        </w:rPr>
        <w:footnoteReference w:id="95"/>
      </w:r>
      <w:r>
        <w:rPr>
          <w:rFonts w:ascii="Amiri" w:hAnsi="Amiri" w:eastAsia="Amiri" w:cs="Amiri"/>
          <w:color w:val="111111"/>
          <w:sz w:val="28"/>
          <w:sz w:val="28"/>
          <w:szCs w:val="28"/>
          <w:rtl w:val="true"/>
          <w:lang w:bidi="ar-SA"/>
        </w:rPr>
        <w:t>بعد أن عزاه إلى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المحقق الكركى </w:t>
      </w:r>
      <w:r>
        <w:rPr>
          <w:rStyle w:val="FootnoteAnchor"/>
          <w:rtl w:val="true"/>
        </w:rPr>
        <w:footnoteReference w:id="96"/>
      </w:r>
      <w:r>
        <w:rPr>
          <w:rFonts w:ascii="Amiri" w:hAnsi="Amiri" w:eastAsia="Amiri" w:cs="Amiri"/>
          <w:color w:val="111111"/>
          <w:sz w:val="28"/>
          <w:sz w:val="28"/>
          <w:szCs w:val="28"/>
          <w:rtl w:val="true"/>
          <w:lang w:bidi="ar-SA"/>
        </w:rPr>
        <w:t>عدم اعتبار الملاءة في خصوص الأب دون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يقتضيه التأمل في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في بقاء مال الطفل في الخارج مفسدة عليه وكان ضمانه ولو من غير ملّي أقل فسادا من بقائه جاز ضمانه مع إعسار الولي إذا لم يتمكّن من تضمينه من موسر يوثق به أو يدفع وثيقة بازائه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خروج ذلك عن مورد الرواية ؛ إذ لا شك في كونه حينئذ إحسانا للطفل وحفظا لماله عن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ضمانه ضرر على الطفل وتعريض ماله للتلف لم يجز ، ولو مع يسار الولي وإن كان أبا ؛ نظرا إلى قضاء الولاية بحفظ مال اليتيم عن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تعريضه لذلك وإن كان في تضمينه منفعة للطفل من غير أن يترتب مفسدة على عدمه فإن كان الولي مليّا فلا كلام ، وإن لم يكن مليّا فإن كان أبا جاز ذلك ؛ لكون التصرف المذكور على وفق المصلحة مع عدم اندراجه تحت ما دلّ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الجدّ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أبا ولا جدّا فظاهر الأخبار المذكورة المنع منه نظرا إلى انتفاء الملاءة وهو الظاهر من 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 وإن كان قضيّة الأصل جواز تصرف الولي حينئذ ؛ لوجود المصلحة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يكن في ذلك مصلحة ولا يفسدة فإن كان الولي مليّا فظاهر إطلاق الأخبار </w:t>
      </w:r>
    </w:p>
    <w:p>
      <w:pPr>
        <w:pStyle w:val="BookText"/>
        <w:rPr/>
      </w:pPr>
      <w:r>
        <w:rPr>
          <w:rFonts w:ascii="Amiri" w:hAnsi="Amiri" w:eastAsia="Amiri" w:cs="Amiri"/>
          <w:color w:val="111111"/>
          <w:sz w:val="28"/>
          <w:sz w:val="28"/>
          <w:szCs w:val="28"/>
          <w:rtl w:val="true"/>
          <w:lang w:bidi="ar-SA"/>
        </w:rPr>
        <w:t xml:space="preserve">المذكورة وكلام الأصحاب جواز الضمان من غير فرق بين أن يكون أبا أو جدّا أو غيرهما ، وإن كان قضية الأصل عدم الجواز لإناطة تصرّف الولي بالمصلحة ، والمفروض انتفاؤها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ينزل الأخبار وكلام الأصحاب على ما هو الغالب من كون ضمان المال من المليّ أحفظ لمال الطفل من إبقائه على حاله ، فلو فرض تساويهما في الخارج لبعض الوجوه لم يجز ؛ جمعا بين القاعدة والأخبار المذكورة إلّا أن ذلك خروج عن ظاهر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مليّا فإن لم يكن أبا أو جدّا فلا إشكال في المنع أخذا </w:t>
      </w:r>
      <w:r>
        <w:rPr>
          <w:rStyle w:val="FootnoteAnchor"/>
          <w:rtl w:val="true"/>
        </w:rPr>
        <w:footnoteReference w:id="98"/>
      </w:r>
      <w:r>
        <w:rPr>
          <w:rFonts w:ascii="Amiri" w:hAnsi="Amiri" w:eastAsia="Amiri" w:cs="Amiri"/>
          <w:color w:val="111111"/>
          <w:sz w:val="28"/>
          <w:sz w:val="28"/>
          <w:szCs w:val="28"/>
          <w:rtl w:val="true"/>
          <w:lang w:bidi="ar-SA"/>
        </w:rPr>
        <w:t>بظاهر القاعدة والأخبار المذكورة المعتضدة بفتوى الأصحاب ، وإن كان أبا أو جدا فظاهر إطلاق جماعة في المقام أيضا ذلك إلّا أنّ قضيّة إطلاق آخرين هو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إسناده إلى الأصحاب ، وكأنّه لعدم إناطة تصرّف الأب والجدّ بالمصلحة ، وإنّما المعتبر فيه انتفاء المفسدة بخلاف غيرهما من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يخلو عن وجه ؛ أخذا بإطلاق الولاية ، وظاهر قوله صلى‌اللّه‌عليه‌وآله </w:t>
      </w:r>
      <w:r>
        <w:rPr>
          <w:rStyle w:val="FootnoteAnchor"/>
          <w:rtl w:val="true"/>
        </w:rPr>
        <w:footnoteReference w:id="9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ومالك لأبيك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بجواز تصرّفه في مال الولد كيف ما كان ، خرج عنه ما ثبت خروجه ، فبقي الباقي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الولي في صورة اعتبار ملاءته في ضمانه لو كان معسرا ودفع رهنا بإزاء مال الطفل قوي القول بقيام ذلك مقام الملاءة ولو كان الرهن من مال غيره إذا بذله </w:t>
      </w:r>
      <w:r>
        <w:rPr>
          <w:rStyle w:val="FootnoteAnchor"/>
          <w:rtl w:val="true"/>
        </w:rPr>
        <w:footnoteReference w:id="100"/>
      </w:r>
      <w:r>
        <w:rPr>
          <w:rFonts w:ascii="Amiri" w:hAnsi="Amiri" w:eastAsia="Amiri" w:cs="Amiri"/>
          <w:color w:val="111111"/>
          <w:sz w:val="28"/>
          <w:sz w:val="28"/>
          <w:szCs w:val="28"/>
          <w:rtl w:val="true"/>
          <w:lang w:bidi="ar-SA"/>
        </w:rPr>
        <w:t>وكذا الحال لو ضمن عنه ملي يوثق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المنع ؛ أخذا بظاهر إطلاق الروايات ، وهو بعيد جدّا مع اقتضاء المصلحة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أنّه يعتبر الملاءة في الولي الضامن كذا يعتبر في غيره إذا أراد الولي تضمينه منه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إذا اجتمعت الملاءة والمصلحة فلا إشكال ، ومع حصول الملاءة والخلوّ عن </w:t>
      </w:r>
    </w:p>
    <w:p>
      <w:pPr>
        <w:pStyle w:val="BookText"/>
        <w:rPr/>
      </w:pPr>
      <w:r>
        <w:rPr>
          <w:rFonts w:ascii="Amiri" w:hAnsi="Amiri" w:eastAsia="Amiri" w:cs="Amiri"/>
          <w:color w:val="111111"/>
          <w:sz w:val="28"/>
          <w:sz w:val="28"/>
          <w:szCs w:val="28"/>
          <w:rtl w:val="true"/>
          <w:lang w:bidi="ar-SA"/>
        </w:rPr>
        <w:t>المصلحة والمفسدة فوجهان ؛ من قضاء ظاهر ما دلّ على جواز ضمان الولي مع الملاءة جوازه هنا أيضا ، ومن خروجه بإطلاق النصّ ، وقضيّة الأصل اعتبار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الولي أبا أو جدا واكتفينا في تصرفاتهما بانتفاء المفسدة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حصول المصلحة والخلو عن الملاءة وجهان أيضا ؛ من أنّه لا يزيد على ضمان الولي بنفسه ، ومن قضاء الأصل بالجواز ، فيقتصر فيما قضي بالمنع على مورده ، ولا يخلو عن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ضمانه بعد ضمانه فظاهر بعد البناء على عدم جوازه ؛ لكونه تعدّيا في مال الطفل وخروجا عن مقتضى الأمانة من غير فرق بين ما إذا اعتقد عدم جواز التصرف المذكور أو جوازه ؛ لأنّ الضمان من الأحكام الوضعيّة الّتي لا يفترق الحال فيها بين الوجهين ، وإن انتفى عنه المعصية مع عدم تقصيره في استعلام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حينئذ ضمانه بمجرّد ضمانه ونقله إلى ذمّته ، وإن لم يتصرف فيه خارجا بتجارة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يتأمّل فيما إذا كان ذلك مع اعتقاد الجواز ؛ نظرا إلى عدم تصرفه في المال بحسب الخارج ، ومجرّد بنائه على ضمانه لا يعدّ تصرّفا في المال عرفا ، ولا يعدّ متعدّيا حينئذ مع اعتقاد الجواز ، سيما إذا كان لمصلحة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الربح لليتيم فللنصّ عليه في الروايات المذكورة وغيرها ، ولأنّ المعاملة إنّما وقعت من وليّه بماله ، فيحكم بصحّتها ، ويكون العوض تابعا لمعوّضه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المقصود بالعقد الواقع إنّما هو الانتقال إلى الولي بنفسه دون الطفل بانصرافه إلى الطفل بمجرّد كون العوض من ماله مع عدم قصد الانتقال إليه غير متّجه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اعتبر في المدارك </w:t>
      </w:r>
      <w:r>
        <w:rPr>
          <w:rStyle w:val="FootnoteAnchor"/>
          <w:rtl w:val="true"/>
        </w:rPr>
        <w:footnoteReference w:id="101"/>
      </w:r>
      <w:r>
        <w:rPr>
          <w:rFonts w:ascii="Amiri" w:hAnsi="Amiri" w:eastAsia="Amiri" w:cs="Amiri"/>
          <w:color w:val="111111"/>
          <w:sz w:val="28"/>
          <w:sz w:val="28"/>
          <w:szCs w:val="28"/>
          <w:rtl w:val="true"/>
          <w:lang w:bidi="ar-SA"/>
        </w:rPr>
        <w:t xml:space="preserve">في انتقاله إلى الطفل التحاقه بالإجازة مع احتماله بطلان العقد من أصله ، ولو قلنا بصحّة الفضولي مع الإجازة ؛ لأنّه لم يقع للطفل من غير من له </w:t>
      </w:r>
      <w:r>
        <w:rPr>
          <w:rStyle w:val="FootnoteAnchor"/>
          <w:rtl w:val="true"/>
        </w:rPr>
        <w:footnoteReference w:id="102"/>
      </w:r>
      <w:r>
        <w:rPr>
          <w:rFonts w:ascii="IRNazanin" w:hAnsi="IRNazanin" w:eastAsia="IRNazanin"/>
          <w:color w:val="111111"/>
          <w:sz w:val="28"/>
          <w:sz w:val="28"/>
          <w:szCs w:val="28"/>
          <w:rtl w:val="true"/>
          <w:lang w:bidi="fa-IR"/>
        </w:rPr>
        <w:t xml:space="preserve">النظر ابتداء ، </w:t>
      </w:r>
    </w:p>
    <w:p>
      <w:pPr>
        <w:pStyle w:val="BookText"/>
        <w:rPr/>
      </w:pPr>
      <w:r>
        <w:rPr>
          <w:rFonts w:ascii="IRNazanin" w:hAnsi="IRNazanin" w:eastAsia="IRNazanin"/>
          <w:color w:val="111111"/>
          <w:sz w:val="28"/>
          <w:sz w:val="28"/>
          <w:szCs w:val="28"/>
          <w:rtl w:val="true"/>
          <w:lang w:bidi="fa-IR"/>
        </w:rPr>
        <w:t xml:space="preserve">وإنّما وقع ابتداء بقصد التصرف على وجه منتفى </w:t>
      </w:r>
      <w:r>
        <w:rPr>
          <w:rStyle w:val="FootnoteAnchor"/>
          <w:rtl w:val="true"/>
        </w:rPr>
        <w:footnoteReference w:id="103"/>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فرق في ورود الإشكال المذكور بين ما إذا كان المتصرّف كذلك وليا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أورد ذلك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الاحتمال المذكور فهو اجتهاد في مقابلة النص ؛ فإنّ النصوص المذكورة صريحة في صحّة العقد ، وذلك دليل في الحقيقة على صحّة فضولي الغاصب بعد تعقّب الإجازة ، فلا اختصاص للحكم بالمورد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قصد الانتقال إلى المالك حين العقد غير مانع من صحّته ؛ إذ ليس تعيين شخص البائع أو المشترى من أركان العقد ، بل ولا من شرائطه ، ولذا لا يلزم البائع إعلام المشتري بكونه وكيلا لا أصليّا ، ولا إعلام المشترى إيّاه كونه وكيلا في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ولتفصيل الكلام في ذلك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قرّرنا ينقدح الوجه في عدم اعتبار لحوق الإجازة في المقام أيضا كما هو قضية إطلاق الأخبار ؛ لوقوع العقد من أهله في محلّه ، واختصاص الوجه في صحته بانصرافه إلى مالك العوض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وقع الشراء بعين مال الطفل كما هو المفروض في المقام ؛ إذ لا يكون اتّجارا بمال الطفل حقيقة من دونه ، وأمّا إذا وقع الشراء في الذمة ودفع </w:t>
      </w:r>
      <w:r>
        <w:rPr>
          <w:rStyle w:val="FootnoteAnchor"/>
          <w:rtl w:val="true"/>
        </w:rPr>
        <w:footnoteReference w:id="104"/>
      </w:r>
      <w:r>
        <w:rPr>
          <w:rFonts w:ascii="Amiri" w:hAnsi="Amiri" w:eastAsia="Amiri" w:cs="Amiri"/>
          <w:color w:val="111111"/>
          <w:sz w:val="28"/>
          <w:sz w:val="28"/>
          <w:szCs w:val="28"/>
          <w:rtl w:val="true"/>
          <w:lang w:bidi="ar-SA"/>
        </w:rPr>
        <w:t>العوض من مال الطفل سواء كان مع نقله إلى ذمته أو لا فله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يتوهم من إطلاق النصوص كون الربح حينئذ لليتيم أيضا ، إلّا أنه يندفع ذلك بما عرفت من عدم كونه اتّجارا بمال الطفل حقيقة ، وعلى فرض تسليم عدّه عرفا من ذلك فتنزيل الروايات على ما قلناه ؛ جمعا بينها وبين القواعد المعلومة ممّا لا إشكال فيه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فالاستشكال في المقام من جهة إطلاق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يستظهر من كلام جماعة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عدم استحباب الزكاة في المقام فبالنسبة إلى المتّجر نفسه </w:t>
      </w:r>
    </w:p>
    <w:p>
      <w:pPr>
        <w:pStyle w:val="BookText"/>
        <w:rPr/>
      </w:pPr>
      <w:r>
        <w:rPr>
          <w:rFonts w:ascii="IRNazanin" w:hAnsi="IRNazanin" w:eastAsia="IRNazanin"/>
          <w:color w:val="111111"/>
          <w:sz w:val="28"/>
          <w:sz w:val="28"/>
          <w:szCs w:val="28"/>
          <w:rtl w:val="true"/>
          <w:lang w:bidi="fa-IR"/>
        </w:rPr>
        <w:t>فظاهر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بالنسبة إلى الطفل فقد علّله في المسالك </w:t>
      </w:r>
      <w:r>
        <w:rPr>
          <w:rStyle w:val="FootnoteAnchor"/>
          <w:rtl w:val="true"/>
        </w:rPr>
        <w:footnoteReference w:id="105"/>
      </w:r>
      <w:r>
        <w:rPr>
          <w:rFonts w:ascii="Amiri" w:hAnsi="Amiri" w:eastAsia="Amiri" w:cs="Amiri"/>
          <w:color w:val="111111"/>
          <w:sz w:val="28"/>
          <w:sz w:val="28"/>
          <w:szCs w:val="28"/>
          <w:rtl w:val="true"/>
          <w:lang w:bidi="ar-SA"/>
        </w:rPr>
        <w:t>بعدم قصده عند الشراء ، فيكون قصد الاكتساب للطفل طارئا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أنّ مقارنة القصد </w:t>
      </w:r>
      <w:r>
        <w:rPr>
          <w:rStyle w:val="FootnoteAnchor"/>
          <w:rtl w:val="true"/>
        </w:rPr>
        <w:footnoteReference w:id="106"/>
      </w:r>
      <w:r>
        <w:rPr>
          <w:rFonts w:ascii="Amiri" w:hAnsi="Amiri" w:eastAsia="Amiri" w:cs="Amiri"/>
          <w:color w:val="111111"/>
          <w:sz w:val="28"/>
          <w:sz w:val="28"/>
          <w:szCs w:val="28"/>
          <w:rtl w:val="true"/>
          <w:lang w:bidi="ar-SA"/>
        </w:rPr>
        <w:t>المذكور شرط في زكاة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وضعّفه في المدارك </w:t>
      </w:r>
      <w:r>
        <w:rPr>
          <w:rStyle w:val="FootnoteAnchor"/>
          <w:rtl w:val="true"/>
        </w:rPr>
        <w:footnoteReference w:id="107"/>
      </w:r>
      <w:r>
        <w:rPr>
          <w:rFonts w:ascii="Amiri" w:hAnsi="Amiri" w:eastAsia="Amiri" w:cs="Amiri"/>
          <w:color w:val="111111"/>
          <w:sz w:val="28"/>
          <w:sz w:val="28"/>
          <w:szCs w:val="28"/>
          <w:rtl w:val="true"/>
          <w:lang w:bidi="ar-SA"/>
        </w:rPr>
        <w:t>بأنّ الشرط هو قصد الاكتساب عند التملّك ، وهو هنا حاصل بناء على أن الإجازة ناقلة لا كاشفة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على كون الإجارة ناقلة موهون بما قرّر في محلّه ، فلا يتم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دلّ عليه الدليل اعتبار قصد الاكتساب عند التملك في الجملة ، وهو حاصل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ويدفعه أن ثبوت الزكاة ولو على سبيل الندب على خلاف الأصل ، سيّما بالنسبة إلى مال الغير ، والقدر المفهوم من الأخبار المذكورة هو ثبوته فيما إذا كان الاتّجار للطفل لا ما إذا وقع له ، فهو من جهة قصد التجارة له بالإجازة اللاحقة والإجماعات المحكيّة على المسألة غير جارية في المقام ؛ لوضوح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الجماعة بعدم ثبوت الزكاة فيه كما عرفت ، ومع عدم قيام الدليل عليه يتعيّن النبإ على مقتضى الأصل ، وبالقواعد من المنع من التصرف في مال الطفل بما يترتب عليه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يضعف ما ذهب إليه الشهيدان </w:t>
      </w:r>
      <w:r>
        <w:rPr>
          <w:rStyle w:val="FootnoteAnchor"/>
          <w:rtl w:val="true"/>
        </w:rPr>
        <w:footnoteReference w:id="108"/>
      </w:r>
      <w:r>
        <w:rPr>
          <w:rFonts w:ascii="Amiri" w:hAnsi="Amiri" w:eastAsia="Amiri" w:cs="Amiri"/>
          <w:color w:val="111111"/>
          <w:sz w:val="28"/>
          <w:sz w:val="28"/>
          <w:szCs w:val="28"/>
          <w:rtl w:val="true"/>
          <w:lang w:bidi="ar-SA"/>
        </w:rPr>
        <w:t xml:space="preserve">والمحقّق الكركي </w:t>
      </w:r>
      <w:r>
        <w:rPr>
          <w:rStyle w:val="FootnoteAnchor"/>
          <w:rtl w:val="true"/>
        </w:rPr>
        <w:footnoteReference w:id="109"/>
      </w:r>
      <w:r>
        <w:rPr>
          <w:rFonts w:ascii="Amiri" w:hAnsi="Amiri" w:eastAsia="Amiri" w:cs="Amiri"/>
          <w:color w:val="111111"/>
          <w:sz w:val="28"/>
          <w:sz w:val="28"/>
          <w:szCs w:val="28"/>
          <w:rtl w:val="true"/>
          <w:lang w:bidi="ar-SA"/>
        </w:rPr>
        <w:t>من ثبوت الزكاة في مال الطفل هنا أيضا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الاتّجار من غير الولي لنفسه سواء كان مليّا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bookmarkStart w:id="22" w:name="pg15853_153258"/>
    </w:p>
    <w:p>
      <w:pPr>
        <w:pStyle w:val="BookText"/>
        <w:rPr/>
      </w:pPr>
      <w:bookmarkEnd w:id="22"/>
      <w:r>
        <w:rPr>
          <w:rFonts w:ascii="Amiri" w:hAnsi="Amiri" w:eastAsia="Amiri" w:cs="Amiri"/>
          <w:color w:val="111111"/>
          <w:sz w:val="28"/>
          <w:sz w:val="28"/>
          <w:szCs w:val="28"/>
          <w:rtl w:val="true"/>
          <w:lang w:bidi="ar-SA"/>
        </w:rPr>
        <w:t>فالمنصوص به في كلام جماعة هو ما تقدّم في الصورة المتقدّمة من عدم صحّة الضمان ، وضمانه لمال الطفل ، وكون الربح لليتيم ، وعدم استحباب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الأوّلين ظاهر بعد فرض انتفاء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الربح لليتيم فيتوقف على الإجازة ؛ لوضوح عدم مضي معاملة غير الولي من دونها ، وإطلاق ما ورد في الأخبار المتقدّمة من كون الربح لليتيم منزل على حصول الإجازة من الولي ؛ نظرا إلى موافقة الواقع لمصلحة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والاستشكال في توقفه حينئذ على الإجازة لإطلاق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استشكله صاحب المدارك </w:t>
      </w:r>
      <w:r>
        <w:rPr>
          <w:rStyle w:val="FootnoteAnchor"/>
          <w:rtl w:val="true"/>
        </w:rPr>
        <w:footnoteReference w:id="110"/>
      </w:r>
      <w:r>
        <w:rPr>
          <w:rFonts w:ascii="Amiri" w:hAnsi="Amiri" w:eastAsia="Amiri" w:cs="Amiri"/>
          <w:color w:val="111111"/>
          <w:sz w:val="28"/>
          <w:sz w:val="28"/>
          <w:szCs w:val="28"/>
          <w:rtl w:val="true"/>
          <w:lang w:bidi="ar-SA"/>
        </w:rPr>
        <w:t>في صحته بعد الإجازة ؛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لا زكاة فلما عرفت من عدم وقوع المعاملة بقصد الاتّجار للطفل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حكم الشيخ في النهاية </w:t>
      </w:r>
      <w:r>
        <w:rPr>
          <w:rStyle w:val="FootnoteAnchor"/>
          <w:rtl w:val="true"/>
        </w:rPr>
        <w:footnoteReference w:id="111"/>
      </w:r>
      <w:r>
        <w:rPr>
          <w:rFonts w:ascii="IRNazanin" w:hAnsi="IRNazanin" w:eastAsia="IRNazanin"/>
          <w:color w:val="111111"/>
          <w:sz w:val="28"/>
          <w:sz w:val="28"/>
          <w:szCs w:val="28"/>
          <w:rtl w:val="true"/>
          <w:lang w:bidi="fa-IR"/>
        </w:rPr>
        <w:t xml:space="preserve">بثبوت </w:t>
      </w:r>
      <w:r>
        <w:rPr>
          <w:rStyle w:val="FootnoteAnchor"/>
          <w:rtl w:val="true"/>
        </w:rPr>
        <w:footnoteReference w:id="112"/>
      </w:r>
      <w:r>
        <w:rPr>
          <w:rFonts w:ascii="Amiri" w:hAnsi="Amiri" w:eastAsia="Amiri" w:cs="Amiri"/>
          <w:color w:val="111111"/>
          <w:sz w:val="28"/>
          <w:sz w:val="28"/>
          <w:szCs w:val="28"/>
          <w:rtl w:val="true"/>
          <w:lang w:bidi="ar-SA"/>
        </w:rPr>
        <w:t>الزكاة في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الجماعة المذكورون حيث حكموا باستحباب إخراج الزكاة من مال الطفل في كلّ موضع يقع الشراء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ولو أجاز الولي ذلك للمتّجر إذا كان بحيث يصحّ له إجازته كان الربح واستحب له إخراج زكاته كسائر أموال التجارة</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4587051_2142443653"/>
      <w:bookmarkStart w:id="24" w:name="_Toc8"/>
      <w:bookmarkEnd w:id="23"/>
      <w:r>
        <w:rPr>
          <w:rtl w:val="true"/>
        </w:rPr>
        <w:t>[</w:t>
      </w:r>
      <w:r>
        <w:rPr>
          <w:rtl w:val="true"/>
        </w:rPr>
        <w:t>تنبيهات</w:t>
      </w:r>
      <w:r>
        <w:rPr>
          <w:rtl w:val="true"/>
        </w:rPr>
        <w:t>]</w:t>
      </w:r>
      <w:bookmarkEnd w:id="24"/>
    </w:p>
    <w:p>
      <w:pPr>
        <w:pStyle w:val="BookText"/>
        <w:rPr/>
      </w:pPr>
      <w:r>
        <w:rPr>
          <w:rFonts w:ascii="Amiri" w:hAnsi="Amiri" w:eastAsia="Amiri" w:cs="Amiri"/>
          <w:color w:val="111111"/>
          <w:sz w:val="28"/>
          <w:sz w:val="28"/>
          <w:szCs w:val="28"/>
          <w:rtl w:val="true"/>
          <w:lang w:bidi="ar-SA"/>
        </w:rPr>
        <w:t xml:space="preserve">وينبغي التنبيه على أمور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بالملاءة كونه بحيث يقدر على أداء المال المضمون من ماله لو تلف </w:t>
      </w:r>
    </w:p>
    <w:p>
      <w:pPr>
        <w:pStyle w:val="BookText"/>
        <w:rPr/>
      </w:pPr>
      <w:r>
        <w:rPr>
          <w:rFonts w:ascii="Amiri" w:hAnsi="Amiri" w:eastAsia="Amiri" w:cs="Amiri"/>
          <w:color w:val="111111"/>
          <w:sz w:val="28"/>
          <w:sz w:val="28"/>
          <w:szCs w:val="28"/>
          <w:rtl w:val="true"/>
          <w:lang w:bidi="ar-SA"/>
        </w:rPr>
        <w:t xml:space="preserve">بحسب حاله كما في المدارك </w:t>
      </w:r>
      <w:r>
        <w:rPr>
          <w:rStyle w:val="FootnoteAnchor"/>
          <w:rtl w:val="true"/>
        </w:rPr>
        <w:footnoteReference w:id="114"/>
      </w:r>
      <w:r>
        <w:rPr>
          <w:rFonts w:ascii="Amiri" w:hAnsi="Amiri" w:eastAsia="Amiri" w:cs="Amiri"/>
          <w:color w:val="111111"/>
          <w:sz w:val="28"/>
          <w:sz w:val="28"/>
          <w:szCs w:val="28"/>
          <w:rtl w:val="true"/>
          <w:lang w:bidi="ar-SA"/>
        </w:rPr>
        <w:t xml:space="preserve">والرياض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وفسّره في المسالك </w:t>
      </w:r>
      <w:r>
        <w:rPr>
          <w:rStyle w:val="FootnoteAnchor"/>
          <w:rtl w:val="true"/>
        </w:rPr>
        <w:footnoteReference w:id="116"/>
      </w:r>
      <w:r>
        <w:rPr>
          <w:rFonts w:ascii="Amiri" w:hAnsi="Amiri" w:eastAsia="Amiri" w:cs="Amiri"/>
          <w:color w:val="111111"/>
          <w:sz w:val="28"/>
          <w:sz w:val="28"/>
          <w:szCs w:val="28"/>
          <w:rtl w:val="true"/>
          <w:lang w:bidi="ar-SA"/>
        </w:rPr>
        <w:t>ومجمع البرهان بأن يكون له مال بقدر مال الطفل فاضلا من المستثنيات في الدين الّتي منها مقدار قوت يوم وليلة له ولعياله الواجبي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الذخيرة </w:t>
      </w:r>
      <w:r>
        <w:rPr>
          <w:rStyle w:val="FootnoteAnchor"/>
          <w:rtl w:val="true"/>
        </w:rPr>
        <w:footnoteReference w:id="117"/>
      </w:r>
      <w:r>
        <w:rPr>
          <w:rFonts w:ascii="Amiri" w:hAnsi="Amiri" w:eastAsia="Amiri" w:cs="Amiri"/>
          <w:color w:val="111111"/>
          <w:sz w:val="28"/>
          <w:sz w:val="28"/>
          <w:szCs w:val="28"/>
          <w:rtl w:val="true"/>
          <w:lang w:bidi="ar-SA"/>
        </w:rPr>
        <w:t>أنه أنسب إلى الرواية وكلام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هو الأظهر ؛ إذ من المعلوم أنّ اعتبار الملاءة إنّما هو من جهة اغترامه مال الطفل إن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من الأخبار المتقدمة ، فمجرّد ملكه مقدار مال الطفل فاضلا عن مستثنيات الدين لا يكتفي في بعض الصور كما إذا لم يكن له حرفة يتعيّش بها ، وكان المصروف في معيشته من ذلك المال ، فإنّ ملاحظة يوم وليلة حال الضمان لا يثمر في أداء المال عند تلفه بعد ذلك ، ولا يعدّ معه </w:t>
      </w:r>
      <w:r>
        <w:rPr>
          <w:rStyle w:val="FootnoteAnchor"/>
          <w:rtl w:val="true"/>
        </w:rPr>
        <w:footnoteReference w:id="118"/>
      </w:r>
      <w:r>
        <w:rPr>
          <w:rFonts w:ascii="Amiri" w:hAnsi="Amiri" w:eastAsia="Amiri" w:cs="Amiri"/>
          <w:color w:val="111111"/>
          <w:sz w:val="28"/>
          <w:sz w:val="28"/>
          <w:szCs w:val="28"/>
          <w:rtl w:val="true"/>
          <w:lang w:bidi="ar-SA"/>
        </w:rPr>
        <w:t>مالكا لما يقدر على الأداء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إطلاق الحدّين المذكورين الاكتفاء بمجرّد ملك المال المفروض ، وإن كان له ديون أخر بإزائه يساويه أو يزيد عليه ، وصدق الملاءة حينئذ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ينزل إطلاقهما على المال الخالص الذي لا يكون عليه دين بإزائه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عدم الفرق بين غياب المال وحضوره ، وكونه من جنس </w:t>
      </w:r>
      <w:r>
        <w:rPr>
          <w:rStyle w:val="FootnoteAnchor"/>
          <w:rtl w:val="true"/>
        </w:rPr>
        <w:footnoteReference w:id="119"/>
      </w:r>
      <w:r>
        <w:rPr>
          <w:rFonts w:ascii="Amiri" w:hAnsi="Amiri" w:eastAsia="Amiri" w:cs="Amiri"/>
          <w:color w:val="111111"/>
          <w:sz w:val="28"/>
          <w:sz w:val="28"/>
          <w:szCs w:val="28"/>
          <w:rtl w:val="true"/>
          <w:lang w:bidi="ar-SA"/>
        </w:rPr>
        <w:t>ما يضمن به مال الطفل أو من غير جنسه ، ولو كانت منفعة وكونه مشخصا في الخارج أو كليا في الذمّة ، وإنّما يعتبر كونه مقدورا عليه بحسب العادة إذا أراده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رهنا بإزاء دين عليه ففي الاكتفاء به مع زيادة مقداره على المال المرهون بإزائه إشكال إلّا أن يكون ذلك الرهن متيسّرا له بحسب العادة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 المدار على ملك ما يقدر معه على أداء مال الطفل على فرض تلفه كيفما كان حسبما اعتبر في التفسير المذكور ، ولا عبرة بإمكان الاستدامة مهما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بالوجاهة الباعثة على بذل الغير له ذلك مهما أسقطاه ولو لم يملكه حال الضمان لكن كان بحيث يحكم بحصوله مجارى العادات كثمر البستان ونتاج الغنم ونحوها قوي إلحاقه بالموجود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واعتبر في النهاية </w:t>
      </w:r>
      <w:r>
        <w:rPr>
          <w:rStyle w:val="FootnoteAnchor"/>
          <w:rtl w:val="true"/>
        </w:rPr>
        <w:footnoteReference w:id="120"/>
      </w:r>
      <w:r>
        <w:rPr>
          <w:rFonts w:ascii="Amiri" w:hAnsi="Amiri" w:eastAsia="Amiri" w:cs="Amiri"/>
          <w:color w:val="111111"/>
          <w:sz w:val="28"/>
          <w:sz w:val="28"/>
          <w:szCs w:val="28"/>
          <w:rtl w:val="true"/>
          <w:lang w:bidi="ar-SA"/>
        </w:rPr>
        <w:t xml:space="preserve">تملكه في الحال ما يفي به ، ولو كان ماله في عرضة الزوال كالمبعوث في سفر البحر أو سائر مواضع الخطر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يبنى على بقائه في مجارى العادات بني عليه ، وإلّا فإشكال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 هناك مال ودار أن يكون منه أو من غيره ففي إجراء حكم الملاءة مع توقّفه على بقائه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العبرة باعتبار الملاءة إنّما هي حال الضمان ، فلو انتفت بعد ذلك لم يجب عليه إقرار المال ؛ أخذا بالأصل مع احتماله نظرا إلى أن المانع في الابتداء حاصل في الاستدامة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ذكر بين مال اليتيم وغيره اتفاقا ، وإن كان مورد الأخبار المتقدّمة خصوص اليتيم ، وكان ورود السؤال عن خصوص اليتيم في الأخبار المذكورة من جهة كون السبب غالبا في انتقال المال إلى الطفل موت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اختصاص الحكم بالمولود دون الحمل ، فلا زكاة في مال الحمل لا استحبابا ولا وجوبا ؛ بناء على القول به في غلاته ومواشيه ، فلا يعذر من الجهل من الحول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نصّ عليه جماعة منهم الشهيد في غاية المراد لكنّه استقرب في البيان </w:t>
      </w:r>
      <w:r>
        <w:rPr>
          <w:rStyle w:val="FootnoteAnchor"/>
          <w:rtl w:val="true"/>
        </w:rPr>
        <w:footnoteReference w:id="121"/>
      </w:r>
      <w:r>
        <w:rPr>
          <w:rFonts w:ascii="Amiri" w:hAnsi="Amiri" w:eastAsia="Amiri" w:cs="Amiri"/>
          <w:color w:val="111111"/>
          <w:sz w:val="28"/>
          <w:sz w:val="28"/>
          <w:szCs w:val="28"/>
          <w:rtl w:val="true"/>
          <w:lang w:bidi="ar-SA"/>
        </w:rPr>
        <w:t xml:space="preserve">إلحاقه المنفصل لو انفصل حيّا دون ما لو سقط ميّتا ، </w:t>
      </w:r>
      <w:r>
        <w:rPr>
          <w:rStyle w:val="FootnoteAnchor"/>
          <w:rtl w:val="true"/>
        </w:rPr>
        <w:footnoteReference w:id="122"/>
      </w:r>
      <w:r>
        <w:rPr>
          <w:rFonts w:ascii="Amiri" w:hAnsi="Amiri" w:eastAsia="Amiri" w:cs="Amiri"/>
          <w:color w:val="111111"/>
          <w:sz w:val="28"/>
          <w:sz w:val="28"/>
          <w:szCs w:val="28"/>
          <w:rtl w:val="true"/>
          <w:lang w:bidi="ar-SA"/>
        </w:rPr>
        <w:t>وهو بعيد ؛ لعدم اندراجه في الأخبار ، وخروجه عن ظاهر كلام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محيص عن الرجوع فيه إلى حكم الأصل القاضي فيه إلى حكم الأصل بالمنع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الإيضاح </w:t>
      </w:r>
      <w:r>
        <w:rPr>
          <w:rStyle w:val="FootnoteAnchor"/>
          <w:rtl w:val="true"/>
        </w:rPr>
        <w:footnoteReference w:id="123"/>
      </w:r>
      <w:r>
        <w:rPr>
          <w:rFonts w:ascii="Amiri" w:hAnsi="Amiri" w:eastAsia="Amiri" w:cs="Amiri"/>
          <w:color w:val="111111"/>
          <w:sz w:val="28"/>
          <w:sz w:val="28"/>
          <w:szCs w:val="28"/>
          <w:rtl w:val="true"/>
          <w:lang w:bidi="ar-SA"/>
        </w:rPr>
        <w:t>حكاية إجماع أصحابنا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شاهد آخر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أنّ المجنون حاله فيما ذكر كحال الطفل لمساواته </w:t>
      </w:r>
      <w:r>
        <w:rPr>
          <w:rStyle w:val="FootnoteAnchor"/>
          <w:rtl w:val="true"/>
        </w:rPr>
        <w:footnoteReference w:id="124"/>
      </w:r>
      <w:r>
        <w:rPr>
          <w:rFonts w:ascii="Amiri" w:hAnsi="Amiri" w:eastAsia="Amiri" w:cs="Amiri"/>
          <w:color w:val="111111"/>
          <w:sz w:val="28"/>
          <w:sz w:val="28"/>
          <w:szCs w:val="28"/>
          <w:rtl w:val="true"/>
          <w:lang w:bidi="ar-SA"/>
        </w:rPr>
        <w:t>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 على اتحادهما في الحكم في المقام جماعة من الأصحاب من غير ظهور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والأصحاب لم يفرّقوا بين الطفل والمجنون في الأحكام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 على استحباب الزكاة في ماله مع الاتّجار به خصوص الصحيح والخبر المتقدمين المعتضدين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جنّ أوّل بلوغه وكان في أثناء الحول ، ففي استحباب الزكاة عند حلوله وجهان ؛ أوجههما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فيمن يكون جنونه دوريّا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ويقوي القول باجراء الحكم المذكور في المغمى عليه والسكران أيضا وإن تلحقهما </w:t>
      </w:r>
      <w:r>
        <w:rPr>
          <w:rStyle w:val="FootnoteAnchor"/>
          <w:rtl w:val="true"/>
        </w:rPr>
        <w:footnoteReference w:id="126"/>
      </w:r>
      <w:r>
        <w:rPr>
          <w:rFonts w:ascii="IRNazanin" w:hAnsi="IRNazanin" w:eastAsia="IRNazanin"/>
          <w:color w:val="111111"/>
          <w:sz w:val="28"/>
          <w:sz w:val="28"/>
          <w:szCs w:val="28"/>
          <w:rtl w:val="true"/>
          <w:lang w:bidi="fa-IR"/>
        </w:rPr>
        <w:t>بالنائم والغافل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اتّجر للطفل أو المجنون فرضا عليه من غير أن يكون له مال أو يصرف ماله فيه ، ففي استحباب إخراج الزكاة منه وجهان ؛ أوجههما العدم ؛ اقتصارا فيما خالف الأصل على مورد النصّ ؛ إذ لا يعدّ ذلك اتّجار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 الطفل أو المجنون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اشترى لأحدهما ذمّة ودفع ماله بازائه فلا يبعد </w:t>
      </w:r>
      <w:r>
        <w:rPr>
          <w:rStyle w:val="FootnoteAnchor"/>
          <w:rtl w:val="true"/>
        </w:rPr>
        <w:footnoteReference w:id="127"/>
      </w:r>
      <w:r>
        <w:rPr>
          <w:rFonts w:ascii="Amiri" w:hAnsi="Amiri" w:eastAsia="Amiri" w:cs="Amiri"/>
          <w:color w:val="111111"/>
          <w:sz w:val="28"/>
          <w:sz w:val="28"/>
          <w:szCs w:val="28"/>
          <w:rtl w:val="true"/>
          <w:lang w:bidi="ar-SA"/>
        </w:rPr>
        <w:t>إجراء الحكم بعده عرفا من الاتجار له بماله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ثانيها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في المجنون بين المطبق وذي الأدوار إذا كان دور جنونه حال تعلق الوجوب به ؛ لوضوح صدق المجنون عليه حينئذ ، فيندرج فيما دلّ على سقوطه عنه ، ولخروجه بذلك عن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فيدل على سقوطه ما دلّ على ملازمة وجوبه لوجوب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يستظهر من إطلاق ما في المدارك </w:t>
      </w:r>
      <w:r>
        <w:rPr>
          <w:rStyle w:val="FootnoteAnchor"/>
          <w:rtl w:val="true"/>
        </w:rPr>
        <w:footnoteReference w:id="129"/>
      </w:r>
      <w:r>
        <w:rPr>
          <w:rFonts w:ascii="Amiri" w:hAnsi="Amiri" w:eastAsia="Amiri" w:cs="Amiri"/>
          <w:color w:val="111111"/>
          <w:sz w:val="28"/>
          <w:sz w:val="28"/>
          <w:szCs w:val="28"/>
          <w:rtl w:val="true"/>
          <w:lang w:bidi="ar-SA"/>
        </w:rPr>
        <w:t xml:space="preserve">والذخيرة </w:t>
      </w:r>
      <w:r>
        <w:rPr>
          <w:rStyle w:val="FootnoteAnchor"/>
          <w:rtl w:val="true"/>
        </w:rPr>
        <w:footnoteReference w:id="130"/>
      </w:r>
      <w:r>
        <w:rPr>
          <w:rFonts w:ascii="Amiri" w:hAnsi="Amiri" w:eastAsia="Amiri" w:cs="Amiri"/>
          <w:color w:val="111111"/>
          <w:sz w:val="28"/>
          <w:sz w:val="28"/>
          <w:szCs w:val="28"/>
          <w:rtl w:val="true"/>
          <w:lang w:bidi="ar-SA"/>
        </w:rPr>
        <w:t xml:space="preserve">خلاف ذلك حيث استقرب في الأوّل تعلّق </w:t>
      </w:r>
      <w:r>
        <w:rPr>
          <w:rStyle w:val="FootnoteAnchor"/>
          <w:rtl w:val="true"/>
        </w:rPr>
        <w:footnoteReference w:id="131"/>
      </w:r>
      <w:r>
        <w:rPr>
          <w:rFonts w:ascii="Amiri" w:hAnsi="Amiri" w:eastAsia="Amiri" w:cs="Amiri"/>
          <w:color w:val="111111"/>
          <w:sz w:val="28"/>
          <w:sz w:val="28"/>
          <w:szCs w:val="28"/>
          <w:rtl w:val="true"/>
          <w:lang w:bidi="ar-SA"/>
        </w:rPr>
        <w:t>الوجوب حال الإفاقة ؛ إذ لا مانع من توجّه الخطاب به في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ونفى عنه البعد في حواشي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واستحسنه الثاني لعموم الأدلّة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يصدق عليه الجنون حال الإفاقة كما إذا كان زمان الإفاقة قليلا نادرا بالنسبة إلى زمان الجنون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وضعفه ظاهر بعدم </w:t>
      </w:r>
      <w:r>
        <w:rPr>
          <w:rStyle w:val="FootnoteAnchor"/>
          <w:rtl w:val="true"/>
        </w:rPr>
        <w:footnoteReference w:id="132"/>
      </w:r>
      <w:r>
        <w:rPr>
          <w:rFonts w:ascii="Amiri" w:hAnsi="Amiri" w:eastAsia="Amiri" w:cs="Amiri"/>
          <w:color w:val="111111"/>
          <w:sz w:val="28"/>
          <w:sz w:val="28"/>
          <w:szCs w:val="28"/>
          <w:rtl w:val="true"/>
          <w:lang w:bidi="ar-SA"/>
        </w:rPr>
        <w:t>تعلّق الحق بمالهما في زمان الوجوب ؛ إذ لا دليل إذن على ثبوته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قد ينثلم إذن بعض شرائط الوجوب ، فلا وجه لتعلّق الأمر به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ينزل ما ذكراه على اعتبار الإفاقة حال تعلّق الوجوب ، فالمقصود أنّه إن كان مفيقا حال الوجوب تعلّق به الزكاة </w:t>
      </w:r>
      <w:r>
        <w:rPr>
          <w:rStyle w:val="FootnoteAnchor"/>
          <w:rtl w:val="true"/>
        </w:rPr>
        <w:footnoteReference w:id="133"/>
      </w:r>
      <w:r>
        <w:rPr>
          <w:rFonts w:ascii="Amiri" w:hAnsi="Amiri" w:eastAsia="Amiri" w:cs="Amiri"/>
          <w:color w:val="111111"/>
          <w:sz w:val="28"/>
          <w:sz w:val="28"/>
          <w:szCs w:val="28"/>
          <w:rtl w:val="true"/>
          <w:lang w:bidi="ar-SA"/>
        </w:rPr>
        <w:t>، وإن طراه الجنون أثناء الحول حسبما سنشير إليه إن شاء اللّه ، لكن ظاهر إطلاقهما يعمّ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ويومي إليه ما ذكراه في المغمى عليه كما سيجي‌ء إن شاء اللّه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مفيقا حال الوجوب وجنّ عند وقت الأداء احتمل السقوط ؛ لارتفاع التكليف منه ، واندراجه في إطلاق ما دلّ على سقوطه عن المجنون ، إلّا أنّ الأظهر عدمه ؛ استصحابا </w:t>
      </w:r>
    </w:p>
    <w:p>
      <w:pPr>
        <w:pStyle w:val="BookText"/>
        <w:rPr/>
      </w:pPr>
      <w:r>
        <w:rPr>
          <w:rFonts w:ascii="Amiri" w:hAnsi="Amiri" w:eastAsia="Amiri" w:cs="Amiri"/>
          <w:color w:val="111111"/>
          <w:sz w:val="28"/>
          <w:sz w:val="28"/>
          <w:szCs w:val="28"/>
          <w:rtl w:val="true"/>
          <w:lang w:bidi="ar-SA"/>
        </w:rPr>
        <w:t>للحكم الثابت في المال ، فيكلّف الولي حينئذ بإخراجه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واندراج ذلك في الإطلاق المذكور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 والمفروض كونه عاقلا حال الوجوب ، غاية الأمر صدق المجنون عليه بعد ذلك ، وهو غير مفيد بعد تعلق الوجوب بالمال بحكم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كشف ذلك إذن عن عدمه غير ظاهرة مع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Style w:val="FootnoteAnchor"/>
          <w:rtl w:val="true"/>
        </w:rPr>
        <w:footnoteReference w:id="134"/>
      </w:r>
      <w:r>
        <w:rPr>
          <w:rFonts w:ascii="IRNazanin" w:hAnsi="IRNazanin" w:eastAsia="IRNazanin"/>
          <w:color w:val="111111"/>
          <w:sz w:val="28"/>
          <w:sz w:val="28"/>
          <w:szCs w:val="28"/>
          <w:rtl w:val="true"/>
          <w:lang w:bidi="fa-IR"/>
        </w:rPr>
        <w:t xml:space="preserve">والقواعد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الجنون يعتوره اشترط الكمال طول الحول ، فلو فرض في أثنائه سقط واستأنف من حين 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واستقرب في المدارك </w:t>
      </w:r>
      <w:r>
        <w:rPr>
          <w:rStyle w:val="FootnoteAnchor"/>
          <w:rtl w:val="true"/>
        </w:rPr>
        <w:footnoteReference w:id="136"/>
      </w:r>
      <w:r>
        <w:rPr>
          <w:rFonts w:ascii="Amiri" w:hAnsi="Amiri" w:eastAsia="Amiri" w:cs="Amiri"/>
          <w:color w:val="111111"/>
          <w:sz w:val="28"/>
          <w:sz w:val="28"/>
          <w:szCs w:val="28"/>
          <w:rtl w:val="true"/>
          <w:lang w:bidi="ar-SA"/>
        </w:rPr>
        <w:t>عدم انثلام الحول بذلك ، فيتعلق بالوجوب حال الإفاقة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واستحسنه في الذخيرة </w:t>
      </w:r>
      <w:r>
        <w:rPr>
          <w:rStyle w:val="FootnoteAnchor"/>
          <w:rtl w:val="true"/>
        </w:rPr>
        <w:footnoteReference w:id="137"/>
      </w:r>
      <w:r>
        <w:rPr>
          <w:rFonts w:ascii="Amiri" w:hAnsi="Amiri" w:eastAsia="Amiri" w:cs="Amiri"/>
          <w:color w:val="111111"/>
          <w:sz w:val="28"/>
          <w:sz w:val="28"/>
          <w:szCs w:val="28"/>
          <w:rtl w:val="true"/>
          <w:lang w:bidi="ar-SA"/>
        </w:rPr>
        <w:t>إلّا إذا صدق عليه الجنون لقلّة زمان الإفاقة كما مرّت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فيما ذكراه إطلاق الأدلّة وعدم قيام دليل على اعتبار الاستمرار والعقل </w:t>
      </w:r>
      <w:r>
        <w:rPr>
          <w:rStyle w:val="FootnoteAnchor"/>
          <w:rtl w:val="true"/>
        </w:rPr>
        <w:footnoteReference w:id="138"/>
      </w:r>
      <w:r>
        <w:rPr>
          <w:rFonts w:ascii="IRNazanin" w:hAnsi="IRNazanin" w:eastAsia="IRNazanin"/>
          <w:color w:val="111111"/>
          <w:sz w:val="28"/>
          <w:sz w:val="28"/>
          <w:szCs w:val="28"/>
          <w:rtl w:val="true"/>
          <w:lang w:bidi="fa-IR"/>
        </w:rPr>
        <w:t>طول الحول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سقوط الزكاة عن المجنون الحكم بعدم تعلّق التكليف به عند حلول الحول كما أنّه المراد من الحكم بوجوبه على العاقل ؛ لوضوح سقوطها عن العامل بتنجيز قبل الحول ، والحكم بسقوطه عنه عند الحلول قاض بما ذكروه من اعتبار العقل طول الحول ؛ إذ لو جنّ في أثناء الحول كان محكوما بسقوط الزكاة عنه حال حلول ، الحول فلا بدّ من ملاحظة الحول من حال زوال الجنون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بسقوطه من المجنون إنّما هو مع بقاء الجنون دون ما إذا زال كما هو </w:t>
      </w:r>
    </w:p>
    <w:p>
      <w:pPr>
        <w:pStyle w:val="BookText"/>
        <w:rPr/>
      </w:pPr>
      <w:r>
        <w:rPr>
          <w:rFonts w:ascii="Amiri" w:hAnsi="Amiri" w:eastAsia="Amiri" w:cs="Amiri"/>
          <w:color w:val="111111"/>
          <w:sz w:val="28"/>
          <w:sz w:val="28"/>
          <w:szCs w:val="28"/>
          <w:rtl w:val="true"/>
          <w:lang w:bidi="ar-SA"/>
        </w:rPr>
        <w:t>المفروض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إطلاق ما دلّ على سقوطه عن المجنون هو عدم وجوبه عليه عند حلول الحول سواء كان عاقلا حينئذ أو مجنونا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وتقييد السقوط عنه بما إذا بقي الجنون خروج عن ظاهر الإطلاق من 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المناط ممّا دلّ على اعتبار الحول فيما يعتبر فيه ذلك مراعاته في تنجيز الخطاب بعد كونه متعلّقا لخطاب الزكاة في الجملة ، والمجنون ليس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ويومي إليه ما رواه الكليني </w:t>
      </w:r>
      <w:r>
        <w:rPr>
          <w:rStyle w:val="FootnoteAnchor"/>
          <w:rtl w:val="true"/>
        </w:rPr>
        <w:footnoteReference w:id="139"/>
      </w:r>
      <w:r>
        <w:rPr>
          <w:rFonts w:ascii="IRNazanin" w:hAnsi="IRNazanin" w:eastAsia="IRNazanin"/>
          <w:color w:val="111111"/>
          <w:sz w:val="28"/>
          <w:sz w:val="28"/>
          <w:szCs w:val="28"/>
          <w:rtl w:val="true"/>
          <w:lang w:bidi="fa-IR"/>
        </w:rPr>
        <w:t xml:space="preserve">والصدوق </w:t>
      </w:r>
      <w:r>
        <w:rPr>
          <w:rStyle w:val="FootnoteAnchor"/>
          <w:rtl w:val="true"/>
        </w:rPr>
        <w:footnoteReference w:id="140"/>
      </w:r>
      <w:r>
        <w:rPr>
          <w:rFonts w:ascii="Amiri" w:hAnsi="Amiri" w:eastAsia="Amiri" w:cs="Amiri"/>
          <w:color w:val="111111"/>
          <w:sz w:val="28"/>
          <w:sz w:val="28"/>
          <w:szCs w:val="28"/>
          <w:rtl w:val="true"/>
          <w:lang w:bidi="ar-SA"/>
        </w:rPr>
        <w:t xml:space="preserve">في الصحيح من أنّه نزلت آية الزكاة في شهر رمضان ، فأمر رسول اللّه صلى‌اللّه‌عليه‌وآله مناديه فنادى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فرض عليكم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يتعرض لشي‌ء من أموالهم حتّى حال عليهم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لو لا ذلك لطالبهم بأداء الزكاة عند إيجابها ؛ نظرا إلى مضيّ الحول السابق قبل تعلّق الأمر بها ، فالمستفاد منه أنّ حولان الحول إنّما يعتبر بعد تعلّق الأمر بالزكاة ، ولا يتعلّق في المقام إلّا بعد حصول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ويرشد إليه أيضا أن المجنون محجور عليه في التصرف ، فيدلّ على سقوط الزكاة عنه في المقام ما دلّ على اعتبار التمكّن في التصرف طول الحول في وجوب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وتنزيل تمكّن الولي من التصرف فيه منزلة تمكّنه يحتاج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الحال في الصبي أيضا ، فمناقشة صاحب الذخيرة </w:t>
      </w:r>
      <w:r>
        <w:rPr>
          <w:rStyle w:val="FootnoteAnchor"/>
          <w:rtl w:val="true"/>
        </w:rPr>
        <w:footnoteReference w:id="141"/>
      </w:r>
      <w:r>
        <w:rPr>
          <w:rFonts w:ascii="Amiri" w:hAnsi="Amiri" w:eastAsia="Amiri" w:cs="Amiri"/>
          <w:color w:val="111111"/>
          <w:sz w:val="28"/>
          <w:sz w:val="28"/>
          <w:szCs w:val="28"/>
          <w:rtl w:val="true"/>
          <w:lang w:bidi="ar-SA"/>
        </w:rPr>
        <w:t>في احتساب أوّل الحول بعد تحقّق البلوغ لعدم قيام دليل على اعتبار ذلك ، وإطلاق ما دلّ على اعتبار الحول ليس على ما ينبغي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ظاهر موثقة أبي بصير المتقدمة ، وقد روى في الصحيح </w:t>
      </w:r>
      <w:r>
        <w:rPr>
          <w:rStyle w:val="FootnoteAnchor"/>
          <w:rtl w:val="true"/>
        </w:rPr>
        <w:footnoteReference w:id="142"/>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مال </w:t>
      </w:r>
    </w:p>
    <w:p>
      <w:pPr>
        <w:pStyle w:val="BookText"/>
        <w:rPr/>
      </w:pPr>
      <w:r>
        <w:rPr>
          <w:rFonts w:ascii="Amiri" w:hAnsi="Amiri" w:eastAsia="Amiri" w:cs="Amiri"/>
          <w:color w:val="111111"/>
          <w:sz w:val="28"/>
          <w:sz w:val="28"/>
          <w:szCs w:val="28"/>
          <w:rtl w:val="true"/>
          <w:lang w:bidi="ar-SA"/>
        </w:rPr>
        <w:t xml:space="preserve">اليتيم زكاة ، وإن بلغ اليتيم فليس عليه لما مضى زكاة ولا عليه فيما بقي حتى يدرك ، فإذا أدرك فإنّما عليه زكاة واحدة ، ثمّ كان عليه مثل ما على غيره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اتّحاد الخبرين ، وإن اختلفا في الجملة واشتمل الأوّل على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ودلالته على المدّعى ظاهرة ؛ فإنّ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عليه لما مضى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عدم اعتبار الماضي أصلا ، ولو بعضا من الحول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الغضّ عنه فدلالته على عدم اعتبار </w:t>
      </w:r>
      <w:r>
        <w:rPr>
          <w:rStyle w:val="FootnoteAnchor"/>
          <w:rtl w:val="true"/>
        </w:rPr>
        <w:footnoteReference w:id="143"/>
      </w:r>
      <w:r>
        <w:rPr>
          <w:rFonts w:ascii="Amiri" w:hAnsi="Amiri" w:eastAsia="Amiri" w:cs="Amiri"/>
          <w:color w:val="111111"/>
          <w:sz w:val="28"/>
          <w:sz w:val="28"/>
          <w:szCs w:val="28"/>
          <w:rtl w:val="true"/>
          <w:lang w:bidi="ar-SA"/>
        </w:rPr>
        <w:t xml:space="preserve">الحول في مال الصغير </w:t>
      </w:r>
      <w:r>
        <w:rPr>
          <w:rStyle w:val="FootnoteAnchor"/>
          <w:rtl w:val="true"/>
        </w:rPr>
        <w:footnoteReference w:id="144"/>
      </w:r>
      <w:r>
        <w:rPr>
          <w:rFonts w:ascii="Amiri" w:hAnsi="Amiri" w:eastAsia="Amiri" w:cs="Amiri"/>
          <w:color w:val="111111"/>
          <w:sz w:val="28"/>
          <w:sz w:val="28"/>
          <w:szCs w:val="28"/>
          <w:rtl w:val="true"/>
          <w:lang w:bidi="ar-SA"/>
        </w:rPr>
        <w:t>فيما إذا فرض بلوغه في أول حولان الحول في غاية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أيضا كاف </w:t>
      </w:r>
      <w:r>
        <w:rPr>
          <w:rStyle w:val="FootnoteAnchor"/>
          <w:rtl w:val="true"/>
        </w:rPr>
        <w:footnoteReference w:id="145"/>
      </w:r>
      <w:r>
        <w:rPr>
          <w:rFonts w:ascii="Amiri" w:hAnsi="Amiri" w:eastAsia="Amiri" w:cs="Amiri"/>
          <w:color w:val="111111"/>
          <w:sz w:val="28"/>
          <w:sz w:val="28"/>
          <w:szCs w:val="28"/>
          <w:rtl w:val="true"/>
          <w:lang w:bidi="ar-SA"/>
        </w:rPr>
        <w:t>في المقام ؛ إذ لو لا اعتبار البلوغ في الحول لاكتفى بحصول البلوغ في حال الحولان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في ذلك بين البعض </w:t>
      </w:r>
      <w:r>
        <w:rPr>
          <w:rStyle w:val="FootnoteAnchor"/>
          <w:rtl w:val="true"/>
        </w:rPr>
        <w:footnoteReference w:id="146"/>
      </w:r>
      <w:r>
        <w:rPr>
          <w:rFonts w:ascii="Amiri" w:hAnsi="Amiri" w:eastAsia="Amiri" w:cs="Amiri"/>
          <w:color w:val="111111"/>
          <w:sz w:val="28"/>
          <w:sz w:val="28"/>
          <w:szCs w:val="28"/>
          <w:rtl w:val="true"/>
          <w:lang w:bidi="ar-SA"/>
        </w:rPr>
        <w:t xml:space="preserve">والكلّ كما قد يستفاد من كلام الفاضل المذكور تعسّف </w:t>
      </w:r>
      <w:r>
        <w:rPr>
          <w:rStyle w:val="FootnoteAnchor"/>
          <w:rtl w:val="true"/>
        </w:rPr>
        <w:footnoteReference w:id="147"/>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فرض نقض ذلك عن الحول بمقدار آنات أو ساعات بل أيّام لاندرج في العبارة المذكورة قطعا ، والفرق في ذلك بين القليل والكثير ممّا لا يتوهمه أحد في المقام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قوله </w:t>
      </w:r>
      <w:r>
        <w:rPr>
          <w:rStyle w:val="FootnoteAnchor"/>
          <w:rtl w:val="true"/>
        </w:rPr>
        <w:footnoteReference w:id="148"/>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عليه فيما بقي أو لما يستقبل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 على اختلاف الروايتين في كمال الظهور فيما ذكرناه ؛ فإنّ الظاهر كون المراد من قوله </w:t>
      </w:r>
      <w:r>
        <w:rPr>
          <w:rStyle w:val="FootnoteAnchor"/>
          <w:rtl w:val="true"/>
        </w:rPr>
        <w:footnoteReference w:id="149"/>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وقت الوجوب أو الحول دون البلوغ ؛ لفرض ذلك فيما بعد البلوغ كما هو الظاهر من </w:t>
      </w:r>
    </w:p>
    <w:p>
      <w:pPr>
        <w:pStyle w:val="BookText"/>
        <w:rPr/>
      </w:pPr>
      <w:r>
        <w:rPr>
          <w:rFonts w:ascii="Amiri" w:hAnsi="Amiri" w:eastAsia="Amiri" w:cs="Amiri"/>
          <w:color w:val="111111"/>
          <w:sz w:val="28"/>
          <w:sz w:val="28"/>
          <w:szCs w:val="28"/>
          <w:rtl w:val="true"/>
          <w:lang w:bidi="ar-SA"/>
        </w:rPr>
        <w:t xml:space="preserve">عطف ذلك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عليه لما مضى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فالظاهر منه حينئذ اعتبار الحول بعد البلوغ كما 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وصل إليك المال الغائب منك لم يكن فيه زكاة إلى أن يحول عليه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المستفاد منه عرفا اعتبار حلول الحول بعد الوصول إليه ، فكذا الظاهر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عدم ثبوت الزكاة في بقية الحول أمر ظاهر بعد اعتبار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ذلك في مقام بيان أصل اعتبار الحول حتى يصرف الكلام المذكور إليه ، فحمله عليه في كمال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عليه مثل ما على غيره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للحكم المذكور وبيان لحكمه في سائر السنين والأعوام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يجعل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في مقامه جملة مستأنفة ، ويحمل الإدراك على البلوغ ، فالمعنى أنّ اليتيم ليس عليه لما يأتي زكاة إلى أن يبلغ ، فاذا بلغ كانت عليه زكاة واحدة ، فإذن لا دلالة فيها على ما ذكرنا ، بل ربّما يدل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عليه مثل ما على غيره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لحكمه بالنسبة إلى ما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أنسب بما في الرواية الثانية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كان عليه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 إلّا أنّ حملها على ذلك يقضي بالمعارضة بين ذيل الرواية وصدرها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فحمل </w:t>
      </w:r>
      <w:r>
        <w:rPr>
          <w:rStyle w:val="FootnoteAnchor"/>
          <w:rtl w:val="true"/>
        </w:rPr>
        <w:footnoteReference w:id="150"/>
      </w:r>
      <w:r>
        <w:rPr>
          <w:rFonts w:ascii="Amiri" w:hAnsi="Amiri" w:eastAsia="Amiri" w:cs="Amiri"/>
          <w:color w:val="111111"/>
          <w:sz w:val="28"/>
          <w:sz w:val="28"/>
          <w:szCs w:val="28"/>
          <w:rtl w:val="true"/>
          <w:lang w:bidi="ar-SA"/>
        </w:rPr>
        <w:t>تلك الجملة على الاستيناف في كمال البعد ، والحكم المشتمل عليه ممّا لم نقف على قائل به ، فلا وجه لحمل الرواية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أنّه بعد دلالة الرواية المذكورة على اعتبار الحول بعد البلوغ يظهر منه الحال في المجنون أيضا ؛ إذ لا فرق بينهما في ذلك ، فبملاحظة ما ذكرنا يتّضح الحال في المقام سيّما بعد إطباق الأصحاب عليه في ظاهر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به جماعة من غير خلاف يظهر فيه عدا ما أشرنا إليه ، فتأمل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في التذكرة </w:t>
      </w:r>
      <w:r>
        <w:rPr>
          <w:rStyle w:val="FootnoteAnchor"/>
          <w:rtl w:val="true"/>
        </w:rPr>
        <w:footnoteReference w:id="151"/>
      </w:r>
      <w:r>
        <w:rPr>
          <w:rFonts w:ascii="Amiri" w:hAnsi="Amiri" w:eastAsia="Amiri" w:cs="Amiri"/>
          <w:color w:val="111111"/>
          <w:sz w:val="28"/>
          <w:sz w:val="28"/>
          <w:szCs w:val="28"/>
          <w:rtl w:val="true"/>
          <w:lang w:bidi="ar-SA"/>
        </w:rPr>
        <w:t xml:space="preserve">والنهاية </w:t>
      </w:r>
      <w:r>
        <w:rPr>
          <w:rStyle w:val="FootnoteAnchor"/>
          <w:rtl w:val="true"/>
        </w:rPr>
        <w:footnoteReference w:id="152"/>
      </w:r>
      <w:r>
        <w:rPr>
          <w:rFonts w:ascii="Amiri" w:hAnsi="Amiri" w:eastAsia="Amiri" w:cs="Amiri"/>
          <w:color w:val="111111"/>
          <w:sz w:val="28"/>
          <w:sz w:val="28"/>
          <w:szCs w:val="28"/>
          <w:rtl w:val="true"/>
          <w:lang w:bidi="ar-SA"/>
        </w:rPr>
        <w:t xml:space="preserve">الإغماء بالجنون ، فلو طرأ عليه حال تعلّق </w:t>
      </w:r>
    </w:p>
    <w:p>
      <w:pPr>
        <w:pStyle w:val="BookText"/>
        <w:rPr/>
      </w:pPr>
      <w:r>
        <w:rPr>
          <w:rFonts w:ascii="IRNazanin" w:hAnsi="IRNazanin" w:eastAsia="IRNazanin"/>
          <w:color w:val="111111"/>
          <w:sz w:val="28"/>
          <w:sz w:val="28"/>
          <w:szCs w:val="28"/>
          <w:rtl w:val="true"/>
          <w:lang w:bidi="fa-IR"/>
        </w:rPr>
        <w:t xml:space="preserve">الوجوب سقط </w:t>
      </w:r>
      <w:r>
        <w:rPr>
          <w:rStyle w:val="FootnoteAnchor"/>
          <w:rtl w:val="true"/>
        </w:rPr>
        <w:footnoteReference w:id="153"/>
      </w:r>
      <w:r>
        <w:rPr>
          <w:rFonts w:ascii="Amiri" w:hAnsi="Amiri" w:eastAsia="Amiri" w:cs="Amiri"/>
          <w:color w:val="111111"/>
          <w:sz w:val="28"/>
          <w:sz w:val="28"/>
          <w:szCs w:val="28"/>
          <w:rtl w:val="true"/>
          <w:lang w:bidi="ar-SA"/>
        </w:rPr>
        <w:t>أو في أثناء الحول قضى باستينافه فيما يعتبر الحول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واستشكله جملة من المتأخرين منهم صاحبا المدارك </w:t>
      </w:r>
      <w:r>
        <w:rPr>
          <w:rStyle w:val="FootnoteAnchor"/>
          <w:rtl w:val="true"/>
        </w:rPr>
        <w:footnoteReference w:id="154"/>
      </w:r>
      <w:r>
        <w:rPr>
          <w:rFonts w:ascii="Amiri" w:hAnsi="Amiri" w:eastAsia="Amiri" w:cs="Amiri"/>
          <w:color w:val="111111"/>
          <w:sz w:val="28"/>
          <w:sz w:val="28"/>
          <w:szCs w:val="28"/>
          <w:rtl w:val="true"/>
          <w:lang w:bidi="ar-SA"/>
        </w:rPr>
        <w:t xml:space="preserve">والذخيرة </w:t>
      </w:r>
      <w:r>
        <w:rPr>
          <w:rStyle w:val="FootnoteAnchor"/>
          <w:rtl w:val="true"/>
        </w:rPr>
        <w:footnoteReference w:id="155"/>
      </w:r>
      <w:r>
        <w:rPr>
          <w:rFonts w:ascii="Amiri" w:hAnsi="Amiri" w:eastAsia="Amiri" w:cs="Amiri"/>
          <w:color w:val="111111"/>
          <w:sz w:val="28"/>
          <w:sz w:val="28"/>
          <w:szCs w:val="28"/>
          <w:rtl w:val="true"/>
          <w:lang w:bidi="ar-SA"/>
        </w:rPr>
        <w:t>ومالا بل قالا بوجوب الزكاة عليه عند الإفاقة ؛ نظرا إلى عدم اندراجه في المجنون وعدم قيام دليل آخر على سقوطها عنه ، فغاية الأمر عدم كونه أهلا للتكليف حال الإغماء ، لكنّ النائم كذلك أيضا فهو كالنوم في تحقق التكليف بالزكاة بعد زواله وعدم انقطاع الحول بعروضه ؛ أخذا بالإطلاقات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وقوّاه العلّامة المجلسي في حواشي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البناء على كون ثبوت الزكاة في الأصل من الأحكام التكليفيّة وجعل حكمه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استحقاق الفقير سهما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تابعا لحكمه التكليفي كما هو الظاهر من جماعة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الفاضلان المذكوران حسبما مرّت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يتّجه الكلام المذكور ؛ إذ لا يعقل تكليفه بالزكاة حال الإغماء فلا يتعلّق الحقّ بماله حينئذ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براءة المال حال وجوب الزكاة عن تعلّقها به لا وجه لوجوب الزكاة وتعلّقها به بعد ذلك ؛ فإنّ مقتضى الأدلّة وجوب الزكاة في ذلك الوقت ، ولا دليل على وجوبها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وقد ينهدم النصاب حينئذ أو يتبدل المال بعد حلول وقت الوجوب قبل الإفاقة ، فقضية الأصل إذن عدم وجوبها على من نام حال تعلّق الوجوب أو طراه الغفلة عنها إلّا أنّهما خرجا بالإجماع بخلاف المغمى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وبملاحظة ما قرّرنا في انهدام الحول بطروّ الجنون في الأثناء وإن عقل حال الوجوب يظهر قوة القول بانهدامه أيضا لطروّ الإغماء بناء على الفرض المذكور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قلنا بعدم الملازمة بين الحكم الوضعي المتعلّق بالمال والتكليفي المتعلّق بالمال </w:t>
      </w:r>
    </w:p>
    <w:p>
      <w:pPr>
        <w:pStyle w:val="BookText"/>
        <w:rPr/>
      </w:pPr>
      <w:r>
        <w:rPr>
          <w:rFonts w:ascii="Amiri" w:hAnsi="Amiri" w:eastAsia="Amiri" w:cs="Amiri"/>
          <w:color w:val="111111"/>
          <w:sz w:val="28"/>
          <w:sz w:val="28"/>
          <w:szCs w:val="28"/>
          <w:rtl w:val="true"/>
          <w:lang w:bidi="ar-SA"/>
        </w:rPr>
        <w:t xml:space="preserve">أخذا بظاهر كثير من الاطلاقات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مرّت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التعلّق بالإطلاق ، فيتعلّق به التكليف بالأداء مع بقاء الحق فيه مهما أفاق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ارتباط وجوب الزكاة بوجوب الصلاة عدم وجوبها مطلقا مع انتفاء التكليف ، فلا يثبت الحق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فيه بالمنع من عدم وجوب الصلاة عليه بحسب الواقع ، غاية الأمر سقوط ذلك عنه من جهة قيام العذر كما في النائم والناسي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المجتهد إذا لم يصل إلى وجوب شي‌ء أو حرمته وأداء الدليل إلى خلافه ، فلا شكّ إذن في كون الحكم في شأنه هو ما ساقه الدليل إليه إلّا أنّ ذلك لا يقضي بكون حكمه الواقعي الأوّلي هو ذلك ، وإلّا لزم التصويب ، فليس تكليفه إذن بمقتضى فهمه إلّا ظاهريّا ثانويا ، ويسقط معه التكليف الأوّلي من جهة قيام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وبمثله نقول في سقوط التكليف عن المغمى عليه والنائم والناسي ونحوهما ، وهو إنّما يستمر حينئذ باستمرار العذر ، فإذا انكشف الخلاف بني على ما يقتضيه الواقع ، ولزم البناء على جميع لوازمه من الأحكام الوضعيّة أو التكليفيّة المترتّبة عليه إلّا أن يقوم دليل على خلافه ، كما ثبت بالنسبة إلى أحكام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الزكاة عليه بالنظر إلى حكمه الواقعي الأوّلي كاف في تعلّق الحق بماله وسقوط الحكم التكليفي عنه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طراه من العذر لا يقضي بسقوط ذلك من ماله ، بل إنّما يقضي بارتفاع التكليف عنه ظاهرا </w:t>
      </w:r>
      <w:r>
        <w:rPr>
          <w:rStyle w:val="FootnoteAnchor"/>
          <w:rtl w:val="true"/>
        </w:rPr>
        <w:footnoteReference w:id="157"/>
      </w:r>
      <w:r>
        <w:rPr>
          <w:rFonts w:ascii="Amiri" w:hAnsi="Amiri" w:eastAsia="Amiri" w:cs="Amiri"/>
          <w:color w:val="111111"/>
          <w:sz w:val="28"/>
          <w:sz w:val="28"/>
          <w:szCs w:val="28"/>
          <w:rtl w:val="true"/>
          <w:lang w:bidi="ar-SA"/>
        </w:rPr>
        <w:t xml:space="preserve">ما دام العذر باقيا ، فإذا ارتفع العذر لزم البناء على مقتضى ذلك الحكم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ممّا ذكرنا قاعدة كلية تجري في كثير من أبواب الفقه ، فليتأمل في المقام ؛ فإنّه حريّ </w:t>
      </w:r>
      <w:r>
        <w:rPr>
          <w:rStyle w:val="FootnoteAnchor"/>
          <w:rtl w:val="true"/>
        </w:rPr>
        <w:footnoteReference w:id="159"/>
      </w:r>
      <w:r>
        <w:rPr>
          <w:rFonts w:ascii="IRNazanin" w:hAnsi="IRNazanin" w:eastAsia="IRNazanin"/>
          <w:color w:val="111111"/>
          <w:sz w:val="28"/>
          <w:sz w:val="28"/>
          <w:szCs w:val="28"/>
          <w:rtl w:val="true"/>
          <w:lang w:bidi="fa-IR"/>
        </w:rPr>
        <w:t>بالتأمل التام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ويجري ما ذكروه وذكرناه في السكران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بعضهم في إلحاقه بالمغمى عليه في سقوط الزكاة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يفصّل بين السكر الحاصل بالمحرّم وغيره ، فينزل الأول منزلة الشاعر ؛ بناء </w:t>
      </w:r>
      <w:r>
        <w:rPr>
          <w:rStyle w:val="FootnoteAnchor"/>
          <w:rtl w:val="true"/>
        </w:rPr>
        <w:footnoteReference w:id="160"/>
      </w:r>
      <w:r>
        <w:rPr>
          <w:rFonts w:ascii="Amiri" w:hAnsi="Amiri" w:eastAsia="Amiri" w:cs="Amiri"/>
          <w:color w:val="111111"/>
          <w:sz w:val="28"/>
          <w:sz w:val="28"/>
          <w:szCs w:val="28"/>
          <w:rtl w:val="true"/>
          <w:lang w:bidi="ar-SA"/>
        </w:rPr>
        <w:t>على أن سقوط الزكاة عنه نوع من الرخصة ، وهي لا تناط بالمعصية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المأمور بإخراج الزكاة من مال الطفل والمجنون استحبابا أو وجوبا هو الولي وإن قلنا بشرعية عبادات المميّز وجواز تعلّق الاستحباب به ؛ لوضوح أنّ دفع الزكاة من التصرفات الماليّة ، وهو محجور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بلغ الطفل وأفاق المجنون عند حلول الحول ففي ثبوت الاستحباب لهما وجهان ؛ أوجههما ذلك ؛ نظرا إلى أن الولي إنّما يتولّى ذلك عن قبل الطفل والمجنون من جهة الحجر عليهما ، فإذا زال الحجر تعلّق الحكم المذكور بهما ؛ وإنّ ظاهر الأخبار ثبوت الزكاة في مالهما فيستحبّ الإخراج لهما بعد كمالهما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القول بالوجوب فالأمر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بلغ أو عقل في أثناء الحول ففي ثبوت الاستحباب عند الحولان 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البناء على الثبوت وأدائه لها عند حلول الحول لا يجب عليه الأداء ثانيا عند حلوله بملاحظة حال كماله ؛ إذ لا يزكي المال في عام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كون زمان اختيار الطفل هو كحال صغره ، فلو حال عليه الحول في أثنائه أو صادف ذلك وقت الوجوب في غير ما يعتبر فيه الحول لم يبعد ثبوت الاستحباب فيتولّاه الولي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الزكاة في مال الطفل أو المجنون ولم يدفعها الولي قوي استحباب الإخراج لهما بعد كمالهما وبقاء المال ، ولو قلنا بوجوب الإخراج وجب عليهما لما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مع تلف المال فعلى القول بالوجوب يضمنه الولي إذا كان المال في يده وتهاون في الأداء ، وإن يكن في يده وتهاون في أدائه ففي ضمانه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حرج عليهما بعد كمالهما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بالاستحباب ففي ضمان الولي له استحبابا نظر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الدروس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 يضمن لو أهمل مع القدرة في ماله وجوبا أو ندبا لا في مال الطفل ، فتأمل فيه</w:t>
      </w:r>
      <w:r>
        <w:rPr>
          <w:rFonts w:eastAsia="Amiri" w:cs="Amiri" w:ascii="Amiri" w:hAnsi="Amiri"/>
          <w:color w:val="111111"/>
          <w:sz w:val="28"/>
          <w:szCs w:val="28"/>
          <w:rtl w:val="true"/>
          <w:lang w:bidi="ar-SA"/>
        </w:rPr>
        <w:t xml:space="preserve">. </w:t>
      </w:r>
      <w:bookmarkStart w:id="25" w:name="pg15853_153271"/>
    </w:p>
    <w:p>
      <w:pPr>
        <w:pStyle w:val="Heading4"/>
        <w:numPr>
          <w:ilvl w:val="3"/>
          <w:numId w:val="1"/>
        </w:numPr>
        <w:rPr/>
      </w:pPr>
      <w:bookmarkStart w:id="26" w:name="__RefHeading___Toc14587053_2142443653"/>
      <w:bookmarkStart w:id="27" w:name="_Toc9"/>
      <w:bookmarkEnd w:id="25"/>
      <w:bookmarkEnd w:id="26"/>
      <w:r>
        <w:rPr>
          <w:rtl w:val="true"/>
        </w:rPr>
        <w:t>تبصرة</w:t>
      </w:r>
      <w:r>
        <w:rPr>
          <w:rtl w:val="true"/>
        </w:rPr>
        <w:t xml:space="preserve">: [ </w:t>
      </w:r>
      <w:r>
        <w:rPr>
          <w:rtl w:val="true"/>
        </w:rPr>
        <w:t xml:space="preserve">في اشتراط الحرية </w:t>
      </w:r>
      <w:r>
        <w:rPr>
          <w:rtl w:val="true"/>
        </w:rPr>
        <w:t>]</w:t>
      </w:r>
      <w:bookmarkEnd w:id="27"/>
    </w:p>
    <w:p>
      <w:pPr>
        <w:pStyle w:val="Heading5"/>
        <w:numPr>
          <w:ilvl w:val="4"/>
          <w:numId w:val="1"/>
        </w:numPr>
        <w:rPr/>
      </w:pPr>
      <w:bookmarkStart w:id="28" w:name="__RefHeading___Toc14587055_2142443653"/>
      <w:bookmarkStart w:id="29" w:name="_Toc10"/>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من شرائط وجوب الزكاة الحريّة ، فلا يجب زكاة على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المعروف من مذهب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شرط في الزكاة ، فلا يجب على العبد بإجماع العلماء ، ولا نعلم فيه خلافا إلّا عن عطا وأبي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خطّاهما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نصّ في المعتبر </w:t>
      </w:r>
      <w:r>
        <w:rPr>
          <w:rStyle w:val="FootnoteAnchor"/>
          <w:rtl w:val="true"/>
        </w:rPr>
        <w:footnoteReference w:id="163"/>
      </w:r>
      <w:r>
        <w:rPr>
          <w:rFonts w:ascii="IRNazanin" w:hAnsi="IRNazanin" w:eastAsia="IRNazanin"/>
          <w:color w:val="111111"/>
          <w:sz w:val="28"/>
          <w:sz w:val="28"/>
          <w:szCs w:val="28"/>
          <w:rtl w:val="true"/>
          <w:lang w:bidi="fa-IR"/>
        </w:rPr>
        <w:t xml:space="preserve">والمنتهى </w:t>
      </w:r>
      <w:r>
        <w:rPr>
          <w:rStyle w:val="FootnoteAnchor"/>
          <w:rtl w:val="true"/>
        </w:rPr>
        <w:footnoteReference w:id="164"/>
      </w:r>
      <w:r>
        <w:rPr>
          <w:rFonts w:ascii="Amiri" w:hAnsi="Amiri" w:eastAsia="Amiri" w:cs="Amiri"/>
          <w:color w:val="111111"/>
          <w:sz w:val="28"/>
          <w:sz w:val="28"/>
          <w:szCs w:val="28"/>
          <w:rtl w:val="true"/>
          <w:lang w:bidi="ar-SA"/>
        </w:rPr>
        <w:t>بوجوب الزكاة عليه على تقدير ملكه ، فلا يتجه عدّ الحرّية شرطا كما ذكر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في المختلف </w:t>
      </w:r>
      <w:r>
        <w:rPr>
          <w:rStyle w:val="FootnoteAnchor"/>
          <w:rtl w:val="true"/>
        </w:rPr>
        <w:footnoteReference w:id="165"/>
      </w:r>
      <w:r>
        <w:rPr>
          <w:rFonts w:ascii="Amiri" w:hAnsi="Amiri" w:eastAsia="Amiri" w:cs="Amiri"/>
          <w:color w:val="111111"/>
          <w:sz w:val="28"/>
          <w:sz w:val="28"/>
          <w:szCs w:val="28"/>
          <w:rtl w:val="true"/>
          <w:lang w:bidi="ar-SA"/>
        </w:rPr>
        <w:t>على اختلاف علمائنا في وجوب الزكاة عليه ؛ بناء على القول بملكه وأنّ فيه قولين للأصحاب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فالمتّجه عدم وجوب الزكاة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القول بعدم ملكه فظاهر ، وأمّا على القول بملكه فللمعتبرة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الصحيح </w:t>
      </w:r>
      <w:r>
        <w:rPr>
          <w:rStyle w:val="FootnoteAnchor"/>
          <w:rtl w:val="true"/>
        </w:rPr>
        <w:footnoteReference w:id="16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مال المملوك شي‌ء ، ولو كان له ألف ألف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أخرى </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عن مال المملوك أعليه زكاة؟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ولو كان ألف ألف درهم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الموثّق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يهب لعبده ألف درهم أو أقل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العبد أن يزكّيها إذا حال الحول؟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إلّا أن يعمل له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مملوك في يده مال ، أعليه زكاة؟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سيّده؟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إلّا </w:t>
      </w:r>
      <w:r>
        <w:rPr>
          <w:rStyle w:val="FootnoteAnchor"/>
          <w:rtl w:val="true"/>
        </w:rPr>
        <w:footnoteReference w:id="170"/>
      </w:r>
      <w:r>
        <w:rPr>
          <w:rFonts w:ascii="Amiri" w:hAnsi="Amiri" w:eastAsia="Amiri" w:cs="Amiri"/>
          <w:color w:val="111111"/>
          <w:sz w:val="28"/>
          <w:sz w:val="28"/>
          <w:szCs w:val="28"/>
          <w:rtl w:val="true"/>
          <w:lang w:bidi="ar-SA"/>
        </w:rPr>
        <w:t xml:space="preserve">أنّه لم يصل إلى السيّد وليس هو المملوك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اتضح بملاحظة الروايات المذكورة المعتضدة بفتوى الفرقة والإجماع المنقول القول بوجوب الزكاة عليه بناء على القول بملكه لصراحة ما </w:t>
      </w:r>
      <w:r>
        <w:rPr>
          <w:rStyle w:val="FootnoteAnchor"/>
          <w:rtl w:val="true"/>
        </w:rPr>
        <w:footnoteReference w:id="172"/>
      </w:r>
      <w:r>
        <w:rPr>
          <w:rFonts w:ascii="Amiri" w:hAnsi="Amiri" w:eastAsia="Amiri" w:cs="Amiri"/>
          <w:color w:val="111111"/>
          <w:sz w:val="28"/>
          <w:sz w:val="28"/>
          <w:szCs w:val="28"/>
          <w:rtl w:val="true"/>
          <w:lang w:bidi="ar-SA"/>
        </w:rPr>
        <w:t>عدا الصحيحة الأخيرة في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على القول بملكه محجور عن التصرف فيه من جهة الرقيّة كما نصّ </w:t>
      </w:r>
      <w:r>
        <w:rPr>
          <w:rStyle w:val="FootnoteAnchor"/>
          <w:rtl w:val="true"/>
        </w:rPr>
        <w:footnoteReference w:id="173"/>
      </w:r>
      <w:r>
        <w:rPr>
          <w:rFonts w:ascii="Amiri" w:hAnsi="Amiri" w:eastAsia="Amiri" w:cs="Amiri"/>
          <w:color w:val="111111"/>
          <w:sz w:val="28"/>
          <w:sz w:val="28"/>
          <w:szCs w:val="28"/>
          <w:rtl w:val="true"/>
          <w:lang w:bidi="ar-SA"/>
        </w:rPr>
        <w:t>عليه ، فلا يكون ملكه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منعه المحقّق في المعتبر </w:t>
      </w:r>
      <w:r>
        <w:rPr>
          <w:rStyle w:val="FootnoteAnchor"/>
          <w:rtl w:val="true"/>
        </w:rPr>
        <w:footnoteReference w:id="17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تقدير تملّكه يكون ملكه تامّا ؛ إذ </w:t>
      </w:r>
      <w:r>
        <w:rPr>
          <w:rStyle w:val="FootnoteAnchor"/>
          <w:rtl w:val="true"/>
        </w:rPr>
        <w:footnoteReference w:id="175"/>
      </w:r>
      <w:r>
        <w:rPr>
          <w:rFonts w:ascii="Amiri" w:hAnsi="Amiri" w:eastAsia="Amiri" w:cs="Amiri"/>
          <w:color w:val="111111"/>
          <w:sz w:val="28"/>
          <w:sz w:val="28"/>
          <w:szCs w:val="28"/>
          <w:rtl w:val="true"/>
          <w:lang w:bidi="ar-SA"/>
        </w:rPr>
        <w:t>له التصرف فيه كيف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 المحقّق الأردبيلي </w:t>
      </w:r>
      <w:r>
        <w:rPr>
          <w:rStyle w:val="FootnoteAnchor"/>
          <w:rtl w:val="true"/>
        </w:rPr>
        <w:footnoteReference w:id="17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غير واضح لي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w:t>
      </w:r>
      <w:r>
        <w:rPr>
          <w:rStyle w:val="FootnoteAnchor"/>
          <w:rtl w:val="true"/>
        </w:rPr>
        <w:footnoteReference w:id="177"/>
      </w:r>
      <w:r>
        <w:rPr>
          <w:rFonts w:ascii="Amiri" w:hAnsi="Amiri" w:eastAsia="Amiri" w:cs="Amiri"/>
          <w:color w:val="111111"/>
          <w:sz w:val="28"/>
          <w:sz w:val="28"/>
          <w:szCs w:val="28"/>
          <w:rtl w:val="true"/>
          <w:lang w:bidi="ar-SA"/>
        </w:rPr>
        <w:t>أصل جواز التصرف للملاك فيما يملكونه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يجوز لهم التصرف في أنفسهم بغير الإذن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بعد ما ذكر الصحيحين المتقدمين ، واستدلّ بهما على حصول الملك للعبد ؛ نظرا إلى </w:t>
      </w:r>
    </w:p>
    <w:p>
      <w:pPr>
        <w:pStyle w:val="BookText"/>
        <w:rPr/>
      </w:pPr>
      <w:r>
        <w:rPr>
          <w:rFonts w:ascii="Amiri" w:hAnsi="Amiri" w:eastAsia="Amiri" w:cs="Amiri"/>
          <w:color w:val="111111"/>
          <w:sz w:val="28"/>
          <w:sz w:val="28"/>
          <w:szCs w:val="28"/>
          <w:rtl w:val="true"/>
          <w:lang w:bidi="ar-SA"/>
        </w:rPr>
        <w:t xml:space="preserve">إضافة المال فيهما إلى العبد الظاهرة </w:t>
      </w:r>
      <w:r>
        <w:rPr>
          <w:rStyle w:val="FootnoteAnchor"/>
          <w:rtl w:val="true"/>
        </w:rPr>
        <w:footnoteReference w:id="178"/>
      </w:r>
      <w:r>
        <w:rPr>
          <w:rFonts w:ascii="Amiri" w:hAnsi="Amiri" w:eastAsia="Amiri" w:cs="Amiri"/>
          <w:color w:val="111111"/>
          <w:sz w:val="28"/>
          <w:sz w:val="28"/>
          <w:szCs w:val="28"/>
          <w:rtl w:val="true"/>
          <w:lang w:bidi="ar-SA"/>
        </w:rPr>
        <w:t xml:space="preserve">في الملكيّة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الزكاة يحتمل كونه للحجر ، فلو صرفه المولى فأزال حجره يمكن وجوب الزكاة كما قيل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لعدم اللزوم له ، وهذا الاحتمال كما ترى مناف لما ذكره أوّلا من منع الحجر عليه بناء على تملكه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القول المذكور في الحدائق </w:t>
      </w:r>
      <w:r>
        <w:rPr>
          <w:rStyle w:val="FootnoteAnchor"/>
          <w:rtl w:val="true"/>
        </w:rPr>
        <w:footnoteReference w:id="179"/>
      </w:r>
      <w:r>
        <w:rPr>
          <w:rFonts w:ascii="Amiri" w:hAnsi="Amiri" w:eastAsia="Amiri" w:cs="Amiri"/>
          <w:color w:val="111111"/>
          <w:sz w:val="28"/>
          <w:sz w:val="28"/>
          <w:szCs w:val="28"/>
          <w:rtl w:val="true"/>
          <w:lang w:bidi="ar-SA"/>
        </w:rPr>
        <w:t xml:space="preserve">ونفى البعد عنه ؛ لما رواه في قرب الإسناد </w:t>
      </w:r>
      <w:r>
        <w:rPr>
          <w:rStyle w:val="FootnoteAnchor"/>
          <w:rtl w:val="true"/>
        </w:rPr>
        <w:footnoteReference w:id="180"/>
      </w:r>
      <w:r>
        <w:rPr>
          <w:rFonts w:ascii="Amiri" w:hAnsi="Amiri" w:eastAsia="Amiri" w:cs="Amiri"/>
          <w:color w:val="111111"/>
          <w:sz w:val="28"/>
          <w:sz w:val="28"/>
          <w:szCs w:val="28"/>
          <w:rtl w:val="true"/>
          <w:lang w:bidi="ar-SA"/>
        </w:rPr>
        <w:t xml:space="preserve">عن عبد اللّه بن الحسن ، عن علي بن جعفر ، عن أخيه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المملوك زكاة إلّا بإذن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وأيّده بالعمومات الدالّة على وجوب الزكاة على من ملك النصاب ، فتخصص العمومات المتقدمة بهذه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 فلا ريب أنّه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مبنى المسألة عدم ملكيته للعبد أو عدم تماميّة ملكه لم يتّجه جعله عنوانا آخر </w:t>
      </w:r>
      <w:r>
        <w:rPr>
          <w:rStyle w:val="FootnoteAnchor"/>
          <w:rtl w:val="true"/>
        </w:rPr>
        <w:footnoteReference w:id="181"/>
      </w:r>
      <w:r>
        <w:rPr>
          <w:rFonts w:ascii="Amiri" w:hAnsi="Amiri" w:eastAsia="Amiri" w:cs="Amiri"/>
          <w:color w:val="111111"/>
          <w:sz w:val="28"/>
          <w:sz w:val="28"/>
          <w:szCs w:val="28"/>
          <w:rtl w:val="true"/>
          <w:lang w:bidi="ar-SA"/>
        </w:rPr>
        <w:t>، وتوقّف صحّة الحكم المذكور على إثبات أحد الأمرين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المناقشة فيهما مناقشة في إثبات الحكم المذكور ، لكن ظاهر جعله عنوانا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 إلى كون المناط فيه غير ما ذكر ، وأنّ الحريّة بنفسها من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فالظاهر ثبوت الحكم المذكور مع قطع النظر عن ثبوت الحكمين المذكورين ، وإن كان إثبات كلّ منهما كافيا في إثباته على تأمّل في الأخير ، سيّما مع إذن المولى له في التصرف كيف شاء ، وذلك لأنّ الأخبار المذكورة المعتضدة بعمل الطائفة مطلقة ودلالتها على المطلق واضحة مع وضوح أسانيدها ، فهي كافية في إثبات المطلق وإن لم يثبت شي‌ء ممّا ذكر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يحتمل أن يكون السرّ في الحكم المذكور بحسب الواقع هو أحد الأمرين المذكورين ، فلا يكون اشتراط الحرّية في الحقيقة شرطا آخر ، لكن لا يقضي ذلك بتأمّل في ثبوت الحكم </w:t>
      </w:r>
    </w:p>
    <w:p>
      <w:pPr>
        <w:pStyle w:val="BookText"/>
        <w:rPr/>
      </w:pPr>
      <w:r>
        <w:rPr>
          <w:rFonts w:ascii="Amiri" w:hAnsi="Amiri" w:eastAsia="Amiri" w:cs="Amiri"/>
          <w:color w:val="111111"/>
          <w:sz w:val="28"/>
          <w:sz w:val="28"/>
          <w:szCs w:val="28"/>
          <w:rtl w:val="true"/>
          <w:lang w:bidi="ar-SA"/>
        </w:rPr>
        <w:t>المذكور على فرض التأمّل في ثبوت الأمرين المذكورين أو التأمل في مانعية الثاني منهما ؛ لوجوب الزكاة مطلقا أو في وجه ؛ لوضوح كون الشرط المذكور بناء على ذلك أمرا مستقلا غير منوط بشي‌ء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المذكورة هي الحجة على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المناقشة في ثبوت الحكم المذكور لأجل </w:t>
      </w:r>
      <w:r>
        <w:rPr>
          <w:rStyle w:val="FootnoteAnchor"/>
          <w:rtl w:val="true"/>
        </w:rPr>
        <w:footnoteReference w:id="182"/>
      </w:r>
      <w:r>
        <w:rPr>
          <w:rFonts w:ascii="Amiri" w:hAnsi="Amiri" w:eastAsia="Amiri" w:cs="Amiri"/>
          <w:color w:val="111111"/>
          <w:sz w:val="28"/>
          <w:sz w:val="28"/>
          <w:szCs w:val="28"/>
          <w:rtl w:val="true"/>
          <w:lang w:bidi="ar-SA"/>
        </w:rPr>
        <w:t>المناقشة في أحد الأمرين المذكورين ليس على ما ينبغي ، وكذا احتمال كون الحكم بالنفي من جهة الحجر عليه ، فيناقش في ثبوته مع رفع الحجر بإذن الولي في التصرف فيه ؛ اذ مجرد الاحتمال المذكور غير مفيد مع إطلاق النصّ ، فغاية الأمر أن يكون هناك علّتان لسقوط الزكاة مع بقاء الحجر ، وينفرد انتفاء الحريّة مع 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والاستناد فيه إلى ظاهر الرواية المذكورة بعد حمل المطلقات عليه مدفوع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إسنادها وإعراض الأصحاب عنها بشذوذ القول المذكور على فرض ثبوت القائل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دلالتها على ذلك ؛ إذ الظاهر منها الاكتفاء بالإذن في أداء الزكاة في وجوبها على المملوك ، لا للإذن في تصرّفه في المال كيف شاء طول الحول كما هو المدّعى ، فلا وجه للاستناد في ذلك إليها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دلّت عليه ممّا لا قائل به ، مضافا إلى مخالفته للقواعد المقررة ؛ إذ لو كان ملكه للنصاب على الوجه المذكور باعثا على وجوب الزكاة لم يحتج إلى الاذن ؛ إذ لا حاجة إلى إذن المولى في أداء </w:t>
      </w:r>
      <w:r>
        <w:rPr>
          <w:rStyle w:val="FootnoteAnchor"/>
          <w:rtl w:val="true"/>
        </w:rPr>
        <w:footnoteReference w:id="183"/>
      </w:r>
      <w:r>
        <w:rPr>
          <w:rFonts w:ascii="Amiri" w:hAnsi="Amiri" w:eastAsia="Amiri" w:cs="Amiri"/>
          <w:color w:val="111111"/>
          <w:sz w:val="28"/>
          <w:sz w:val="28"/>
          <w:szCs w:val="28"/>
          <w:rtl w:val="true"/>
          <w:lang w:bidi="ar-SA"/>
        </w:rPr>
        <w:t>الواجبات ؛ فإنّه لا طاعة لمخلوق في معصية الخالق ، وإن لم يكن ذلك باعثا على الوجوب لم يجب بالإذن أيضا</w:t>
      </w:r>
      <w:r>
        <w:rPr>
          <w:rFonts w:eastAsia="Amiri" w:cs="Amiri" w:ascii="Amiri" w:hAnsi="Amiri"/>
          <w:color w:val="111111"/>
          <w:sz w:val="28"/>
          <w:szCs w:val="28"/>
          <w:rtl w:val="true"/>
          <w:lang w:bidi="ar-SA"/>
        </w:rPr>
        <w:t xml:space="preserve">. </w:t>
      </w:r>
      <w:bookmarkStart w:id="30" w:name="pg15853_153275"/>
    </w:p>
    <w:p>
      <w:pPr>
        <w:pStyle w:val="Heading5"/>
        <w:numPr>
          <w:ilvl w:val="4"/>
          <w:numId w:val="1"/>
        </w:numPr>
        <w:rPr/>
      </w:pPr>
      <w:bookmarkStart w:id="31" w:name="__RefHeading___Toc14587057_2142443653"/>
      <w:bookmarkStart w:id="32" w:name="_Toc11"/>
      <w:bookmarkEnd w:id="30"/>
      <w:bookmarkEnd w:id="31"/>
      <w:r>
        <w:rPr>
          <w:rtl w:val="true"/>
        </w:rPr>
        <w:t xml:space="preserve">[ </w:t>
      </w:r>
      <w:r>
        <w:rPr>
          <w:rtl w:val="true"/>
        </w:rPr>
        <w:t xml:space="preserve">تنبيهات </w:t>
      </w:r>
      <w:r>
        <w:rPr>
          <w:rtl w:val="true"/>
        </w:rPr>
        <w:t>]</w:t>
      </w:r>
      <w:bookmarkEnd w:id="32"/>
    </w:p>
    <w:p>
      <w:pPr>
        <w:pStyle w:val="BookText"/>
        <w:rPr/>
      </w:pPr>
      <w:r>
        <w:rPr>
          <w:rFonts w:ascii="Amiri" w:hAnsi="Amiri" w:eastAsia="Amiri" w:cs="Amiri"/>
          <w:color w:val="111111"/>
          <w:sz w:val="28"/>
          <w:sz w:val="28"/>
          <w:szCs w:val="28"/>
          <w:rtl w:val="true"/>
          <w:lang w:bidi="ar-SA"/>
        </w:rPr>
        <w:t xml:space="preserve">وهاهنا امور ينبغي الإشارة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Style w:val="FootnoteAnchor"/>
          <w:rtl w:val="true"/>
        </w:rPr>
        <w:footnoteReference w:id="184"/>
      </w:r>
      <w:r>
        <w:rPr>
          <w:rFonts w:ascii="Amiri" w:hAnsi="Amiri" w:eastAsia="Amiri" w:cs="Amiri"/>
          <w:color w:val="111111"/>
          <w:sz w:val="28"/>
          <w:sz w:val="28"/>
          <w:szCs w:val="28"/>
          <w:rtl w:val="true"/>
          <w:lang w:bidi="ar-SA"/>
        </w:rPr>
        <w:t>لا فرق في المملوك بين القنّ والمتشبّث بالحريّة باستيلاد أو تدبير أو كتابة مشروطة أو مطلقة إذا لم يؤد شيئا لثبوت الرقّيّة في الجميع الباعثة على ذلك بمقتضى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أيضا على ثبوت الحكم في المكاتب خصوص رواية أبي البختري </w:t>
      </w:r>
      <w:r>
        <w:rPr>
          <w:rStyle w:val="FootnoteAnchor"/>
          <w:rtl w:val="true"/>
        </w:rPr>
        <w:footnoteReference w:id="18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مال المكاتب 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وضعفها منجبر بعمل الأصحاب ، وإطلاق سائر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يظهر من المدارك </w:t>
      </w:r>
      <w:r>
        <w:rPr>
          <w:rStyle w:val="FootnoteAnchor"/>
          <w:rtl w:val="true"/>
        </w:rPr>
        <w:footnoteReference w:id="186"/>
      </w:r>
      <w:r>
        <w:rPr>
          <w:rFonts w:ascii="Amiri" w:hAnsi="Amiri" w:eastAsia="Amiri" w:cs="Amiri"/>
          <w:color w:val="111111"/>
          <w:sz w:val="28"/>
          <w:sz w:val="28"/>
          <w:szCs w:val="28"/>
          <w:rtl w:val="true"/>
          <w:lang w:bidi="ar-SA"/>
        </w:rPr>
        <w:t xml:space="preserve">تأمّل في ثبوت الحكم في المكاتب ؛ إذ بعد ذكره أن ذلك هو المعروف من مذهب الأصحاب حكى عن المعتبر </w:t>
      </w:r>
      <w:r>
        <w:rPr>
          <w:rStyle w:val="FootnoteAnchor"/>
          <w:rtl w:val="true"/>
        </w:rPr>
        <w:footnoteReference w:id="187"/>
      </w:r>
      <w:r>
        <w:rPr>
          <w:rFonts w:ascii="Amiri" w:hAnsi="Amiri" w:eastAsia="Amiri" w:cs="Amiri"/>
          <w:color w:val="111111"/>
          <w:sz w:val="28"/>
          <w:sz w:val="28"/>
          <w:szCs w:val="28"/>
          <w:rtl w:val="true"/>
          <w:lang w:bidi="ar-SA"/>
        </w:rPr>
        <w:t>الاحتجاج عليه بالرواية المذكورة ، وبنقصان ملكه لحجره عن التصرف فيه إلّا بالاكتساب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بضعف الخبر والتأمل في صحّة الدليل الآخر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مقتضى ما نقلناه عن المعتبر </w:t>
      </w:r>
      <w:r>
        <w:rPr>
          <w:rStyle w:val="FootnoteAnchor"/>
          <w:rtl w:val="true"/>
        </w:rPr>
        <w:footnoteReference w:id="188"/>
      </w:r>
      <w:r>
        <w:rPr>
          <w:rFonts w:ascii="IRNazanin" w:hAnsi="IRNazanin" w:eastAsia="IRNazanin"/>
          <w:color w:val="111111"/>
          <w:sz w:val="28"/>
          <w:sz w:val="28"/>
          <w:szCs w:val="28"/>
          <w:rtl w:val="true"/>
          <w:lang w:bidi="fa-IR"/>
        </w:rPr>
        <w:t xml:space="preserve">والمنتهى </w:t>
      </w:r>
      <w:r>
        <w:rPr>
          <w:rStyle w:val="FootnoteAnchor"/>
          <w:rtl w:val="true"/>
        </w:rPr>
        <w:footnoteReference w:id="189"/>
      </w:r>
      <w:r>
        <w:rPr>
          <w:rFonts w:ascii="Amiri" w:hAnsi="Amiri" w:eastAsia="Amiri" w:cs="Amiri"/>
          <w:color w:val="111111"/>
          <w:sz w:val="28"/>
          <w:sz w:val="28"/>
          <w:szCs w:val="28"/>
          <w:rtl w:val="true"/>
          <w:lang w:bidi="ar-SA"/>
        </w:rPr>
        <w:t xml:space="preserve">من وجوب الزكاة على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على المكاتب ، بل هو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يخلو ذلك منه رحمه‌اللّه عن غرابة ؛ إذ بعد حكمه باعتبار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ما دلّ عليه من الرواية الصحيحة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للمناقشة في خصوص المكاتب مع بقائه على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وأغرب منه استناده إلى الأولويّة المذكورة ، وهو لا يقول بثبوت الحكم في الأصل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يوجّه ما ذكره بدعوى عدم انصراف الإطلاق إلى المكاتب ، فيبقى مندرجا تحت </w:t>
      </w:r>
    </w:p>
    <w:p>
      <w:pPr>
        <w:pStyle w:val="BookText"/>
        <w:rPr/>
      </w:pPr>
      <w:r>
        <w:rPr>
          <w:rFonts w:ascii="Amiri" w:hAnsi="Amiri" w:eastAsia="Amiri" w:cs="Amiri"/>
          <w:color w:val="111111"/>
          <w:sz w:val="28"/>
          <w:sz w:val="28"/>
          <w:szCs w:val="28"/>
          <w:rtl w:val="true"/>
          <w:lang w:bidi="ar-SA"/>
        </w:rPr>
        <w:t>الإطلاقات القاضية بوجوب الزكاة ، فينحصر الوجه في إخراجه عن تلك الإطلاقات في الدليلين المذكورين المدخول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واستناده إلى الأولويّة المذكورة ليس لإثبات الحكم من جهتها بل لإبداء القائل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تنزيل كلامه على بيان المناقشة في الأصلين المذكورين لا في أصل الحكم للاكتفاء منه بما دلّ على سقوط الزكاة عن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أراد به الإيراد على المحقق </w:t>
      </w:r>
      <w:r>
        <w:rPr>
          <w:rStyle w:val="FootnoteAnchor"/>
          <w:rtl w:val="true"/>
        </w:rPr>
        <w:footnoteReference w:id="190"/>
      </w:r>
      <w:r>
        <w:rPr>
          <w:rFonts w:ascii="Amiri" w:hAnsi="Amiri" w:eastAsia="Amiri" w:cs="Amiri"/>
          <w:color w:val="111111"/>
          <w:sz w:val="28"/>
          <w:sz w:val="28"/>
          <w:szCs w:val="28"/>
          <w:rtl w:val="true"/>
          <w:lang w:bidi="ar-SA"/>
        </w:rPr>
        <w:t>حيث نصّ بوجوب الزكاة على المملوك على فرض ملكه ، ثمّ نفاه عن المكاتب للوجهين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نصّ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خلاف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الزكاة على المبعّض إذا بلغ ما يملكه من جهة نصيب الحرّيّة مقدار أحد النصب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فيه ؛ لاندراجه تحت الإطلاقات الدالّة على وجوب الزكاة مطلقا وفي كلّ من النصب المقدرة ، من غير دليل على خروجه ؛ إذ غاية ما استفيد من الأخبار المذكورة خروج من كان كلّه مملوكا دون المبعّض المفروض ، فيبقى تحت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لا الاتفاق على الحكم المذكور لأمكن المناقشة في دخوله تحت العمومات المذكورة ؛ فإنّ تلك العمومات إنّما ينصرف باطلاقها إلى الأفراد الشائعة ومن كان بعضه حرّا وبعضه رقّا من الفروض النادرة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فيه ؛ إذ ندور وجود المبعّض في الخارج لا يقضي بخروجه عن الإطلاقات مع وضوح شمولها </w:t>
      </w:r>
      <w:r>
        <w:rPr>
          <w:rStyle w:val="FootnoteAnchor"/>
          <w:rtl w:val="true"/>
        </w:rPr>
        <w:footnoteReference w:id="192"/>
      </w:r>
      <w:r>
        <w:rPr>
          <w:rFonts w:ascii="Amiri" w:hAnsi="Amiri" w:eastAsia="Amiri" w:cs="Amiri"/>
          <w:color w:val="111111"/>
          <w:sz w:val="28"/>
          <w:sz w:val="28"/>
          <w:szCs w:val="28"/>
          <w:rtl w:val="true"/>
          <w:lang w:bidi="ar-SA"/>
        </w:rPr>
        <w:t xml:space="preserve">لذلك ، فلو ناقش في سقوط الزكاة من المبعّض إذا لم يبلغ نصيب الحريّة منه </w:t>
      </w:r>
    </w:p>
    <w:p>
      <w:pPr>
        <w:pStyle w:val="BookText"/>
        <w:rPr/>
      </w:pPr>
      <w:r>
        <w:rPr>
          <w:rFonts w:ascii="IRNazanin" w:hAnsi="IRNazanin" w:eastAsia="IRNazanin"/>
          <w:color w:val="111111"/>
          <w:sz w:val="28"/>
          <w:sz w:val="28"/>
          <w:szCs w:val="28"/>
          <w:rtl w:val="true"/>
          <w:lang w:bidi="fa-IR"/>
        </w:rPr>
        <w:t xml:space="preserve">بقدر النصاب للتأمّل </w:t>
      </w:r>
      <w:r>
        <w:rPr>
          <w:rStyle w:val="FootnoteAnchor"/>
          <w:rtl w:val="true"/>
        </w:rPr>
        <w:footnoteReference w:id="193"/>
      </w:r>
      <w:r>
        <w:rPr>
          <w:rFonts w:ascii="Amiri" w:hAnsi="Amiri" w:eastAsia="Amiri" w:cs="Amiri"/>
          <w:color w:val="111111"/>
          <w:sz w:val="28"/>
          <w:sz w:val="28"/>
          <w:szCs w:val="28"/>
          <w:rtl w:val="true"/>
          <w:lang w:bidi="ar-SA"/>
        </w:rPr>
        <w:t>في شمول المملوك المذكور في النصّ له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قلنا بملك العبد وقلنا بعدم وجوب الزكاة عليه من جهة عجزه عن التصرف ، أو لدلالة الأخبار عليه ، فلا زكاة في ذلك على سيده أيضا ؛ لانتفاء الملك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بعدم ملكه كان ماله مال سيده فيجب زكاته عليه مع تحقّق شرائط الوجوب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قطع به جماعة من الأصحاب من غير خلاف يعرف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المناقشة فيه بأنّ الصحيحة الاولى صريحة في نفي الزكاة عن مال المملوك ، وهو قاض بسقوط وجوبها عن السيد والمملوك ، وكذا الصحيحة الثانية بناء على رجوع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العبارة بل صريحها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الظاهر من الموثقة المذكورة أيضا ، وإن وقع السؤال فيها عن وجوبها على العبد إلّا أن استثناءه عليه‌السلام ما إذا عمل له فيها المحمول على الندب قاض بعدم ثبوتها في المال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فكما يؤخذ بظواهر تلك الإطلاقات في الحكم بعدم وجوب الزكاة على المملوك مطلقا فينبغي الأخذ بها كذلك بالنسبة إلى السيد أيضا ، فالتفصيل فيه بين القول بملك العبد وعدمه خروج عن ظاهر تلك الأدلة من غير دليل إلّا أن يقوم إجماع في المقام ، وهو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ينزّل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بعدم ملك العبد على المكاتب الذي لم </w:t>
      </w:r>
      <w:r>
        <w:rPr>
          <w:rStyle w:val="FootnoteAnchor"/>
          <w:rtl w:val="true"/>
        </w:rPr>
        <w:footnoteReference w:id="194"/>
      </w:r>
      <w:r>
        <w:rPr>
          <w:rFonts w:ascii="Amiri" w:hAnsi="Amiri" w:eastAsia="Amiri" w:cs="Amiri"/>
          <w:color w:val="111111"/>
          <w:sz w:val="28"/>
          <w:sz w:val="28"/>
          <w:szCs w:val="28"/>
          <w:rtl w:val="true"/>
          <w:lang w:bidi="ar-SA"/>
        </w:rPr>
        <w:t xml:space="preserve">يتحرز منه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بورودها في مال المملوك الذي يصح تملكه بناء على ذلك منحصر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 بعد ذلك عن ظاهر تلك الأخبار جدّا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المال فيها على المال العرفي قريب كمال القرب ، فلا داعي لحملها على المكاتب من جهة إضافة المال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اشتمال تلك المعتبرة على عدم إعطائه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في الصحيحين بعدم جواز ذلك مع حاجته مع أنّ المكاتب يجوز دفع الزكاة إليه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له أيضا بخصوص الصحيحة الثالثة حيث حكم فيها بعدم وجوب الزكاة على المملوك في المال الّذي بيده لعدم ملكه له ، وعلى السيد لعدم وصوله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أراد بذلك إخراج السيد له عن تصرفه وجعله للعبد وإن لم يكن ملكا له بحسب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المناقشة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المفروض في السؤال كونه في يد المملوك ، ولا </w:t>
      </w:r>
      <w:r>
        <w:rPr>
          <w:rStyle w:val="FootnoteAnchor"/>
          <w:rtl w:val="true"/>
        </w:rPr>
        <w:footnoteReference w:id="195"/>
      </w:r>
      <w:r>
        <w:rPr>
          <w:rFonts w:ascii="Amiri" w:hAnsi="Amiri" w:eastAsia="Amiri" w:cs="Amiri"/>
          <w:color w:val="111111"/>
          <w:sz w:val="28"/>
          <w:sz w:val="28"/>
          <w:szCs w:val="28"/>
          <w:rtl w:val="true"/>
          <w:lang w:bidi="ar-SA"/>
        </w:rPr>
        <w:t>يفيد كونه مالا له بحسب العرف ليكون السؤال فيه عن مال العبد ، فيحتمل أن يكون السؤال عن مال السيد ممّا يكون في العبد ، فيكون الحكم بعدم وجوب الزكاة على السيد من جهة انتفاء تمكّنه من التصرف فيه لغياب ونحوه كما يقتضيه سائر الأدلّة ، ومن التعليل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كون السؤال عن مال العبد ، فقضية التعليل المذكور اختصاص الحكم بما إذا لم يتمكّن منه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يدفع ذلك بأن عدم وصول المال إلى سيّده لا يفيد عدم تمكنه عنه ، فحمل السؤال على خصوص مال العبد ليكون المراد بالتعليل المذكور عدم تصرّف المولى </w:t>
      </w:r>
      <w:r>
        <w:rPr>
          <w:rStyle w:val="FootnoteAnchor"/>
          <w:rtl w:val="true"/>
        </w:rPr>
        <w:footnoteReference w:id="196"/>
      </w:r>
      <w:r>
        <w:rPr>
          <w:rFonts w:ascii="Amiri" w:hAnsi="Amiri" w:eastAsia="Amiri" w:cs="Amiri"/>
          <w:color w:val="111111"/>
          <w:sz w:val="28"/>
          <w:sz w:val="28"/>
          <w:szCs w:val="28"/>
          <w:rtl w:val="true"/>
          <w:lang w:bidi="ar-SA"/>
        </w:rPr>
        <w:t>فيه وتركه للعبد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الوجه في التعبير عنه بذلك علم السائل بعدم تملك العبد على الحقيقة ، فعبر عن مال العبد بالمال الّذي في يده وإن لم يكن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وقوع السؤال من وجوب الزكاة على العبد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 كونه من مال المولى لم يتجه السؤال عن ذلك ، ولا إطلاقه </w:t>
      </w:r>
      <w:r>
        <w:rPr>
          <w:rStyle w:val="FootnoteAnchor"/>
          <w:rtl w:val="true"/>
        </w:rPr>
        <w:footnoteReference w:id="197"/>
      </w:r>
      <w:r>
        <w:rPr>
          <w:rFonts w:ascii="Amiri" w:hAnsi="Amiri" w:eastAsia="Amiri" w:cs="Amiri"/>
          <w:color w:val="111111"/>
          <w:sz w:val="28"/>
          <w:sz w:val="28"/>
          <w:szCs w:val="28"/>
          <w:rtl w:val="true"/>
          <w:lang w:bidi="ar-SA"/>
        </w:rPr>
        <w:t>عدم وجوبها على السيد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ينزل استصباح أخذ السيد لما ملكه العبد منزلة عدم تمكّنه من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فلا يخلو الصحيحة المذكورة عن الدلالة على ما قلناه ، ولذا استظهر مولانا التقي المجلسي عدم وجوب الزكاة على السيد أيضا ؛ أخذا بهذه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w:t>
      </w:r>
      <w:r>
        <w:rPr>
          <w:rStyle w:val="FootnoteAnchor"/>
          <w:rtl w:val="true"/>
        </w:rPr>
        <w:footnoteReference w:id="198"/>
      </w:r>
      <w:r>
        <w:rPr>
          <w:rFonts w:ascii="Amiri" w:hAnsi="Amiri" w:eastAsia="Amiri" w:cs="Amiri"/>
          <w:color w:val="111111"/>
          <w:sz w:val="28"/>
          <w:sz w:val="28"/>
          <w:szCs w:val="28"/>
          <w:rtl w:val="true"/>
          <w:lang w:bidi="ar-SA"/>
        </w:rPr>
        <w:t>أيضا بعض المتأخرين ؛ نظرا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بملاحظة جميع ما ذكرناه قوّة احتمال سقوط الزكاة من السيد أيضا إذا جعل شيئا من ماله للعبد ورفع يده عنه وإن كان في الحقيقة ملكا له إلّا أنّ ظاهر الفتوى المعتضد بالعمومات على خلافه ، فالمسألة محلّ تأمّل وإشكال ، وطريق الاحتياط فيها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الموثقة المذكورة ثبوت زكاة التجارة على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نجد من تنبّه عليه من الأصحاب إلّا أنّ ظاهر من قال بوجوب الزكاة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باستحباب زكاة التجارة بالنسبة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بالبناء عليه في المقام ، لكن لا بدّ أن يكون الدفع بإذن السيد عموما أو خصوصا إمّا لكونه مال سيّده أو لحجره عن التصرف فيه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إطلاق الموثقة محمول على الغالب من حصول الإذن العام كما يعطيه ظاهر جعل المال للعبد</w:t>
      </w:r>
      <w:r>
        <w:rPr>
          <w:rFonts w:eastAsia="Amiri" w:cs="Amiri" w:ascii="Amiri" w:hAnsi="Amiri"/>
          <w:color w:val="111111"/>
          <w:sz w:val="28"/>
          <w:szCs w:val="28"/>
          <w:rtl w:val="true"/>
          <w:lang w:bidi="ar-SA"/>
        </w:rPr>
        <w:t xml:space="preserve">. </w:t>
      </w:r>
      <w:bookmarkStart w:id="33" w:name="pg15853_153280"/>
    </w:p>
    <w:p>
      <w:pPr>
        <w:pStyle w:val="Heading4"/>
        <w:numPr>
          <w:ilvl w:val="3"/>
          <w:numId w:val="1"/>
        </w:numPr>
        <w:rPr/>
      </w:pPr>
      <w:bookmarkStart w:id="34" w:name="__RefHeading___Toc14587059_2142443653"/>
      <w:bookmarkStart w:id="35" w:name="_Toc12"/>
      <w:bookmarkEnd w:id="33"/>
      <w:bookmarkEnd w:id="34"/>
      <w:r>
        <w:rPr>
          <w:rtl w:val="true"/>
        </w:rPr>
        <w:t>تبصرة</w:t>
      </w:r>
      <w:r>
        <w:rPr>
          <w:rtl w:val="true"/>
        </w:rPr>
        <w:t xml:space="preserve">: [ </w:t>
      </w:r>
      <w:r>
        <w:rPr>
          <w:rtl w:val="true"/>
        </w:rPr>
        <w:t xml:space="preserve">في اشتراط التملك </w:t>
      </w:r>
      <w:r>
        <w:rPr>
          <w:rtl w:val="true"/>
        </w:rPr>
        <w:t>]</w:t>
      </w:r>
      <w:bookmarkEnd w:id="35"/>
    </w:p>
    <w:p>
      <w:pPr>
        <w:pStyle w:val="BookText"/>
        <w:rPr/>
      </w:pPr>
      <w:r>
        <w:rPr>
          <w:rFonts w:ascii="Amiri" w:hAnsi="Amiri" w:eastAsia="Amiri" w:cs="Amiri"/>
          <w:color w:val="111111"/>
          <w:sz w:val="28"/>
          <w:sz w:val="28"/>
          <w:szCs w:val="28"/>
          <w:rtl w:val="true"/>
          <w:lang w:bidi="ar-SA"/>
        </w:rPr>
        <w:t>التملك شرط في وجوب الزكاة إجماعا من الخاصّة والعامّة فلا زكاة عليه قبل حصول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ويتفرّع على ذلك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زكاة على المتّهب قبل القبض ، ولا يجري في الحول قبله بناء على اعتباره في التملك بها ، فيجب زكاته على الواهب </w:t>
      </w:r>
      <w:r>
        <w:rPr>
          <w:rStyle w:val="FootnoteAnchor"/>
          <w:rtl w:val="true"/>
        </w:rPr>
        <w:footnoteReference w:id="199"/>
      </w:r>
      <w:r>
        <w:rPr>
          <w:rFonts w:ascii="IRNazanin" w:hAnsi="IRNazanin" w:eastAsia="IRNazanin"/>
          <w:color w:val="111111"/>
          <w:sz w:val="28"/>
          <w:sz w:val="28"/>
          <w:szCs w:val="28"/>
          <w:rtl w:val="true"/>
          <w:lang w:bidi="fa-IR"/>
        </w:rPr>
        <w:t>مع استجماع سائر الشرائط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الزكاة في العين الموصى به قبل القبول إذا تأخر من الموت إن قلنا بكون القبول ناقلا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بكونه كاشفا فلانتفاء التمكن من التصرف قبله وإن كان ملكا له بحسب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بحصول التمكن من التصرف في المقام ؛ لتمكّنه من القبول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بعد كاحتمال صدق التمكن من التصرف حينئذ إذا صرفه الوارث وأجاز له جميع انحاء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وجوبها في المبيع على المشتري وعلى البائع في الثمن في الصرف إذا كان قبل حصول القبض ، وكذا في المجلس في السلم بالنسبة إلى الثمن ؛ لتوقف الانتقال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زكاته على المالك إذا تم الحول بين العقد والقبض إن قلنا بعدم وجوب الإقباض عليه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فيبطل البيع بالنسبة إليه ؛ نظرا إلى تعلّقها بالعين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ويحتمل الصحة إذا دفعها المالك من الخارج ، وإن قلنا بوجوب الإقباض عليه قوي سقوطها عنه أيضا ؛ لمنعه إذن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زكاة في الزكاة ، ولا في الخمس ، وسائر الحقوق العامة قبل إقباض المستحق ، وإن مضى عليها أحوال وعينها المالك لعين </w:t>
      </w:r>
      <w:r>
        <w:rPr>
          <w:rStyle w:val="FootnoteAnchor"/>
          <w:rtl w:val="true"/>
        </w:rPr>
        <w:footnoteReference w:id="200"/>
      </w:r>
      <w:r>
        <w:rPr>
          <w:rFonts w:ascii="Amiri" w:hAnsi="Amiri" w:eastAsia="Amiri" w:cs="Amiri"/>
          <w:color w:val="111111"/>
          <w:sz w:val="28"/>
          <w:sz w:val="28"/>
          <w:szCs w:val="28"/>
          <w:rtl w:val="true"/>
          <w:lang w:bidi="ar-SA"/>
        </w:rPr>
        <w:t xml:space="preserve">؛ لعدم دخولها في ملكه إلّا بالقبض نعم ، يحتمل الوجوب في حقّ الإمام عليه‌السلام في حال الحضور إذا كان متمكنا من التصرف فيه ، فحكمه كسائر الأموال الغير المقبوضة إذا تمكن منه </w:t>
      </w:r>
      <w:r>
        <w:rPr>
          <w:rStyle w:val="FootnoteAnchor"/>
          <w:rtl w:val="true"/>
        </w:rPr>
        <w:footnoteReference w:id="201"/>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جريان الحكم فيه في حال الغيبة بعد إقباض المجتهد أو تمكّنه من القبض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زكاة في الوقف العام وفوائده الحاصلة منه قبل دفعها إلى الموقوف عليهم ؛ لعدم اندراجها إذن 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عيّن شيئا منها للمولى أو غيره فالظاهر عدم توقف وجوب الزكاة فيه على القبض سواء كان ممّا يعتبر فيه الحول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الوقف الخاص فلا زكاة في عينه وإن كانت مملوكة ؛ نظرا إلى عدم التمكن من 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فوائده الحاصلة منه فيجب فيها الزكاة مع بلوغ نصيب كلّ من الموقوف عليهم حدّ النصاب إن تعيّن نصيبه ، وإن كان التعيين منوطا بنظر الولي </w:t>
      </w:r>
      <w:r>
        <w:rPr>
          <w:rStyle w:val="FootnoteAnchor"/>
          <w:rtl w:val="true"/>
        </w:rPr>
        <w:footnoteReference w:id="202"/>
      </w:r>
      <w:r>
        <w:rPr>
          <w:rFonts w:ascii="Amiri" w:hAnsi="Amiri" w:eastAsia="Amiri" w:cs="Amiri"/>
          <w:color w:val="111111"/>
          <w:sz w:val="28"/>
          <w:sz w:val="28"/>
          <w:szCs w:val="28"/>
          <w:rtl w:val="true"/>
          <w:lang w:bidi="ar-SA"/>
        </w:rPr>
        <w:t>فلا زكاة فيها قبل تعيين الحقّ إلّا أن يتعيّن له مقدار النصاب ، وتكون الزيادة موكولة إلى النظر ، فيتوقف الحال في القدر الزائد على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توقف اندراجه في الموقوف عليهم على شرط اعتبر الحال فيه بعد الاندراج</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يثبت الزكاة في النماء الحاصل قبله المحكوم ظاهرا بكونه للباقين إذا كانت الوقفيّة بحيث يثبت استحقاقه فيه الّذي يقتضيه الأصل في ذلك أنّه إن جعل الواقف ذلك كاشفا عن استحقاقه من أوّل الأمر لم يثبت الزكاة بالنسبة إلى حصة ، أما عليه فلعدم قدرته على التصرف </w:t>
      </w:r>
    </w:p>
    <w:p>
      <w:pPr>
        <w:pStyle w:val="BookText"/>
        <w:rPr/>
      </w:pPr>
      <w:r>
        <w:rPr>
          <w:rFonts w:ascii="Amiri" w:hAnsi="Amiri" w:eastAsia="Amiri" w:cs="Amiri"/>
          <w:color w:val="111111"/>
          <w:sz w:val="28"/>
          <w:sz w:val="28"/>
          <w:szCs w:val="28"/>
          <w:rtl w:val="true"/>
          <w:lang w:bidi="ar-SA"/>
        </w:rPr>
        <w:t>فيه قبل انكشاف الحال ، وأمّا بالنسبة إلى الباقين فلانتفاء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جعله نافذا له من حينه تعلّق به الحق ؛ لانتقال المال إلى غيره ، فيجب عليه إخراج الزكاة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وخروجه عن ملكه بعد ذلك لا ينافيه إلّا أن يشترط توقفهم عن التصرف قبل انكشاف الحال ، فلا زكاة لعدم التمكن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سقوط الزكاة مع انكشاف عدم استحقاقه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توقف استحقاقه الموقوف عليهم على إخراج أمور كمصارف تعمير الوقف ونحوها على حسب نظر الناظر </w:t>
      </w:r>
      <w:r>
        <w:rPr>
          <w:rStyle w:val="FootnoteAnchor"/>
          <w:rtl w:val="true"/>
        </w:rPr>
        <w:footnoteReference w:id="203"/>
      </w:r>
      <w:r>
        <w:rPr>
          <w:rFonts w:ascii="Amiri" w:hAnsi="Amiri" w:eastAsia="Amiri" w:cs="Amiri"/>
          <w:color w:val="111111"/>
          <w:sz w:val="28"/>
          <w:sz w:val="28"/>
          <w:szCs w:val="28"/>
          <w:rtl w:val="true"/>
          <w:lang w:bidi="ar-SA"/>
        </w:rPr>
        <w:t>ففي ثبوت الزكاة في تلك الحصة قبل انكشاف الحال 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عيّنه الناظر أوّلا لتلك المصلحة ثمّ رجع عنها ، فالظاهر اعتباره من حين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زكاة فيما عيّنه الواقف لمصارف تعمير الوقف وإن عاد ذلك إلى الموقوف عليهم ، بل كان ملكا لهم ؛ لانتفاء تمكّنهم من التصرف فيه ، وكذا لو عيّن صرف الموقوف عليه ما يعود إليه من الفوائد في مصروف </w:t>
      </w:r>
      <w:r>
        <w:rPr>
          <w:rStyle w:val="FootnoteAnchor"/>
          <w:rtl w:val="true"/>
        </w:rPr>
        <w:footnoteReference w:id="204"/>
      </w:r>
      <w:r>
        <w:rPr>
          <w:rFonts w:ascii="Amiri" w:hAnsi="Amiri" w:eastAsia="Amiri" w:cs="Amiri"/>
          <w:color w:val="111111"/>
          <w:sz w:val="28"/>
          <w:sz w:val="28"/>
          <w:szCs w:val="28"/>
          <w:rtl w:val="true"/>
          <w:lang w:bidi="ar-SA"/>
        </w:rPr>
        <w:t>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يعتبر ما ذكرناه في الجريان في الحول فيما يعتبر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لا يعتبر فيه الحول ، فيلحظ فيه ذلك بالنظر إلى حال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زكاة على البائع في الثمن ولا على المشتري في المثمن قبل انقضاء زمن الخيار الثابت بأصل العقد أو بالاشتراط عند الشيخ </w:t>
      </w:r>
      <w:r>
        <w:rPr>
          <w:rStyle w:val="FootnoteAnchor"/>
          <w:rtl w:val="true"/>
        </w:rPr>
        <w:footnoteReference w:id="205"/>
      </w:r>
      <w:r>
        <w:rPr>
          <w:rFonts w:ascii="Amiri" w:hAnsi="Amiri" w:eastAsia="Amiri" w:cs="Amiri"/>
          <w:color w:val="111111"/>
          <w:sz w:val="28"/>
          <w:sz w:val="28"/>
          <w:szCs w:val="28"/>
          <w:rtl w:val="true"/>
          <w:lang w:bidi="ar-SA"/>
        </w:rPr>
        <w:t>؛ لذهابه إلى توقّف الامتثال على انقضاء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زكاة على غير صاحب الخيار فيما بذله من العوض ؛ لعدم تمكّنه من التصرف فيه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العوض المبذول من صاحب الخيار فيجب زكاته عليه ؛ لحصول الملك ، والتمكّن من </w:t>
      </w:r>
    </w:p>
    <w:p>
      <w:pPr>
        <w:pStyle w:val="BookText"/>
        <w:rPr/>
      </w:pPr>
      <w:r>
        <w:rPr>
          <w:rFonts w:ascii="Amiri" w:hAnsi="Amiri" w:eastAsia="Amiri" w:cs="Amiri"/>
          <w:color w:val="111111"/>
          <w:sz w:val="28"/>
          <w:sz w:val="28"/>
          <w:szCs w:val="28"/>
          <w:rtl w:val="true"/>
          <w:lang w:bidi="ar-SA"/>
        </w:rPr>
        <w:t xml:space="preserve">التصرف بالنسبة إليه كما سيجي‌ء </w:t>
      </w:r>
      <w:r>
        <w:rPr>
          <w:rStyle w:val="FootnoteAnchor"/>
          <w:rtl w:val="true"/>
        </w:rPr>
        <w:footnoteReference w:id="206"/>
      </w:r>
      <w:r>
        <w:rPr>
          <w:rFonts w:ascii="Amiri" w:hAnsi="Amiri" w:eastAsia="Amiri" w:cs="Amiri"/>
          <w:color w:val="111111"/>
          <w:sz w:val="28"/>
          <w:sz w:val="28"/>
          <w:szCs w:val="28"/>
          <w:rtl w:val="true"/>
          <w:lang w:bidi="ar-SA"/>
        </w:rPr>
        <w:t>الكلام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زكاة في اللقيط </w:t>
      </w:r>
      <w:r>
        <w:rPr>
          <w:rStyle w:val="FootnoteAnchor"/>
          <w:rtl w:val="true"/>
        </w:rPr>
        <w:footnoteReference w:id="207"/>
      </w:r>
      <w:r>
        <w:rPr>
          <w:rFonts w:ascii="Amiri" w:hAnsi="Amiri" w:eastAsia="Amiri" w:cs="Amiri"/>
          <w:color w:val="111111"/>
          <w:sz w:val="28"/>
          <w:sz w:val="28"/>
          <w:szCs w:val="28"/>
          <w:rtl w:val="true"/>
          <w:lang w:bidi="ar-SA"/>
        </w:rPr>
        <w:t>قبل تملّك الملتقط له ، ولا سلطان له على أخذ العين في مقدار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جاز للملتقط دفع العوض وإلّا يجب عليه ذلك ، والزكاة إنّما تتعلّق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ضمنها احتمل تسلّطه على العين ولو ظهر المالك قبل وجوب الزكاة انتقض الحول وإن قلنا بالتسلّط له على العين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دفع المالك إليه نصابا وأباح له جميع تصرّفاته فيه لنفسه حتّى الناقلة للعين والمنفعة ، لم تجب عليه زكاته ؛ لعدم دخوله بذلك في ملكه ، وسلطانه على التملك غير كاف في ذلك ، فيجب زكاته حينئذ على المالك مع حصول </w:t>
      </w:r>
      <w:r>
        <w:rPr>
          <w:rStyle w:val="FootnoteAnchor"/>
          <w:rtl w:val="true"/>
        </w:rPr>
        <w:footnoteReference w:id="208"/>
      </w:r>
      <w:r>
        <w:rPr>
          <w:rFonts w:ascii="IRNazanin" w:hAnsi="IRNazanin" w:eastAsia="IRNazanin"/>
          <w:color w:val="111111"/>
          <w:sz w:val="28"/>
          <w:sz w:val="28"/>
          <w:szCs w:val="28"/>
          <w:rtl w:val="true"/>
          <w:lang w:bidi="fa-IR"/>
        </w:rPr>
        <w:t>الشرائط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كان عليه في الرجوع عن الاباحة المذكورة غضاضة </w:t>
      </w:r>
      <w:r>
        <w:rPr>
          <w:rStyle w:val="FootnoteAnchor"/>
          <w:rtl w:val="true"/>
        </w:rPr>
        <w:footnoteReference w:id="209"/>
      </w:r>
      <w:r>
        <w:rPr>
          <w:rFonts w:ascii="Amiri" w:hAnsi="Amiri" w:eastAsia="Amiri" w:cs="Amiri"/>
          <w:color w:val="111111"/>
          <w:sz w:val="28"/>
          <w:sz w:val="28"/>
          <w:szCs w:val="28"/>
          <w:rtl w:val="true"/>
          <w:lang w:bidi="ar-SA"/>
        </w:rPr>
        <w:t>لا يتحملها عادة ففي إلحاقها بعدم التمكّن من التصرّف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زكاة على الديّان في العين المعاملة لدينه الموجود عند المديون ، ولو كان باذلاله مهما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التأخير من قبله لعدم تملكه له قبل القبض ، وكذا الحال في العين المقروضة بالنسبة إلى المقرض مع حلول الحول عليه عند المقترض ؛ لخروجه بالقبض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وسيجي‌ء الكلام فيهما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وهل العبرة في المقام بالملكيّة الواقعيّة أو يعتبر العلم بها أيضا؟ وجهان ؛ أظهرهما الأوّل إلّا أنّه يعتبر العلم بها غالبا لتوقّف التمكّن من التصرّف عليه كذلك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فيظهر الثمرة فيما إذا لم يتوقف تمكّنه من التصرف عليه كما إذا حاز نصابا من دون نية التملك وعدمه ، واعتقد عدم دخوله في الملك بدونها ، ثمّ علم بعد ذلك دخوله في الملك بمجرّد الحيازة ، </w:t>
      </w:r>
    </w:p>
    <w:p>
      <w:pPr>
        <w:pStyle w:val="BookText"/>
        <w:rPr/>
      </w:pPr>
      <w:r>
        <w:rPr>
          <w:rFonts w:ascii="Amiri" w:hAnsi="Amiri" w:eastAsia="Amiri" w:cs="Amiri"/>
          <w:color w:val="111111"/>
          <w:sz w:val="28"/>
          <w:sz w:val="28"/>
          <w:szCs w:val="28"/>
          <w:rtl w:val="true"/>
          <w:lang w:bidi="ar-SA"/>
        </w:rPr>
        <w:t>فعلى ما اخترناه يجري في الحول بمجرّد دخوله في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اعتقاده ذلك عن حجّة شرعيّة كما إذا أداه اجتهاده إلى ذلك دخوله في الملك بمجرّد الحيازة أو كان ذلك عن تقليد مجتهد لم يجر في الحول إلى أن يرجع </w:t>
      </w:r>
      <w:r>
        <w:rPr>
          <w:rStyle w:val="FootnoteAnchor"/>
          <w:rtl w:val="true"/>
        </w:rPr>
        <w:footnoteReference w:id="210"/>
      </w:r>
      <w:r>
        <w:rPr>
          <w:rFonts w:ascii="Amiri" w:hAnsi="Amiri" w:eastAsia="Amiri" w:cs="Amiri"/>
          <w:color w:val="111111"/>
          <w:sz w:val="28"/>
          <w:sz w:val="28"/>
          <w:szCs w:val="28"/>
          <w:rtl w:val="true"/>
          <w:lang w:bidi="ar-SA"/>
        </w:rPr>
        <w:t xml:space="preserve">من قلّده </w:t>
      </w:r>
      <w:r>
        <w:rPr>
          <w:rStyle w:val="FootnoteAnchor"/>
          <w:rtl w:val="true"/>
        </w:rPr>
        <w:footnoteReference w:id="211"/>
      </w:r>
      <w:r>
        <w:rPr>
          <w:rFonts w:ascii="Amiri" w:hAnsi="Amiri" w:eastAsia="Amiri" w:cs="Amiri"/>
          <w:color w:val="111111"/>
          <w:sz w:val="28"/>
          <w:sz w:val="28"/>
          <w:szCs w:val="28"/>
          <w:rtl w:val="true"/>
          <w:lang w:bidi="ar-SA"/>
        </w:rPr>
        <w:t>عن ذلك ، فيختلف الحكم بالنسبة إليه من حين البناء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بجريان ذلك فيما إذا وهب </w:t>
      </w:r>
      <w:r>
        <w:rPr>
          <w:rStyle w:val="FootnoteAnchor"/>
          <w:rtl w:val="true"/>
        </w:rPr>
        <w:footnoteReference w:id="212"/>
      </w:r>
      <w:r>
        <w:rPr>
          <w:rFonts w:ascii="Amiri" w:hAnsi="Amiri" w:eastAsia="Amiri" w:cs="Amiri"/>
          <w:color w:val="111111"/>
          <w:sz w:val="28"/>
          <w:sz w:val="28"/>
          <w:szCs w:val="28"/>
          <w:rtl w:val="true"/>
          <w:lang w:bidi="ar-SA"/>
        </w:rPr>
        <w:t>غيره نصابا من دون إقباضه واعتقد الانتقال إليه بمجرّد العقد ، ثمّ علم بعد ذلك بعدم انتقاله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لحصول الملك الواقعيّة وتمكّنه من التصرف بحسب الظاهر ؛ نظرا إلى جواز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تفطن بالمسألة وقصر في السؤال ، فالظاهر عدم الإشكال في وجوبها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أيضا ما لو كان النصاب ملكا له بحسب الواقع واعتقد أنّه لغيره ، وقد أجاز له ذلك الغير جميع أنحاء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تردّد في تملّك العين الزكويّة فإن كان ذلك من جهة الشك في الموضوع فمقتضى الأصل عدم وجوب الاستعلام والبناء على جري الحكم الثابت قبل التردّد ؛ استصحابا له إلى أن يعلم المزيل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يستشكل فيه فيما إذا قضى الاستصحاب بوجوب الزكاة عليه لمعارضته بأصالة عدم تعلق الوجوب به إلّا أن الظاهر ورود الاستصحاب </w:t>
      </w:r>
      <w:r>
        <w:rPr>
          <w:rStyle w:val="FootnoteAnchor"/>
          <w:rtl w:val="true"/>
        </w:rPr>
        <w:footnoteReference w:id="213"/>
      </w:r>
      <w:r>
        <w:rPr>
          <w:rFonts w:ascii="Amiri" w:hAnsi="Amiri" w:eastAsia="Amiri" w:cs="Amiri"/>
          <w:color w:val="111111"/>
          <w:sz w:val="28"/>
          <w:sz w:val="28"/>
          <w:szCs w:val="28"/>
          <w:rtl w:val="true"/>
          <w:lang w:bidi="ar-SA"/>
        </w:rPr>
        <w:t>عليها فيتعيّن الأخذ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والأحوط استعلام الحال والجري على مقتضاه </w:t>
      </w:r>
      <w:r>
        <w:rPr>
          <w:rStyle w:val="FootnoteAnchor"/>
          <w:rtl w:val="true"/>
        </w:rPr>
        <w:footnoteReference w:id="214"/>
      </w:r>
      <w:r>
        <w:rPr>
          <w:rFonts w:ascii="Amiri" w:hAnsi="Amiri" w:eastAsia="Amiri" w:cs="Amiri"/>
          <w:color w:val="111111"/>
          <w:sz w:val="28"/>
          <w:sz w:val="28"/>
          <w:szCs w:val="28"/>
          <w:rtl w:val="true"/>
          <w:lang w:bidi="ar-SA"/>
        </w:rPr>
        <w:t>من وجوب الزكاة وعدمه ومقدار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بوجوب الاستعلام بعد العلم بالوجوب والشك في مقدار الواجب أو دفع أعلى المحتملات ؛ تحصيلا لليقين بالفراغ بعد اليقين بالاشتغال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انسد عليه طريق الاستعلام صحّ الرجوع إلى الأصل ، فيأخذ بالأقلّ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يفصّل </w:t>
      </w:r>
      <w:r>
        <w:rPr>
          <w:rStyle w:val="FootnoteAnchor"/>
          <w:rtl w:val="true"/>
        </w:rPr>
        <w:footnoteReference w:id="215"/>
      </w:r>
      <w:r>
        <w:rPr>
          <w:rFonts w:ascii="Amiri" w:hAnsi="Amiri" w:eastAsia="Amiri" w:cs="Amiri"/>
          <w:color w:val="111111"/>
          <w:sz w:val="28"/>
          <w:sz w:val="28"/>
          <w:szCs w:val="28"/>
          <w:rtl w:val="true"/>
          <w:lang w:bidi="ar-SA"/>
        </w:rPr>
        <w:t>بين الشك في مقدار ما ملكه من النصاب والعلم به ، والشك في تجدّد الزائد ، فتصح الرجوع إلى الأصل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شكه من جهة الجهل بالحكم وجب الاستعلام ، ولا يجوز له التصرف فيه من دون ظهور الحال ، فلا زكاة فيه قبل علمه بالحكم ؛ لانتفاء تمكّنه من التصرف وإن لم يكن مقصّرا في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أجاز له من يحتمل تملّكه في جميع التصرفات جرى فيه ما سبق ، وإن استند إلى تقصيره تعلّق الوجوب به على فرض تملكه له ؛ لحصول الملك وتمكنه من التصرف بالتمكن من الاستعلام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علم بتملكه مقدار النصاب ولم يتعيّن له العين لم يمنع ذلك من تعلّق الوجوب ، كما لا يمنع إشاعة الحق من وجوبها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اعتقد تملك النصاب من جهة ولو كان الواقع جهة أخرى لا يعلمها لم يمنع ذلك من وجوب الزكاة عليه ، سواء انكشف له الحال بعد ذلك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انكشف له فساد ما اعتقده في أثناء الحول وتراخى منه العلم بالجهة الواقعيّة انقطع الحول ؛ لانتفاء تمكّنه إذن من التصرف</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استند ذلك إلى تقصيره في معرفة الحكم لم يسقط به الوجوب</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اتّحاد عين النصاب ، وأمّا مع اختلافها كأن اعتقد تملك أربعين من الشياه ثمّ انكشف له أنّ ما يملكه أربعون اخرى ، فلا زكاة إلّا بعد حلول الحول على الثاني بعد علمه بتملّكه ؛ لانتفاء الملكيّة بالنسبة إلى الأوّل وانتفاء التمكّن من التصرّف بالنظر إلى الثاني</w:t>
      </w:r>
      <w:r>
        <w:rPr>
          <w:rFonts w:eastAsia="Amiri" w:cs="Amiri" w:ascii="Amiri" w:hAnsi="Amiri"/>
          <w:color w:val="111111"/>
          <w:sz w:val="28"/>
          <w:szCs w:val="28"/>
          <w:rtl w:val="true"/>
          <w:lang w:bidi="ar-SA"/>
        </w:rPr>
        <w:t xml:space="preserve">. </w:t>
      </w:r>
      <w:bookmarkStart w:id="36" w:name="pg15853_153287"/>
    </w:p>
    <w:p>
      <w:pPr>
        <w:pStyle w:val="Heading4"/>
        <w:numPr>
          <w:ilvl w:val="3"/>
          <w:numId w:val="1"/>
        </w:numPr>
        <w:rPr/>
      </w:pPr>
      <w:bookmarkStart w:id="37" w:name="__RefHeading___Toc14587061_2142443653"/>
      <w:bookmarkStart w:id="38" w:name="_Toc13"/>
      <w:bookmarkEnd w:id="36"/>
      <w:bookmarkEnd w:id="37"/>
      <w:r>
        <w:rPr>
          <w:rtl w:val="true"/>
        </w:rPr>
        <w:t>تبصرة</w:t>
      </w:r>
      <w:r>
        <w:rPr>
          <w:rtl w:val="true"/>
        </w:rPr>
        <w:t xml:space="preserve">: [ </w:t>
      </w:r>
      <w:r>
        <w:rPr>
          <w:rtl w:val="true"/>
        </w:rPr>
        <w:t xml:space="preserve">في اشتراط التمكّن </w:t>
      </w:r>
      <w:r>
        <w:rPr>
          <w:rtl w:val="true"/>
        </w:rPr>
        <w:t>]</w:t>
      </w:r>
      <w:bookmarkEnd w:id="38"/>
    </w:p>
    <w:p>
      <w:pPr>
        <w:pStyle w:val="Heading5"/>
        <w:numPr>
          <w:ilvl w:val="4"/>
          <w:numId w:val="1"/>
        </w:numPr>
        <w:rPr/>
      </w:pPr>
      <w:bookmarkStart w:id="39" w:name="__RefHeading___Toc14587063_2142443653"/>
      <w:bookmarkStart w:id="40" w:name="_Toc14"/>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التمكّن من التصرّف شرط في وجوب الزكاة على المعروف من المذهب بلا خلاف فيه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المنتهى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فتوى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وجوب الزكاة تماميّة الملك ، وأسباب النقص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التصرف ، وتسلط الغير ، وعدم قرار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الزكاة في المغصوب ولا الضالّ ولا المحجور بغير بيّنة ولا المسروق ولا المدفون </w:t>
      </w:r>
      <w:r>
        <w:rPr>
          <w:rStyle w:val="FootnoteAnchor"/>
          <w:rtl w:val="true"/>
        </w:rPr>
        <w:footnoteReference w:id="218"/>
      </w:r>
      <w:r>
        <w:rPr>
          <w:rFonts w:ascii="IRNazanin" w:hAnsi="IRNazanin" w:eastAsia="IRNazanin"/>
          <w:color w:val="111111"/>
          <w:sz w:val="28"/>
          <w:sz w:val="28"/>
          <w:szCs w:val="28"/>
          <w:rtl w:val="true"/>
          <w:lang w:bidi="fa-IR"/>
        </w:rPr>
        <w:t>مع جهل موضوعه عند علمائنا أجمع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 عود الإجماع إلى أصل الحكم المتفرّع عليه ما ذكره من نفي الزكاة في الصور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بعوده إلى الحكم المذكور في التفريع ففيه أيضا دلالة على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219"/>
      </w:r>
      <w:r>
        <w:rPr>
          <w:rFonts w:ascii="Amiri" w:hAnsi="Amiri" w:eastAsia="Amiri" w:cs="Amiri"/>
          <w:color w:val="111111"/>
          <w:sz w:val="28"/>
          <w:sz w:val="28"/>
          <w:szCs w:val="28"/>
          <w:rtl w:val="true"/>
          <w:lang w:bidi="ar-SA"/>
        </w:rPr>
        <w:t xml:space="preserve">والذخيرة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مقطوع به في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ممّا لا خلاف فيه فيما أعلم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الخلاف </w:t>
      </w:r>
      <w:r>
        <w:rPr>
          <w:rStyle w:val="FootnoteAnchor"/>
          <w:rtl w:val="true"/>
        </w:rPr>
        <w:footnoteReference w:id="222"/>
      </w:r>
      <w:r>
        <w:rPr>
          <w:rFonts w:ascii="Amiri" w:hAnsi="Amiri" w:eastAsia="Amiri" w:cs="Amiri"/>
          <w:color w:val="111111"/>
          <w:sz w:val="28"/>
          <w:sz w:val="28"/>
          <w:szCs w:val="28"/>
          <w:rtl w:val="true"/>
          <w:lang w:bidi="ar-SA"/>
        </w:rPr>
        <w:t xml:space="preserve">نفي الخلاف عن عدم وجوب الزكاة في مال الغائب إذا لم يكن صاحبه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متمكّنا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ظاهر كلامه في موضع آخر حكاية إجماع الفرقة على عدم وجوب الزكاة في مال الغائب إذا كان صاحبه ممنوعا منه أو كان مغصوبا </w:t>
      </w:r>
      <w:r>
        <w:rPr>
          <w:rStyle w:val="FootnoteAnchor"/>
          <w:rtl w:val="true"/>
        </w:rPr>
        <w:footnoteReference w:id="224"/>
      </w:r>
      <w:r>
        <w:rPr>
          <w:rFonts w:ascii="Amiri" w:hAnsi="Amiri" w:eastAsia="Amiri" w:cs="Amiri"/>
          <w:color w:val="111111"/>
          <w:sz w:val="28"/>
          <w:sz w:val="28"/>
          <w:szCs w:val="28"/>
          <w:rtl w:val="true"/>
          <w:lang w:bidi="ar-SA"/>
        </w:rPr>
        <w:t>لا يرجو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كان له مال دراهم أو دنانير فغصبت أو سرقت أو جحدت أو غرقت أو دفنها في موضع ثمّ نسيها وحال عليها الحول انّه لا تجب الزكاة فيه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w:t>
      </w:r>
      <w:r>
        <w:rPr>
          <w:rStyle w:val="FootnoteAnchor"/>
          <w:rtl w:val="true"/>
        </w:rPr>
        <w:footnoteReference w:id="226"/>
      </w:r>
      <w:r>
        <w:rPr>
          <w:rFonts w:ascii="Amiri" w:hAnsi="Amiri" w:eastAsia="Amiri" w:cs="Amiri"/>
          <w:color w:val="111111"/>
          <w:sz w:val="28"/>
          <w:sz w:val="28"/>
          <w:szCs w:val="28"/>
          <w:rtl w:val="true"/>
          <w:lang w:bidi="ar-SA"/>
        </w:rPr>
        <w:t>خلاف العامّة ، ثمّ استدلّ بإجماع الفرقة وأخبارهم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يكون الوجه في الجميع ونحوه هو انتقاء التمكن من التصرف كما هو المنساق من كلامه ، فيكون </w:t>
      </w:r>
      <w:r>
        <w:rPr>
          <w:rStyle w:val="FootnoteAnchor"/>
          <w:rtl w:val="true"/>
        </w:rPr>
        <w:footnoteReference w:id="227"/>
      </w:r>
      <w:r>
        <w:rPr>
          <w:rFonts w:ascii="Amiri" w:hAnsi="Amiri" w:eastAsia="Amiri" w:cs="Amiri"/>
          <w:color w:val="111111"/>
          <w:sz w:val="28"/>
          <w:sz w:val="28"/>
          <w:szCs w:val="28"/>
          <w:rtl w:val="true"/>
          <w:lang w:bidi="ar-SA"/>
        </w:rPr>
        <w:t>هو المناط في نفيه الخلاف ، وما حكاه من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ويومي إليه ببعض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 مسائل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عليه في الحدائق </w:t>
      </w:r>
      <w:r>
        <w:rPr>
          <w:rStyle w:val="FootnoteAnchor"/>
          <w:rtl w:val="true"/>
        </w:rPr>
        <w:footnoteReference w:id="229"/>
      </w:r>
      <w:r>
        <w:rPr>
          <w:rFonts w:ascii="Amiri" w:hAnsi="Amiri" w:eastAsia="Amiri" w:cs="Amiri"/>
          <w:color w:val="111111"/>
          <w:sz w:val="28"/>
          <w:sz w:val="28"/>
          <w:szCs w:val="28"/>
          <w:rtl w:val="true"/>
          <w:lang w:bidi="ar-SA"/>
        </w:rPr>
        <w:t xml:space="preserve">بما دلّت عليه الروايات من انتفاء الزكاة عن المال الغائب عن مالكه حتّى يقع في يديه وعن الوديعة والدين مما لا يصل </w:t>
      </w:r>
      <w:r>
        <w:rPr>
          <w:rStyle w:val="FootnoteAnchor"/>
          <w:rtl w:val="true"/>
        </w:rPr>
        <w:footnoteReference w:id="230"/>
      </w:r>
      <w:r>
        <w:rPr>
          <w:rFonts w:ascii="Amiri" w:hAnsi="Amiri" w:eastAsia="Amiri" w:cs="Amiri"/>
          <w:color w:val="111111"/>
          <w:sz w:val="28"/>
          <w:sz w:val="28"/>
          <w:szCs w:val="28"/>
          <w:rtl w:val="true"/>
          <w:lang w:bidi="ar-SA"/>
        </w:rPr>
        <w:t>إليهما ، فلا زكاة عليه حتّى يأخذهما ويحول عليه الحول بعد ذلك ، وعن المال المدفون إذا ضاع عليه محلّ الدفن ، وعن ميراث الغائب فلا زكاة عليه حتّى يقدم ويحول عليه الحول وهو عنده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والروايات الدالّة على أنّ ما </w:t>
      </w:r>
      <w:r>
        <w:rPr>
          <w:rStyle w:val="FootnoteAnchor"/>
          <w:rtl w:val="true"/>
        </w:rPr>
        <w:footnoteReference w:id="231"/>
      </w:r>
      <w:r>
        <w:rPr>
          <w:rFonts w:ascii="Amiri" w:hAnsi="Amiri" w:eastAsia="Amiri" w:cs="Amiri"/>
          <w:color w:val="111111"/>
          <w:sz w:val="28"/>
          <w:sz w:val="28"/>
          <w:szCs w:val="28"/>
          <w:rtl w:val="true"/>
          <w:lang w:bidi="ar-SA"/>
        </w:rPr>
        <w:t xml:space="preserve">لم يحل عليه الحول عند برئه </w:t>
      </w:r>
      <w:r>
        <w:rPr>
          <w:rStyle w:val="FootnoteAnchor"/>
          <w:rtl w:val="true"/>
        </w:rPr>
        <w:footnoteReference w:id="232"/>
      </w:r>
      <w:r>
        <w:rPr>
          <w:rFonts w:ascii="Amiri" w:hAnsi="Amiri" w:eastAsia="Amiri" w:cs="Amiri"/>
          <w:color w:val="111111"/>
          <w:sz w:val="28"/>
          <w:sz w:val="28"/>
          <w:szCs w:val="28"/>
          <w:rtl w:val="true"/>
          <w:lang w:bidi="ar-SA"/>
        </w:rPr>
        <w:t>فلا شي‌ء عليه كما سنشير إلى كلّ واحد من المذكورات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المتلخّص من تتبّع تلك الروايات كون التمكن من التصرف شرطا في وجوب الزكاة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أنّه وإن كان كلّ واحد من هذه الأخبار أخصّ من المدّعى إلّا أنّه بضمّ بعضها إلى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ذكرناه وما لم 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يتحصل الحكم المذكور ؛ فإنّ أكثر القواعد الشرعيّة إنّما تحصل من ضمّ الجزئيات بعض إلى بعض مثل القواعد النحوية الحاصلة من تتبع الجزئيّات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أراد بذلك دفع ما أورده صاحب المدارك </w:t>
      </w:r>
      <w:r>
        <w:rPr>
          <w:rStyle w:val="FootnoteAnchor"/>
          <w:rtl w:val="true"/>
        </w:rPr>
        <w:footnoteReference w:id="233"/>
      </w:r>
      <w:r>
        <w:rPr>
          <w:rFonts w:ascii="Amiri" w:hAnsi="Amiri" w:eastAsia="Amiri" w:cs="Amiri"/>
          <w:color w:val="111111"/>
          <w:sz w:val="28"/>
          <w:sz w:val="28"/>
          <w:szCs w:val="28"/>
          <w:rtl w:val="true"/>
          <w:lang w:bidi="ar-SA"/>
        </w:rPr>
        <w:t>في المقام بعد إيراده عدّة من الأخبار من أنها انّما تدلّ على سقوط الزكاة في المال الغائب الّذي لا يقدر صاحبه على أخذه لا على اعتبار التمكن من التصرف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مرجع ما ذكره في دفعه هو التمسّك بالاستقراء الظني ، وهو لا ينهض حجّة في الأحكام عند محقّقي الاصوليين ، فضلا عن الأخباريين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وتمثيله ذلك بالقواعد النحويّة الثابتة من استقراء الجزئيّات غريب ؛ لابتناء معظم قواعد العربية على الامور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ذلك من إثبات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بأنّ مقصوده من ذلك انفهام القاعدة المذكورة من ضمّ بعض الأخبار إلى بعض ، وذلك هو المستفاد عرفا من مجموع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مدلول كلّ واحد واحد من الأخبار حجّة شرعيّة يجب الأخذ بها ، وكذا ما يستفاد من مجموعها وهو متّجه سيّما بعد تأيّده بالإجماعات المحكيّة المعتضدة بفتوى الطائفة من غير خلاف يعرف فيه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إنّه يمكن الاستدلال عليه بأنّه لو وجبت النصاب في الزكاة </w:t>
      </w:r>
      <w:r>
        <w:rPr>
          <w:rStyle w:val="FootnoteAnchor"/>
          <w:rtl w:val="true"/>
        </w:rPr>
        <w:footnoteReference w:id="235"/>
      </w:r>
      <w:r>
        <w:rPr>
          <w:rFonts w:ascii="Amiri" w:hAnsi="Amiri" w:eastAsia="Amiri" w:cs="Amiri"/>
          <w:color w:val="111111"/>
          <w:sz w:val="28"/>
          <w:sz w:val="28"/>
          <w:szCs w:val="28"/>
          <w:rtl w:val="true"/>
          <w:lang w:bidi="ar-SA"/>
        </w:rPr>
        <w:t xml:space="preserve">مع عدم التمكّن من التصرف عقلا وشرعا </w:t>
      </w:r>
      <w:r>
        <w:rPr>
          <w:rStyle w:val="FootnoteAnchor"/>
          <w:rtl w:val="true"/>
        </w:rPr>
        <w:footnoteReference w:id="236"/>
      </w:r>
      <w:r>
        <w:rPr>
          <w:rFonts w:ascii="IRNazanin" w:hAnsi="IRNazanin" w:eastAsia="IRNazanin"/>
          <w:color w:val="111111"/>
          <w:sz w:val="28"/>
          <w:sz w:val="28"/>
          <w:szCs w:val="28"/>
          <w:rtl w:val="true"/>
          <w:lang w:bidi="fa-IR"/>
        </w:rPr>
        <w:t xml:space="preserve">لوجب الإخراج عن </w:t>
      </w:r>
      <w:r>
        <w:rPr>
          <w:rStyle w:val="FootnoteAnchor"/>
          <w:rtl w:val="true"/>
        </w:rPr>
        <w:footnoteReference w:id="237"/>
      </w:r>
      <w:r>
        <w:rPr>
          <w:rFonts w:ascii="Amiri" w:hAnsi="Amiri" w:eastAsia="Amiri" w:cs="Amiri"/>
          <w:color w:val="111111"/>
          <w:sz w:val="28"/>
          <w:sz w:val="28"/>
          <w:szCs w:val="28"/>
          <w:rtl w:val="true"/>
          <w:lang w:bidi="ar-SA"/>
        </w:rPr>
        <w:t xml:space="preserve">غير العين ، وهو باطل </w:t>
      </w:r>
      <w:r>
        <w:rPr>
          <w:rStyle w:val="FootnoteAnchor"/>
          <w:rtl w:val="true"/>
        </w:rPr>
        <w:footnoteReference w:id="238"/>
      </w:r>
      <w:r>
        <w:rPr>
          <w:rFonts w:ascii="Amiri" w:hAnsi="Amiri" w:eastAsia="Amiri" w:cs="Amiri"/>
          <w:color w:val="111111"/>
          <w:sz w:val="28"/>
          <w:sz w:val="28"/>
          <w:szCs w:val="28"/>
          <w:rtl w:val="true"/>
          <w:lang w:bidi="ar-SA"/>
        </w:rPr>
        <w:t xml:space="preserve">؛ إذ الزكاة </w:t>
      </w:r>
    </w:p>
    <w:p>
      <w:pPr>
        <w:pStyle w:val="BookText"/>
        <w:rPr/>
      </w:pPr>
      <w:r>
        <w:rPr>
          <w:rFonts w:ascii="Amiri" w:hAnsi="Amiri" w:eastAsia="Amiri" w:cs="Amiri"/>
          <w:color w:val="111111"/>
          <w:sz w:val="28"/>
          <w:sz w:val="28"/>
          <w:szCs w:val="28"/>
          <w:rtl w:val="true"/>
          <w:lang w:bidi="ar-SA"/>
        </w:rPr>
        <w:t>إنّما يجب في العين ، ثمّ أورد عليه بأنّه إنّما يقتضي اعتبار التمكّن من التصرف وقت الوجوب لا توقّف جريانه في الحول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وللنظر فيها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فيما ذكره بما قد يقال من أن المستفاد من الأخبار وكلام الأصحاب أن ما هو مانع من وجوب الزكاة حال حلول الحول مانع من جريانه في الحول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الإيراد عليه بوجه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الفرق بين تعلّق الزكاة بالمال ووجوب الإخراج عنه ، والمتوقف على التمكّن من التصرف إنما هو الثاني دون الأوّل ، فأيّ مانع من تعلّق الزكاة ووجوب الإخراج عنه </w:t>
      </w:r>
      <w:r>
        <w:rPr>
          <w:rStyle w:val="FootnoteAnchor"/>
          <w:rtl w:val="true"/>
        </w:rPr>
        <w:footnoteReference w:id="239"/>
      </w:r>
      <w:r>
        <w:rPr>
          <w:rFonts w:ascii="Amiri" w:hAnsi="Amiri" w:eastAsia="Amiri" w:cs="Amiri"/>
          <w:color w:val="111111"/>
          <w:sz w:val="28"/>
          <w:sz w:val="28"/>
          <w:szCs w:val="28"/>
          <w:rtl w:val="true"/>
          <w:lang w:bidi="ar-SA"/>
        </w:rPr>
        <w:t xml:space="preserve">بالعين حال عدم التمكّن منه؟ فيجب عليه الإخراج مع المكنة ولو بعد مدّة أو جاز </w:t>
      </w:r>
      <w:r>
        <w:rPr>
          <w:rStyle w:val="FootnoteAnchor"/>
          <w:rtl w:val="true"/>
        </w:rPr>
        <w:footnoteReference w:id="240"/>
      </w:r>
      <w:r>
        <w:rPr>
          <w:rFonts w:ascii="Amiri" w:hAnsi="Amiri" w:eastAsia="Amiri" w:cs="Amiri"/>
          <w:color w:val="111111"/>
          <w:sz w:val="28"/>
          <w:sz w:val="28"/>
          <w:szCs w:val="28"/>
          <w:rtl w:val="true"/>
          <w:lang w:bidi="ar-SA"/>
        </w:rPr>
        <w:t>استقلال الحاكم أو العامل بالأخذ عند التسلط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ثبت المنع الشرعي من التصرف فيه مطلقا صحّ ذلك ، وهو إنّما يحصل في بعض الفروض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أجمعوا على وجوب الزكاة في مال النائم والغافل حين تعلّق الوجوب مع أنّه غير مأمور حينئذ بالإخراج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فالأولى الاحتجاج بما قدّمناه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المراد بالتمكّن من التصرف في المقام يعمّ التمكّن الشرعي والعادي ، والتمكّن من التصرّف في العين والمنافع بالجملة ، كما هو ظاهر من ملاحظة ما فرّعوا عليه ، لكن لا يعتبر فيه التمكّن من جميع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المدار فيه على صدق العرف بعد قيام الدليل على اعتباره ؛ إذ لا تحديد له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البناء في محلّ الشك على الأخذ بالإطلاقات حتى يتبيّن وجود المانع</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يبنى فيه على أصالة البراءة من جهة الشك في وجود الشرط القاضي بالشك في </w:t>
      </w:r>
      <w:bookmarkStart w:id="41" w:name="pg15853_153291"/>
    </w:p>
    <w:p>
      <w:pPr>
        <w:pStyle w:val="BookText"/>
        <w:rPr/>
      </w:pPr>
      <w:bookmarkEnd w:id="41"/>
      <w:r>
        <w:rPr>
          <w:rFonts w:ascii="IRNazanin" w:hAnsi="IRNazanin" w:eastAsia="IRNazanin"/>
          <w:color w:val="111111"/>
          <w:sz w:val="28"/>
          <w:sz w:val="28"/>
          <w:szCs w:val="28"/>
          <w:rtl w:val="true"/>
          <w:lang w:bidi="fa-IR"/>
        </w:rPr>
        <w:t>حصول المشروط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ضعيف</w:t>
      </w:r>
    </w:p>
    <w:p>
      <w:pPr>
        <w:pStyle w:val="Heading5"/>
        <w:numPr>
          <w:ilvl w:val="4"/>
          <w:numId w:val="1"/>
        </w:numPr>
        <w:rPr/>
      </w:pPr>
      <w:bookmarkStart w:id="42" w:name="__RefHeading___Toc14587065_2142443653"/>
      <w:bookmarkStart w:id="43" w:name="_Toc15"/>
      <w:bookmarkEnd w:id="42"/>
      <w:r>
        <w:rPr>
          <w:rtl w:val="true"/>
        </w:rPr>
        <w:t xml:space="preserve">[ </w:t>
      </w:r>
      <w:r>
        <w:rPr>
          <w:rtl w:val="true"/>
        </w:rPr>
        <w:t xml:space="preserve">مسائل </w:t>
      </w:r>
      <w:r>
        <w:rPr>
          <w:rtl w:val="true"/>
        </w:rPr>
        <w:t>]</w:t>
      </w:r>
      <w:bookmarkEnd w:id="43"/>
    </w:p>
    <w:p>
      <w:pPr>
        <w:pStyle w:val="BookText"/>
        <w:rPr/>
      </w:pPr>
      <w:r>
        <w:rPr>
          <w:rFonts w:ascii="Amiri" w:hAnsi="Amiri" w:eastAsia="Amiri" w:cs="Amiri"/>
          <w:color w:val="111111"/>
          <w:sz w:val="28"/>
          <w:sz w:val="28"/>
          <w:szCs w:val="28"/>
          <w:rtl w:val="true"/>
          <w:lang w:bidi="ar-SA"/>
        </w:rPr>
        <w:t xml:space="preserve">ثمّ إنّ المسائل المتفرعة على اعتبار الشرط المذكور كثيرة لا بأس بالإشارة إلى جملة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زكاة في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الإجماع في التذكرة </w:t>
      </w:r>
      <w:r>
        <w:rPr>
          <w:rStyle w:val="FootnoteAnchor"/>
          <w:rtl w:val="true"/>
        </w:rPr>
        <w:footnoteReference w:id="242"/>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المنتهى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فتوى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ما في الخلاف من الإجماع على عدم ثبوت الزكاة في المال الغائب أو ما كان ممنوعا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الذخيرة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فيه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قضيّة القاعدة المتقدّمة وظاهر كلام الأصحاب عدم الفرق في ذلك بين ما يعتبر فيه الحول أو ما لا يعتبر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والعبرة في الثاني بحال تعلّق الوجوب ، فسبق الغصبيّة وتأخرها لا يمنع من الوجوب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نبّه على التعميم المذكور في المسالك </w:t>
      </w:r>
      <w:r>
        <w:rPr>
          <w:rStyle w:val="FootnoteAnchor"/>
          <w:rtl w:val="true"/>
        </w:rPr>
        <w:footnoteReference w:id="245"/>
      </w:r>
      <w:r>
        <w:rPr>
          <w:rFonts w:ascii="Amiri" w:hAnsi="Amiri" w:eastAsia="Amiri" w:cs="Amiri"/>
          <w:color w:val="111111"/>
          <w:sz w:val="28"/>
          <w:sz w:val="28"/>
          <w:szCs w:val="28"/>
          <w:rtl w:val="true"/>
          <w:lang w:bidi="ar-SA"/>
        </w:rPr>
        <w:t xml:space="preserve">، واستشكل فيه في المدارك </w:t>
      </w:r>
      <w:r>
        <w:rPr>
          <w:rStyle w:val="FootnoteAnchor"/>
          <w:rtl w:val="true"/>
        </w:rPr>
        <w:footnoteReference w:id="246"/>
      </w:r>
      <w:r>
        <w:rPr>
          <w:rFonts w:ascii="Amiri" w:hAnsi="Amiri" w:eastAsia="Amiri" w:cs="Amiri"/>
          <w:color w:val="111111"/>
          <w:sz w:val="28"/>
          <w:sz w:val="28"/>
          <w:szCs w:val="28"/>
          <w:rtl w:val="true"/>
          <w:lang w:bidi="ar-SA"/>
        </w:rPr>
        <w:t>، وتبعه صاحب الذخيرة ؛ لعدم وضوح مأخذه نظرا إلى اختصاص الأدلّة بما يعتبر فيه الحول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وأراد بذلك ما دلّ عليه من الأخبار كصحيحة عبد اللّه 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على المال الغائب </w:t>
      </w:r>
    </w:p>
    <w:p>
      <w:pPr>
        <w:pStyle w:val="BookText"/>
        <w:rPr/>
      </w:pPr>
      <w:r>
        <w:rPr>
          <w:rFonts w:ascii="Amiri" w:hAnsi="Amiri" w:eastAsia="Amiri" w:cs="Amiri"/>
          <w:color w:val="111111"/>
          <w:sz w:val="28"/>
          <w:sz w:val="28"/>
          <w:szCs w:val="28"/>
          <w:rtl w:val="true"/>
          <w:lang w:bidi="ar-SA"/>
        </w:rPr>
        <w:t xml:space="preserve">عنك حتى يقع في يديك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ماله عنه غائب لا يقدر على أخذه؟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زكاة عليه حتى يخرج ، فإذا خرج زكاه لعام واحد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ويدفعه بعد ما عرفت من القاعدة والإجماعات المحكيّة أنّهما لا يقولان بوجوب الزكاة فيه في وقت الوجوب ، وإنّما يحكمان بوجوبها عند ارتفاع الغصب ، وهو غير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مع عدم ثبوت حق الفقراء فيه حال تعلّق الوجوب لا دليل على ثبوتها فيه بعد ذلك ؛ إذ ظاهر الإطلاقات الواردة هو تعلّق الوجوب من أوّل الأمر ، فإذا التزم بتقييد تلك الأدلّة باعتبار انتفاء التمكّن من التصرّف في النصاب في تلك الحال قضى الاستصحاب بعدم تعلّق الوجوب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وشمول الإطلاقات لما بعد ذلك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قد يخرج النصاب عن ملكه ببيعه على الغاصب أو على من يقدر على استنقاذه ، فلا يبقى النصاب ليتعلق به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لو تلفه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 بين ما إذا بقي عين النصاب وعدمه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الغصب في أثناء الحول استأنف الحول من حين ارتفاعه ، ولا فرق بين طول زمان الغصب وقصره إلّا أن يكون بحيث لا ينافي كونه متمكّنا من التصرّف فيه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أمكنه استنقاذ المغصوب ببذل بعضه للغاصب أو لغيره فهل تثبت الزكاة في الباقي نظرا إلى تمكّنه من التصرف فيه لقدرته على استخلاصه الذي هو مقدمة لذلك ، وكذا لو أمكنه ذلك البذل من غيره مع عدم استيفائه لقيمته؟ وجهان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249"/>
      </w:r>
      <w:r>
        <w:rPr>
          <w:rFonts w:ascii="Amiri" w:hAnsi="Amiri" w:eastAsia="Amiri" w:cs="Amiri"/>
          <w:color w:val="111111"/>
          <w:sz w:val="28"/>
          <w:sz w:val="28"/>
          <w:szCs w:val="28"/>
          <w:rtl w:val="true"/>
          <w:lang w:bidi="ar-SA"/>
        </w:rPr>
        <w:t xml:space="preserve">تبعا لما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يسقط الزكاة في المغصوب ونحوه إذا تمكن تخليصه </w:t>
      </w:r>
    </w:p>
    <w:p>
      <w:pPr>
        <w:pStyle w:val="BookText"/>
        <w:rPr/>
      </w:pPr>
      <w:r>
        <w:rPr>
          <w:rFonts w:ascii="Amiri" w:hAnsi="Amiri" w:eastAsia="Amiri" w:cs="Amiri"/>
          <w:color w:val="111111"/>
          <w:sz w:val="28"/>
          <w:sz w:val="28"/>
          <w:szCs w:val="28"/>
          <w:rtl w:val="true"/>
          <w:lang w:bidi="ar-SA"/>
        </w:rPr>
        <w:t>ولو ببعضه ، فيجب فيما زاد على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 في الذخيرة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ويستشكل بصدق الغصب وعدم التمكّن من التصرّف قبل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وبمجرّد كونه قادرا على تحصيل التمكّن لا يعدّ متمكّنا منه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 ولو وجبت الزكاة في المقام لوجب عليه بذل الفداء أو ضمان الزكاة ولو من مال آخر ، وكلّ منها تكليف زائد منفيّ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الشرع يأبى عن إلزام المالك بمثله ، والبناء على استحقاق الفقير فيه حينئذ من غير وجوب الدفع على المالك مخالف لما مرّت الإشارة إليه من بنائه على كونها حكما تكليفيا وجعل الحكم الوضعي تابعا لذلك ؛ إذ قضيّة ذلك عدم استحقاق الفقير مع سقوط التكليف عن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وتنظّر الشهيد في البيان </w:t>
      </w:r>
      <w:r>
        <w:rPr>
          <w:rStyle w:val="FootnoteAnchor"/>
          <w:rtl w:val="true"/>
        </w:rPr>
        <w:footnoteReference w:id="251"/>
      </w:r>
      <w:r>
        <w:rPr>
          <w:rFonts w:ascii="Amiri" w:hAnsi="Amiri" w:eastAsia="Amiri" w:cs="Amiri"/>
          <w:color w:val="111111"/>
          <w:sz w:val="28"/>
          <w:sz w:val="28"/>
          <w:szCs w:val="28"/>
          <w:rtl w:val="true"/>
          <w:lang w:bidi="ar-SA"/>
        </w:rPr>
        <w:t>في إجرائه مجرى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ذكروه فالظاهر اعتبار بلوغ الثاني حدّ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الاستنقاذ من غيره فهل يلاحظ النصاب بعد إخراج ما يقابله أو يخرج الزكاة من تمام المال؟ وجهان ؛ أجودهما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توقف استنقاذه على بذل الوجه عند الغاصب أو غيره ، فإن اشتمل على غضاضة لا يتحمل مثله مثلها في العادة لم يبعد السقوط ، وإلّا فإن أمكن ذلك بسهولة من غير طول مدّة احتمل بقاء التمكّن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أمكنه الاسترداد </w:t>
      </w:r>
      <w:r>
        <w:rPr>
          <w:rStyle w:val="FootnoteAnchor"/>
          <w:rtl w:val="true"/>
        </w:rPr>
        <w:footnoteReference w:id="252"/>
      </w:r>
      <w:r>
        <w:rPr>
          <w:rFonts w:ascii="Amiri" w:hAnsi="Amiri" w:eastAsia="Amiri" w:cs="Amiri"/>
          <w:color w:val="111111"/>
          <w:sz w:val="28"/>
          <w:sz w:val="28"/>
          <w:szCs w:val="28"/>
          <w:rtl w:val="true"/>
          <w:lang w:bidi="ar-SA"/>
        </w:rPr>
        <w:t>في الحال بمدافعة الغاصب كان تمكّنا من المال إن لم يتوقف على حرج أو بذل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توقف المدافعة على زمان طويل فالظاهر انقطاع الحول وأمكنه التوصّل إلى الحاكم في الاسترداد ففي كونه تمكنا من المال وجهان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يفصّل بين ما إذا تمكّن منه من دون عسر ومشقّة ومضى مدّة طويلة إذا </w:t>
      </w:r>
      <w:r>
        <w:rPr>
          <w:rStyle w:val="FootnoteAnchor"/>
          <w:rtl w:val="true"/>
        </w:rPr>
        <w:footnoteReference w:id="253"/>
      </w:r>
      <w:r>
        <w:rPr>
          <w:rFonts w:ascii="Amiri" w:hAnsi="Amiri" w:eastAsia="Amiri" w:cs="Amiri"/>
          <w:color w:val="111111"/>
          <w:sz w:val="28"/>
          <w:sz w:val="28"/>
          <w:szCs w:val="28"/>
          <w:rtl w:val="true"/>
          <w:lang w:bidi="ar-SA"/>
        </w:rPr>
        <w:t>توقف على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في البيان </w:t>
      </w:r>
      <w:r>
        <w:rPr>
          <w:rStyle w:val="FootnoteAnchor"/>
          <w:rtl w:val="true"/>
        </w:rPr>
        <w:footnoteReference w:id="254"/>
      </w:r>
      <w:r>
        <w:rPr>
          <w:rFonts w:ascii="Amiri" w:hAnsi="Amiri" w:eastAsia="Amiri" w:cs="Amiri"/>
          <w:color w:val="111111"/>
          <w:sz w:val="28"/>
          <w:sz w:val="28"/>
          <w:szCs w:val="28"/>
          <w:rtl w:val="true"/>
          <w:lang w:bidi="ar-SA"/>
        </w:rPr>
        <w:t xml:space="preserve">بين ما إذا كان الحاكم جائرا أو عادلا فانتظر </w:t>
      </w:r>
      <w:r>
        <w:rPr>
          <w:rStyle w:val="FootnoteAnchor"/>
          <w:rtl w:val="true"/>
        </w:rPr>
        <w:footnoteReference w:id="255"/>
      </w:r>
      <w:r>
        <w:rPr>
          <w:rFonts w:ascii="Amiri" w:hAnsi="Amiri" w:eastAsia="Amiri" w:cs="Amiri"/>
          <w:color w:val="111111"/>
          <w:sz w:val="28"/>
          <w:sz w:val="28"/>
          <w:szCs w:val="28"/>
          <w:rtl w:val="true"/>
          <w:lang w:bidi="ar-SA"/>
        </w:rPr>
        <w:t>في صدق التمكّن في الأوّل وقطع به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فيما إذا توقّف على المرافعة وإقامة البيّنة عنده وتزكية الشهود وبذل المال في تحصيل تلك المقدمات والحلف ؛ إذ </w:t>
      </w:r>
      <w:r>
        <w:rPr>
          <w:rStyle w:val="FootnoteAnchor"/>
          <w:rtl w:val="true"/>
        </w:rPr>
        <w:footnoteReference w:id="256"/>
      </w:r>
      <w:r>
        <w:rPr>
          <w:rFonts w:ascii="Amiri" w:hAnsi="Amiri" w:eastAsia="Amiri" w:cs="Amiri"/>
          <w:color w:val="111111"/>
          <w:sz w:val="28"/>
          <w:sz w:val="28"/>
          <w:szCs w:val="28"/>
          <w:rtl w:val="true"/>
          <w:lang w:bidi="ar-SA"/>
        </w:rPr>
        <w:t>صدق التمكّن عرفا مع الحاجة إلى جميع ذلك بعيد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المحجور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حكاية الإجماع عليه عن التذكرة </w:t>
      </w:r>
      <w:r>
        <w:rPr>
          <w:rStyle w:val="FootnoteAnchor"/>
          <w:rtl w:val="true"/>
        </w:rPr>
        <w:footnoteReference w:id="258"/>
      </w:r>
      <w:r>
        <w:rPr>
          <w:rFonts w:ascii="Amiri" w:hAnsi="Amiri" w:eastAsia="Amiri" w:cs="Amiri"/>
          <w:color w:val="111111"/>
          <w:sz w:val="28"/>
          <w:sz w:val="28"/>
          <w:szCs w:val="28"/>
          <w:rtl w:val="true"/>
          <w:lang w:bidi="ar-SA"/>
        </w:rPr>
        <w:t>والخلاف في الدرهم والدنانير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وأسنده في المنتهى </w:t>
      </w:r>
      <w:r>
        <w:rPr>
          <w:rStyle w:val="FootnoteAnchor"/>
          <w:rtl w:val="true"/>
        </w:rPr>
        <w:footnoteReference w:id="259"/>
      </w:r>
      <w:r>
        <w:rPr>
          <w:rFonts w:ascii="Amiri" w:hAnsi="Amiri" w:eastAsia="Amiri" w:cs="Amiri"/>
          <w:color w:val="111111"/>
          <w:sz w:val="28"/>
          <w:sz w:val="28"/>
          <w:szCs w:val="28"/>
          <w:rtl w:val="true"/>
          <w:lang w:bidi="ar-SA"/>
        </w:rPr>
        <w:t xml:space="preserve">أيضا إلى علمائنا إلّا أنّه قيّده في التذكرة </w:t>
      </w:r>
      <w:r>
        <w:rPr>
          <w:rStyle w:val="FootnoteAnchor"/>
          <w:rtl w:val="true"/>
        </w:rPr>
        <w:footnoteReference w:id="260"/>
      </w:r>
      <w:r>
        <w:rPr>
          <w:rFonts w:ascii="Amiri" w:hAnsi="Amiri" w:eastAsia="Amiri" w:cs="Amiri"/>
          <w:color w:val="111111"/>
          <w:sz w:val="28"/>
          <w:sz w:val="28"/>
          <w:szCs w:val="28"/>
          <w:rtl w:val="true"/>
          <w:lang w:bidi="ar-SA"/>
        </w:rPr>
        <w:t>بصورة انتفاء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يومي ذلك بثبوت الزكاة فيه مع وجودها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إطلاقه مشكل سيّما إذا توقف الإثبات إلى مضيّ زمان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توقّف على الحلف كما إذا كانت الدعوى على الميّت أو كان هناك شاهد واحد أو لم يكن هناك بيّنة لكن ردّ المدعى عليه </w:t>
      </w:r>
      <w:r>
        <w:rPr>
          <w:rStyle w:val="FootnoteAnchor"/>
          <w:rtl w:val="true"/>
        </w:rPr>
        <w:footnoteReference w:id="262"/>
      </w:r>
      <w:r>
        <w:rPr>
          <w:rFonts w:ascii="Amiri" w:hAnsi="Amiri" w:eastAsia="Amiri" w:cs="Amiri"/>
          <w:color w:val="111111"/>
          <w:sz w:val="28"/>
          <w:sz w:val="28"/>
          <w:szCs w:val="28"/>
          <w:rtl w:val="true"/>
          <w:lang w:bidi="ar-SA"/>
        </w:rPr>
        <w:t>الحلف ففي جري الحكم إشكال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الأظهر في جميع ذلك عدم حصول التمكّن منه بالفعل كما يشهد به التأمّل في العرف إذا قضى ما يلزم من ذلك القدرة على تحصيل التمكن من التصرف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والفرق بينه وبين نفس التمكّن من التصرّف المعتبر في المقام ظاهر ، والمعتبر هو صدق التمكّن من التصرّف فيه في الحال الحاضر بحسب العرف ، فإن عدّ غير متمكّن منه في الحال انتفى الحكم ، وإن حصل له التمكّن منه بعد ذلك فإنّه يستأنف الحول عند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الجحد بين أن يكون على جهة العصيان وعدمه بأن يكون مستندا إلى جهة شرعيّة موجبة لجوازه ومع علمه بالحال ، أو حجّة قائمة باعثة على اشتباهه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تمكّن المالك على انتزاعه منه قهرا ولو مع تمسّك الجاحد بحجّة شرعيّة كان تمكّنا من المال ، وإن لم يكن هناك بيّنة إلّا أن يكون هناك غضاضة عرفية أو تعريض للتهمة أو خوف على ماله ، ولو أمكن تخليصه ببذل المال جرى فيه ما تقدّم في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الضالّ ، وفي معناها المدفون مع ضياعه محل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دلّ عليه خصوص إجماع التذكرة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ونفى عنه الخلاف في الخلاف في الدراهم والدنانير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واسنده في المنتهى </w:t>
      </w:r>
      <w:r>
        <w:rPr>
          <w:rStyle w:val="FootnoteAnchor"/>
          <w:rtl w:val="true"/>
        </w:rPr>
        <w:footnoteReference w:id="264"/>
      </w:r>
      <w:r>
        <w:rPr>
          <w:rFonts w:ascii="IRNazanin" w:hAnsi="IRNazanin" w:eastAsia="IRNazanin"/>
          <w:color w:val="111111"/>
          <w:sz w:val="28"/>
          <w:sz w:val="28"/>
          <w:szCs w:val="28"/>
          <w:rtl w:val="true"/>
          <w:lang w:bidi="fa-IR"/>
        </w:rPr>
        <w:t>إلى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على خصوص الأخير حسنة سدير ، عن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له مال فانطلق به فدفنه في موضع ، فلمّا حال عليه الحول ذهب ليخرجه من موضعه فاحتفر الموضع الّذي ظنّ أن المال فيه مدفون ، فلم يصبه ، فمكث بعد ذلك ثلاث سنين ثمّ إنّه احتفر الموضع من جوانبه كلّه ، فوقع على المال بعينه كيف يزكّيه؟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يزكّيه لسنة واحدة لأنّه كان غائبا عنه ، وإن كان احتسبه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والتعليل يعمّ الضالّ والمسروق وغيرهما من وجوه الغياب عن المالك</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بين ما يرجى عوده والعثور عليه وغيره إلّا أن يكون بحيث لا ينافي صدق التمكّن منه بحسب العادة ، ولا بين أن يصل تمام النصاب أو بعضه ، ولا بين عوده إليه بعد ذلك </w:t>
      </w:r>
    </w:p>
    <w:p>
      <w:pPr>
        <w:pStyle w:val="BookText"/>
        <w:rPr/>
      </w:pPr>
      <w:r>
        <w:rPr>
          <w:rFonts w:ascii="Amiri" w:hAnsi="Amiri" w:eastAsia="Amiri" w:cs="Amiri"/>
          <w:color w:val="111111"/>
          <w:sz w:val="28"/>
          <w:sz w:val="28"/>
          <w:szCs w:val="28"/>
          <w:rtl w:val="true"/>
          <w:lang w:bidi="ar-SA"/>
        </w:rPr>
        <w:t>وعدمه فيستأنف الحول بعد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المبسوط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عنده أربعون شاة فضلّت واحدة ثمّ عادت قبل حول الحول أو بعده وجبت عليه شاة لأنّ النصاب والملك وحول الحول قد حصل فيه ، فان لم تعد إليه أصلا فقد انقطع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والتعليل كما ترى سيّما إذا كان عوده بعد حلول الحول ولذا </w:t>
      </w:r>
      <w:r>
        <w:rPr>
          <w:rStyle w:val="FootnoteAnchor"/>
          <w:rtl w:val="true"/>
        </w:rPr>
        <w:footnoteReference w:id="267"/>
      </w:r>
      <w:r>
        <w:rPr>
          <w:rFonts w:ascii="Amiri" w:hAnsi="Amiri" w:eastAsia="Amiri" w:cs="Amiri"/>
          <w:color w:val="111111"/>
          <w:sz w:val="28"/>
          <w:sz w:val="28"/>
          <w:szCs w:val="28"/>
          <w:rtl w:val="true"/>
          <w:lang w:bidi="ar-SA"/>
        </w:rPr>
        <w:t xml:space="preserve">رجع منه أخيرا حيث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إنّها حين ضلّت </w:t>
      </w:r>
      <w:r>
        <w:rPr>
          <w:rStyle w:val="FootnoteAnchor"/>
          <w:rtl w:val="true"/>
        </w:rPr>
        <w:footnoteReference w:id="268"/>
      </w:r>
      <w:r>
        <w:rPr>
          <w:rFonts w:ascii="Amiri" w:hAnsi="Amiri" w:eastAsia="Amiri" w:cs="Amiri"/>
          <w:color w:val="111111"/>
          <w:sz w:val="28"/>
          <w:sz w:val="28"/>
          <w:szCs w:val="28"/>
          <w:rtl w:val="true"/>
          <w:lang w:bidi="ar-SA"/>
        </w:rPr>
        <w:t>انقطع الحول ؛ لأنّه لم يتمكّن من التصرّف فيه مثل مال الغائب كان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المتّجه ، وقد نصّ عليه في المنتهى </w:t>
      </w:r>
      <w:r>
        <w:rPr>
          <w:rStyle w:val="FootnoteAnchor"/>
          <w:rtl w:val="true"/>
        </w:rPr>
        <w:footnoteReference w:id="269"/>
      </w:r>
      <w:r>
        <w:rPr>
          <w:rFonts w:ascii="Amiri" w:hAnsi="Amiri" w:eastAsia="Amiri" w:cs="Amiri"/>
          <w:color w:val="111111"/>
          <w:sz w:val="28"/>
          <w:sz w:val="28"/>
          <w:szCs w:val="28"/>
          <w:rtl w:val="true"/>
          <w:lang w:bidi="ar-SA"/>
        </w:rPr>
        <w:t>تفريعا على اعتبار التمكّن من التصرّف أنّه لا زكاة في الموروث عن غائب حتّى يصل إلى الوارث أو وكيله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وأسنده إلى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دلّ عليه بعد ذلك عدّة من النصوص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صدقة على الدين ، وعلى المال الغائب عنك حتّى يقع في يديك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الولد فيغيب بعض ولده فلا يدري أين هو؟ ومات الرجل كيف يصنع بميراث الغائب عن أبيه؟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يعزل حتى 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ماله زكاة؟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حتى 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جاء أيزكّيه؟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حتى يحول عليه الحول في يده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عن رجل ورث مالا والرجل غائب هل عليه زكاة؟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حتّى </w:t>
      </w:r>
    </w:p>
    <w:p>
      <w:pPr>
        <w:pStyle w:val="BookText"/>
        <w:rPr/>
      </w:pPr>
      <w:r>
        <w:rPr>
          <w:rFonts w:ascii="Amiri" w:hAnsi="Amiri" w:eastAsia="Amiri" w:cs="Amiri"/>
          <w:color w:val="111111"/>
          <w:sz w:val="28"/>
          <w:sz w:val="28"/>
          <w:szCs w:val="28"/>
          <w:rtl w:val="true"/>
          <w:lang w:bidi="ar-SA"/>
        </w:rPr>
        <w:t xml:space="preserve">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أيزكّيه حين يقدم؟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حتّى يحول عليه الحول وهو عنده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وإطلاق هذه الأخبار وإن أفاد انتفاء الزكاة عن المال الغائب إلى أن يصل إلى المالك سواء قدر على أخذه والتصرف فيه أو لا ، فيكون المناط عدم كونه مقبوضا له وواصلا إليه دون عدم قدرته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في بعض أخبار الباب تقييد </w:t>
      </w:r>
      <w:r>
        <w:rPr>
          <w:rStyle w:val="FootnoteAnchor"/>
          <w:rtl w:val="true"/>
        </w:rPr>
        <w:footnoteReference w:id="273"/>
      </w:r>
      <w:r>
        <w:rPr>
          <w:rFonts w:ascii="Amiri" w:hAnsi="Amiri" w:eastAsia="Amiri" w:cs="Amiri"/>
          <w:color w:val="111111"/>
          <w:sz w:val="28"/>
          <w:sz w:val="28"/>
          <w:szCs w:val="28"/>
          <w:rtl w:val="true"/>
          <w:lang w:bidi="ar-SA"/>
        </w:rPr>
        <w:t xml:space="preserve">ذلك بعدم قدرته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الموثق ، عن عبد اللّه بن بكير ، عن زرارة ،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رجل ماله عنه غائب لا يقدر على أخذه؟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زكاة عليه حتّى يخرج عليه ، فإذا خرج زكّاه لعام واحد ، وإن كان يدعه متعمّدا وهو يقدر على أخذه فعليه الزكاة لكلّ ما مرّ به من السنين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إذن من حمل غيره من المطلقات كالأخبار المتقدمة وما دلّ على أنّ ما لم يحل عليه الحول عند ربّه فلا شي‌ء فيه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اعتضاده بسائر عمومات الزكاة ، وظاهر فتوى الأصحاب بلا خلاف ظاهر بينهم سوى ما يوجد في كلام بعض المتأخرين من نفي البعد عن عدم وجوب الزكاة في مال الغائب مطلقا ؛ لتقييدهم الحكم بعدم وجوب الزكاة في المال الغائب بما إذا لم يقدر عليه ، أو تفريعهم ذلك على اشتراط إمكان التصرّف كما هو ظاهر من تتّبع كلماتهم ، وما يوجد في كلام بعضهم من إطلاق سقوط الزكاة عن المال الغائب إذا لم يكن في الوكيل أو الولي محمول على الغاصب من عدم حصول إمكان التصرّف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 وتفريع ذلك على اعتبار التمكّن من التصرّف كما في الشرائع </w:t>
      </w:r>
      <w:r>
        <w:rPr>
          <w:rStyle w:val="FootnoteAnchor"/>
          <w:rtl w:val="true"/>
        </w:rPr>
        <w:footnoteReference w:id="275"/>
      </w:r>
      <w:r>
        <w:rPr>
          <w:rFonts w:ascii="Amiri" w:hAnsi="Amiri" w:eastAsia="Amiri" w:cs="Amiri"/>
          <w:color w:val="111111"/>
          <w:sz w:val="28"/>
          <w:sz w:val="28"/>
          <w:szCs w:val="28"/>
          <w:rtl w:val="true"/>
          <w:lang w:bidi="ar-SA"/>
        </w:rPr>
        <w:t>وغيره من أقوى الشواهد عليه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الغائب إذا كان متمكّنا منه يلزمه الزكاة بلا خلاف بينهم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الرياض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المدارك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عبارات الأصحاب ناطقة بوجوب الزكاة في المال الغائب إذا كان صاحبه متمكّنا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العلامة المجلسي من أنّ عبارات الأصحاب لا تخلو عن تشويش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 أكثرهم عدم وجوب الزكاة إلّا </w:t>
      </w:r>
      <w:r>
        <w:rPr>
          <w:rStyle w:val="FootnoteAnchor"/>
          <w:rtl w:val="true"/>
        </w:rPr>
        <w:footnoteReference w:id="278"/>
      </w:r>
      <w:r>
        <w:rPr>
          <w:rFonts w:ascii="Amiri" w:hAnsi="Amiri" w:eastAsia="Amiri" w:cs="Amiri"/>
          <w:color w:val="111111"/>
          <w:sz w:val="28"/>
          <w:sz w:val="28"/>
          <w:szCs w:val="28"/>
          <w:rtl w:val="true"/>
          <w:lang w:bidi="ar-SA"/>
        </w:rPr>
        <w:t>إذا كان في يده أو يد وكيله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لا مخافة الإطناب لذكرنا جملة وافية من عبائرهم في المقام ليتّضح به حقيقة المرام إلّا أنّ فيما أشرنا إليه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فالظاهر أنّه لا عبرة بمجرّد الغياب وعدم الوصول إلى المالك مع قطع النظر عن عدم إمكان التصرف ، ولا لعدم علم المالك به أو ببقائه وإلّا لجرى في كلّ موضع لم يعلم ببقاء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والاستصحاب حجة شرعية لا مدافع 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الجهل بانتقال المال إليه مانعا من التمكّن من التصرف فيه قضي بانتفاء الزكاة من تلك الجهة ولو كان المال في يده ، كما لو سرق مال أبيه فانتقل إليه بالميراث من غير علمه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وكيلا </w:t>
      </w:r>
      <w:r>
        <w:rPr>
          <w:rStyle w:val="FootnoteAnchor"/>
          <w:rtl w:val="true"/>
        </w:rPr>
        <w:footnoteReference w:id="279"/>
      </w:r>
      <w:r>
        <w:rPr>
          <w:rFonts w:ascii="Amiri" w:hAnsi="Amiri" w:eastAsia="Amiri" w:cs="Amiri"/>
          <w:color w:val="111111"/>
          <w:sz w:val="28"/>
          <w:sz w:val="28"/>
          <w:szCs w:val="28"/>
          <w:rtl w:val="true"/>
          <w:lang w:bidi="ar-SA"/>
        </w:rPr>
        <w:t>عن أبيه احتمل ثبوت الزكاة فيه ؛ لدورانه بين كونه وكيلا أو مالكا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الوجهين يثبت الزكاة فيه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والأظهر عدم الوجوب لعدم تمكّنه من التصرّف فيه على سبيل الاستقلال</w:t>
      </w:r>
      <w:r>
        <w:rPr>
          <w:rFonts w:eastAsia="Amiri" w:cs="Amiri" w:ascii="Amiri" w:hAnsi="Amiri"/>
          <w:color w:val="111111"/>
          <w:sz w:val="28"/>
          <w:szCs w:val="28"/>
          <w:rtl w:val="true"/>
          <w:lang w:bidi="ar-SA"/>
        </w:rPr>
        <w:t xml:space="preserve">. </w:t>
      </w:r>
      <w:bookmarkStart w:id="44" w:name="pg15853_153299"/>
    </w:p>
    <w:p>
      <w:pPr>
        <w:pStyle w:val="Heading5"/>
        <w:numPr>
          <w:ilvl w:val="4"/>
          <w:numId w:val="1"/>
        </w:numPr>
        <w:rPr/>
      </w:pPr>
      <w:bookmarkStart w:id="45" w:name="__RefHeading___Toc14587067_2142443653"/>
      <w:bookmarkStart w:id="46" w:name="_Toc16"/>
      <w:bookmarkEnd w:id="44"/>
      <w:bookmarkEnd w:id="45"/>
      <w:r>
        <w:rPr>
          <w:rtl w:val="true"/>
        </w:rPr>
        <w:t xml:space="preserve">[ </w:t>
      </w:r>
      <w:r>
        <w:rPr>
          <w:rtl w:val="true"/>
        </w:rPr>
        <w:t xml:space="preserve">تنبيهات </w:t>
      </w:r>
      <w:r>
        <w:rPr>
          <w:rtl w:val="true"/>
        </w:rPr>
        <w:t>]</w:t>
      </w:r>
      <w:bookmarkEnd w:id="46"/>
    </w:p>
    <w:p>
      <w:pPr>
        <w:pStyle w:val="BookText"/>
        <w:rPr/>
      </w:pPr>
      <w:r>
        <w:rPr>
          <w:rFonts w:ascii="Amiri" w:hAnsi="Amiri" w:eastAsia="Amiri" w:cs="Amiri"/>
          <w:color w:val="111111"/>
          <w:sz w:val="28"/>
          <w:sz w:val="28"/>
          <w:szCs w:val="28"/>
          <w:rtl w:val="true"/>
          <w:lang w:bidi="ar-SA"/>
        </w:rPr>
        <w:t xml:space="preserve">وينبغي التنبيه على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قدرته على التصرّف في الغياب بين قدرته عليه بنفسه أو بوكيله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قدرة الوكيل على التصرّف كاف في تحقّق قدرته ولو تسامح الوكيل في قبضه أو التصرّف فيه؟ وجهان ؛ من أنّ الوكيل بمنزلة الموكّل ، وأنّ المفروض عدم قدرة الموكّل بنفسه وعدم إتيان الوكيل بما وكّل فيه ، فهو غير متمكّن منه بالذات ولو بالواسطة لإباء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w:t>
      </w:r>
      <w:r>
        <w:rPr>
          <w:rStyle w:val="FootnoteAnchor"/>
          <w:rtl w:val="true"/>
        </w:rPr>
        <w:footnoteReference w:id="280"/>
      </w:r>
      <w:r>
        <w:rPr>
          <w:rFonts w:ascii="Amiri" w:hAnsi="Amiri" w:eastAsia="Amiri" w:cs="Amiri"/>
          <w:color w:val="111111"/>
          <w:sz w:val="28"/>
          <w:sz w:val="28"/>
          <w:szCs w:val="28"/>
          <w:rtl w:val="true"/>
          <w:lang w:bidi="ar-SA"/>
        </w:rPr>
        <w:t xml:space="preserve">لم يتمكّن من التصرّف في المال الغائب إلّا بعد مدّة نظرا إلى طول المسافة فلا زكاة ؛ لانتفاء قدرته على التصرّف في الحال ، فلا يندرج في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تسامح في الوصول اليه أو بعث وكيلا بقبضه فتأخر لذلك قدرته على التصرف ضه لم يندرج في الحول </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نظرا إلى القدرة المتقدّمة لارتفاعها بالتأخير ، فغاية الأمر استناد انتفاء القدرة إلى اختياره ، وهو لا يقضي بتنزيله منزلة التمكّن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 وكثير من صور انتفاء القدرة إنّما يكون المالك هو الباعث عليه على سبيل الاختيار كالارتهان والنذر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الوجه في إطلاق الخبرين الواردين في ميراث الغائب مع أن للغائب </w:t>
      </w:r>
      <w:r>
        <w:rPr>
          <w:rStyle w:val="FootnoteAnchor"/>
          <w:rtl w:val="true"/>
        </w:rPr>
        <w:footnoteReference w:id="282"/>
      </w:r>
      <w:r>
        <w:rPr>
          <w:rFonts w:ascii="Amiri" w:hAnsi="Amiri" w:eastAsia="Amiri" w:cs="Amiri"/>
          <w:color w:val="111111"/>
          <w:sz w:val="28"/>
          <w:sz w:val="28"/>
          <w:szCs w:val="28"/>
          <w:rtl w:val="true"/>
          <w:lang w:bidi="ar-SA"/>
        </w:rPr>
        <w:t>إمكان التعجيل في المجي‌ء أو بعث وكيل للقبض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 الغائب عند وكيله كان بمنزلة كونه عنده ، فتمكّن الوكيل حينئذ من التصرف فيه كتمكّنه منه سواء تصرّف فيه أو لا ، وهذا بخلاف ما لو قدر الوكيل على قبضه أو التصرّف فيه من غير أن يكون في يده كما مرّ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عند المستعير </w:t>
      </w:r>
      <w:r>
        <w:rPr>
          <w:rStyle w:val="FootnoteAnchor"/>
          <w:rtl w:val="true"/>
        </w:rPr>
        <w:footnoteReference w:id="283"/>
      </w:r>
      <w:r>
        <w:rPr>
          <w:rFonts w:ascii="Amiri" w:hAnsi="Amiri" w:eastAsia="Amiri" w:cs="Amiri"/>
          <w:color w:val="111111"/>
          <w:sz w:val="28"/>
          <w:sz w:val="28"/>
          <w:szCs w:val="28"/>
          <w:rtl w:val="true"/>
          <w:lang w:bidi="ar-SA"/>
        </w:rPr>
        <w:t xml:space="preserve">والودعي مع عدم تمكّنه من الاسترداد منهما فالظاهر عدم </w:t>
      </w:r>
    </w:p>
    <w:p>
      <w:pPr>
        <w:pStyle w:val="BookText"/>
        <w:rPr/>
      </w:pPr>
      <w:r>
        <w:rPr>
          <w:rFonts w:ascii="Amiri" w:hAnsi="Amiri" w:eastAsia="Amiri" w:cs="Amiri"/>
          <w:color w:val="111111"/>
          <w:sz w:val="28"/>
          <w:sz w:val="28"/>
          <w:szCs w:val="28"/>
          <w:rtl w:val="true"/>
          <w:lang w:bidi="ar-SA"/>
        </w:rPr>
        <w:t xml:space="preserve">جريان الحكم ، وكذا الحال في المستأجر والأجير ونحوهما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كون الودعي في الحقيقة وكيلا عنه في الحفظ وكون المال أمانة من قبله عند المذكورين لا يقضي بوجوب الزكاة ؛ إذ لا يعدّ بمجرد ذلك متمكّنا من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هؤلاء وبين الوكيل ظاهر ؛ لاستنابته له في التصرفات بخلاف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الوديعة والدين فلا يصل إليهما ثمّ يأخذهما ، متى يجب الزكاة؟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أخذهما ثمّ يحول عليه الحول يزكّي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مضى على المال الغائب سنون لا يتمكّن من التصرّف فيه ثمّ عاد إليه استحبت زكاته لسنة واحدة على المعروف من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المنتهى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عاد المغصوب أو الضالّ إلى ربّه استحبّ أن يزكّيه لسنة واحدة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إليه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التذكره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المغصوب إذا عاد إليه انّه يزكيه لحول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الاستحباب عندنا ، وذكر الخلاف فيه عن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هاتين العبارتين يومي إلى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289"/>
      </w:r>
      <w:r>
        <w:rPr>
          <w:rFonts w:ascii="Amiri" w:hAnsi="Amiri" w:eastAsia="Amiri" w:cs="Amiri"/>
          <w:color w:val="111111"/>
          <w:sz w:val="28"/>
          <w:sz w:val="28"/>
          <w:szCs w:val="28"/>
          <w:rtl w:val="true"/>
          <w:lang w:bidi="ar-SA"/>
        </w:rPr>
        <w:t xml:space="preserve">بعد ما ذكر ما أفتى به المحقّق من استحباب الزكاة لسنة واحدة إذا مضى على المفقود </w:t>
      </w:r>
      <w:r>
        <w:rPr>
          <w:rStyle w:val="FootnoteAnchor"/>
          <w:rtl w:val="true"/>
        </w:rPr>
        <w:footnoteReference w:id="290"/>
      </w:r>
      <w:r>
        <w:rPr>
          <w:rFonts w:ascii="Amiri" w:hAnsi="Amiri" w:eastAsia="Amiri" w:cs="Amiri"/>
          <w:color w:val="111111"/>
          <w:sz w:val="28"/>
          <w:sz w:val="28"/>
          <w:szCs w:val="28"/>
          <w:rtl w:val="true"/>
          <w:lang w:bidi="ar-SA"/>
        </w:rPr>
        <w:t xml:space="preserve">أو الضالّ سنون ثمّ عاد إلى 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مذهب الأصحاب لا نعلم فيه مخالفا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النهاية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متمكنا وغاب سنين ثمّ حصل عنده زكّاه لسنة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يعطي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ظاهر بعض فضلاء متأخّري المتأخرين القول به ؛ لظاهر الأمر الوارد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خبير بأنّ القول بوجوب ذلك موهون جدّا ؛ لما عرفت من الدليل القائم على اعتبار التمكّن من التصرف في النصاب سيّما بالنسبة إلى المال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وتنزيل </w:t>
      </w:r>
      <w:r>
        <w:rPr>
          <w:rStyle w:val="FootnoteAnchor"/>
          <w:rtl w:val="true"/>
        </w:rPr>
        <w:footnoteReference w:id="293"/>
      </w:r>
      <w:r>
        <w:rPr>
          <w:rFonts w:ascii="Amiri" w:hAnsi="Amiri" w:eastAsia="Amiri" w:cs="Amiri"/>
          <w:color w:val="111111"/>
          <w:sz w:val="28"/>
          <w:sz w:val="28"/>
          <w:szCs w:val="28"/>
          <w:rtl w:val="true"/>
          <w:lang w:bidi="ar-SA"/>
        </w:rPr>
        <w:t>عبارة الشيخ على إرادة الاستحباب 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ويومي إليه إطلاقه عقيب ما ذكر الحكم بسقوط الزكاة من المال الغائب الموروث إذا لم يصل إلى الوارث إلّا بعد مضيّ حول أو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يعتبر في ثبوت الاستحباب في المقام مضي سنين على المال؟ فظاهر الوسيلة والسرائر </w:t>
      </w:r>
      <w:r>
        <w:rPr>
          <w:rStyle w:val="FootnoteAnchor"/>
          <w:rtl w:val="true"/>
        </w:rPr>
        <w:footnoteReference w:id="294"/>
      </w:r>
      <w:r>
        <w:rPr>
          <w:rFonts w:ascii="IRNazanin" w:hAnsi="IRNazanin" w:eastAsia="IRNazanin"/>
          <w:color w:val="111111"/>
          <w:sz w:val="28"/>
          <w:sz w:val="28"/>
          <w:szCs w:val="28"/>
          <w:rtl w:val="true"/>
          <w:lang w:bidi="fa-IR"/>
        </w:rPr>
        <w:t xml:space="preserve">والشرائع </w:t>
      </w:r>
      <w:r>
        <w:rPr>
          <w:rStyle w:val="FootnoteAnchor"/>
          <w:rtl w:val="true"/>
        </w:rPr>
        <w:footnoteReference w:id="295"/>
      </w:r>
      <w:r>
        <w:rPr>
          <w:rFonts w:ascii="Amiri" w:hAnsi="Amiri" w:eastAsia="Amiri" w:cs="Amiri"/>
          <w:color w:val="111111"/>
          <w:sz w:val="28"/>
          <w:sz w:val="28"/>
          <w:szCs w:val="28"/>
          <w:rtl w:val="true"/>
          <w:lang w:bidi="ar-SA"/>
        </w:rPr>
        <w:t>والنافع والإرشاد ونهاية الإحكام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وأطلق في المعتبر </w:t>
      </w:r>
      <w:r>
        <w:rPr>
          <w:rStyle w:val="FootnoteAnchor"/>
          <w:rtl w:val="true"/>
        </w:rPr>
        <w:footnoteReference w:id="296"/>
      </w:r>
      <w:r>
        <w:rPr>
          <w:rFonts w:ascii="Amiri" w:hAnsi="Amiri" w:eastAsia="Amiri" w:cs="Amiri"/>
          <w:color w:val="111111"/>
          <w:sz w:val="28"/>
          <w:sz w:val="28"/>
          <w:szCs w:val="28"/>
          <w:rtl w:val="true"/>
          <w:lang w:bidi="ar-SA"/>
        </w:rPr>
        <w:t xml:space="preserve">والتحرير </w:t>
      </w:r>
      <w:r>
        <w:rPr>
          <w:rStyle w:val="FootnoteAnchor"/>
          <w:rtl w:val="true"/>
        </w:rPr>
        <w:footnoteReference w:id="297"/>
      </w:r>
      <w:r>
        <w:rPr>
          <w:rFonts w:ascii="Amiri" w:hAnsi="Amiri" w:eastAsia="Amiri" w:cs="Amiri"/>
          <w:color w:val="111111"/>
          <w:sz w:val="28"/>
          <w:sz w:val="28"/>
          <w:szCs w:val="28"/>
          <w:rtl w:val="true"/>
          <w:lang w:bidi="ar-SA"/>
        </w:rPr>
        <w:t>استحباب زكاته لسنة واحدة إذا عاد إليه من غير تقييد بمضي الأعوام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قضية إطلاق العبارة المتقدمة عن المنتهى </w:t>
      </w:r>
      <w:r>
        <w:rPr>
          <w:rStyle w:val="FootnoteAnchor"/>
          <w:rtl w:val="true"/>
        </w:rPr>
        <w:footnoteReference w:id="298"/>
      </w:r>
      <w:r>
        <w:rPr>
          <w:rFonts w:ascii="Amiri" w:hAnsi="Amiri" w:eastAsia="Amiri" w:cs="Amiri"/>
          <w:color w:val="111111"/>
          <w:sz w:val="28"/>
          <w:sz w:val="28"/>
          <w:szCs w:val="28"/>
          <w:rtl w:val="true"/>
          <w:lang w:bidi="ar-SA"/>
        </w:rPr>
        <w:t xml:space="preserve">، وكذا عن التذكره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ذكر فيه أيضا أنّه لو مضى على المفقود سنون ثمّ عاد زكّاه لسنة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العلّامة في المنتهى استحباب تزكية المغصوب والضالّ مع العود لسنة واحدة ، ولا بأس به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كلامه كغيره ممّن أطلق إطلاق الاستحباب ولو مضى عليه سنة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ونصّ في البيان باستحباب تزكية المال الغائب إذا مضى عليه سنتان فصاعدا ، وقد يحمل عليه عبائر المطلقين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الاقتصار على ما إذا مضت عليه أعوام ؛ إذ هو المفروض في حسنة سدير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والمستفاد من موثقة زرارة ومرسلة ابن بكير كما يومي إليه قوله عليه‌السلام في </w:t>
      </w:r>
      <w:r>
        <w:rPr>
          <w:rStyle w:val="FootnoteAnchor"/>
          <w:rtl w:val="true"/>
        </w:rPr>
        <w:footnoteReference w:id="301"/>
      </w:r>
      <w:r>
        <w:rPr>
          <w:rFonts w:ascii="Amiri" w:hAnsi="Amiri" w:eastAsia="Amiri" w:cs="Amiri"/>
          <w:color w:val="111111"/>
          <w:sz w:val="28"/>
          <w:sz w:val="28"/>
          <w:szCs w:val="28"/>
          <w:rtl w:val="true"/>
          <w:lang w:bidi="ar-SA"/>
        </w:rPr>
        <w:t xml:space="preserve">ذيل الرواية </w:t>
      </w:r>
      <w:r>
        <w:rPr>
          <w:rStyle w:val="FootnoteAnchor"/>
          <w:rtl w:val="true"/>
        </w:rPr>
        <w:footnoteReference w:id="30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فعليه الزكاة لكلّ ما مرّ به من السنين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لكشفه عن فرض الحكم الأوّل في تلك الصورة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الإطلاق ظاهر ما يتراءى من إطلاق هاتين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ما فيه ، مضافا إلى أنّ المستفاد من سياقهما زيادة القدر الماضي على العام الواحد ، وكأنّه الوجه في اعتبار عدم قصور الماضي عن السنتين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الحكم المذكور ثابت في المال الغائب عن صاحبه ممّا لا يتمكّن منه مطلقا ، فيندرج فيه الضالّ أيضا والمفقود والمجحود والمدفون والمغصوب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المغصوب الّذي لم يغب عنه المحجور عليه من التصرّف فيه من قبل الظالم بغير أخذه منه ، ففي إجراء الحكم 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وجوب الزكاة في المال الغائب إذا كان بيد وكيله لكونها بمنزلة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حينئذ بين ما إذا كان وكيلا مطلقا يفعل به ما شاء أو وكيلا في صرفه في مصرف مخصوص</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يتوهم أنّ تعيين المصرف قاض بنقص سلطان الوكيل ، والمفروض عدم وصول الموكّل إليه ، فلا يكون المالك متمكّنا من التصرف فيه لا بنفسه ولا بوكيله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 فلأنّه المفروض ، وأما الثاني فلانحصار تصرّفه في أمر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وبمجرّد ذلك لا يعدّ متمكّنا من التصرّف حسبما ذكروه في مال المفلس والمنذور به للصدقة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في صدق التمكّن من التصرّف إلى العرف ، وهو حاصل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يعرف أنّه لو حجر الظالم على المالك من التصرف إلّا على وجه خاص ليس فيه تضييع لماله ولا إضرار به لم يكن ذلك باعثا على ارتفاع تمكّنه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عيّن الشارع صرفه في مصرف خاص كأداء الدين وصرفه في نفقة من يجب الإنفاق عليه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ذلك ومال المفلس والمنذور به للصدقة ظاهر ، ويأتي الإشارة إليه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يجري الحكم ما دام الوكيل باقيا على وكالته ، فلو عزله جرى الحكم قبل بلوغ الخبر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عزل نفسه من دون بلوغه إلى الموكّل احتمل سقوط الزكاة لانفساخ الوكالة بذلك وعدمه ؛ بناء على القول بجواز تصرفه من جهة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الاحتمال المذكور في كلّ موضع قلنا فيه ببطلان الوكالة وبقاء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حكم الوكيل في ولي السفيه من حاكم وأمينه وعدول المسلمين ؛ بناء على وجوب الزكاة في ماله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يجري في وليّ الغاصب وإن كان حاكما ؛ إذ ليس ذلك ولاية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وإطلاقات الروايات المتقدمة قاضية بسقوط الزكاة عن مال الغائب ولو كان في يد الحاكم أو أمينه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المأمور بإخراج الزكاة هو المالك دون الوكيل إلّا أن يكون وكيلا في ذلك أيضا عموما أو خصوصا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حلول وقت الوجوب بمقتضى الأصل بطلان الوكالة بالنسبة إلى حقّ الزكاة ؛ </w:t>
      </w:r>
    </w:p>
    <w:p>
      <w:pPr>
        <w:pStyle w:val="BookText"/>
        <w:rPr/>
      </w:pPr>
      <w:r>
        <w:rPr>
          <w:rFonts w:ascii="Amiri" w:hAnsi="Amiri" w:eastAsia="Amiri" w:cs="Amiri"/>
          <w:color w:val="111111"/>
          <w:sz w:val="28"/>
          <w:sz w:val="28"/>
          <w:szCs w:val="28"/>
          <w:rtl w:val="true"/>
          <w:lang w:bidi="ar-SA"/>
        </w:rPr>
        <w:t>لتعلّقها بالعين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دفعها المالك أو الوكيل من عنده ففي بقاء الوكالة بالنسبة إلى حصّة الزكاة أو لزوم تجدّدها </w:t>
      </w:r>
      <w:r>
        <w:rPr>
          <w:rStyle w:val="FootnoteAnchor"/>
          <w:rtl w:val="true"/>
        </w:rPr>
        <w:footnoteReference w:id="304"/>
      </w:r>
      <w:r>
        <w:rPr>
          <w:rFonts w:ascii="Amiri" w:hAnsi="Amiri" w:eastAsia="Amiri" w:cs="Amiri"/>
          <w:color w:val="111111"/>
          <w:sz w:val="28"/>
          <w:sz w:val="28"/>
          <w:szCs w:val="28"/>
          <w:rtl w:val="true"/>
          <w:lang w:bidi="ar-SA"/>
        </w:rPr>
        <w:t>بالنسبة إليها وجهان</w:t>
      </w:r>
      <w:r>
        <w:rPr>
          <w:rFonts w:eastAsia="Amiri" w:cs="Amiri" w:ascii="Amiri" w:hAnsi="Amiri"/>
          <w:color w:val="111111"/>
          <w:sz w:val="28"/>
          <w:szCs w:val="28"/>
          <w:rtl w:val="true"/>
          <w:lang w:bidi="ar-SA"/>
        </w:rPr>
        <w:t xml:space="preserve">. </w:t>
      </w:r>
      <w:bookmarkStart w:id="47" w:name="pg15853_153305"/>
    </w:p>
    <w:p>
      <w:pPr>
        <w:pStyle w:val="Heading4"/>
        <w:numPr>
          <w:ilvl w:val="3"/>
          <w:numId w:val="1"/>
        </w:numPr>
        <w:rPr/>
      </w:pPr>
      <w:bookmarkStart w:id="48" w:name="__RefHeading___Toc14587069_2142443653"/>
      <w:bookmarkStart w:id="49" w:name="_Toc17"/>
      <w:bookmarkEnd w:id="47"/>
      <w:bookmarkEnd w:id="48"/>
      <w:r>
        <w:rPr>
          <w:rtl w:val="true"/>
        </w:rPr>
        <w:t>تبصرة</w:t>
      </w:r>
      <w:r>
        <w:rPr>
          <w:rtl w:val="true"/>
        </w:rPr>
        <w:t xml:space="preserve">: [ </w:t>
      </w:r>
      <w:r>
        <w:rPr>
          <w:rtl w:val="true"/>
        </w:rPr>
        <w:t xml:space="preserve">فيما إذا كان النصاب في موضع الحظر </w:t>
      </w:r>
      <w:r>
        <w:rPr>
          <w:rtl w:val="true"/>
        </w:rPr>
        <w:t>]</w:t>
      </w:r>
      <w:bookmarkEnd w:id="49"/>
    </w:p>
    <w:p>
      <w:pPr>
        <w:pStyle w:val="Heading5"/>
        <w:numPr>
          <w:ilvl w:val="4"/>
          <w:numId w:val="1"/>
        </w:numPr>
        <w:rPr/>
      </w:pPr>
      <w:bookmarkStart w:id="50" w:name="__RefHeading___Toc14587071_2142443653"/>
      <w:bookmarkStart w:id="51" w:name="_Toc18"/>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 xml:space="preserve">إذا ملك نصابا وكانت ملكيته في عرضة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الطواري المزيلة لها كتملّك العين الموهوبة لجواز رجوع الواهب فيها ، وتملّك الأجرة لإمكان زوال العين المستأجر كلّا أو بعضا ، وتملّك الصداق المعرض للسقوط كلّا أو بعضا بطروّ الفسخ قبل الدخول أو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 ذلك من وجوب الزكاة </w:t>
      </w:r>
      <w:r>
        <w:rPr>
          <w:rStyle w:val="FootnoteAnchor"/>
          <w:rtl w:val="true"/>
        </w:rPr>
        <w:footnoteReference w:id="305"/>
      </w:r>
      <w:r>
        <w:rPr>
          <w:rFonts w:ascii="Amiri" w:hAnsi="Amiri" w:eastAsia="Amiri" w:cs="Amiri"/>
          <w:color w:val="111111"/>
          <w:sz w:val="28"/>
          <w:sz w:val="28"/>
          <w:szCs w:val="28"/>
          <w:rtl w:val="true"/>
          <w:lang w:bidi="ar-SA"/>
        </w:rPr>
        <w:t>مع انكشاف بقائها عند تعلّق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استشكل في المنتهى </w:t>
      </w:r>
      <w:r>
        <w:rPr>
          <w:rStyle w:val="FootnoteAnchor"/>
          <w:rtl w:val="true"/>
        </w:rPr>
        <w:footnoteReference w:id="306"/>
      </w:r>
      <w:r>
        <w:rPr>
          <w:rFonts w:ascii="Amiri" w:hAnsi="Amiri" w:eastAsia="Amiri" w:cs="Amiri"/>
          <w:color w:val="111111"/>
          <w:sz w:val="28"/>
          <w:sz w:val="28"/>
          <w:szCs w:val="28"/>
          <w:rtl w:val="true"/>
          <w:lang w:bidi="ar-SA"/>
        </w:rPr>
        <w:t>في وجوب الزكاة على المرأة في الصداق إذا أقبضه وحال عليه الحول ثمّ انفسخ النكاح لعيب ، لكنّه استقرب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التحرير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الأقرب الوجوب بعد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ما ذكره جريان الإشكال في نظائره أيضا لكنّه إشكال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 ولو كان احتمال الزوال كافيا في ذلك لجرى في احتمال التلف سيّما مع حصول المظنّة كما إذا كان النصاب في موضع 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فإن لم ينفسخ الملكيّة فلا كلام ، وكذا مع انفساخها قبل تعلّق الوجوب ، وإن كان بعده قبل الدفع لم يزاحم ذلك وجوب الزكاة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للآخر إلزامه بإخراج الزكاة من غيره ليسلم له العين لما تقرّر من تعلّق الزكاة بالعين وضمانه لها مع بقاء عينها إنّما يكون باختياره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لو كان بحيث يجب عليه تخليص العين للآخر بعد الانفساخ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شرطه </w:t>
      </w:r>
      <w:r>
        <w:rPr>
          <w:rStyle w:val="FootnoteAnchor"/>
          <w:rtl w:val="true"/>
        </w:rPr>
        <w:footnoteReference w:id="308"/>
      </w:r>
      <w:r>
        <w:rPr>
          <w:rFonts w:ascii="Amiri" w:hAnsi="Amiri" w:eastAsia="Amiri" w:cs="Amiri"/>
          <w:color w:val="111111"/>
          <w:sz w:val="28"/>
          <w:sz w:val="28"/>
          <w:szCs w:val="28"/>
          <w:rtl w:val="true"/>
          <w:lang w:bidi="ar-SA"/>
        </w:rPr>
        <w:t>عليه ذلك في ضمن عقد لازم وجب عليه ذلك ، وحينئذ فلو دفع العين في الزكاة احتمل فساد الدفع من جهة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ظاهر فيما لا يكون الدفع إليه مبنيّا على الضمان كما في الهبة ، ولا يلتزم بعد رجوع الواهب بالدفع من غيره ليخلص له العين قطعا ؛ وأمّا في العقود المبنيّة على الضمان كالبيع والإجارة والنكاح مع طروّ الفسخ </w:t>
      </w:r>
      <w:r>
        <w:rPr>
          <w:rStyle w:val="FootnoteAnchor"/>
          <w:rtl w:val="true"/>
        </w:rPr>
        <w:footnoteReference w:id="309"/>
      </w:r>
      <w:r>
        <w:rPr>
          <w:rFonts w:ascii="Amiri" w:hAnsi="Amiri" w:eastAsia="Amiri" w:cs="Amiri"/>
          <w:color w:val="111111"/>
          <w:sz w:val="28"/>
          <w:sz w:val="28"/>
          <w:szCs w:val="28"/>
          <w:rtl w:val="true"/>
          <w:lang w:bidi="ar-SA"/>
        </w:rPr>
        <w:t>والانفساخ فالظاهر أيضا ذلك ؛ نظرا إلى قضاء الفسخ أو الانفساخ بالرجوع إلى العين مع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المفروض انتقالها عن الآخر لتعلق الزكاة بالعين على نحو الشركة حسبما سيجي‌ء الكلام فيه لا يمكنه الرجوع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وتمكّن الآخر من تخليصها بدفع الزكاة من غيرها غير مفيد في المقام ؛ إذ هو إنّما يثمر لو قام دليل على وجوب التخليص عليه ، ولا مستند له سوى ما قد يقال من بناء الدفع إليه على الضمان ، ومقتضاه وجوب دفع العين بعد الانفساخ مع الإمكان ، ثمّ دفع عوضه من المثل أو القيمة ، فإذا فرض تمكّنه من تخليص العين قضى ذلك بوجوبه عليه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أنّ قضيّة انفساخ المعاملة رجوع كلّ من العوضين إلى مالكه مع إمكانه أو بدله مع امتناعه ، فينتقل الحق إلى ذمة الآخر ، والمفروض </w:t>
      </w:r>
      <w:r>
        <w:rPr>
          <w:rStyle w:val="FootnoteAnchor"/>
          <w:rtl w:val="true"/>
        </w:rPr>
        <w:footnoteReference w:id="310"/>
      </w:r>
      <w:r>
        <w:rPr>
          <w:rFonts w:ascii="Amiri" w:hAnsi="Amiri" w:eastAsia="Amiri" w:cs="Amiri"/>
          <w:color w:val="111111"/>
          <w:sz w:val="28"/>
          <w:sz w:val="28"/>
          <w:szCs w:val="28"/>
          <w:rtl w:val="true"/>
          <w:lang w:bidi="ar-SA"/>
        </w:rPr>
        <w:t>امتناع الرجوع إلى نفس العين قبل الضمان لحصول المانع ، فلا بدّ من انتقال عوضه إليه في ذمة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فبعد تملكه لبدله في الذمة لا مقتضى لوجوب دفع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انفسخ بعد ضمانه للزكاة أو انتقاله إليه ثانيا بعد دفعه في الزكاة احتمل قويا تعين دفع العين لارتفاع المانع مع احتمال عدمه لقضاء الفسخ بإزالة الانتقال الحاصل بالعقد المفسوخ دون غيره ، والمفروض كون الانتقال المذكور حاصلا بسبب آخر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هذا هو الأظهر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انتقل إليه العين بالضمان أو غيره بعد الانفساخ وقبل دفع العوض ففي وجوب دفعه أيضا وجهان ؛ من قضاء الاستصحاب بوجوب دفع البدل ، ومن أنّه إنّما وجب دفع البدل لحصول المانع في المبدل ، فإذا ارتفع المانع لزم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 الثابت هو وجوب دفع العين لو كانت منتقلة إليه بالانتقال الأوّل ، وأمّا </w:t>
      </w:r>
      <w:r>
        <w:rPr>
          <w:rStyle w:val="FootnoteAnchor"/>
          <w:rtl w:val="true"/>
        </w:rPr>
        <w:footnoteReference w:id="311"/>
      </w:r>
      <w:r>
        <w:rPr>
          <w:rFonts w:ascii="Amiri" w:hAnsi="Amiri" w:eastAsia="Amiri" w:cs="Amiri"/>
          <w:color w:val="111111"/>
          <w:sz w:val="28"/>
          <w:sz w:val="28"/>
          <w:szCs w:val="28"/>
          <w:rtl w:val="true"/>
          <w:lang w:bidi="ar-SA"/>
        </w:rPr>
        <w:t>انتقاله إليه بوجه آخر فلا دليل على وجوب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لو أراد دفع العين إليه فهل له الإباء عنه والمطالبة بالعوض ؛ نظرا </w:t>
      </w:r>
      <w:r>
        <w:rPr>
          <w:rStyle w:val="FootnoteAnchor"/>
          <w:rtl w:val="true"/>
        </w:rPr>
        <w:footnoteReference w:id="312"/>
      </w:r>
      <w:r>
        <w:rPr>
          <w:rFonts w:ascii="Amiri" w:hAnsi="Amiri" w:eastAsia="Amiri" w:cs="Amiri"/>
          <w:color w:val="111111"/>
          <w:sz w:val="28"/>
          <w:sz w:val="28"/>
          <w:szCs w:val="28"/>
          <w:rtl w:val="true"/>
          <w:lang w:bidi="ar-SA"/>
        </w:rPr>
        <w:t xml:space="preserve">إلى أنّه حقّه ، أو يلزمه القبول </w:t>
      </w:r>
      <w:r>
        <w:rPr>
          <w:rStyle w:val="FootnoteAnchor"/>
          <w:rtl w:val="true"/>
        </w:rPr>
        <w:footnoteReference w:id="313"/>
      </w:r>
      <w:r>
        <w:rPr>
          <w:rFonts w:ascii="Amiri" w:hAnsi="Amiri" w:eastAsia="Amiri" w:cs="Amiri"/>
          <w:color w:val="111111"/>
          <w:sz w:val="28"/>
          <w:sz w:val="28"/>
          <w:szCs w:val="28"/>
          <w:rtl w:val="true"/>
          <w:lang w:bidi="ar-SA"/>
        </w:rPr>
        <w:t>؛ إذ هو عين ماله وإنّما يستحقّ المثل أو القيمة عوضا عنه فإذا بذله له لم يكن له الامتناع منه؟ وكأنه الأوجه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بناء على لزوم دفع العين في المقام يقوم احتمال مطالبته لها لو انتقلت إليه بعد دفع العوض من المثل أو القيمة بناء على أنّه إنّما كان ذلك من جهة قيام المانع من الرجوع في العين ، فإذا خلص له ذلك رجع إلى 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w:t>
      </w:r>
      <w:r>
        <w:rPr>
          <w:rStyle w:val="FootnoteAnchor"/>
          <w:rtl w:val="true"/>
        </w:rPr>
        <w:footnoteReference w:id="314"/>
      </w:r>
      <w:r>
        <w:rPr>
          <w:rFonts w:ascii="Amiri" w:hAnsi="Amiri" w:eastAsia="Amiri" w:cs="Amiri"/>
          <w:color w:val="111111"/>
          <w:sz w:val="28"/>
          <w:sz w:val="28"/>
          <w:szCs w:val="28"/>
          <w:rtl w:val="true"/>
          <w:lang w:bidi="ar-SA"/>
        </w:rPr>
        <w:t>نظير ما لو ضاعت العين المغصوبة فيرجع المالك إلى عوضها ثمّ وجدها الغاصب ، فإنّه لا يستحقّها بدفع العوض ، بل يرجعها إلى مالكها ويسترجع ما بذله من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 وبين العين المغصوبة ظاهر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Style w:val="FootnoteAnchor"/>
          <w:rtl w:val="true"/>
        </w:rPr>
        <w:footnoteReference w:id="315"/>
      </w:r>
      <w:r>
        <w:rPr>
          <w:rFonts w:ascii="Amiri" w:hAnsi="Amiri" w:eastAsia="Amiri" w:cs="Amiri"/>
          <w:color w:val="111111"/>
          <w:sz w:val="28"/>
          <w:sz w:val="28"/>
          <w:szCs w:val="28"/>
          <w:rtl w:val="true"/>
          <w:lang w:bidi="ar-SA"/>
        </w:rPr>
        <w:t>إذا كان الفسخ أو الانفساخ بعد الدفع ، فإن لم يكن الانتقال إليه من الضمان كما في الهبة فلا ضمان للمدفوع قطعا ، وإنّما له الرجوع في الباقي كما هو الحال في إتلاف بعض العين الموهوبة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أن الموهوب لا يضمنه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دلالة على قيام احتمال الضمان ، ولم يعلم الوجه فيه وإن كان مبنيّا على الضمان كما في البيع والإجارة والنكاح ونحوها ، فاللّازم الرجوع إلى المثل أو القيمة لتعذر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يتخيّل في المقام أيضا وجوب التخليص أيضا مع إمكانه ؛ نظرا إلى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للمالك تتبع العين ؛ إذ المفروض صحّة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ولو اختص الانفساخ ببعض النصاب فإن كان بعد الدفع جرى ما ذكرناه فيما يخصه من الحصة لإشاعة الحصّة المنفسخة من الموجود ؛ حملا له على الوجه الصحيح ، فلو رجع الواهب في نصف ما وهبه مع </w:t>
      </w:r>
      <w:r>
        <w:rPr>
          <w:rStyle w:val="FootnoteAnchor"/>
          <w:rtl w:val="true"/>
        </w:rPr>
        <w:footnoteReference w:id="316"/>
      </w:r>
      <w:r>
        <w:rPr>
          <w:rFonts w:ascii="Amiri" w:hAnsi="Amiri" w:eastAsia="Amiri" w:cs="Amiri"/>
          <w:color w:val="111111"/>
          <w:sz w:val="28"/>
          <w:sz w:val="28"/>
          <w:szCs w:val="28"/>
          <w:rtl w:val="true"/>
          <w:lang w:bidi="ar-SA"/>
        </w:rPr>
        <w:t>تلف النصف انصرف إلى النصف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علم الواهب بالتلف قوي القول به ، وكذا لو طلب منه ردّ نصف ما 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رجع في النصف المشاع ممّا وهبه مع عدم علمه بتلف شي‌ء منه أو غفلته عنه ، فالأظهر فيه ما قدّمناه ، وإن كان قبل الدفع احتمل فيه أيضا ما ذكرناه ؛ أخذا بظاهر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بانصرافه إلى غير حصة الزكاة فيأخذ الحصة المنفسخة كمّلا من عين الباقي ؛ إذ لا تدافع بين الحقين مع إشاعتهما ووفاء الكلّ بهما ، فلا داعى إلى التقسيط ، فلو تلف نصف المبيع قبل القبض بعد حلول الحول على الثمن عند البائع استحق المشتري نصف عين الثمن ، وكان عليه إخراج الزكاة من النصف الباقي ؛ لما عرفت من كونهما حقّين وردا على المال مع وفائه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قضية الانفساخ هو الرجوع إلى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يرجع إلى المثل أو القيمة مع تعذر الرجوع إلى العين ، وهو غير حاصل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انتقال الحق إلى الذمة غير معلوم ، وقضية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بما قرّرناه قوة الوجه الأخير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الأصحاب إلى بعض جزئيات المسألة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طلّق زوجته قبل الدخول وكان المهر عينا خارجية من أحد النصب الزكويّة وقد اختلفوا فيه ، فذهب الشيخ في المبسوط </w:t>
      </w:r>
      <w:r>
        <w:rPr>
          <w:rStyle w:val="FootnoteAnchor"/>
          <w:rtl w:val="true"/>
        </w:rPr>
        <w:footnoteReference w:id="317"/>
      </w:r>
      <w:r>
        <w:rPr>
          <w:rFonts w:ascii="Amiri" w:hAnsi="Amiri" w:eastAsia="Amiri" w:cs="Amiri"/>
          <w:color w:val="111111"/>
          <w:sz w:val="28"/>
          <w:sz w:val="28"/>
          <w:szCs w:val="28"/>
          <w:rtl w:val="true"/>
          <w:lang w:bidi="ar-SA"/>
        </w:rPr>
        <w:t xml:space="preserve">والمحقق في المعتبر وظاهر الجامع </w:t>
      </w:r>
      <w:r>
        <w:rPr>
          <w:rStyle w:val="FootnoteAnchor"/>
          <w:rtl w:val="true"/>
        </w:rPr>
        <w:footnoteReference w:id="318"/>
      </w:r>
      <w:r>
        <w:rPr>
          <w:rFonts w:ascii="Amiri" w:hAnsi="Amiri" w:eastAsia="Amiri" w:cs="Amiri"/>
          <w:color w:val="111111"/>
          <w:sz w:val="28"/>
          <w:sz w:val="28"/>
          <w:szCs w:val="28"/>
          <w:rtl w:val="true"/>
          <w:lang w:bidi="ar-SA"/>
        </w:rPr>
        <w:t xml:space="preserve">والعلّامة في المنتهى </w:t>
      </w:r>
      <w:r>
        <w:rPr>
          <w:rStyle w:val="FootnoteAnchor"/>
          <w:rtl w:val="true"/>
        </w:rPr>
        <w:footnoteReference w:id="319"/>
      </w:r>
      <w:r>
        <w:rPr>
          <w:rFonts w:ascii="Amiri" w:hAnsi="Amiri" w:eastAsia="Amiri" w:cs="Amiri"/>
          <w:color w:val="111111"/>
          <w:sz w:val="28"/>
          <w:sz w:val="28"/>
          <w:szCs w:val="28"/>
          <w:rtl w:val="true"/>
          <w:lang w:bidi="ar-SA"/>
        </w:rPr>
        <w:t xml:space="preserve">والتحرير </w:t>
      </w:r>
      <w:r>
        <w:rPr>
          <w:rStyle w:val="FootnoteAnchor"/>
          <w:rtl w:val="true"/>
        </w:rPr>
        <w:footnoteReference w:id="320"/>
      </w:r>
      <w:r>
        <w:rPr>
          <w:rFonts w:ascii="IRNazanin" w:hAnsi="IRNazanin" w:eastAsia="IRNazanin"/>
          <w:color w:val="111111"/>
          <w:sz w:val="28"/>
          <w:sz w:val="28"/>
          <w:szCs w:val="28"/>
          <w:rtl w:val="true"/>
          <w:lang w:bidi="fa-IR"/>
        </w:rPr>
        <w:t xml:space="preserve">والقواعد </w:t>
      </w:r>
      <w:r>
        <w:rPr>
          <w:rStyle w:val="FootnoteAnchor"/>
          <w:rtl w:val="true"/>
        </w:rPr>
        <w:footnoteReference w:id="321"/>
      </w:r>
      <w:r>
        <w:rPr>
          <w:rFonts w:ascii="Amiri" w:hAnsi="Amiri" w:eastAsia="Amiri" w:cs="Amiri"/>
          <w:color w:val="111111"/>
          <w:sz w:val="28"/>
          <w:sz w:val="28"/>
          <w:szCs w:val="28"/>
          <w:rtl w:val="true"/>
          <w:lang w:bidi="ar-SA"/>
        </w:rPr>
        <w:t>إلى رجوعه إليها حين النصف كمّلا من غير أن يخرج منه شي‌ء بإزاء الزكاة ليرجع على الزوجة بعوضه من مثله وقيمته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بذلك في التذكرة أيضا إلّا أنّه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عندي الرجوع في نصف الموجود والمطالبة بعوض الزكاة من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كلامه فرض الحكم في صورة إخراج الزكاة قبل وقوع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وافقه في ذلك الشهيد في البيان </w:t>
      </w:r>
      <w:r>
        <w:rPr>
          <w:rStyle w:val="FootnoteAnchor"/>
          <w:rtl w:val="true"/>
        </w:rPr>
        <w:footnoteReference w:id="322"/>
      </w:r>
      <w:r>
        <w:rPr>
          <w:rFonts w:ascii="Amiri" w:hAnsi="Amiri" w:eastAsia="Amiri" w:cs="Amiri"/>
          <w:color w:val="111111"/>
          <w:sz w:val="28"/>
          <w:sz w:val="28"/>
          <w:szCs w:val="28"/>
          <w:rtl w:val="true"/>
          <w:lang w:bidi="ar-SA"/>
        </w:rPr>
        <w:t>حيث إنّه نصّ على أن الأقوى حينئذ أخذ الزوج بنصف الباقي ونصف قيمة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طلّق قبل الإخراج احتمل أن لها الإخراج من العين ، وتضمن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قواه من عدم انحصار حق الزوج حينئذ في الباقي بل له نصف الباقي عوض نصف المخرج هو الأقوى أخذا بقضية إشاعة حقه في نصف ما وقع العقد عليه ، فيكون الباقي لهما والذاهب </w:t>
      </w:r>
      <w:r>
        <w:rPr>
          <w:rStyle w:val="FootnoteAnchor"/>
          <w:rtl w:val="true"/>
        </w:rPr>
        <w:footnoteReference w:id="323"/>
      </w:r>
      <w:r>
        <w:rPr>
          <w:rFonts w:ascii="Amiri" w:hAnsi="Amiri" w:eastAsia="Amiri" w:cs="Amiri"/>
          <w:color w:val="111111"/>
          <w:sz w:val="28"/>
          <w:sz w:val="28"/>
          <w:szCs w:val="28"/>
          <w:rtl w:val="true"/>
          <w:lang w:bidi="ar-SA"/>
        </w:rPr>
        <w:t>منهما ، وإن رجع بعوضه عليها ؛ لكون الانتقال إليها مبنيّا على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احتساب حق الزوج من عين الباقي سوى ما يتخيّل من إمكان رجوعه إلى العين ، فلا داعي إلى رجوعه بالعوض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عرفت ضعفه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لو كان ذلك قبل الإخراج فالقول باستحقاقه لعين النصف هو المتّجه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ومجرّد تعلّق الزكاة بالعين أيضا لا يقضي بانتقال حقه في نصف الزكاة إلى الذمّة ؛ إذ </w:t>
      </w:r>
      <w:bookmarkStart w:id="52" w:name="pg15853_153310"/>
    </w:p>
    <w:p>
      <w:pPr>
        <w:pStyle w:val="BookText"/>
        <w:rPr/>
      </w:pPr>
      <w:bookmarkEnd w:id="52"/>
      <w:r>
        <w:rPr>
          <w:rFonts w:ascii="Amiri" w:hAnsi="Amiri" w:eastAsia="Amiri" w:cs="Amiri"/>
          <w:color w:val="111111"/>
          <w:sz w:val="28"/>
          <w:sz w:val="28"/>
          <w:szCs w:val="28"/>
          <w:rtl w:val="true"/>
          <w:lang w:bidi="ar-SA"/>
        </w:rPr>
        <w:t xml:space="preserve">المفروض إشاعة العين ووفاء </w:t>
      </w:r>
      <w:r>
        <w:rPr>
          <w:rStyle w:val="FootnoteAnchor"/>
          <w:rtl w:val="true"/>
        </w:rPr>
        <w:footnoteReference w:id="324"/>
      </w:r>
      <w:r>
        <w:rPr>
          <w:rFonts w:ascii="Amiri" w:hAnsi="Amiri" w:eastAsia="Amiri" w:cs="Amiri"/>
          <w:color w:val="111111"/>
          <w:sz w:val="28"/>
          <w:sz w:val="28"/>
          <w:szCs w:val="28"/>
          <w:rtl w:val="true"/>
          <w:lang w:bidi="ar-SA"/>
        </w:rPr>
        <w:t>المال بهما ، فلا تدافع بينهما حسبما 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يظهر من البيان من احتمال تسلّطها حينئذ على الإخراج من العين ولو من دون إذن الزوج ففيه تأمّل يأتي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بضمانها حينئذ لحصّة الزوج غير جار </w:t>
      </w:r>
      <w:r>
        <w:rPr>
          <w:rStyle w:val="FootnoteAnchor"/>
          <w:rtl w:val="true"/>
        </w:rPr>
        <w:footnoteReference w:id="325"/>
      </w:r>
      <w:r>
        <w:rPr>
          <w:rFonts w:ascii="Amiri" w:hAnsi="Amiri" w:eastAsia="Amiri" w:cs="Amiri"/>
          <w:color w:val="111111"/>
          <w:sz w:val="28"/>
          <w:sz w:val="28"/>
          <w:szCs w:val="28"/>
          <w:rtl w:val="true"/>
          <w:lang w:bidi="ar-SA"/>
        </w:rPr>
        <w:t>على القواعد ؛ إذ غاية ما يعلم حينئذ تسلطها على إقرار حق الزكاة من دون إذن الزوج ، وهو لا يقضي بانتقال ما يستحقّه الزوج بمقتضى الإشاعة في العين المخرجة إلى الذمة ، بل قضية الإقرار تعيينه في الباقي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قرّرنا ظهر أن ما أطلقه الجماعة المتقدمة غير جار على القواعد المقررة</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14587073_2142443653"/>
      <w:bookmarkStart w:id="54" w:name="_Toc19"/>
      <w:bookmarkEnd w:id="53"/>
      <w:r>
        <w:rPr>
          <w:rtl w:val="true"/>
        </w:rPr>
        <w:t xml:space="preserve">[ </w:t>
      </w:r>
      <w:r>
        <w:rPr>
          <w:rtl w:val="true"/>
        </w:rPr>
        <w:t xml:space="preserve">فروع </w:t>
      </w:r>
      <w:r>
        <w:rPr>
          <w:rtl w:val="true"/>
        </w:rPr>
        <w:t>]</w:t>
      </w:r>
      <w:bookmarkEnd w:id="54"/>
    </w:p>
    <w:p>
      <w:pPr>
        <w:pStyle w:val="BookText"/>
        <w:rPr/>
      </w:pPr>
      <w:r>
        <w:rPr>
          <w:rFonts w:ascii="Amiri" w:hAnsi="Amiri" w:eastAsia="Amiri" w:cs="Amiri"/>
          <w:color w:val="111111"/>
          <w:sz w:val="28"/>
          <w:sz w:val="28"/>
          <w:szCs w:val="28"/>
          <w:rtl w:val="true"/>
          <w:lang w:bidi="ar-SA"/>
        </w:rPr>
        <w:t xml:space="preserve">وينبغي التنبيه على 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أشكال في جواز دفعها الزكاة من العين قبل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هناك مظنة لقبوله </w:t>
      </w:r>
      <w:r>
        <w:rPr>
          <w:rStyle w:val="FootnoteAnchor"/>
          <w:rtl w:val="true"/>
        </w:rPr>
        <w:footnoteReference w:id="326"/>
      </w:r>
      <w:r>
        <w:rPr>
          <w:rFonts w:ascii="Amiri" w:hAnsi="Amiri" w:eastAsia="Amiri" w:cs="Amiri"/>
          <w:color w:val="111111"/>
          <w:sz w:val="28"/>
          <w:sz w:val="28"/>
          <w:szCs w:val="28"/>
          <w:rtl w:val="true"/>
          <w:lang w:bidi="ar-SA"/>
        </w:rPr>
        <w:t xml:space="preserve">؛ إذ لا قصور إذن في ملكها </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وأما بعد الطلاق فلا إشكال أيضا في جواز دفعها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إخراجها من العني من دون اذن الزوج فمشكل ؛ نظرا إلى المنع من التصرف في المال المشترك من دون إذن الشريك كما هو الحال في سائر الأموال المشتركة ؛ إذ أوجب الزكاة فيها ، فلا يجوز إخراجها إلّا بإذنه او بعد قطع شركته ، وإلا كان الدفع باطلا من جهة النهي القاضي بفساد العبادة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نبّه على ذلك في المنتهى </w:t>
      </w:r>
      <w:r>
        <w:rPr>
          <w:rStyle w:val="FootnoteAnchor"/>
          <w:rtl w:val="true"/>
        </w:rPr>
        <w:footnoteReference w:id="328"/>
      </w:r>
      <w:r>
        <w:rPr>
          <w:rFonts w:ascii="Amiri" w:hAnsi="Amiri" w:eastAsia="Amiri" w:cs="Amiri"/>
          <w:color w:val="111111"/>
          <w:sz w:val="28"/>
          <w:sz w:val="28"/>
          <w:szCs w:val="28"/>
          <w:rtl w:val="true"/>
          <w:lang w:bidi="ar-SA"/>
        </w:rPr>
        <w:t xml:space="preserve">والتحرير </w:t>
      </w:r>
      <w:r>
        <w:rPr>
          <w:rStyle w:val="FootnoteAnchor"/>
          <w:rtl w:val="true"/>
        </w:rPr>
        <w:footnoteReference w:id="329"/>
      </w:r>
      <w:r>
        <w:rPr>
          <w:rFonts w:ascii="Amiri" w:hAnsi="Amiri" w:eastAsia="Amiri" w:cs="Amiri"/>
          <w:color w:val="111111"/>
          <w:sz w:val="28"/>
          <w:sz w:val="28"/>
          <w:szCs w:val="28"/>
          <w:rtl w:val="true"/>
          <w:lang w:bidi="ar-SA"/>
        </w:rPr>
        <w:t>حيث ذكر فيهما أنه لو طلّقها قبل الدخول وبعد الحول وقبل الإخراج لم يخرج من العين إلّا بعد القسمة لأنه مشترك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تقدم عن البيان </w:t>
      </w:r>
      <w:r>
        <w:rPr>
          <w:rStyle w:val="FootnoteAnchor"/>
          <w:rtl w:val="true"/>
        </w:rPr>
        <w:footnoteReference w:id="330"/>
      </w:r>
      <w:r>
        <w:rPr>
          <w:rFonts w:ascii="Amiri" w:hAnsi="Amiri" w:eastAsia="Amiri" w:cs="Amiri"/>
          <w:color w:val="111111"/>
          <w:sz w:val="28"/>
          <w:sz w:val="28"/>
          <w:szCs w:val="28"/>
          <w:rtl w:val="true"/>
          <w:lang w:bidi="ar-SA"/>
        </w:rPr>
        <w:t>احتمال تسلط الزوجة على الإخراج من العين وضمانها للزوج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عدم الحاجة في ذلك إلى إذن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الوجه فيه سبق تعلق الزكاة ، فيقدّم في الأول ، ولثبوت التخيير لها في الأداء قبل تعلّق حق الزوج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نصف الصداق فهل يتعيّن النصف الباقي للزوج وينتقل الزكاة إلى ذمة الزوجة؟ أو إنها تتعلق بعين الباقي إلا أن يرجع الزوج عليها إذا قبضها الساعي من العين؟ قولان ؛ ففي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تلف نصف الصداق فالنصف الباقي للزوج وعليها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هلك النصف أخذ الساعي الزكاة من نصيب الزوج ؛ لأنها تجب في العين ويرجع الزوج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w:t>
      </w:r>
      <w:r>
        <w:rPr>
          <w:rStyle w:val="FootnoteAnchor"/>
          <w:rtl w:val="true"/>
        </w:rPr>
        <w:footnoteReference w:id="332"/>
      </w:r>
      <w:r>
        <w:rPr>
          <w:rFonts w:ascii="IRNazanin" w:hAnsi="IRNazanin" w:eastAsia="IRNazanin"/>
          <w:color w:val="111111"/>
          <w:sz w:val="28"/>
          <w:sz w:val="28"/>
          <w:szCs w:val="28"/>
          <w:rtl w:val="true"/>
          <w:lang w:bidi="fa-IR"/>
        </w:rPr>
        <w:t xml:space="preserve">والقواعد </w:t>
      </w:r>
      <w:r>
        <w:rPr>
          <w:rStyle w:val="FootnoteAnchor"/>
          <w:rtl w:val="true"/>
        </w:rPr>
        <w:footnoteReference w:id="333"/>
      </w:r>
      <w:r>
        <w:rPr>
          <w:rFonts w:ascii="Amiri" w:hAnsi="Amiri" w:eastAsia="Amiri" w:cs="Amiri"/>
          <w:color w:val="111111"/>
          <w:sz w:val="28"/>
          <w:sz w:val="28"/>
          <w:szCs w:val="28"/>
          <w:rtl w:val="true"/>
          <w:lang w:bidi="ar-SA"/>
        </w:rPr>
        <w:t xml:space="preserve">والنهاية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النصف بتفريطها تعلق حق الساعي بالعين ، وضمنت للزوج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فرض المسألة في صورة التفريط لسقوط الزكاة بالنسبة مع عدم التفريط في الحفظ والأداء ، وإن جرى الكلام المذكور إذن في النصف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الوجه في الأول ما مرّت الإشارة إليه من آن حق الزوج إنما يتعلق بالعين مع بقائها على سبيل التعيين بخلاف حق الزكاة لتعلقه بها على سبيل التخيير بين الإخراج منها أو من غيرها ، فيقدم الأول عند التعارض</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الزكاة بالعين على سبيل الإشاعة كون الثابت في ذمة المرأة هو نصف </w:t>
      </w:r>
    </w:p>
    <w:p>
      <w:pPr>
        <w:pStyle w:val="BookText"/>
        <w:rPr/>
      </w:pPr>
      <w:r>
        <w:rPr>
          <w:rFonts w:ascii="Amiri" w:hAnsi="Amiri" w:eastAsia="Amiri" w:cs="Amiri"/>
          <w:color w:val="111111"/>
          <w:sz w:val="28"/>
          <w:sz w:val="28"/>
          <w:szCs w:val="28"/>
          <w:rtl w:val="true"/>
          <w:lang w:bidi="ar-SA"/>
        </w:rPr>
        <w:t>الزكاة على المتلف من النصاب ، فيكون النصف الأخير باقيا في العين الباقية ، فلا وجه لانتقالها إلى الزوج مع استحقاق الفقراء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الظاهر استحقاق الفقراء تمام الزكاة في العين الباقية إذا كانت وافية بها حسبما يأتي الإشارة إليه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تمام الزكاة في النصف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التلف عن تفريط منها في الحفظ أو الدفع ، وأما مع عدمه فيسقط النصف ويبقى النصف الآخر متعلقا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قوّة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يتوقف قسمة الصداق بينهما على تخليص المال من الزكاة بإخراجها من العين أو بدفع القيمة من الخارج أو يصح من دونه؟ وجهان ؛ والمنصوص به في المنتهى والمبسوط هو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وقوّاه الشهيد في البيان وتنظّر فيه في الدروس ، لكن استقرب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 هؤلاء بتعيين الزكاة في نصيب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صحة القسمة أن الخيرة في دفع الزكاة إلى المالك ، فإذا عيّن حصة الزوج في أعيان مخصوصة فقد جعل الزكاة في غيرها مما بقي له ؛ لوجوبها عليه دون الزوج ، فاشتراك المال بينهما وبين الفقراء لا يمنع من صحة القسمة كما توهمه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هر انه لا فرق بين أن ينوي تعيين حصة الفقراء في حصته أو لا ؛ لحصوله با لالتزام مع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نوت خلافه فإن زيد في نصيب الزوج ما يفي بالزكاة قل مانع ، وإلا فالظاهر بطلان القسمة ؛ لعدم تعادل السهام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ادّت الزكاة من العين أو القيمة فلا كلام ، وإن ادّت الزكاة من العين أو القيمة فلا كلام ، وان تعذر الأخذ منها أخذها الساعي من نصيب الزوج ويرجع الزوج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 </w:t>
      </w:r>
    </w:p>
    <w:p>
      <w:pPr>
        <w:pStyle w:val="BookText"/>
        <w:rPr/>
      </w:pPr>
      <w:r>
        <w:rPr>
          <w:rFonts w:ascii="Amiri" w:hAnsi="Amiri" w:eastAsia="Amiri" w:cs="Amiri"/>
          <w:color w:val="111111"/>
          <w:sz w:val="28"/>
          <w:sz w:val="28"/>
          <w:szCs w:val="28"/>
          <w:rtl w:val="true"/>
          <w:lang w:bidi="ar-SA"/>
        </w:rPr>
        <w:t xml:space="preserve">على ذلك في الدروس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البيان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أفلست فله الرجوع على الزوج ثم هو يرجع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أراد بذلك ما إذا قضى إفلاسها بتعذر الأخذ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جواز الأخذ من نصيب الزوج حينئذ ما سيأتي إن شاء اللّه من أن للساعي تتبع العين إذا ضمن المالك وامتنع من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المبسوط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هلك نصيبها وبقي نصيب الزوج كان للساعي أن يأخذ حقّه من نصيب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ما في المنتهى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الإطلاق المذكور يقضي بجواز الرجوع إلى الزوج مع إمكان الرجوع إلى الزوجة بالعوض ، بل ولو مع بذلها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متّجه ؛ إذ قضية الحكم بتعلق الحق بحصة الزوج هو الرجوع إليها في أخذ العين أو العوض مع الإمكان وقد يكتفى فيه بمجرد امتناع الزوجة عن الاداء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توضيح القول فيه في محله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 نصيب الزوج أو أتلفه فهل للساعي تعزيمه؟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الرجوع عليه بالعين مع وجودها هو الرجوع عليه بعوضها مع 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الرجوع بها على الزوج هل يقضي بفساد القسمة؟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واستقرب في التحرير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 ؛ استصحابا للصحة الثابتة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أطلقها حينئذ قبل تمكنها من الإخراج فهل يقسط عنها الزكاة بالنسبة إلى نصف الصداق الراجع إلى زوجها أو لا؟ قولان ؛ اختار اولهما العلامة في التحرير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والوجه فيه أنه من قبيل ما لو تلف بعض النصاب قبل تمكن المالك من الإخراج ، فيسقط نصيبه من الزكاة ؛ لتعلقها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ثانيهما في التذكرة والدروس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أطلق في المنتهى والقواعد ونهاية الإحكام وجوب الزكاة عليها بتمامها بعد سقوط النصف بالطلاق ، فيعمّ ما إذا تمكّنت قبله من الإخراج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أطلق الشيخ والمحقق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فيه رجوع عوض الساقط على البضع إليها ، فليس ذلك من قبيل تلف بعض النصاب ، بل هو من قبيل انتقال بعضه عنه في مقابلة العوض كما لو أخذه الديّان تقاصّا في موضع يجوز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يسقط بسببه شي‌ء من الزكاة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وقع فسخ البيع من صاحب الخيار بعد حلول الحول قبل تمكنه من الإخراج ؛ فإن ذلك لا يقضي بسقوط شي‌ء من الزكاة كما سنشير إليه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يستشكل فيه بأن العوض الواصل إليها ليس مالا على الحقيقة ليصدق عود مال إليها عوض الذاهب ، وليس المراد بتمليك البضع هو التمليك المتعارف في سائر المعاوضات ، ولذا لا يعدّ المهر ركنا في النكاح ليفسد العقد بفساده كما في غير من المعاوضات المعروضة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لم يكن البضع مالا على الحقيقة إلا أنه يقابل بالمال ، وهو كاف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يشكل الحلال في ذلك بأن السر في السقوط من الزكاة بنسبة التالف تعلق الزكاة بالعين ، فإذا تلف منها شي‌ء بغير تفريط المالك سقط من الزكاة تبلك النسبة ؛ أخذا بمقتضى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بعينه جار في صورة عود العوض إليه أيضا ؛ إذ المفروض وجوب الزكاة في الذاهب دون عوضه الراجع إليه ، فإذا ذهب ذلك عنه بغير تفريطه واختياره لزمه سقوط الزكاة تبلك النسبة ؛ إذ لا مقتضى لتعلّق ما يخصه من الزكاة بالذمة أو بالتتمة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ويدفعه أن حق الزوج في المقام إنما تعلّق بالمال على سبيل الإشاعة كالزكاة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معارضة بينهما في المقام ليقضي بسقوط شي‌ء من الزكاة حسبما عرفت ، ومع عدم وفاء المال بهما كما إذا تلف ما زاد على النصف لا نقول بانتقال ما يخصّه من الزكاة إلى الزوج ، وإنّما يضمنه </w:t>
      </w:r>
    </w:p>
    <w:p>
      <w:pPr>
        <w:pStyle w:val="BookText"/>
        <w:rPr/>
      </w:pPr>
      <w:r>
        <w:rPr>
          <w:rFonts w:ascii="Amiri" w:hAnsi="Amiri" w:eastAsia="Amiri" w:cs="Amiri"/>
          <w:color w:val="111111"/>
          <w:sz w:val="28"/>
          <w:sz w:val="28"/>
          <w:szCs w:val="28"/>
          <w:rtl w:val="true"/>
          <w:lang w:bidi="ar-SA"/>
        </w:rPr>
        <w:t>الزوجة له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حق الغير إنّما يتعلق بالعين إذا كان المحل قابلا ، وأمّا مع انتفاء قابليّته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 المقام لسبق تعلّق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تعلّقه بالمجموع ، وإنّما </w:t>
      </w:r>
      <w:r>
        <w:rPr>
          <w:rStyle w:val="FootnoteAnchor"/>
          <w:rtl w:val="true"/>
        </w:rPr>
        <w:footnoteReference w:id="339"/>
      </w:r>
      <w:r>
        <w:rPr>
          <w:rFonts w:ascii="Amiri" w:hAnsi="Amiri" w:eastAsia="Amiri" w:cs="Amiri"/>
          <w:color w:val="111111"/>
          <w:sz w:val="28"/>
          <w:sz w:val="28"/>
          <w:szCs w:val="28"/>
          <w:rtl w:val="true"/>
          <w:lang w:bidi="ar-SA"/>
        </w:rPr>
        <w:t>يتعلّق بغير القدر المذكور على سبيل الإشاعة ، وذلك لا يقضي بسقوط شي‌ء من الزكاة ؛ إذ لا معارضة بينهما كما قرّرنا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فتنزيل ذلك منزلة التلف ممّا لا وجه له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على القول بتعيّن النصف الباقي من الصداق للزوج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بسقوط ما يخصّ ذلك من الزكاة ، إلّا أنّك قد عرفت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بذلك أن المتّجه عدم سقوط شي‌ء من الزكاة في المقام إلّا أنّه لا يتّجه تعليل الحكم المذكور ويعود العوض إليها كما في التذكرة والدروس </w:t>
      </w:r>
      <w:r>
        <w:rPr>
          <w:rStyle w:val="FootnoteAnchor"/>
          <w:rtl w:val="true"/>
        </w:rPr>
        <w:footnoteReference w:id="340"/>
      </w:r>
      <w:r>
        <w:rPr>
          <w:rFonts w:ascii="Amiri" w:hAnsi="Amiri" w:eastAsia="Amiri" w:cs="Amiri"/>
          <w:color w:val="111111"/>
          <w:sz w:val="28"/>
          <w:sz w:val="28"/>
          <w:szCs w:val="28"/>
          <w:rtl w:val="true"/>
          <w:lang w:bidi="ar-SA"/>
        </w:rPr>
        <w:t>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القول الأوّل ينبغي تقييد الحكم بما إذا لم يكن إطلاقها مستندا إلى اختيارها ؛ إذ مع استناد التلف إليها لا وجه لسقوط الزكاة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الصداق نصابا فحال عليه الحول ثمّ سقط نصفه وقبضت </w:t>
      </w:r>
      <w:r>
        <w:rPr>
          <w:rStyle w:val="FootnoteAnchor"/>
          <w:rtl w:val="true"/>
        </w:rPr>
        <w:footnoteReference w:id="342"/>
      </w:r>
      <w:r>
        <w:rPr>
          <w:rFonts w:ascii="Amiri" w:hAnsi="Amiri" w:eastAsia="Amiri" w:cs="Amiri"/>
          <w:color w:val="111111"/>
          <w:sz w:val="28"/>
          <w:sz w:val="28"/>
          <w:szCs w:val="28"/>
          <w:rtl w:val="true"/>
          <w:lang w:bidi="ar-SA"/>
        </w:rPr>
        <w:t>النصف فعليها زكاة المقبوض ؛ لأنّ الزكاة وجبت فيه ثمّ سقطت عن نصفه لمعنى أخصّ به ، فاختصّ السقوط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مضى عليه حول ثمّ قبضه كلّه زكّته لما مضى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ذلك بأنّ حكمه بوجوب الزكاة في النصف الواصل إليها مع فرض حولان الحول عليها قبل قبضها مبني </w:t>
      </w:r>
      <w:r>
        <w:rPr>
          <w:rStyle w:val="FootnoteAnchor"/>
          <w:rtl w:val="true"/>
        </w:rPr>
        <w:footnoteReference w:id="343"/>
      </w:r>
      <w:r>
        <w:rPr>
          <w:rFonts w:ascii="Amiri" w:hAnsi="Amiri" w:eastAsia="Amiri" w:cs="Amiri"/>
          <w:color w:val="111111"/>
          <w:sz w:val="28"/>
          <w:sz w:val="28"/>
          <w:szCs w:val="28"/>
          <w:rtl w:val="true"/>
          <w:lang w:bidi="ar-SA"/>
        </w:rPr>
        <w:t xml:space="preserve">على كون المهر عينا والزوج باذلا كما هو المفروض في كلامه قبل </w:t>
      </w:r>
    </w:p>
    <w:p>
      <w:pPr>
        <w:pStyle w:val="BookText"/>
        <w:rPr/>
      </w:pPr>
      <w:r>
        <w:rPr>
          <w:rFonts w:ascii="Amiri" w:hAnsi="Amiri" w:eastAsia="Amiri" w:cs="Amiri"/>
          <w:color w:val="111111"/>
          <w:sz w:val="28"/>
          <w:sz w:val="28"/>
          <w:szCs w:val="28"/>
          <w:rtl w:val="true"/>
          <w:lang w:bidi="ar-SA"/>
        </w:rPr>
        <w:t>الفرع المذكور ؛ إذ هو المتعيّن على مذهبه من عدم وجوب الزكاة في الدين ، وإن كان في عبارته بعد ذلك ما ربّما ينافي ذلك إلّا أنّه لا بدّ من تنزيله عليه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فحكمه بسقوط زكاة النصف الساقط بالطلاق غير متّجه ؛ إذ لا قاضي به بعد وجوبها عليه سوى تنزيل رجوع النصف إلى الزوج منزلة التلف ، وهو مع عدم قضائه بالسقوط على القول به إلّا مع عدم تفريطها في الأداء أنه رحمة اللّه لا يقول بذلك ؛ لقطعه بعد ذلك بعدم سقوط شي‌ء من الزكاة إذا طلّقها قبل الدخول بها وتمكّنها من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ومجرّد عدم قبضها مع كون الزوج باذلا لا يقضي بشي‌ء ، بل لا بدّ من القول باخراجها تمام الزكاة من نصفها أو من جميع </w:t>
      </w:r>
      <w:r>
        <w:rPr>
          <w:rStyle w:val="FootnoteAnchor"/>
          <w:rtl w:val="true"/>
        </w:rPr>
        <w:footnoteReference w:id="344"/>
      </w:r>
      <w:r>
        <w:rPr>
          <w:rFonts w:ascii="Amiri" w:hAnsi="Amiri" w:eastAsia="Amiri" w:cs="Amiri"/>
          <w:color w:val="111111"/>
          <w:sz w:val="28"/>
          <w:sz w:val="28"/>
          <w:szCs w:val="28"/>
          <w:rtl w:val="true"/>
          <w:lang w:bidi="ar-SA"/>
        </w:rPr>
        <w:t xml:space="preserve">المال ورجوع الزوج إليها بنصف الزكاة كما </w:t>
      </w:r>
      <w:r>
        <w:rPr>
          <w:rStyle w:val="FootnoteAnchor"/>
          <w:rtl w:val="true"/>
        </w:rPr>
        <w:footnoteReference w:id="345"/>
      </w:r>
      <w:r>
        <w:rPr>
          <w:rFonts w:ascii="Amiri" w:hAnsi="Amiri" w:eastAsia="Amiri" w:cs="Amiri"/>
          <w:color w:val="111111"/>
          <w:sz w:val="28"/>
          <w:sz w:val="28"/>
          <w:szCs w:val="28"/>
          <w:rtl w:val="true"/>
          <w:lang w:bidi="ar-SA"/>
        </w:rPr>
        <w:t>هو الحال فيما إذا قبضتها أجمع ، ثمّ طلقها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حملت العبارة على ما هو الظاهر من إطلاقها عمّت ما لو كان الصداق عينا أو دينا ، فيرد عليه الإشكالان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ينزل عبارته على ما إذا كان الصداق دينا كما يدلّ عليه بعض تعليلاته ، فيكون حكمه ثبوت الزكاة في النصف تفريعا على القول بوجوب الزكاة في الدين أو اختيارا له ؛ إذ ليس في كلامه في التذكرة تصريح بعدم وجوب الزكاة في الدين وإن لم يحكم بثبوتها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بعيد عن ظاهر الأدلّة سيّما بملاحظة ما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نصّه على الفرع المذكور قبل ذلك بأسطر بناء على القول بوجوب الزكاة في الدين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انفسخ نكاحها قبل الدخول بعد حولان الحول ، فإن كان ذلك بعد إخراج الزكاة فلا إشكال في صحّة الإخراج وضمانها ذلك للزوج ، وإن كان قبله جرى فيه الوجهان الماضيان من تعيين حقّ الزوج في العين فتضمن الزكاة في ذمّتها ، ومن وجوبها في العين فتضمن للزوج مقدار ما إذا دفعتها من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والأظهر فيه الأخير حسبما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لو أفلست أو امتنعت من الأداء تتبع الساعي العين فيرجع الزوج عليها ، ولو كان ذلك قبل تمكّنها من الإخراج جرى فيه احتمال سقوط الزكاة بالمرة حسبما ذهب إليه في التحرير </w:t>
      </w:r>
      <w:r>
        <w:rPr>
          <w:rStyle w:val="FootnoteAnchor"/>
          <w:rtl w:val="true"/>
        </w:rPr>
        <w:footnoteReference w:id="346"/>
      </w:r>
      <w:r>
        <w:rPr>
          <w:rFonts w:ascii="Amiri" w:hAnsi="Amiri" w:eastAsia="Amiri" w:cs="Amiri"/>
          <w:color w:val="111111"/>
          <w:sz w:val="28"/>
          <w:sz w:val="28"/>
          <w:szCs w:val="28"/>
          <w:rtl w:val="true"/>
          <w:lang w:bidi="ar-SA"/>
        </w:rPr>
        <w:t>في مسألة الطلاق إلّا إذا كان الفسخ من قبل الزوجة بارتدادها أو فسخها العقد لأحد الأسباب الموجبة لخيارها ؛ لاستناد التلف حينئذ إليها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هنا أيضا عدم السقوط مطلقا ؛ لعين ما قرّرناه في مسألة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انفسخ النكاح لعيب قبل الدخول وكان الصداق مقبوضا ففي وجوب الزكاة إشكال أقربه الوجوب وتضمن هى المأخوذة 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ما في التحرير إلّا أنّه لم يصرح فيه بالإشكال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لا إشكال مع تفريطه في الأداء إذا قضاه إن ينزل ذلك منزلة التلف ، ولا وجه لاحتمال سقوط الزكاة 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ظاهر إطلاقه الحكم بالوجوب يعم ما إذا لم يتمكّن من أدائها قبل الانفساخ ، وهو ينافي ما ذهب إليه في التحرير من السقوط حينئذ في مسألة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آجر شيئا أحوالا وقبض الأجرة أو كانت عينا موجودة عند المستأجر الباذل وجبت عليه زكاتها عند حولان الحول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ولبعض العامة هنا خلاف ؛ نظرا إلى كون الأجرة في معرض السقوط بتلف العين المستأجرة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موهون بما قدّمناه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ما قلناه لو انفسخت بعد ذلك لأحد الدواعي الباعثة عليه يرجع إلى المستأجر من الأجرة بالنسبة إلى ما بقي من المدّة ، فيجري فيه الفروع المذكورة في الصداق إلّا أنّه لو انفسخ قبل تمكّنه من إخراج الزكاة ولم يكن الانفساخ حاصلا من اختياره احتمل سقوط الزكاة بالنسبة إذا كان الانفساخ بتلف العين المستأجرة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ونحوه بناء على تعليل الحكم بعدم السقوط هناك بوصول عوض التالف إلى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بيّنّاه فلا وجه لسقوط الزكاة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الكلام فيما إذا كان الانفساخ قبل مضي شي‌ء من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انفسخ عقد البيع لتلف المبيع قبل القبض بعد حلول الحول على الثمن مع قبض البائع إيّاه أو كونه عينا مقدورا على قبضها لم يقض ذلك بسقوط الزكاة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ويجري حينئذ في جواز إخراجها من عينه مطلقا ، وتعين </w:t>
      </w:r>
      <w:r>
        <w:rPr>
          <w:rStyle w:val="FootnoteAnchor"/>
          <w:rtl w:val="true"/>
        </w:rPr>
        <w:footnoteReference w:id="347"/>
      </w:r>
      <w:r>
        <w:rPr>
          <w:rFonts w:ascii="Amiri" w:hAnsi="Amiri" w:eastAsia="Amiri" w:cs="Amiri"/>
          <w:color w:val="111111"/>
          <w:sz w:val="28"/>
          <w:sz w:val="28"/>
          <w:szCs w:val="28"/>
          <w:rtl w:val="true"/>
          <w:lang w:bidi="ar-SA"/>
        </w:rPr>
        <w:t>الإخراج من غيره مع إمكانه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فيه أيضا هو الأوّل ؛ لتعلّق الزكاة بالعين ، ولكن يتوقّف إخراجها من العين على إذن المشتري لإشاعة الحق أو يستقلّ به البائع استصحابا للحالة السابقة ، الأقرب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تصرفا في المال المشترك بدون إذن الشريك ، بل هو تعيين للحقّ المبهم في المال المفوّض إليه تعيينه ، وبعد تعيينه يتعيّن الحق فيه ، فيجب بذله على 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لو اختلفا في التعيين فهل يقدّم اختيار البائع ؛ إذ هو المكلف بالإخراج أو المشتري ؛ لانتقال المال إليه؟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يقتضيه الأصل حينئذ تقديم الثاني ، فيجب على البائع اختياريّا مختاره إذا كان نصفه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ذلك في كلّ صورة ينتقل النصاب إلى غير من وجبت عليه الزكاة كما إذا باعه قبل إخراج الزكاة أو جعله ثمنا أو عوضا في الإجارة أو انتقل عنه بالميراث وأوصى إلى غيره بالإخراج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المبيع زكويا وكان المشتري متمكّنا من قبضه ثبت فيه الزكاة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تسقط عنه بذلك فيضمنها المشتري ، وإن كانت بيد البائع ؛ لأنّه المكلّف بإخراجها مع تقصيره فيه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كان التلف قبل تمكّنه من الأداء سقط إن لم يكن مفرطا في وضعها عند البائع بعد تعلّق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ويجري ما ذكرناه في الفسخ الحاصل من البائع أو المشتري لحصول الخيار ، ولو كان بعد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يسقط الخيار بتعلّق حق الزكاة بالمال فيما يسقط التصرّف من الخيارات أو مع دفعه في الزكاة دون ما إذا كان قبل الدفع أو مع عدم ضمانه للزكاة دون ما إذا ضمنه وانتقل الحق إلى ذمته أو لا يسقط بذلك مطلقا؟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يرجع على الآخر بتمام عوضه المقابل له ويضمن له حصة الزكاة بالمثل أو القيمة أو يسقط منه ما قابل حصّة الزكاة؟ وجهان ؛ أقربهما الأوّل ، والثاني مختار العلّامة في التذكرة حيث قال في الفرض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الزكاة على المشتري ، ويسقط من الثمن ما قابل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يزيد على الإتلاف ، ومع حصوله وبقاء الخيار لا ريب في الرجوع بعد الفسخ إلى المثل أو القيمة لا سقوط ما يقابله من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دفع الزكاة من العين ، وأمّا إذا ضمنه ففي تعيّن دفعه العين لخلوها عن المانع تأمّل مرّت الإشارة إلى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وهبه نصابا فحال عليه الحول عند المتّهب فإنّه يجب عليه الزكاة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فلو رجع الواهب بعد أداء الزكاة لم يكن له تغريم المتهب ؛ لعدم بناء الهبة على الضمان ، وإن كان قبله لم يصحّ رجوعه بالنسبة إلى مقدار الزكاة ؛ لتعلّق الحق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في التذكرة </w:t>
      </w:r>
      <w:r>
        <w:rPr>
          <w:rStyle w:val="FootnoteAnchor"/>
          <w:rtl w:val="true"/>
        </w:rPr>
        <w:footnoteReference w:id="348"/>
      </w:r>
      <w:r>
        <w:rPr>
          <w:rFonts w:ascii="Amiri" w:hAnsi="Amiri" w:eastAsia="Amiri" w:cs="Amiri"/>
          <w:color w:val="111111"/>
          <w:sz w:val="28"/>
          <w:sz w:val="28"/>
          <w:szCs w:val="28"/>
          <w:rtl w:val="true"/>
          <w:lang w:bidi="ar-SA"/>
        </w:rPr>
        <w:t xml:space="preserve">بين ما إذا تمكن المتّهب من إخراج الزكاة ففرط فيه ، وما إذا لم يتمكّن منه ؛ فحكم في الثاني بسقوط الزكاة عن المتّهب وعدم وجوبه على الواهب أيضا ، بخلاف الأوّل فيحكم منه </w:t>
      </w:r>
      <w:r>
        <w:rPr>
          <w:rStyle w:val="FootnoteAnchor"/>
          <w:rtl w:val="true"/>
        </w:rPr>
        <w:footnoteReference w:id="349"/>
      </w:r>
      <w:r>
        <w:rPr>
          <w:rFonts w:ascii="Amiri" w:hAnsi="Amiri" w:eastAsia="Amiri" w:cs="Amiri"/>
          <w:color w:val="111111"/>
          <w:sz w:val="28"/>
          <w:sz w:val="28"/>
          <w:szCs w:val="28"/>
          <w:rtl w:val="true"/>
          <w:lang w:bidi="ar-SA"/>
        </w:rPr>
        <w:t xml:space="preserve">بوجوب الزكاة في العين تقديما لحقّ الفقراء ، فلا يصحّ الرجوع بالنسبة إليه ولا يضمنه </w:t>
      </w:r>
      <w:r>
        <w:rPr>
          <w:rStyle w:val="FootnoteAnchor"/>
          <w:rtl w:val="true"/>
        </w:rPr>
        <w:footnoteReference w:id="350"/>
      </w:r>
      <w:r>
        <w:rPr>
          <w:rFonts w:ascii="Amiri" w:hAnsi="Amiri" w:eastAsia="Amiri" w:cs="Amiri"/>
          <w:color w:val="111111"/>
          <w:sz w:val="28"/>
          <w:sz w:val="28"/>
          <w:szCs w:val="28"/>
          <w:rtl w:val="true"/>
          <w:lang w:bidi="ar-SA"/>
        </w:rPr>
        <w:t>المتّهب كما لو تلف قبل الرجوع</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فيه ؛ إذ لو كان تعلّق الحق بالعين مانعا من صحّة الرجوع بالنسبة إلى </w:t>
      </w:r>
    </w:p>
    <w:p>
      <w:pPr>
        <w:pStyle w:val="BookText"/>
        <w:rPr/>
      </w:pPr>
      <w:r>
        <w:rPr>
          <w:rFonts w:ascii="Amiri" w:hAnsi="Amiri" w:eastAsia="Amiri" w:cs="Amiri"/>
          <w:color w:val="111111"/>
          <w:sz w:val="28"/>
          <w:sz w:val="28"/>
          <w:szCs w:val="28"/>
          <w:rtl w:val="true"/>
          <w:lang w:bidi="ar-SA"/>
        </w:rPr>
        <w:t>مقدار الزكاة جرى في الصورتين ، فلا وجه للحكم بسقوط الزكاة في الأوّل ، وإن لم يكن مانعا من الرجوع لم يمنع منه في الأخير أيضا ، غاية الأمر أن يكون المتّهب ضامنا للزكاة ؛ نظرا إلى تفريطه في الأداء كما يضمنها حينئذ في صورة هلاك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تعلّق حق الغير بالمال ليس من قبيل التلف ليصح الحكم بسقوط الزكاة من جهته إذا كان قبل التمكّن من الأداء ، حسبما مرّت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دفعها المتّهب من الخارج لم يؤثر ذلك في صحّة رجوعه بالنسبة إلى حصّة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الرجوع بعد ضمانه للزكاة أمكن القول بصحّة الرجوع في الجميع إن قلنا بجواز الرجوع في العين الموهوبة بعد انتقال المال عن المتّهب ، ثمّ رجوعه إليه بالملك الجديد أو قلنا بعدم انتقال المال إلى الفقراء لينتقل إليه ثانيا بسبب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بناء على صحّة رجوعها في العين لو رجع فيها وامتنع المتّهب من الأداء </w:t>
      </w:r>
      <w:r>
        <w:rPr>
          <w:rStyle w:val="FootnoteAnchor"/>
          <w:rtl w:val="true"/>
        </w:rPr>
        <w:footnoteReference w:id="351"/>
      </w:r>
      <w:r>
        <w:rPr>
          <w:rFonts w:ascii="Amiri" w:hAnsi="Amiri" w:eastAsia="Amiri" w:cs="Amiri"/>
          <w:color w:val="111111"/>
          <w:sz w:val="28"/>
          <w:sz w:val="28"/>
          <w:szCs w:val="28"/>
          <w:rtl w:val="true"/>
          <w:lang w:bidi="ar-SA"/>
        </w:rPr>
        <w:t>كان للساعي تتبّع العين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يرجع الواهب في ذلك على المتّهب وجهان</w:t>
      </w:r>
      <w:r>
        <w:rPr>
          <w:rFonts w:eastAsia="Amiri" w:cs="Amiri" w:ascii="Amiri" w:hAnsi="Amiri"/>
          <w:color w:val="111111"/>
          <w:sz w:val="28"/>
          <w:szCs w:val="28"/>
          <w:rtl w:val="true"/>
          <w:lang w:bidi="ar-SA"/>
        </w:rPr>
        <w:t xml:space="preserve">. </w:t>
      </w:r>
      <w:bookmarkStart w:id="55" w:name="pg15853_153321"/>
    </w:p>
    <w:p>
      <w:pPr>
        <w:pStyle w:val="Heading4"/>
        <w:numPr>
          <w:ilvl w:val="3"/>
          <w:numId w:val="1"/>
        </w:numPr>
        <w:rPr/>
      </w:pPr>
      <w:bookmarkStart w:id="56" w:name="__RefHeading___Toc14587075_2142443653"/>
      <w:bookmarkStart w:id="57" w:name="_Toc20"/>
      <w:bookmarkEnd w:id="55"/>
      <w:bookmarkEnd w:id="56"/>
      <w:r>
        <w:rPr>
          <w:rtl w:val="true"/>
        </w:rPr>
        <w:t>تبصرة</w:t>
      </w:r>
      <w:r>
        <w:rPr>
          <w:rtl w:val="true"/>
        </w:rPr>
        <w:t xml:space="preserve">: [ </w:t>
      </w:r>
      <w:r>
        <w:rPr>
          <w:rtl w:val="true"/>
        </w:rPr>
        <w:t xml:space="preserve">في تعلّق الحق بعين النصاب </w:t>
      </w:r>
      <w:r>
        <w:rPr>
          <w:rtl w:val="true"/>
        </w:rPr>
        <w:t>]</w:t>
      </w:r>
      <w:bookmarkEnd w:id="57"/>
    </w:p>
    <w:p>
      <w:pPr>
        <w:pStyle w:val="Heading5"/>
        <w:numPr>
          <w:ilvl w:val="4"/>
          <w:numId w:val="1"/>
        </w:numPr>
        <w:rPr/>
      </w:pPr>
      <w:bookmarkStart w:id="58" w:name="__RefHeading___Toc14587077_2142443653"/>
      <w:bookmarkStart w:id="59" w:name="_Toc21"/>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إذا تعلّق حقّ بعين النصاب يوجب صرفها في جهته سقط عنه الزكاة ؛ لعدم تمكّن المالك معه من التصرف فيه ، ولا يجري في الحول إلّا بعد خلوصه عنه سواء كان ذلك من حقّ الناس أو حقوقه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فيندرج فيه أمور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الرهن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فيه كلمات الأصحاب ، فالمنصوص به في موضع من المبسوط </w:t>
      </w:r>
      <w:r>
        <w:rPr>
          <w:rStyle w:val="FootnoteAnchor"/>
          <w:rtl w:val="true"/>
        </w:rPr>
        <w:footnoteReference w:id="354"/>
      </w:r>
      <w:r>
        <w:rPr>
          <w:rFonts w:ascii="Amiri" w:hAnsi="Amiri" w:eastAsia="Amiri" w:cs="Amiri"/>
          <w:color w:val="111111"/>
          <w:sz w:val="28"/>
          <w:sz w:val="28"/>
          <w:szCs w:val="28"/>
          <w:rtl w:val="true"/>
          <w:lang w:bidi="ar-SA"/>
        </w:rPr>
        <w:t xml:space="preserve">وجوب الزكاة فيه مطلقا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رهن قبل أن يجب فيه الزكاة ثم حال الحول وهو رهن ، وجبت الزكاة ؛ لأنّ ملكه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فصل في إخراج الزكاة بين ما إذا كان للراهن مال سواه أو كان معسرا ، فعلى الأوّل حكم بوجوب إخراجها من غيره وحكم في الثاني بتعلّقها بعين الرهن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حق المرتهن في الذمّة بدلالة أنّه لو هلك المال رجع على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بأوراق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سقوط الزكاة عن الألف المرهونة بإزاء الألف المفروضة ؛ معلّلا بانتفاء التمكّن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 عدم ثبوت الزكاة فيه مطلقا سواء تمكّن الراهن من فكّه أو لا ، بل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هو صورة التمكّن من الفك ؛ لفرضه بقاء الألف المستقرضة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والتعليل المذكور أيضا يعمّ الوجهين عند التأمّل ، واختاره المحقق في الشرائع والعلّامة في </w:t>
      </w:r>
    </w:p>
    <w:p>
      <w:pPr>
        <w:pStyle w:val="BookText"/>
        <w:rPr/>
      </w:pPr>
      <w:r>
        <w:rPr>
          <w:rFonts w:ascii="Amiri" w:hAnsi="Amiri" w:eastAsia="Amiri" w:cs="Amiri"/>
          <w:color w:val="111111"/>
          <w:sz w:val="28"/>
          <w:sz w:val="28"/>
          <w:szCs w:val="28"/>
          <w:rtl w:val="true"/>
          <w:lang w:bidi="ar-SA"/>
        </w:rPr>
        <w:t xml:space="preserve">القواعد والمنتهى والتذكرة </w:t>
      </w:r>
      <w:r>
        <w:rPr>
          <w:rStyle w:val="FootnoteAnchor"/>
          <w:rtl w:val="true"/>
        </w:rPr>
        <w:footnoteReference w:id="355"/>
      </w:r>
      <w:r>
        <w:rPr>
          <w:rFonts w:ascii="Amiri" w:hAnsi="Amiri" w:eastAsia="Amiri" w:cs="Amiri"/>
          <w:color w:val="111111"/>
          <w:sz w:val="28"/>
          <w:sz w:val="28"/>
          <w:szCs w:val="28"/>
          <w:rtl w:val="true"/>
          <w:lang w:bidi="ar-SA"/>
        </w:rPr>
        <w:t>والتحرير ؛ معلّلا له في الثلاثة الأخيرة بما ذكره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 ذهب المحقق الكركي مصرّحا بسقوطها مع التمكّن من الفك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الشيخ في الخلاف </w:t>
      </w:r>
      <w:r>
        <w:rPr>
          <w:rStyle w:val="FootnoteAnchor"/>
          <w:rtl w:val="true"/>
        </w:rPr>
        <w:footnoteReference w:id="356"/>
      </w:r>
      <w:r>
        <w:rPr>
          <w:rFonts w:ascii="Amiri" w:hAnsi="Amiri" w:eastAsia="Amiri" w:cs="Amiri"/>
          <w:color w:val="111111"/>
          <w:sz w:val="28"/>
          <w:sz w:val="28"/>
          <w:szCs w:val="28"/>
          <w:rtl w:val="true"/>
          <w:lang w:bidi="ar-SA"/>
        </w:rPr>
        <w:t xml:space="preserve">أوّلا بعدم ثبوت الزكاة في الألف المرهونة بإزاء الألف المستقرضة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إنه يلزم المستقرض زكاة الألفين لكان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وجوب الزكاة في المرهونة بأنّه قادر على التصرّف فيها بأن يفكّ رهنها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التردد في المسألة كما عزاه إليه في المعتبر ، والظاهر أن تردّده في صورة قدرة الراهن على الفك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ورجّح في المعتبر والمختلف ما قوّاه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في المعتبر </w:t>
      </w:r>
      <w:r>
        <w:rPr>
          <w:rStyle w:val="FootnoteAnchor"/>
          <w:rtl w:val="true"/>
        </w:rPr>
        <w:footnoteReference w:id="357"/>
      </w:r>
      <w:r>
        <w:rPr>
          <w:rFonts w:ascii="Amiri" w:hAnsi="Amiri" w:eastAsia="Amiri" w:cs="Amiri"/>
          <w:color w:val="111111"/>
          <w:sz w:val="28"/>
          <w:sz w:val="28"/>
          <w:szCs w:val="28"/>
          <w:rtl w:val="true"/>
          <w:lang w:bidi="ar-SA"/>
        </w:rPr>
        <w:t xml:space="preserve">بأنّه مال مملوك قادر على التصرّف فيه يجري </w:t>
      </w:r>
      <w:r>
        <w:rPr>
          <w:rStyle w:val="FootnoteAnchor"/>
          <w:rtl w:val="true"/>
        </w:rPr>
        <w:footnoteReference w:id="358"/>
      </w:r>
      <w:r>
        <w:rPr>
          <w:rFonts w:ascii="Amiri" w:hAnsi="Amiri" w:eastAsia="Amiri" w:cs="Amiri"/>
          <w:color w:val="111111"/>
          <w:sz w:val="28"/>
          <w:sz w:val="28"/>
          <w:szCs w:val="28"/>
          <w:rtl w:val="true"/>
          <w:lang w:bidi="ar-SA"/>
        </w:rPr>
        <w:t>مجرى المال الغائب في يد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التعليل كظاهر الفرض يومي إلى اختصاص حكمه بوجوب الزكاة فيه بما إذا قدر على فكه ، وهو صريح المختلف حيث نصّ قبل ذلك بسقوط الزكاة في الرهن مع إعسار الراهن ؛ معلّلا بعدم تمكّنه من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بالتفصيل بين قدرته على الفك وعدمه كما إذا كان معسرا وكان الدين مؤجلا في نهاية الإحكام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واختاره الشهيدان في الدروس والبيان والمسالك والروضة وابن فهد والصيمري وغيرهم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ونصّ في المسالك والروضة بشمول الحكم لما إذا تمكّن من فكّه ببيعه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واستحسنه في المدارك إن ثبت أنّ عدم تمكّن الراهن من التصرّف في الرهن مسقط </w:t>
      </w:r>
      <w:r>
        <w:rPr>
          <w:rStyle w:val="FootnoteAnchor"/>
          <w:rtl w:val="true"/>
        </w:rPr>
        <w:footnoteReference w:id="359"/>
      </w:r>
      <w:r>
        <w:rPr>
          <w:rFonts w:ascii="IRNazanin" w:hAnsi="IRNazanin" w:eastAsia="IRNazanin"/>
          <w:color w:val="111111"/>
          <w:sz w:val="28"/>
          <w:sz w:val="28"/>
          <w:szCs w:val="28"/>
          <w:rtl w:val="true"/>
          <w:lang w:bidi="fa-IR"/>
        </w:rPr>
        <w:t xml:space="preserve">للوجوب ، وإلّا فإطلاق </w:t>
      </w:r>
      <w:bookmarkStart w:id="60" w:name="pg15853_153323"/>
    </w:p>
    <w:p>
      <w:pPr>
        <w:pStyle w:val="BookText"/>
        <w:rPr/>
      </w:pPr>
      <w:bookmarkEnd w:id="60"/>
      <w:r>
        <w:rPr>
          <w:rFonts w:ascii="Amiri" w:hAnsi="Amiri" w:eastAsia="Amiri" w:cs="Amiri"/>
          <w:color w:val="111111"/>
          <w:sz w:val="28"/>
          <w:sz w:val="28"/>
          <w:szCs w:val="28"/>
          <w:rtl w:val="true"/>
          <w:lang w:bidi="ar-SA"/>
        </w:rPr>
        <w:t>وجوب الزكاة فيه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فيه في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هو القول بسقوط الزكاة عنه مطلقا لانتفاء التمكن من التصرف فيه حالكونه مرهونا ، والقدرة على إمكان فكّه ليس قدرة بالفعل عرفا على التصرّف فيه ، بل هو قدرة على تحصيل القدرة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الأمرين ظاهر في ملاحظة العرف ، وإن كان الثاني بمنزلة الأوّل عند تدقيق العقل كما هو الوجه في القول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في إطلاق وجوب الزكاة منه </w:t>
      </w:r>
      <w:r>
        <w:rPr>
          <w:rStyle w:val="FootnoteAnchor"/>
          <w:rtl w:val="true"/>
        </w:rPr>
        <w:footnoteReference w:id="360"/>
      </w:r>
      <w:r>
        <w:rPr>
          <w:rFonts w:ascii="Amiri" w:hAnsi="Amiri" w:eastAsia="Amiri" w:cs="Amiri"/>
          <w:color w:val="111111"/>
          <w:sz w:val="28"/>
          <w:sz w:val="28"/>
          <w:szCs w:val="28"/>
          <w:rtl w:val="true"/>
          <w:lang w:bidi="ar-SA"/>
        </w:rPr>
        <w:t xml:space="preserve">فمبني على </w:t>
      </w:r>
      <w:r>
        <w:rPr>
          <w:rStyle w:val="FootnoteAnchor"/>
          <w:rtl w:val="true"/>
        </w:rPr>
        <w:footnoteReference w:id="361"/>
      </w:r>
      <w:r>
        <w:rPr>
          <w:rFonts w:ascii="Amiri" w:hAnsi="Amiri" w:eastAsia="Amiri" w:cs="Amiri"/>
          <w:color w:val="111111"/>
          <w:sz w:val="28"/>
          <w:sz w:val="28"/>
          <w:szCs w:val="28"/>
          <w:rtl w:val="true"/>
          <w:lang w:bidi="ar-SA"/>
        </w:rPr>
        <w:t>كون المنع من التصرّف مطلقا مانعا من تعلّق الزكاة حسبما أشرنا إليه من كلام السيّد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ذهاب الشيخ إليه فيما حكيناه من عبارته في المبسوط ؛ معلّلا بأنّه ملك للراهن مع قطعه باعتبار التمكّن من التصرّف في وجوب الزكاة</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14587079_2142443653"/>
      <w:bookmarkStart w:id="62" w:name="_Toc22"/>
      <w:bookmarkEnd w:id="61"/>
      <w:r>
        <w:rPr>
          <w:rtl w:val="true"/>
        </w:rPr>
        <w:t>فروع</w:t>
      </w:r>
      <w:bookmarkEnd w:id="6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أن يكون الرهن بإزاء حقّ ثابت في الشرع أو بإزاء محتمل كما في الرهن بإزاء درك المبيع ؛ لمنع المالك شرعا من التصرف فيه وإن لم يكن هناك حق بازائه بحسب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أن يكون العين المرهونة من مال الراهن أو يكون مستعارا للرهن إلّا أنّ المعتبر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التفصيل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المعير على فكّه دون المستعير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عليه في المسالك وغيره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المرتهن في تصرّف الراهن فيه كيف شاء احتمل وجوب الزكاة فيه ؛ لارتفاع المنع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تعيّن ذلك فيما إذا شرط عليه في ضمن عقد لازم ؛ بناء على عدم </w:t>
      </w:r>
    </w:p>
    <w:p>
      <w:pPr>
        <w:pStyle w:val="BookText"/>
        <w:rPr/>
      </w:pPr>
      <w:r>
        <w:rPr>
          <w:rFonts w:ascii="IRNazanin" w:hAnsi="IRNazanin" w:eastAsia="IRNazanin"/>
          <w:color w:val="111111"/>
          <w:sz w:val="28"/>
          <w:sz w:val="28"/>
          <w:szCs w:val="28"/>
          <w:rtl w:val="true"/>
          <w:lang w:bidi="fa-IR"/>
        </w:rPr>
        <w:t>جواز رجوعه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الحاكم قد حجر عليه التصرّف في المال لحق الغرماء ؛ لعدم تمكّنه حينئذ من التصرّف في المال بغير إذنهم ؛ نظرا إلى تعلّق حقّهم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قطع بانتفاء الزكاة حينئذ في أمواله جماعة منهم الشيخ في المبسوط </w:t>
      </w:r>
      <w:r>
        <w:rPr>
          <w:rStyle w:val="FootnoteAnchor"/>
          <w:rtl w:val="true"/>
        </w:rPr>
        <w:footnoteReference w:id="362"/>
      </w:r>
      <w:r>
        <w:rPr>
          <w:rFonts w:ascii="Amiri" w:hAnsi="Amiri" w:eastAsia="Amiri" w:cs="Amiri"/>
          <w:color w:val="111111"/>
          <w:sz w:val="28"/>
          <w:sz w:val="28"/>
          <w:szCs w:val="28"/>
          <w:rtl w:val="true"/>
          <w:lang w:bidi="ar-SA"/>
        </w:rPr>
        <w:t xml:space="preserve">والعلامة في عدة من كتبه كالقواعد </w:t>
      </w:r>
      <w:r>
        <w:rPr>
          <w:rStyle w:val="FootnoteAnchor"/>
          <w:rtl w:val="true"/>
        </w:rPr>
        <w:footnoteReference w:id="363"/>
      </w:r>
      <w:r>
        <w:rPr>
          <w:rFonts w:ascii="Amiri" w:hAnsi="Amiri" w:eastAsia="Amiri" w:cs="Amiri"/>
          <w:color w:val="111111"/>
          <w:sz w:val="28"/>
          <w:sz w:val="28"/>
          <w:szCs w:val="28"/>
          <w:rtl w:val="true"/>
          <w:lang w:bidi="ar-SA"/>
        </w:rPr>
        <w:t xml:space="preserve">والتذكرة </w:t>
      </w:r>
      <w:r>
        <w:rPr>
          <w:rStyle w:val="FootnoteAnchor"/>
          <w:rtl w:val="true"/>
        </w:rPr>
        <w:footnoteReference w:id="364"/>
      </w:r>
      <w:r>
        <w:rPr>
          <w:rFonts w:ascii="Amiri" w:hAnsi="Amiri" w:eastAsia="Amiri" w:cs="Amiri"/>
          <w:color w:val="111111"/>
          <w:sz w:val="28"/>
          <w:sz w:val="28"/>
          <w:szCs w:val="28"/>
          <w:rtl w:val="true"/>
          <w:lang w:bidi="ar-SA"/>
        </w:rPr>
        <w:t xml:space="preserve">والنهاية </w:t>
      </w:r>
      <w:r>
        <w:rPr>
          <w:rStyle w:val="FootnoteAnchor"/>
          <w:rtl w:val="true"/>
        </w:rPr>
        <w:footnoteReference w:id="365"/>
      </w:r>
      <w:r>
        <w:rPr>
          <w:rFonts w:ascii="Amiri" w:hAnsi="Amiri" w:eastAsia="Amiri" w:cs="Amiri"/>
          <w:color w:val="111111"/>
          <w:sz w:val="28"/>
          <w:sz w:val="28"/>
          <w:szCs w:val="28"/>
          <w:rtl w:val="true"/>
          <w:lang w:bidi="ar-SA"/>
        </w:rPr>
        <w:t xml:space="preserve">، والشهيد في البيان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يستظهر من المنتهى </w:t>
      </w:r>
      <w:r>
        <w:rPr>
          <w:rStyle w:val="FootnoteAnchor"/>
          <w:rtl w:val="true"/>
        </w:rPr>
        <w:footnoteReference w:id="367"/>
      </w:r>
      <w:r>
        <w:rPr>
          <w:rFonts w:ascii="Amiri" w:hAnsi="Amiri" w:eastAsia="Amiri" w:cs="Amiri"/>
          <w:color w:val="111111"/>
          <w:sz w:val="28"/>
          <w:sz w:val="28"/>
          <w:szCs w:val="28"/>
          <w:rtl w:val="true"/>
          <w:lang w:bidi="ar-SA"/>
        </w:rPr>
        <w:t xml:space="preserve">ثبوت الزكاة في مال المحجور عليه حيث استدلّ على سقوط الزكاة من المكاتب بمنعه من التصرّف في ماله ، فملكيّته غير تامّة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ينتقض بالمحجور عليه والمال المرهون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أن الملكيّة هناك تامّة والنقض </w:t>
      </w:r>
      <w:r>
        <w:rPr>
          <w:rStyle w:val="FootnoteAnchor"/>
          <w:rtl w:val="true"/>
        </w:rPr>
        <w:footnoteReference w:id="368"/>
      </w:r>
      <w:r>
        <w:rPr>
          <w:rFonts w:ascii="Amiri" w:hAnsi="Amiri" w:eastAsia="Amiri" w:cs="Amiri"/>
          <w:color w:val="111111"/>
          <w:sz w:val="28"/>
          <w:sz w:val="28"/>
          <w:szCs w:val="28"/>
          <w:rtl w:val="true"/>
          <w:lang w:bidi="ar-SA"/>
        </w:rPr>
        <w:t xml:space="preserve">إنّما حصل في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المحجور فلنقص تصرفه ، وأمّا في المرهون فالمنع بعقد ، فلا يسقط 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ظاهر الدلالة على تعلّق الزكاة بعد حصول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ينزل على خصوص حجر السفيه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الدروس التأمل فيه حيث أسند فيه مع حجر المفلّس </w:t>
      </w:r>
      <w:r>
        <w:rPr>
          <w:rStyle w:val="FootnoteAnchor"/>
          <w:rtl w:val="true"/>
        </w:rPr>
        <w:footnoteReference w:id="369"/>
      </w:r>
      <w:r>
        <w:rPr>
          <w:rFonts w:ascii="Amiri" w:hAnsi="Amiri" w:eastAsia="Amiri" w:cs="Amiri"/>
          <w:color w:val="111111"/>
          <w:sz w:val="28"/>
          <w:sz w:val="28"/>
          <w:szCs w:val="28"/>
          <w:rtl w:val="true"/>
          <w:lang w:bidi="ar-SA"/>
        </w:rPr>
        <w:t>إلى الشيخ</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الوجه فيه حصول الملكيّة ، ومنعه من التصرّف فيه إنّما هو لحق الغرماء فقد لا يمنع ذلك من وجوب الزكاة ؛ إذ ليس مجرّد انحصار وجه التصرّف باعثا على سقوط الزكاة وإلّا لم يجب فيما إذا انحصر أداء الدين في دفع النصاب إلى 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إجماعا 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وضعفه ظاهر ممّا عرفت من اعتبار إمكان التصرّف في وجوب الزكاة وظهور انتفائه في المقام </w:t>
      </w:r>
      <w:r>
        <w:rPr>
          <w:rStyle w:val="FootnoteAnchor"/>
          <w:rtl w:val="true"/>
        </w:rPr>
        <w:footnoteReference w:id="370"/>
      </w:r>
      <w:r>
        <w:rPr>
          <w:rFonts w:ascii="IRNazanin" w:hAnsi="IRNazanin" w:eastAsia="IRNazanin"/>
          <w:color w:val="111111"/>
          <w:sz w:val="28"/>
          <w:sz w:val="28"/>
          <w:szCs w:val="28"/>
          <w:rtl w:val="true"/>
          <w:lang w:bidi="fa-IR"/>
        </w:rPr>
        <w:t xml:space="preserve">انحصار وجه التصرف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ذلك بل تعلّق حقّ الغرماء بالعين ، فالفرق بينه وبين الفرض المذكور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الورثة عن التصرّف </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في التركة قبل أداء الدين وتفصيل القول في ذلك انّ الدين امّا أن يكون مستوعبا للتركة أو لا ، وعلى الثاني إمّا أن نقول بحجر الورثة عن التصرف في المال مطلقا قبل أداء الدين أو أنّه لا حجر عليهم فيما يزيد على 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الزكاة إمّا أن يتعلّق بالمال في حياة المورث أو بعد وفاته ، وعلى الثاني فإمّا أن تكون العين الزكويّة موجودة في حياته أو تحصل بعد موته كما إذا أنتجت اغنامه بعد وفاته وحال الحول على النتاج قبل أداء الدين ، أو وجدت الثمرة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تعلّقت الزكاة بالعين في حياة المورّث ثمّ </w:t>
      </w:r>
      <w:r>
        <w:rPr>
          <w:rStyle w:val="FootnoteAnchor"/>
          <w:rtl w:val="true"/>
        </w:rPr>
        <w:footnoteReference w:id="373"/>
      </w:r>
      <w:r>
        <w:rPr>
          <w:rFonts w:ascii="Amiri" w:hAnsi="Amiri" w:eastAsia="Amiri" w:cs="Amiri"/>
          <w:color w:val="111111"/>
          <w:sz w:val="28"/>
          <w:sz w:val="28"/>
          <w:szCs w:val="28"/>
          <w:rtl w:val="true"/>
          <w:lang w:bidi="ar-SA"/>
        </w:rPr>
        <w:t>لم تسقط بموته فتخرج من أصل المال إجماعا معلوما ومنقولا في المدارك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خالف فيه بعض العامة ؛ لتوهّم كونها كسائر التكاليف الساقطة بالموت ، فلا يخرج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وفساده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هنا كلام في تقديم الزكاة على سائر الديون إذا لم تف التركة بالجميع وتوزيعها عليها ، فالمعروف تقديم الزكاة وإليه ذهب الفاضلان في الشرائع والتحرير والقواعد والإرشاد ، والشهيدان في الدروس والمسالك ، والسيد في المدارك ، وغيرهم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الشيخ في المبسوط إلى توزيعها على الزكاة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مبنيّ على عدم تعلّق الزكاة بالعين تعلّق التركة ، أو على ظاهر ما في الصحيح من إطلاق الحكم بتنزيل ما عليه من </w:t>
      </w:r>
    </w:p>
    <w:p>
      <w:pPr>
        <w:pStyle w:val="BookText"/>
        <w:rPr/>
      </w:pPr>
      <w:r>
        <w:rPr>
          <w:rFonts w:ascii="Amiri" w:hAnsi="Amiri" w:eastAsia="Amiri" w:cs="Amiri"/>
          <w:color w:val="111111"/>
          <w:sz w:val="28"/>
          <w:sz w:val="28"/>
          <w:szCs w:val="28"/>
          <w:rtl w:val="true"/>
          <w:lang w:bidi="ar-SA"/>
        </w:rPr>
        <w:t>الزكاة منزلة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 لما سيجي‌ء إن شاء اللّه من تعلّق الزكاة بالعين على سبيل الشركة ، ولو قلنا بتعلّقها على سبيل حق الرهن بالعين أو الجناية بالعبد فكذلك أيضا ، وإن تعلّق حق الديان أيضا بالعين بسبق الأوّل على الموت وتأخّر الثاني فلا يصادف محلا قابلا بالنسبة إلى ما يقابل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البيان من تفريع الحكم هنا على الحكم في كيفية تعلّق الزكاة فاستحسن الأوّل بناء على الأوّل وجعل الثاني أحسن بناء على أحد الوجهين الآخرين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دلّ على تنزيله منزلة الدين فلا يبعد تنزيله على الزكاة المنتقلة إلى الذمّة ، بل الظاهر وروده في خصوص ذلك كما يومي إليه السؤال المفروض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إشكال في التوزيع لصيرورتها بعد التعلّق بالذمّة كسائر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واستقرب الشهيد في شرح القواعد توزيعه عليها ، وحكى عن بعض الأصحاب قولا بتقديم الزكاة لقول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فدين اللّه أحقّ أن يقضى </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وبتقديم الدين لأنّ حقّ العباد مبني على التضييق ، وحق اللّه على 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كانت العين موجودة فللساعي منع العين في وجه قوي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تأخر زمان تعلّقها عن حياة المورث فإن كان الدين مستوعبا للتركة وكانت العين الزكوية موجودة حين الوفاة فلا زكاة أيضا ، أمّا على القول بعدم انتقال التركة إلى الورثة وبقائها على حكم مال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المحقق وغيره وحكى القول به عن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 لعدم دخولها حينئذ في ملك الورثة ، ولا في ملك الديّان قطعا ، والميّت لا تكليف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وإطلاقات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بشمولها لأموال غير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شاملة لتلك ، ولا أقل من الشكّ ، وهو كاف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على القول بانتقالها إلى الورثة فللحجر عليهم حينئذ في التصرف قبل أداء الدين ، فلا تمكّن لهم من التصرف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Style w:val="FootnoteAnchor"/>
          <w:rtl w:val="true"/>
        </w:rPr>
        <w:footnoteReference w:id="376"/>
      </w:r>
      <w:r>
        <w:rPr>
          <w:rFonts w:ascii="Amiri" w:hAnsi="Amiri" w:eastAsia="Amiri" w:cs="Amiri"/>
          <w:color w:val="111111"/>
          <w:sz w:val="28"/>
          <w:sz w:val="28"/>
          <w:szCs w:val="28"/>
          <w:rtl w:val="true"/>
          <w:lang w:bidi="ar-SA"/>
        </w:rPr>
        <w:t>وجوب الزكاة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تمكّن من التصرف في النصاب ولو بأداء الدين من غير تركة وجبت الزكاة عليه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 التذكرة </w:t>
      </w:r>
      <w:r>
        <w:rPr>
          <w:rStyle w:val="FootnoteAnchor"/>
          <w:rtl w:val="true"/>
        </w:rPr>
        <w:footnoteReference w:id="377"/>
      </w:r>
      <w:r>
        <w:rPr>
          <w:rFonts w:ascii="Amiri" w:hAnsi="Amiri" w:eastAsia="Amiri" w:cs="Amiri"/>
          <w:color w:val="111111"/>
          <w:sz w:val="28"/>
          <w:sz w:val="28"/>
          <w:szCs w:val="28"/>
          <w:rtl w:val="true"/>
          <w:lang w:bidi="ar-SA"/>
        </w:rPr>
        <w:t xml:space="preserve">وجها رابعا ، وهو أنّه إن كان للورثة مال يدفعونه في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عليهم الإخراج منه ؛ لأن الواجب حصل في ملكهم ، وتعلق حق الغرماء به لا يمنع من وجوب الزكاة </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كالمرهون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لهم ما يؤدّونه في الزكاة احتمل سقوطها لتعلّق الدين بالعين ، فيمنع من تعلّق الزكاة ووجوبها لتعلّق الزكاة أيضا بالعين ، فتقدّم على حقوق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والمختار عند جماعة من الأصحاب منهم الشيخ في المبسوط </w:t>
      </w:r>
      <w:r>
        <w:rPr>
          <w:rStyle w:val="FootnoteAnchor"/>
          <w:rtl w:val="true"/>
        </w:rPr>
        <w:footnoteReference w:id="379"/>
      </w:r>
      <w:r>
        <w:rPr>
          <w:rFonts w:ascii="Amiri" w:hAnsi="Amiri" w:eastAsia="Amiri" w:cs="Amiri"/>
          <w:color w:val="111111"/>
          <w:sz w:val="28"/>
          <w:sz w:val="28"/>
          <w:szCs w:val="28"/>
          <w:rtl w:val="true"/>
          <w:lang w:bidi="ar-SA"/>
        </w:rPr>
        <w:t xml:space="preserve">والفاضلان في الشرائع والمعتبر والمنتهى والقواعد عدم تعلّق الزكاة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الأظهر ، أمّا على القول بعدم انتقال المال إلى الوارث فظاهر حسبما عرفت ؛ وأمّا على القول بانتقاله إليه فللحجر عليهم من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قدرته على الافتكاك بدفع الدين من الخارج فهو لا يقضي بارتفاع الحجر قبل الدفع أو ما بمنزلته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حصوله لا زكاة لمنعه من التصرف فيه المانع من تعلّق الزكاة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أنّه لا منافاة عرفا بين انتفاء القدرة على التصرّف وحصول القدرة على تحصيل القدرة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كلام المحقق الأردبيلى حكاية الإجماع على سقوط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غريب منه مع شيوع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بما ذكرنا اندفاع احتمال التفصيل كما ذهب إليه في نهاية الإحكام وظاهر وجوب اخراج الزكاة من غيره لحجره عن التصرف فيه قبل أداء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خروج عن القاعدة كما سيجي‌ء الاشارة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 القول بوجوب الزكاة في المقام مطلقا كما هو ظاهر الذخيرة ؛ نظرا إلى منع كون المنع من التصرف مانعا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المحقق الكركي أنّه يحتمل قويا وجوبها مع الشرائط ؛ لأنّ تعلّق الدين بها أضعف من تعلّق الرهن ؛ لأنّ للوارث التصرّف بغير إذن من المدين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عندي الوجوب في متعلّق الدين على القول بملك الوارث ، لحصول السبب والشرط أعني إمكان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 الدين هنا أضعف من تعلّق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تعلّق الدين أضعف من تعلّق الرهن على فرض تسليمه لا يقضي بقدرة الوارث على التصرف من دون أداء الدين سيّما مع عدم قدرة الوارث على الافتكاك ، فالاحتمال المذكور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 ما فصّله في التذكرة لتعلّق الزكاة على فرض وجوبها بالعين ، فلو لم تكن تعلّق حق الديّان مانعا من تعلّقها لوجب في العين وقضى ذلك بصحّة إخراجها منها ، وإلّا لم 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وتملّك الوارث لما يؤديه في الزكاة وعدمه ممّا لا دخل له في تعلّق الزكاة بالمال المفروض ، سيّما مع إعساره وعدم إمكان فكّه بدفع الدين من غيره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على القول بوجوب الزكاة فيه وجواز الإخراج منه فهل على الوارث ضمان حصّة الزكاة للديّان؟ قولان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والمحكي عن البيان </w:t>
      </w:r>
      <w:r>
        <w:rPr>
          <w:rStyle w:val="FootnoteAnchor"/>
          <w:rtl w:val="true"/>
        </w:rPr>
        <w:footnoteReference w:id="381"/>
      </w:r>
      <w:r>
        <w:rPr>
          <w:rFonts w:ascii="Amiri" w:hAnsi="Amiri" w:eastAsia="Amiri" w:cs="Amiri"/>
          <w:color w:val="111111"/>
          <w:sz w:val="28"/>
          <w:sz w:val="28"/>
          <w:szCs w:val="28"/>
          <w:rtl w:val="true"/>
          <w:lang w:bidi="ar-SA"/>
        </w:rPr>
        <w:t>استقراب غرمه له ؛ نظرا إلى سبق حقّ الديان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وضعّفه في المدارك </w:t>
      </w:r>
      <w:r>
        <w:rPr>
          <w:rStyle w:val="FootnoteAnchor"/>
          <w:rtl w:val="true"/>
        </w:rPr>
        <w:footnoteReference w:id="382"/>
      </w:r>
      <w:r>
        <w:rPr>
          <w:rFonts w:ascii="Amiri" w:hAnsi="Amiri" w:eastAsia="Amiri" w:cs="Amiri"/>
          <w:color w:val="111111"/>
          <w:sz w:val="28"/>
          <w:sz w:val="28"/>
          <w:szCs w:val="28"/>
          <w:rtl w:val="true"/>
          <w:lang w:bidi="ar-SA"/>
        </w:rPr>
        <w:t xml:space="preserve">، واستقرب عدم الغرم ، وعلّله بأنّ الوجوب قهريّ </w:t>
      </w:r>
      <w:r>
        <w:rPr>
          <w:rStyle w:val="FootnoteAnchor"/>
          <w:rtl w:val="true"/>
        </w:rPr>
        <w:footnoteReference w:id="383"/>
      </w:r>
      <w:r>
        <w:rPr>
          <w:rFonts w:ascii="Amiri" w:hAnsi="Amiri" w:eastAsia="Amiri" w:cs="Amiri"/>
          <w:color w:val="111111"/>
          <w:sz w:val="28"/>
          <w:sz w:val="28"/>
          <w:szCs w:val="28"/>
          <w:rtl w:val="true"/>
          <w:lang w:bidi="ar-SA"/>
        </w:rPr>
        <w:t>كنقص القيمة السوقيّة والنفقة على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ويضعّفه أنّه إنّما يتمّ إذا كان التأخير من جهة الديّان كما إذا لم يكن حاضرا أو وصّى بالتأخير ، وأمّا إذا كان لامتناع الورثة عن الدفع فلا ؛ لكونهم سببا </w:t>
      </w:r>
      <w:r>
        <w:rPr>
          <w:rStyle w:val="FootnoteAnchor"/>
          <w:rtl w:val="true"/>
        </w:rPr>
        <w:footnoteReference w:id="384"/>
      </w:r>
      <w:r>
        <w:rPr>
          <w:rFonts w:ascii="Amiri" w:hAnsi="Amiri" w:eastAsia="Amiri" w:cs="Amiri"/>
          <w:color w:val="111111"/>
          <w:sz w:val="28"/>
          <w:sz w:val="28"/>
          <w:szCs w:val="28"/>
          <w:rtl w:val="true"/>
          <w:lang w:bidi="ar-SA"/>
        </w:rPr>
        <w:t xml:space="preserve">للنقص على الديان </w:t>
      </w:r>
      <w:r>
        <w:rPr>
          <w:rStyle w:val="FootnoteAnchor"/>
          <w:rtl w:val="true"/>
        </w:rPr>
        <w:footnoteReference w:id="385"/>
      </w:r>
      <w:r>
        <w:rPr>
          <w:rFonts w:ascii="Amiri" w:hAnsi="Amiri" w:eastAsia="Amiri" w:cs="Amiri"/>
          <w:color w:val="111111"/>
          <w:sz w:val="28"/>
          <w:sz w:val="28"/>
          <w:szCs w:val="28"/>
          <w:rtl w:val="true"/>
          <w:lang w:bidi="ar-SA"/>
        </w:rPr>
        <w:t>، وجعله من قبيل نقص القيمة السوقيّة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النفقة فلم يثبت كونها على التركة مطلقا ، ولو كان التأخير عن امتناع الورثة عن 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إذن إلحاق ذلك في الصورة المفروضة بإتلافهم لبعض التركة قبل الدفع إلى الديان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تأمّل هناك في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يفصّل في المقام بنحو آخر ، وذلك بالفرق بين ما إذا كانت الزكاة لازمة في المقام على تقدير الدفع إلى الديّان أيضا ، وما إذا لم يكن كذلك كما إذا كان النصاب ممّا يعتبر فيه الحول ؛ لهدمه بالدفع إليهم أو تعدد الديانة ولم يكن حصّة كلّ منهم بمقدار النصاب ، فلا غرم على الأوّل لكونها من لوازم المال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الزكاة على الديّان ودفعهم لها ، من أنفسهم غير وجوبها على الورثة ودفعهم لها فلا يسقط الضمان عنهم بمجرّد لزوم الزكاة على الوجهين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إمكان عدم وجوب الزكاة على الديّان ببيعه قبل تعلّق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بعد البناء على التغريم هل يتعين على الوارث إخراج الزكاة من غير العين إذا تمكّن منه؟ وجهان ؛ أظهرهما عدمه لتعلّق </w:t>
      </w:r>
      <w:r>
        <w:rPr>
          <w:rStyle w:val="FootnoteAnchor"/>
          <w:rtl w:val="true"/>
        </w:rPr>
        <w:footnoteReference w:id="386"/>
      </w:r>
      <w:r>
        <w:rPr>
          <w:rFonts w:ascii="Amiri" w:hAnsi="Amiri" w:eastAsia="Amiri" w:cs="Amiri"/>
          <w:color w:val="111111"/>
          <w:sz w:val="28"/>
          <w:sz w:val="28"/>
          <w:szCs w:val="28"/>
          <w:rtl w:val="true"/>
          <w:lang w:bidi="ar-SA"/>
        </w:rPr>
        <w:t>الزكاة بالعين ، ومعه يسقط حقّ الديان في حصّة الزكاة ، فيغرمه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في المدارك قولا باليقين ؛ إذ لا فائدة في الإخراج من العين ثمّ الغرم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ظاهر ؛ إذ انتفاء الفائدة لا يقضي بوجوب ذلك عليه على أنّه قد يترتب عليه فائدة للورثة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يوجّه ذلك بثبوت حقّ الديّان في العين ، فلا يسقط بمجرّد تعلّق الزكاة لإمكان دفعها من الخارج فيستصحب منعهم من التصرّف في العين من دون إذن الديّان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ويدفعه إذن ما مرّ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تكن العين الزكويّة موجودة حين الوفاة كما إذا ظهرت الثمرة بعد موته فإن قلنا ببقاء التركة على حكم مال الميّت إلى أن يستوفي المديون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زكاة فيه بالنسبة إلى الميّت ولا الورثة حسبما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أطلق في الشرائع سقوط الزكاة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 في المنتهى بسقوط الزكاة ولو حصل تعدد النصاب ؛ معلّلا بأنّها في حكم مال </w:t>
      </w:r>
      <w:r>
        <w:rPr>
          <w:rStyle w:val="FootnoteAnchor"/>
          <w:rtl w:val="true"/>
        </w:rPr>
        <w:footnoteReference w:id="387"/>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عليه أيضا في التحرير إلّا أنّه لم يعلّله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بأنّه إن بني على كون التركة في حكم مال الميّت ولو كانت زائدة على مقدار الدين فالأمر كذلك ، وأمّا </w:t>
      </w:r>
      <w:r>
        <w:rPr>
          <w:rStyle w:val="FootnoteAnchor"/>
          <w:rtl w:val="true"/>
        </w:rPr>
        <w:footnoteReference w:id="388"/>
      </w:r>
      <w:r>
        <w:rPr>
          <w:rFonts w:ascii="Amiri" w:hAnsi="Amiri" w:eastAsia="Amiri" w:cs="Amiri"/>
          <w:color w:val="111111"/>
          <w:sz w:val="28"/>
          <w:sz w:val="28"/>
          <w:szCs w:val="28"/>
          <w:rtl w:val="true"/>
          <w:lang w:bidi="ar-SA"/>
        </w:rPr>
        <w:t>إن خصّ ذلك بما يقابل الدين ويساويه فلا يتم التفريع</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بانتقالها إلى الوارث فقد قطع في المدارك </w:t>
      </w:r>
      <w:r>
        <w:rPr>
          <w:rStyle w:val="FootnoteAnchor"/>
          <w:rtl w:val="true"/>
        </w:rPr>
        <w:footnoteReference w:id="389"/>
      </w:r>
      <w:r>
        <w:rPr>
          <w:rFonts w:ascii="Amiri" w:hAnsi="Amiri" w:eastAsia="Amiri" w:cs="Amiri"/>
          <w:color w:val="111111"/>
          <w:sz w:val="28"/>
          <w:sz w:val="28"/>
          <w:szCs w:val="28"/>
          <w:rtl w:val="true"/>
          <w:lang w:bidi="ar-SA"/>
        </w:rPr>
        <w:t xml:space="preserve">حينئذ بوجوب الزكاة على الوارث لحدوثها في ملكه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يتعلّق بها الدين فيما قطع به الأصحاب ؛ لأنّها ليست جزء من </w:t>
      </w:r>
    </w:p>
    <w:p>
      <w:pPr>
        <w:pStyle w:val="BookText"/>
        <w:rPr/>
      </w:pPr>
      <w:r>
        <w:rPr>
          <w:rFonts w:ascii="Amiri" w:hAnsi="Amiri" w:eastAsia="Amiri" w:cs="Amiri"/>
          <w:color w:val="111111"/>
          <w:sz w:val="28"/>
          <w:sz w:val="28"/>
          <w:szCs w:val="28"/>
          <w:rtl w:val="true"/>
          <w:lang w:bidi="ar-SA"/>
        </w:rPr>
        <w:t>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رحمه‌اللّه محلّ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جعله من مقطوع الأصحاب لم نعثر عليه ، بل لم نجد من </w:t>
      </w:r>
      <w:r>
        <w:rPr>
          <w:rStyle w:val="FootnoteAnchor"/>
          <w:rtl w:val="true"/>
        </w:rPr>
        <w:footnoteReference w:id="390"/>
      </w:r>
      <w:r>
        <w:rPr>
          <w:rFonts w:ascii="Amiri" w:hAnsi="Amiri" w:eastAsia="Amiri" w:cs="Amiri"/>
          <w:color w:val="111111"/>
          <w:sz w:val="28"/>
          <w:sz w:val="28"/>
          <w:szCs w:val="28"/>
          <w:rtl w:val="true"/>
          <w:lang w:bidi="ar-SA"/>
        </w:rPr>
        <w:t xml:space="preserve">أفتى بعدم تعلّق الدين بها سوى ما في المنتهى </w:t>
      </w:r>
      <w:r>
        <w:rPr>
          <w:rStyle w:val="FootnoteAnchor"/>
          <w:rtl w:val="true"/>
        </w:rPr>
        <w:footnoteReference w:id="391"/>
      </w:r>
      <w:r>
        <w:rPr>
          <w:rFonts w:ascii="Amiri" w:hAnsi="Amiri" w:eastAsia="Amiri" w:cs="Amiri"/>
          <w:color w:val="111111"/>
          <w:sz w:val="28"/>
          <w:sz w:val="28"/>
          <w:szCs w:val="28"/>
          <w:rtl w:val="true"/>
          <w:lang w:bidi="ar-SA"/>
        </w:rPr>
        <w:t>حيث حكم بوجوب الزكاة في ثمر النخل لو مات المالك قبل اطلاعها لو قلنا بانتقال الملك إلى الورثة ، لكنّه رحمه‌اللّه لا يختار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قطع قبل ذلك بقليل لعدم وجوبها في الثمرة وإن زادت على الدين أفضل منها مقدار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أن الثمرة للورثة ، لأنّ الدين على ما اخترناه لا يمنع انتقال الملك إلى الورثة ، والثمرة حدثت في ملكهم فلا يتعلق الدين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ليس قطعا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كون الثمرة بمنزلة الأصل إذا كان في الدين ما يقابلها وجه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قطع في المسالك </w:t>
      </w:r>
      <w:r>
        <w:rPr>
          <w:rStyle w:val="FootnoteAnchor"/>
          <w:rtl w:val="true"/>
        </w:rPr>
        <w:footnoteReference w:id="393"/>
      </w:r>
      <w:r>
        <w:rPr>
          <w:rFonts w:ascii="Amiri" w:hAnsi="Amiri" w:eastAsia="Amiri" w:cs="Amiri"/>
          <w:color w:val="111111"/>
          <w:sz w:val="28"/>
          <w:sz w:val="28"/>
          <w:szCs w:val="28"/>
          <w:rtl w:val="true"/>
          <w:lang w:bidi="ar-SA"/>
        </w:rPr>
        <w:t>بعدم الفرق في عدم الوجوب حينئذ بين القول بانتقال التركة إلى الوارث أو أنّها على حكم مال الميّت ؛ لأنّه وإن حكم بانتقالها إليه لكن يمنع من التصرّف فيها قبل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يشير إلى ما قلناه ؛ إذ لو خلص له الثمرة على القول المذكور لم يعقل منعه من التصرف فيها وفي نهاية الإحكام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قبل بدوّ الصلاح فلا زكاة سواء قلنا بانتقال التركة إلى الوارث أو قلنا إنها على حكم مال الميت ؛ لمنع الوارث من التصرف فيها ، فانتفى شرط الوجوب</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إطلاقه يوافق ما حكيناه عن المسالك ، فعلى هذا الوجه ينزل النماء الحاصل بعد </w:t>
      </w:r>
    </w:p>
    <w:p>
      <w:pPr>
        <w:pStyle w:val="BookText"/>
        <w:rPr/>
      </w:pPr>
      <w:r>
        <w:rPr>
          <w:rFonts w:ascii="Amiri" w:hAnsi="Amiri" w:eastAsia="Amiri" w:cs="Amiri"/>
          <w:color w:val="111111"/>
          <w:sz w:val="28"/>
          <w:sz w:val="28"/>
          <w:szCs w:val="28"/>
          <w:rtl w:val="true"/>
          <w:lang w:bidi="ar-SA"/>
        </w:rPr>
        <w:t>الوفاة منزلة التركة ، فإن كان الدين مستوعبا للتركة معها أيضا جرى فيه الكلام المتقدّم ، وإن لم يكن مستوعبا أتى فيه ما سنذكره في غير المستوعب إلّا إذا كانت التركة مساوية للدين أو يحتمل حينئذ اختصاص حق الديّان فيه ، فيكون النماء الحاصل مختصا بالوارث ؛ إذ لا يعقل انتقاله إلى الديان ، وتعلّق حقه به أيضا مخالف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على القول بكونها في حكم مال الميت يجري ذلك أيضا في النماء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القول بتعلّق حق الديّان بالنماء أيضا ؛ أخذا بظاهر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إليه استحقاقه في النماء قطعا على فرض تلف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المسالك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الأولى </w:t>
      </w:r>
      <w:r>
        <w:rPr>
          <w:rStyle w:val="FootnoteAnchor"/>
          <w:rtl w:val="true"/>
        </w:rPr>
        <w:footnoteReference w:id="396"/>
      </w:r>
      <w:r>
        <w:rPr>
          <w:rFonts w:ascii="Amiri" w:hAnsi="Amiri" w:eastAsia="Amiri" w:cs="Amiri"/>
          <w:color w:val="111111"/>
          <w:sz w:val="28"/>
          <w:sz w:val="28"/>
          <w:szCs w:val="28"/>
          <w:rtl w:val="true"/>
          <w:lang w:bidi="ar-SA"/>
        </w:rPr>
        <w:t xml:space="preserve">بناء على الانتقال وجوب الزكاة على الوارث مع بلوغ نفسه </w:t>
      </w:r>
      <w:r>
        <w:rPr>
          <w:rStyle w:val="FootnoteAnchor"/>
          <w:rtl w:val="true"/>
        </w:rPr>
        <w:footnoteReference w:id="397"/>
      </w:r>
      <w:r>
        <w:rPr>
          <w:rFonts w:ascii="Amiri" w:hAnsi="Amiri" w:eastAsia="Amiri" w:cs="Amiri"/>
          <w:color w:val="111111"/>
          <w:sz w:val="28"/>
          <w:sz w:val="28"/>
          <w:szCs w:val="28"/>
          <w:rtl w:val="true"/>
          <w:lang w:bidi="ar-SA"/>
        </w:rPr>
        <w:t>ممّا يزيد على الدين نصابا وإن أمكن عروض الضمان عليه بتلف ما قابل الدين فصارت الأقوال في المقام ثلاثة أظهرها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واستقرب في الذخيرة القول بوجوب الزكاة في الثمرة بناء على القول بالانتقال إليه ، ولو قلنا بمنعه من التصرف فيه ؛ نظرا إلى منعه منع ذلك من تعلّق الوجوب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عرفت ضعفه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إذا لم يكن الدين مستوعبا فإن لم يفضل لكلّ من الورثة أو لبعضهم مقدار النصاب فالحال فيه كصورة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فضل فإن قلنا ببقاء التركة قبل أداء الدين على حكم مال الميّت ولو مع زيادتها عليه ، فلا زكاة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قلنا بالانتقال إلى الوارث ومنعه من التصرف مطلقا قبل الأداء ؛ لاحتمال التلف قبل الوفاء</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نصّ في المنتهى </w:t>
      </w:r>
      <w:r>
        <w:rPr>
          <w:rStyle w:val="FootnoteAnchor"/>
          <w:rtl w:val="true"/>
        </w:rPr>
        <w:footnoteReference w:id="398"/>
      </w:r>
      <w:r>
        <w:rPr>
          <w:rFonts w:ascii="Amiri" w:hAnsi="Amiri" w:eastAsia="Amiri" w:cs="Amiri"/>
          <w:color w:val="111111"/>
          <w:sz w:val="28"/>
          <w:sz w:val="28"/>
          <w:szCs w:val="28"/>
          <w:rtl w:val="true"/>
          <w:lang w:bidi="ar-SA"/>
        </w:rPr>
        <w:t xml:space="preserve">والتحرير </w:t>
      </w:r>
      <w:r>
        <w:rPr>
          <w:rStyle w:val="FootnoteAnchor"/>
          <w:rtl w:val="true"/>
        </w:rPr>
        <w:footnoteReference w:id="399"/>
      </w:r>
      <w:r>
        <w:rPr>
          <w:rFonts w:ascii="Amiri" w:hAnsi="Amiri" w:eastAsia="Amiri" w:cs="Amiri"/>
          <w:color w:val="111111"/>
          <w:sz w:val="28"/>
          <w:sz w:val="28"/>
          <w:szCs w:val="28"/>
          <w:rtl w:val="true"/>
          <w:lang w:bidi="ar-SA"/>
        </w:rPr>
        <w:t xml:space="preserve">على سقوط الزكاة حينئذ عن الوارث معلّلا له في </w:t>
      </w:r>
    </w:p>
    <w:p>
      <w:pPr>
        <w:pStyle w:val="BookText"/>
        <w:rPr/>
      </w:pPr>
      <w:r>
        <w:rPr>
          <w:rFonts w:ascii="Amiri" w:hAnsi="Amiri" w:eastAsia="Amiri" w:cs="Amiri"/>
          <w:color w:val="111111"/>
          <w:sz w:val="28"/>
          <w:sz w:val="28"/>
          <w:szCs w:val="28"/>
          <w:rtl w:val="true"/>
          <w:lang w:bidi="ar-SA"/>
        </w:rPr>
        <w:t>الأول بأن التركة على حكم مال الميّت وإن قلنا بعدم حجره فيما زاد على مقدار الدين كما هو الاظهر ؛ بل المتعيّن فيما إذا لم يتمكن من الدفع إلى الديّان فلا إشكال في وجوب الزكاة في القدر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في نهاية الإحكام </w:t>
      </w:r>
      <w:r>
        <w:rPr>
          <w:rStyle w:val="FootnoteAnchor"/>
          <w:rtl w:val="true"/>
        </w:rPr>
        <w:footnoteReference w:id="400"/>
      </w:r>
      <w:r>
        <w:rPr>
          <w:rFonts w:ascii="Amiri" w:hAnsi="Amiri" w:eastAsia="Amiri" w:cs="Amiri"/>
          <w:color w:val="111111"/>
          <w:sz w:val="28"/>
          <w:sz w:val="28"/>
          <w:szCs w:val="28"/>
          <w:rtl w:val="true"/>
          <w:lang w:bidi="ar-SA"/>
        </w:rPr>
        <w:t>على وجوب الزكاة فيه ويمكن القول به بناء على كون التركة في حكم مال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بانتقالها إلى الورثة لإمكان القول بذلك فيما يساوى الدين خاصة دون ما يزيد عليه كما أنّه يصح الحكم ، ينبغي الزكاة فيه على القولين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البيان </w:t>
      </w:r>
      <w:r>
        <w:rPr>
          <w:rStyle w:val="FootnoteAnchor"/>
          <w:rtl w:val="true"/>
        </w:rPr>
        <w:footnoteReference w:id="401"/>
      </w:r>
      <w:r>
        <w:rPr>
          <w:rFonts w:ascii="Amiri" w:hAnsi="Amiri" w:eastAsia="Amiri" w:cs="Amiri"/>
          <w:color w:val="111111"/>
          <w:sz w:val="28"/>
          <w:sz w:val="28"/>
          <w:szCs w:val="28"/>
          <w:rtl w:val="true"/>
          <w:lang w:bidi="ar-SA"/>
        </w:rPr>
        <w:t>من تفريع ثبوت الزكاة فيه على القول الثاني وعدمه على القول الأول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يقابل الدين من التركة فيجري فيه الكلام المتقدم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حصل له نماء زكوي جرى فيه أيضا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يمكن القول هنا بوجوب الزكاة في التركة مطلقا إلا أن يبقى منها مقدار الدين ؛ إذ لا يتعين شي‌ء منها للدين ، فللوارث التصرف في كل جزء منها إلى أن يبقى منها مقدار ما يحصل به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القول بانتقال التركة إلى الوارث لحصول الملكية حينئذ مع القدرة على التصرف بالنسبة إلى كل جزء منها ، وإن لم يكن قادرا على التصرف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يقوم احتمال وجوب الزكاة فيما إذا لم يكن الفاضل على الدين مقدار النصاب أيضا ؛ نظرا إلى حصول التمكن من التصرف في النصاب بالنسبة إلى كل جزء منه ، إلّا أنّه موهون بعدم صدق التمكن من التصرف في النصاب عرفا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القول بعدم انتقالها إلى الوارث فلا يتم ذلك ؛ لانتفاء الملكية بالنسبة إلى ما </w:t>
      </w:r>
      <w:bookmarkStart w:id="63" w:name="pg15853_153334"/>
    </w:p>
    <w:p>
      <w:pPr>
        <w:pStyle w:val="BookText"/>
        <w:rPr/>
      </w:pPr>
      <w:bookmarkEnd w:id="63"/>
      <w:r>
        <w:rPr>
          <w:rFonts w:ascii="Amiri" w:hAnsi="Amiri" w:eastAsia="Amiri" w:cs="Amiri"/>
          <w:color w:val="111111"/>
          <w:sz w:val="28"/>
          <w:sz w:val="28"/>
          <w:szCs w:val="28"/>
          <w:rtl w:val="true"/>
          <w:lang w:bidi="ar-SA"/>
        </w:rPr>
        <w:t>يقابل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فيما ذكرناه بين ما إذا كانت العين الزكوية من الغلات أو غيرها ؛ لاتحاد المناط في الكل وإن كان المفروض في كلام كثير منهم فرض المسألة في خصوص الغلات</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14587081_2142443653"/>
      <w:bookmarkStart w:id="65" w:name="_Toc23"/>
      <w:bookmarkEnd w:id="64"/>
      <w:r>
        <w:rPr>
          <w:rtl w:val="true"/>
        </w:rPr>
        <w:t xml:space="preserve">[ </w:t>
      </w:r>
      <w:r>
        <w:rPr>
          <w:rtl w:val="true"/>
        </w:rPr>
        <w:t xml:space="preserve">تنبيهات </w:t>
      </w:r>
      <w:r>
        <w:rPr>
          <w:rtl w:val="true"/>
        </w:rPr>
        <w:t>]</w:t>
      </w:r>
      <w:bookmarkEnd w:id="65"/>
    </w:p>
    <w:p>
      <w:pPr>
        <w:pStyle w:val="BookText"/>
        <w:rPr/>
      </w:pPr>
      <w:r>
        <w:rPr>
          <w:rFonts w:ascii="Amiri" w:hAnsi="Amiri" w:eastAsia="Amiri" w:cs="Amiri"/>
          <w:color w:val="111111"/>
          <w:sz w:val="28"/>
          <w:sz w:val="28"/>
          <w:szCs w:val="28"/>
          <w:rtl w:val="true"/>
          <w:lang w:bidi="ar-SA"/>
        </w:rPr>
        <w:t xml:space="preserve">وينبغي التنبيه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هناك من يدعي دينا على الميت فلا حجز على الورثة من التصرف قبل إثباته ، فإن عجز عن الإثبات فلا كلام ، وإن صالحه الورثة بشي‌ء من التركة كان ذلك بمنزلة انتقال جديد عنهم ، وإن أثبته بعد تعلق الوجوب فإن نقص به حق كل من الورثة عن النصاب كشف ذلك عن سقوط الزكاة ، وإلّا ففي كشف ذلك عن منعهم من التصرف والاكتفاء به في سقوط الزكاة وجه قويّ ؛ نظرا إلى استحقاق الغير فيه ، فهو نظير ما لو رهنه المورث ولم يعلم به الورثة إلّا بعد إثبات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القول بالوجوب لانتقاله إلى الورثة وتمكّنهم من التصرف فيه في ظاهر الشريعة ، فيتعلق به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قلنا بعدم انتقال المال إلى المورث في مقدار الدين فلا إشكال في سقوط الزكاة لكشفه عن انتفاء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يجري ما ذكرناه من سقوط الزكاة بسبب الحجر في حجر المريض عن التصرف فيما يزيد على الثلث أو لا يتعلق الحجر المذكور على القول به إلّا بنحو خاص من التصرف ؛ لأنّه يصدق به كونه ممنوعا من التصرف في المال مطلقا فلا يندرج تحت ما عرفت من الأدلة القاضية بسقوط الزكاة فيما لا يتمكّن من التصرف فيه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حجز السفيه فالظاهر عدم منعه من تعلق الزكاة بلا خلاف يظهر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في التذكرة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على السفيه؟ الوجه ذلك ، وهو بما يشعر باحتماله سقوط الزكاة فيه إلّا أنّه احتمال ضعيف ؛ لوضوح اندراجه في العمومات وقيام الولي مقامه في التصرفات ، فيكون المال عنده بمنزلة المال في يد الوكيل وليس الحجر عليه لحق الغير ، بل للمحافظة على ماله ، فلا يندرج فيما دل على انتفاء الزكاة مع انتفاء التمكن من التصرف ؛ إذ الظاهر عدم شموله لمثل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لم يتمكن الولي من التصرف فيه قوي انتفاء الزكاة سواء تمكن السفيه من التصرف فيه أو لا ؛ إذ لا عبرة شرعا بتصرفه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تغلب السفيه على الولي فقبض المال منه ففي تعلق الزكاة بماله وجهان ؛ أوجههما ذلك ؛ إذ الظاهر تعلق الوجوب به وإن تولى الولي إخراجها ؛ إذ لا منافاة بين الأمرين ، والحال فيها كسائر الواجبات المالية المتعلقة بأمواله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بسقوط جميع تلك الواجبات عنه وتعلّقها بالولي خاصة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فاستناد السقوط إلى فعله بارتفاع تمكّن الولي من جهته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حينئذ بكونه متمكّنا من التصرف في المال بتمكين الولي منه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ما قلناه أنّه لو علم السفيه بوجود المال دون الولي وجب عليه الزكاة ، ولزمه إعلام الولي ليدفعها عنه بخلاف ما لو قلنا بكون المناط فيه ملاحظة حال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 من عليه التصرف في العين من جهة اشتراط ما ينافيه في العقد اللازم سواء كان في ضمن العقد الناقل لعينه أو في ضمن عقد آخر ، كما إذا باعه العين الزكوية وشرط عليه أن يبقي العين عنده مدة معلومة ، فلا زكاة عليه في تلك المدة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يجري في الحول قبل مضيّها ؛ لعدم تمكنه شرعا من التصرفات الناقلة للعين ؛ لتعلق حق الغير حينئذ من جهة الاشتراط ، بناء على وجوب الوفاء بالشروط المذكورة ، ومن ذلك وجوب إبقائه المشتري لعين المبيع وعدم جواز تصرفه فيها بما ينقلها عنه أو يوجب إتلافها في </w:t>
      </w:r>
    </w:p>
    <w:p>
      <w:pPr>
        <w:pStyle w:val="BookText"/>
        <w:rPr/>
      </w:pPr>
      <w:r>
        <w:rPr>
          <w:rFonts w:ascii="Amiri" w:hAnsi="Amiri" w:eastAsia="Amiri" w:cs="Amiri"/>
          <w:color w:val="111111"/>
          <w:sz w:val="28"/>
          <w:sz w:val="28"/>
          <w:szCs w:val="28"/>
          <w:rtl w:val="true"/>
          <w:lang w:bidi="ar-SA"/>
        </w:rPr>
        <w:t>زمن الخيار المشترط للبائع ؛ فإنه إنّما يثبت ذلك من جهة اشتمال اشتراط الخيار على الاشتراط المذكور بحسب فهم العرف ؛ نظرا إلى جريان الطريقة على ذلك بحيث يفهم ذلك عرفا من اشتراط الخيار ، لا أنّ مجرد وجود الخيار قاض بالمنع منه ؛ نظرا إلى كونه حقا للغير ثابتا فيه ، فلا يجوز التصرف بما ينافيه ؛ لوضوح أن تصرفه في العين لا يقضي بسقوط خيار الآخر وإن أسقط خياره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اختصاص للخيار الثابت له في العقد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فغاية الأمر رجوعه عليه بعد الفسخ بعوضه من مثله أو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ولو كان مجرد ثبوت الخيار قاضيا بذلك لجرى في غير خيار الشرط من سائر الخيارات كخيار الغبن والعيب وتفريق الصفقة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أحدا لا يقول فيها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المنصوص في كلام جماعة من الأصحاب جريان النصاب في الحول أو وجوب الزكاة فيه في زمن الخيار الحاصل للبائع ، أو له وللمشتري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أفتى به الفاضلان في الشرائع </w:t>
      </w:r>
      <w:r>
        <w:rPr>
          <w:rStyle w:val="FootnoteAnchor"/>
          <w:rtl w:val="true"/>
        </w:rPr>
        <w:footnoteReference w:id="403"/>
      </w:r>
      <w:r>
        <w:rPr>
          <w:rFonts w:ascii="IRNazanin" w:hAnsi="IRNazanin" w:eastAsia="IRNazanin"/>
          <w:color w:val="111111"/>
          <w:sz w:val="28"/>
          <w:sz w:val="28"/>
          <w:szCs w:val="28"/>
          <w:rtl w:val="true"/>
          <w:lang w:bidi="fa-IR"/>
        </w:rPr>
        <w:t xml:space="preserve">والمعتبر </w:t>
      </w:r>
      <w:r>
        <w:rPr>
          <w:rStyle w:val="FootnoteAnchor"/>
          <w:rtl w:val="true"/>
        </w:rPr>
        <w:footnoteReference w:id="404"/>
      </w:r>
      <w:r>
        <w:rPr>
          <w:rFonts w:ascii="IRNazanin" w:hAnsi="IRNazanin" w:eastAsia="IRNazanin"/>
          <w:color w:val="111111"/>
          <w:sz w:val="28"/>
          <w:sz w:val="28"/>
          <w:szCs w:val="28"/>
          <w:rtl w:val="true"/>
          <w:lang w:bidi="fa-IR"/>
        </w:rPr>
        <w:t xml:space="preserve">والمنتهى </w:t>
      </w:r>
      <w:r>
        <w:rPr>
          <w:rStyle w:val="FootnoteAnchor"/>
          <w:rtl w:val="true"/>
        </w:rPr>
        <w:footnoteReference w:id="405"/>
      </w:r>
      <w:r>
        <w:rPr>
          <w:rFonts w:ascii="Amiri" w:hAnsi="Amiri" w:eastAsia="Amiri" w:cs="Amiri"/>
          <w:color w:val="111111"/>
          <w:sz w:val="28"/>
          <w:sz w:val="28"/>
          <w:szCs w:val="28"/>
          <w:rtl w:val="true"/>
          <w:lang w:bidi="ar-SA"/>
        </w:rPr>
        <w:t xml:space="preserve">والتذكرة </w:t>
      </w:r>
      <w:r>
        <w:rPr>
          <w:rStyle w:val="FootnoteAnchor"/>
          <w:rtl w:val="true"/>
        </w:rPr>
        <w:footnoteReference w:id="406"/>
      </w:r>
      <w:r>
        <w:rPr>
          <w:rFonts w:ascii="Amiri" w:hAnsi="Amiri" w:eastAsia="Amiri" w:cs="Amiri"/>
          <w:color w:val="111111"/>
          <w:sz w:val="28"/>
          <w:sz w:val="28"/>
          <w:szCs w:val="28"/>
          <w:rtl w:val="true"/>
          <w:lang w:bidi="ar-SA"/>
        </w:rPr>
        <w:t xml:space="preserve">والتحرير </w:t>
      </w:r>
      <w:r>
        <w:rPr>
          <w:rStyle w:val="FootnoteAnchor"/>
          <w:rtl w:val="true"/>
        </w:rPr>
        <w:footnoteReference w:id="407"/>
      </w:r>
      <w:r>
        <w:rPr>
          <w:rFonts w:ascii="IRNazanin" w:hAnsi="IRNazanin" w:eastAsia="IRNazanin"/>
          <w:color w:val="111111"/>
          <w:sz w:val="28"/>
          <w:sz w:val="28"/>
          <w:szCs w:val="28"/>
          <w:rtl w:val="true"/>
          <w:lang w:bidi="fa-IR"/>
        </w:rPr>
        <w:t xml:space="preserve">والقواعد </w:t>
      </w:r>
      <w:r>
        <w:rPr>
          <w:rStyle w:val="FootnoteAnchor"/>
          <w:rtl w:val="true"/>
        </w:rPr>
        <w:footnoteReference w:id="408"/>
      </w:r>
      <w:r>
        <w:rPr>
          <w:rFonts w:ascii="Amiri" w:hAnsi="Amiri" w:eastAsia="Amiri" w:cs="Amiri"/>
          <w:color w:val="111111"/>
          <w:sz w:val="28"/>
          <w:sz w:val="28"/>
          <w:szCs w:val="28"/>
          <w:rtl w:val="true"/>
          <w:lang w:bidi="ar-SA"/>
        </w:rPr>
        <w:t xml:space="preserve">ونهاية الإحكام </w:t>
      </w:r>
      <w:r>
        <w:rPr>
          <w:rStyle w:val="FootnoteAnchor"/>
          <w:rtl w:val="true"/>
        </w:rPr>
        <w:footnoteReference w:id="409"/>
      </w:r>
      <w:r>
        <w:rPr>
          <w:rFonts w:ascii="Amiri" w:hAnsi="Amiri" w:eastAsia="Amiri" w:cs="Amiri"/>
          <w:color w:val="111111"/>
          <w:sz w:val="28"/>
          <w:sz w:val="28"/>
          <w:szCs w:val="28"/>
          <w:rtl w:val="true"/>
          <w:lang w:bidi="ar-SA"/>
        </w:rPr>
        <w:t xml:space="preserve">والشهيد في الدروس </w:t>
      </w:r>
      <w:r>
        <w:rPr>
          <w:rStyle w:val="FootnoteAnchor"/>
          <w:rtl w:val="true"/>
        </w:rPr>
        <w:footnoteReference w:id="410"/>
      </w:r>
      <w:r>
        <w:rPr>
          <w:rFonts w:ascii="Amiri" w:hAnsi="Amiri" w:eastAsia="Amiri" w:cs="Amiri"/>
          <w:color w:val="111111"/>
          <w:sz w:val="28"/>
          <w:sz w:val="28"/>
          <w:szCs w:val="28"/>
          <w:rtl w:val="true"/>
          <w:lang w:bidi="ar-SA"/>
        </w:rPr>
        <w:t xml:space="preserve">والبيان </w:t>
      </w:r>
      <w:r>
        <w:rPr>
          <w:rStyle w:val="FootnoteAnchor"/>
          <w:rtl w:val="true"/>
        </w:rPr>
        <w:footnoteReference w:id="411"/>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ابتناء ذلك على جواز تصرفات المالك فيه مع حصول الخيار كما هو أحد القولين في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نص عليه في الإيضاح </w:t>
      </w:r>
      <w:r>
        <w:rPr>
          <w:rStyle w:val="FootnoteAnchor"/>
          <w:rtl w:val="true"/>
        </w:rPr>
        <w:footnoteReference w:id="412"/>
      </w:r>
      <w:r>
        <w:rPr>
          <w:rFonts w:ascii="Amiri" w:hAnsi="Amiri" w:eastAsia="Amiri" w:cs="Amiri"/>
          <w:color w:val="111111"/>
          <w:sz w:val="28"/>
          <w:sz w:val="28"/>
          <w:szCs w:val="28"/>
          <w:rtl w:val="true"/>
          <w:lang w:bidi="ar-SA"/>
        </w:rPr>
        <w:t xml:space="preserve">حيث علّل جريانه في الحول من حين العقد بتمكنه من سائر التصرفات بالعقد ، لكن قطع العلامة في القواعد </w:t>
      </w:r>
      <w:r>
        <w:rPr>
          <w:rStyle w:val="FootnoteAnchor"/>
          <w:rtl w:val="true"/>
        </w:rPr>
        <w:footnoteReference w:id="413"/>
      </w:r>
      <w:r>
        <w:rPr>
          <w:rFonts w:ascii="Amiri" w:hAnsi="Amiri" w:eastAsia="Amiri" w:cs="Amiri"/>
          <w:color w:val="111111"/>
          <w:sz w:val="28"/>
          <w:sz w:val="28"/>
          <w:szCs w:val="28"/>
          <w:rtl w:val="true"/>
          <w:lang w:bidi="ar-SA"/>
        </w:rPr>
        <w:t>بعدم جواز تصرفاته من البيع والهبة والوقف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الدروس </w:t>
      </w:r>
      <w:r>
        <w:rPr>
          <w:rStyle w:val="FootnoteAnchor"/>
          <w:rtl w:val="true"/>
        </w:rPr>
        <w:footnoteReference w:id="414"/>
      </w:r>
      <w:r>
        <w:rPr>
          <w:rFonts w:ascii="Amiri" w:hAnsi="Amiri" w:eastAsia="Amiri" w:cs="Amiri"/>
          <w:color w:val="111111"/>
          <w:sz w:val="28"/>
          <w:sz w:val="28"/>
          <w:szCs w:val="28"/>
          <w:rtl w:val="true"/>
          <w:lang w:bidi="ar-SA"/>
        </w:rPr>
        <w:t>أنّ فيه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فالقطع بثبوت الزكاة في المقام لا يوافق ما تقرّر عندهم من اشتراط الوجوب بإمكان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اتّجه في المسالك </w:t>
      </w:r>
      <w:r>
        <w:rPr>
          <w:rStyle w:val="FootnoteAnchor"/>
          <w:rtl w:val="true"/>
        </w:rPr>
        <w:footnoteReference w:id="415"/>
      </w:r>
      <w:r>
        <w:rPr>
          <w:rFonts w:ascii="Amiri" w:hAnsi="Amiri" w:eastAsia="Amiri" w:cs="Amiri"/>
          <w:color w:val="111111"/>
          <w:sz w:val="28"/>
          <w:sz w:val="28"/>
          <w:szCs w:val="28"/>
          <w:rtl w:val="true"/>
          <w:lang w:bidi="ar-SA"/>
        </w:rPr>
        <w:t>قول الشيخ ، وإن لم يقل بصحة مبناه ؛ لابتنائه عنده على عدم حصول إمكان التصرف في المقام على حسبما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ذلك عدم وجوب الزكاة هنا لا على البائع ولا على المشتري ؛ لانتفاء الملكية بالنسبة إلى أحدهما وانتفاء التمكن من التصرف بالنسبة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نبّه عليه في المدارك </w:t>
      </w:r>
      <w:r>
        <w:rPr>
          <w:rStyle w:val="FootnoteAnchor"/>
          <w:rtl w:val="true"/>
        </w:rPr>
        <w:footnoteReference w:id="416"/>
      </w:r>
      <w:r>
        <w:rPr>
          <w:rFonts w:ascii="Amiri" w:hAnsi="Amiri" w:eastAsia="Amiri" w:cs="Amiri"/>
          <w:color w:val="111111"/>
          <w:sz w:val="28"/>
          <w:sz w:val="28"/>
          <w:szCs w:val="28"/>
          <w:rtl w:val="true"/>
          <w:lang w:bidi="ar-SA"/>
        </w:rPr>
        <w:t xml:space="preserve">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ثبت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عدم التمكن من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من وجوب الزكاة اتّجه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لذلك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المتّجه حسبما قرّرناه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في الذخيرة </w:t>
      </w:r>
      <w:r>
        <w:rPr>
          <w:rStyle w:val="FootnoteAnchor"/>
          <w:rtl w:val="true"/>
        </w:rPr>
        <w:footnoteReference w:id="418"/>
      </w:r>
      <w:r>
        <w:rPr>
          <w:rFonts w:ascii="Amiri" w:hAnsi="Amiri" w:eastAsia="Amiri" w:cs="Amiri"/>
          <w:color w:val="111111"/>
          <w:sz w:val="28"/>
          <w:sz w:val="28"/>
          <w:szCs w:val="28"/>
          <w:rtl w:val="true"/>
          <w:lang w:bidi="ar-SA"/>
        </w:rPr>
        <w:t>من أنّ منع المشتري من التصرفات المنافية لخيار البائع كالبيع والهبة والإجارة يقتضي عدم صرف الزكاة في الفقراء إلّا بعد انقضاء الخيار ، لا عدم جريانه في الحول قبله ليس على ما ينبغي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مبني على عدم منع المنع من التصرف من وجوب الزكاة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عرفت ضعفه من ذلك ما لو باعه جنسا زكويّا في الذمّة وشرط عليه أداءه من عين معلومة مع عدم زيادة ذلك العين عن المبيع بمقدار النصاب ؛ نظرا إلى تعيّن صرفها في ذلك </w:t>
      </w:r>
      <w:r>
        <w:rPr>
          <w:rStyle w:val="FootnoteAnchor"/>
          <w:rtl w:val="true"/>
        </w:rPr>
        <w:footnoteReference w:id="419"/>
      </w:r>
      <w:r>
        <w:rPr>
          <w:rFonts w:ascii="IRNazanin" w:hAnsi="IRNazanin" w:eastAsia="IRNazanin"/>
          <w:color w:val="111111"/>
          <w:sz w:val="28"/>
          <w:sz w:val="28"/>
          <w:szCs w:val="28"/>
          <w:rtl w:val="true"/>
          <w:lang w:bidi="fa-IR"/>
        </w:rPr>
        <w:t xml:space="preserve">وعدم جواز إتلافه لها لو </w:t>
      </w:r>
      <w:r>
        <w:rPr>
          <w:rStyle w:val="FootnoteAnchor"/>
          <w:rtl w:val="true"/>
        </w:rPr>
        <w:footnoteReference w:id="420"/>
      </w:r>
      <w:r>
        <w:rPr>
          <w:rFonts w:ascii="Amiri" w:hAnsi="Amiri" w:eastAsia="Amiri" w:cs="Amiri"/>
          <w:color w:val="111111"/>
          <w:sz w:val="28"/>
          <w:sz w:val="28"/>
          <w:szCs w:val="28"/>
          <w:rtl w:val="true"/>
          <w:lang w:bidi="ar-SA"/>
        </w:rPr>
        <w:t>تصرّفه فيها بسائر الوجوه المنافية لدفعها إليه ، سيّما إذا لم يف الحاصل بوفاء الدين وأداء الزكاة فلا يتعلّق به الزكاة مع سبق الحق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ما يعتبر فيه الحول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ذلك بأنّ مجرّد الاشتراط المذكور لا يقضي بارتفاع سلطان البائع على ما شرط الدفع منه حسبما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يجب عليه مراعاة ذلك ، وهو لا يقضي بفساد تصرّفاته في العين وإن كانت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ذلك لا يقضي بارتفاع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 ولو كان صرف المال في مصرف معيّن مانعا من الزكاة لزم أن لا يتعلّق الزكاة بمال المديون إذا لم يتمكّن من أداء الدين إلّا بدفع ما عنده من النصاب ، وكان الديّان متقاضيا لحقّه ؛ لعدم تمكّنه من التصرّف فيه إلّا في الوجه المذكور مع إطباق الأصحاب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هناك خلاف للعامّة قد أشاروا إليه وحكموا بفساده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أنّ هناك فرقا بيّنا بين المقامين ؛ لتعلّق حق المشتري هنا بالعين ، نظرا إلى الاشتراط المذكور دون ما إذا انحصر أداء الحق في دفع النصاب ؛ إذ لا يتعلّق الحق حينئذ بالعين ، وإن تعيّن رفعها </w:t>
      </w:r>
      <w:r>
        <w:rPr>
          <w:rStyle w:val="FootnoteAnchor"/>
          <w:rtl w:val="true"/>
        </w:rPr>
        <w:footnoteReference w:id="421"/>
      </w:r>
      <w:r>
        <w:rPr>
          <w:rFonts w:ascii="Amiri" w:hAnsi="Amiri" w:eastAsia="Amiri" w:cs="Amiri"/>
          <w:color w:val="111111"/>
          <w:sz w:val="28"/>
          <w:sz w:val="28"/>
          <w:szCs w:val="28"/>
          <w:rtl w:val="true"/>
          <w:lang w:bidi="ar-SA"/>
        </w:rPr>
        <w:t>في ذلك ، فلا مانع فيه من تعلّق الزكاة بالعين بخلاف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زادت العين المفروضة عن القدر المشترط بمقدار النصاب وجبت الزكاة في الزائد ؛ لانتفاء المانع وسقطت القدر المشترط لما عرفت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يستشكل فيه من جهة حصول التمكّن من التصرّف بالنسبة إلى كلّ جزء ؛ نظرا إلى تخييره في التعيين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ينافي صدق كونه ممنوعا من التصرّف في ذلك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 وهو ممنوع من التصرف في المجموع ، وليس ذلك إلّا لامتناع تصرّفه في ذلك البعض ، ولا يقضي ذلك بامتناع تصرّفه في الجميع ؛ ليكون قاضيا بسقوط الزكاة عليها </w:t>
      </w:r>
      <w:r>
        <w:rPr>
          <w:rStyle w:val="FootnoteAnchor"/>
          <w:rtl w:val="true"/>
        </w:rPr>
        <w:footnoteReference w:id="422"/>
      </w:r>
      <w:r>
        <w:rPr>
          <w:rFonts w:ascii="Amiri" w:hAnsi="Amiri" w:eastAsia="Amiri" w:cs="Amiri"/>
          <w:color w:val="111111"/>
          <w:sz w:val="28"/>
          <w:sz w:val="28"/>
          <w:szCs w:val="28"/>
          <w:rtl w:val="true"/>
          <w:lang w:bidi="ar-SA"/>
        </w:rPr>
        <w:t>بالمرّة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 حينئذ شي‌ء من ملك العين فإن كان قبل حلول الحول ولم يكن الزائد حينئذ بمقدار النصاب فلا زكاة فلا زكاة بالمرة بالمرّة ، وإن كان بعد حلوله قضى ذلك بسقوط الزكاة عن العين بالنسبة ، وإن كان الباقي بمقدار وفاء الحق أو دونه قسط عليه وعلى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وجوب دفع الزكاة حينئذ من غير العين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يدفع أو لم يتمكّن منه تخيّر المشتري لانتفاء الشرط أو في الثاني بأداء الحق ، وإلا تخيّر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فيندرج فيه أيضا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الصدقة بعين النصاب ، سواء تعلّق به بخصوصه أو اندرج في جملة المنذور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نصّ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خلاف يعرف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سقوط الزكاة حينئذ عن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 في المبسوط ، والمحقّق في الشرائع </w:t>
      </w:r>
      <w:r>
        <w:rPr>
          <w:rStyle w:val="FootnoteAnchor"/>
          <w:rtl w:val="true"/>
        </w:rPr>
        <w:footnoteReference w:id="423"/>
      </w:r>
      <w:r>
        <w:rPr>
          <w:rFonts w:ascii="Amiri" w:hAnsi="Amiri" w:eastAsia="Amiri" w:cs="Amiri"/>
          <w:color w:val="111111"/>
          <w:sz w:val="28"/>
          <w:sz w:val="28"/>
          <w:szCs w:val="28"/>
          <w:rtl w:val="true"/>
          <w:lang w:bidi="ar-SA"/>
        </w:rPr>
        <w:t xml:space="preserve">والمعتبر ، والعلامة في المنتهى </w:t>
      </w:r>
      <w:r>
        <w:rPr>
          <w:rStyle w:val="FootnoteAnchor"/>
          <w:rtl w:val="true"/>
        </w:rPr>
        <w:footnoteReference w:id="424"/>
      </w:r>
      <w:r>
        <w:rPr>
          <w:rFonts w:ascii="Amiri" w:hAnsi="Amiri" w:eastAsia="Amiri" w:cs="Amiri"/>
          <w:color w:val="111111"/>
          <w:sz w:val="28"/>
          <w:sz w:val="28"/>
          <w:szCs w:val="28"/>
          <w:rtl w:val="true"/>
          <w:lang w:bidi="ar-SA"/>
        </w:rPr>
        <w:t xml:space="preserve">والتذكرة </w:t>
      </w:r>
      <w:r>
        <w:rPr>
          <w:rStyle w:val="FootnoteAnchor"/>
          <w:rtl w:val="true"/>
        </w:rPr>
        <w:footnoteReference w:id="425"/>
      </w:r>
      <w:r>
        <w:rPr>
          <w:rFonts w:ascii="Amiri" w:hAnsi="Amiri" w:eastAsia="Amiri" w:cs="Amiri"/>
          <w:color w:val="111111"/>
          <w:sz w:val="28"/>
          <w:sz w:val="28"/>
          <w:szCs w:val="28"/>
          <w:rtl w:val="true"/>
          <w:lang w:bidi="ar-SA"/>
        </w:rPr>
        <w:t xml:space="preserve">والتحرير </w:t>
      </w:r>
      <w:r>
        <w:rPr>
          <w:rStyle w:val="FootnoteAnchor"/>
          <w:rtl w:val="true"/>
        </w:rPr>
        <w:footnoteReference w:id="426"/>
      </w:r>
      <w:r>
        <w:rPr>
          <w:rFonts w:ascii="IRNazanin" w:hAnsi="IRNazanin" w:eastAsia="IRNazanin"/>
          <w:color w:val="111111"/>
          <w:sz w:val="28"/>
          <w:sz w:val="28"/>
          <w:szCs w:val="28"/>
          <w:rtl w:val="true"/>
          <w:lang w:bidi="fa-IR"/>
        </w:rPr>
        <w:t xml:space="preserve">والقواعد </w:t>
      </w:r>
      <w:r>
        <w:rPr>
          <w:rStyle w:val="FootnoteAnchor"/>
          <w:rtl w:val="true"/>
        </w:rPr>
        <w:footnoteReference w:id="427"/>
      </w:r>
      <w:r>
        <w:rPr>
          <w:rFonts w:ascii="Amiri" w:hAnsi="Amiri" w:eastAsia="Amiri" w:cs="Amiri"/>
          <w:color w:val="111111"/>
          <w:sz w:val="28"/>
          <w:sz w:val="28"/>
          <w:szCs w:val="28"/>
          <w:rtl w:val="true"/>
          <w:lang w:bidi="ar-SA"/>
        </w:rPr>
        <w:t xml:space="preserve">ونهاية الإحكام </w:t>
      </w:r>
      <w:r>
        <w:rPr>
          <w:rStyle w:val="FootnoteAnchor"/>
          <w:rtl w:val="true"/>
        </w:rPr>
        <w:footnoteReference w:id="428"/>
      </w:r>
      <w:r>
        <w:rPr>
          <w:rFonts w:ascii="Amiri" w:hAnsi="Amiri" w:eastAsia="Amiri" w:cs="Amiri"/>
          <w:color w:val="111111"/>
          <w:sz w:val="28"/>
          <w:sz w:val="28"/>
          <w:szCs w:val="28"/>
          <w:rtl w:val="true"/>
          <w:lang w:bidi="ar-SA"/>
        </w:rPr>
        <w:t xml:space="preserve">، وولده في الإيضاح </w:t>
      </w:r>
      <w:r>
        <w:rPr>
          <w:rStyle w:val="FootnoteAnchor"/>
          <w:rtl w:val="true"/>
        </w:rPr>
        <w:footnoteReference w:id="429"/>
      </w:r>
      <w:r>
        <w:rPr>
          <w:rFonts w:ascii="Amiri" w:hAnsi="Amiri" w:eastAsia="Amiri" w:cs="Amiri"/>
          <w:color w:val="111111"/>
          <w:sz w:val="28"/>
          <w:sz w:val="28"/>
          <w:szCs w:val="28"/>
          <w:rtl w:val="true"/>
          <w:lang w:bidi="ar-SA"/>
        </w:rPr>
        <w:t xml:space="preserve">، والشهيدان في </w:t>
      </w:r>
    </w:p>
    <w:p>
      <w:pPr>
        <w:pStyle w:val="BookText"/>
        <w:rPr/>
      </w:pPr>
      <w:r>
        <w:rPr>
          <w:rFonts w:ascii="Amiri" w:hAnsi="Amiri" w:eastAsia="Amiri" w:cs="Amiri"/>
          <w:color w:val="111111"/>
          <w:sz w:val="28"/>
          <w:sz w:val="28"/>
          <w:szCs w:val="28"/>
          <w:rtl w:val="true"/>
          <w:lang w:bidi="ar-SA"/>
        </w:rPr>
        <w:t xml:space="preserve">البيان </w:t>
      </w:r>
      <w:r>
        <w:rPr>
          <w:rStyle w:val="FootnoteAnchor"/>
          <w:rtl w:val="true"/>
        </w:rPr>
        <w:footnoteReference w:id="430"/>
      </w:r>
      <w:r>
        <w:rPr>
          <w:rFonts w:ascii="Amiri" w:hAnsi="Amiri" w:eastAsia="Amiri" w:cs="Amiri"/>
          <w:color w:val="111111"/>
          <w:sz w:val="28"/>
          <w:sz w:val="28"/>
          <w:szCs w:val="28"/>
          <w:rtl w:val="true"/>
          <w:lang w:bidi="ar-SA"/>
        </w:rPr>
        <w:t xml:space="preserve">والمسالك </w:t>
      </w:r>
      <w:r>
        <w:rPr>
          <w:rStyle w:val="FootnoteAnchor"/>
          <w:rtl w:val="true"/>
        </w:rPr>
        <w:footnoteReference w:id="431"/>
      </w:r>
      <w:r>
        <w:rPr>
          <w:rFonts w:ascii="Amiri" w:hAnsi="Amiri" w:eastAsia="Amiri" w:cs="Amiri"/>
          <w:color w:val="111111"/>
          <w:sz w:val="28"/>
          <w:sz w:val="28"/>
          <w:szCs w:val="28"/>
          <w:rtl w:val="true"/>
          <w:lang w:bidi="ar-SA"/>
        </w:rPr>
        <w:t xml:space="preserve">والروضة ، والمحقق الكركي </w:t>
      </w:r>
      <w:r>
        <w:rPr>
          <w:rStyle w:val="FootnoteAnchor"/>
          <w:rtl w:val="true"/>
        </w:rPr>
        <w:footnoteReference w:id="432"/>
      </w:r>
      <w:r>
        <w:rPr>
          <w:rFonts w:ascii="Amiri" w:hAnsi="Amiri" w:eastAsia="Amiri" w:cs="Amiri"/>
          <w:color w:val="111111"/>
          <w:sz w:val="28"/>
          <w:sz w:val="28"/>
          <w:szCs w:val="28"/>
          <w:rtl w:val="true"/>
          <w:lang w:bidi="ar-SA"/>
        </w:rPr>
        <w:t xml:space="preserve">وصاحب المدارك </w:t>
      </w:r>
      <w:r>
        <w:rPr>
          <w:rStyle w:val="FootnoteAnchor"/>
          <w:rtl w:val="true"/>
        </w:rPr>
        <w:footnoteReference w:id="433"/>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لتعيّن صرفه في النذر وعدم جواز صرفه في غير ذلك ، فلا يتمكّن من التصرّف فيه ، وإن تعيب الملكيّة كما نصّ عليه جماعة منهم العلّامة في التذكرة والنهاية ، والشهيد الثاني في المسالك ، والسيد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يظهر من المنتهى خروجه عن الملك بمجرّد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أراد به الملك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في المقام أن القدر الثابت بالنذر إنّما هو وجوب صرفه في المصرف المنذور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يقضي بعدم صحّة سائر التصرفات المتعلّقة به ممّا يخالف ذلك إذا قضاه وقوع الحنث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المقدار وغيره كاف </w:t>
      </w:r>
      <w:r>
        <w:rPr>
          <w:rStyle w:val="FootnoteAnchor"/>
          <w:rtl w:val="true"/>
        </w:rPr>
        <w:footnoteReference w:id="434"/>
      </w:r>
      <w:r>
        <w:rPr>
          <w:rFonts w:ascii="Amiri" w:hAnsi="Amiri" w:eastAsia="Amiri" w:cs="Amiri"/>
          <w:color w:val="111111"/>
          <w:sz w:val="28"/>
          <w:sz w:val="28"/>
          <w:szCs w:val="28"/>
          <w:rtl w:val="true"/>
          <w:lang w:bidi="ar-SA"/>
        </w:rPr>
        <w:t>في سقوط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 ولو كان تعيّن المصرف شرعا موجبا لنقص الملكيّة والخروج عن التمكّن من التصرّف لجرى في مواضع لا يقولون به كما مرّت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قلنا بفساد بيع المنذور وسائر التصرفات المخالفة لجهة النذر تمّ ذلك ، لكن لم نجد إلى الآن دليلا صالحا يفي بذلك لاندراجه في الإطلاقات ، والنهي إنّما تعلّق به لأمر خارج عن حقيقة المعاملة ، فلا يقضي بالفساد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يعلّل ذلك بوجه آخر ،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تعلّق النذر بالنصاب وانعقاده يتعيّن عليه شرعا صرفه في ذلك فلا يجوز </w:t>
      </w:r>
      <w:r>
        <w:rPr>
          <w:rStyle w:val="FootnoteAnchor"/>
          <w:rtl w:val="true"/>
        </w:rPr>
        <w:footnoteReference w:id="435"/>
      </w:r>
      <w:r>
        <w:rPr>
          <w:rFonts w:ascii="Amiri" w:hAnsi="Amiri" w:eastAsia="Amiri" w:cs="Amiri"/>
          <w:color w:val="111111"/>
          <w:sz w:val="28"/>
          <w:sz w:val="28"/>
          <w:szCs w:val="28"/>
          <w:rtl w:val="true"/>
          <w:lang w:bidi="ar-SA"/>
        </w:rPr>
        <w:t>صرفه في غيره ، ومن جملته الصرف في الزكاة ، فلا مجال لتعلّق الزكاة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وكأنّ هذا مراد صاحب المدارك </w:t>
      </w:r>
      <w:r>
        <w:rPr>
          <w:rStyle w:val="FootnoteAnchor"/>
          <w:rtl w:val="true"/>
        </w:rPr>
        <w:footnoteReference w:id="436"/>
      </w:r>
      <w:r>
        <w:rPr>
          <w:rFonts w:ascii="Amiri" w:hAnsi="Amiri" w:eastAsia="Amiri" w:cs="Amiri"/>
          <w:color w:val="111111"/>
          <w:sz w:val="28"/>
          <w:sz w:val="28"/>
          <w:szCs w:val="28"/>
          <w:rtl w:val="true"/>
          <w:lang w:bidi="ar-SA"/>
        </w:rPr>
        <w:t>حيث قطع في المقام بسقوط الزكاة معلّلا بتعيّنه للصدقة وامتناع التصرف فيه بغيرها ؛ نظرا إلى عدم قيام دليل عنده على اشتراط وجوب الزكاة بالتمكّن من التصرف فيه على سبيل الإطلاق ليجري عليه في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استشكل في مقامات عديدة بعد تسليمه عدم إمكان التصرف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يتمّ لو ثبت تعيّن صرفه في ذلك ولو بعد حولان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عليه سوى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معارض بإطلاقات </w:t>
      </w:r>
      <w:r>
        <w:rPr>
          <w:rStyle w:val="FootnoteAnchor"/>
          <w:rtl w:val="true"/>
        </w:rPr>
        <w:footnoteReference w:id="437"/>
      </w:r>
      <w:r>
        <w:rPr>
          <w:rFonts w:ascii="Amiri" w:hAnsi="Amiri" w:eastAsia="Amiri" w:cs="Amiri"/>
          <w:color w:val="111111"/>
          <w:sz w:val="28"/>
          <w:sz w:val="28"/>
          <w:szCs w:val="28"/>
          <w:rtl w:val="true"/>
          <w:lang w:bidi="ar-SA"/>
        </w:rPr>
        <w:t>الزكاة الموجبة لصرف حصّة منه في مصرف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ترجيحها بأنّ وجوب الزكاة إنّما ثبت بأصل الشرع ، فلا يعارضه الوجوب العارضي ؛ فإن تلك الأسباب إن صارف </w:t>
      </w:r>
      <w:r>
        <w:rPr>
          <w:rStyle w:val="FootnoteAnchor"/>
          <w:rtl w:val="true"/>
        </w:rPr>
        <w:footnoteReference w:id="438"/>
      </w:r>
      <w:r>
        <w:rPr>
          <w:rFonts w:ascii="Amiri" w:hAnsi="Amiri" w:eastAsia="Amiri" w:cs="Amiri"/>
          <w:color w:val="111111"/>
          <w:sz w:val="28"/>
          <w:sz w:val="28"/>
          <w:szCs w:val="28"/>
          <w:rtl w:val="true"/>
          <w:lang w:bidi="ar-SA"/>
        </w:rPr>
        <w:t>محلا قابلا أثرت فيه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أنّه لو عارض الزكاة وجوب صرف المال في سائر الوجوه لم يمنع من وجوبها ، فالاحتجاج المذكور منقوض بذلك ، فالأحسن الاستناد في ذلك إلى تعلّق ذلك </w:t>
      </w:r>
      <w:r>
        <w:rPr>
          <w:rStyle w:val="FootnoteAnchor"/>
          <w:rtl w:val="true"/>
        </w:rPr>
        <w:footnoteReference w:id="439"/>
      </w:r>
      <w:r>
        <w:rPr>
          <w:rFonts w:ascii="Amiri" w:hAnsi="Amiri" w:eastAsia="Amiri" w:cs="Amiri"/>
          <w:color w:val="111111"/>
          <w:sz w:val="28"/>
          <w:sz w:val="28"/>
          <w:szCs w:val="28"/>
          <w:rtl w:val="true"/>
          <w:lang w:bidi="ar-SA"/>
        </w:rPr>
        <w:t xml:space="preserve">الحق 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بعدمه اقتضائه فساد التصرفات المتعلقة بها ، وذلك لأن تعل ذلك الحق بالعين </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ينافي قبولها لتعلّق الزكاة بها ؛ للمنافاة الظاهرة بين الأمرين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وليس في كلام جماعة من الأصحاب كالديلمي والقاضي والحلبي وابن زهرة والحلّي تعرّضا لنفي الزكاة من جهة تعلّق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يشعر ذلك بنفيهم منعه من تعلّق الزكاة إلّا أنّه ليس فيه دلالة ظاهرة على ذلك ليصحّ عدّ ذلك خلافا في المقام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bookmarkStart w:id="66" w:name="pg15853_153342"/>
    </w:p>
    <w:p>
      <w:pPr>
        <w:pStyle w:val="Heading5"/>
        <w:numPr>
          <w:ilvl w:val="4"/>
          <w:numId w:val="1"/>
        </w:numPr>
        <w:rPr/>
      </w:pPr>
      <w:bookmarkStart w:id="67" w:name="__RefHeading___Toc14587083_2142443653"/>
      <w:bookmarkStart w:id="68" w:name="_Toc24"/>
      <w:bookmarkEnd w:id="66"/>
      <w:bookmarkEnd w:id="67"/>
      <w:r>
        <w:rPr>
          <w:rtl w:val="true"/>
        </w:rPr>
        <w:t xml:space="preserve">[ </w:t>
      </w:r>
      <w:r>
        <w:rPr>
          <w:rtl w:val="true"/>
        </w:rPr>
        <w:t xml:space="preserve">تتمّة </w:t>
      </w:r>
      <w:r>
        <w:rPr>
          <w:rtl w:val="true"/>
        </w:rPr>
        <w:t>]</w:t>
      </w:r>
      <w:bookmarkEnd w:id="68"/>
    </w:p>
    <w:p>
      <w:pPr>
        <w:pStyle w:val="BookText"/>
        <w:rPr/>
      </w:pPr>
      <w:r>
        <w:rPr>
          <w:rFonts w:ascii="Amiri" w:hAnsi="Amiri" w:eastAsia="Amiri" w:cs="Amiri"/>
          <w:color w:val="111111"/>
          <w:sz w:val="28"/>
          <w:sz w:val="28"/>
          <w:szCs w:val="28"/>
          <w:rtl w:val="true"/>
          <w:lang w:bidi="ar-SA"/>
        </w:rPr>
        <w:t xml:space="preserve">ولنتمّ الكلام في المرام بذكر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الحكم المذكور بين نذر الصدقة أو الصرف في غيرها من وجوه البرّ وغيرها كدفعه عن الزكاة الواجبة عليه أو الخمس أو صرفه في صلة الأرحام ومئونة الأضياف أو في قضاء ما عليه من الدين ونحو ذلك ؛ لاتحاد المناط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أن لا يخرجه عن ملكه أو نذر بيعه أو إجارته ونحو ذلك ففي تسرية الحكم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أجد في كلامهم تصريحا بالتعميم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ذلك بين النذر والعهد واليمين لاشتراك الكلّ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علّق النذر على شرط متوقع كقدوم مسافر أو شفاء مريض ففي جريان الحكم المذكور قبل حصول الشرط قولان ؛ فالمختار عند جماعة منهم العلّامة في النهاية </w:t>
      </w:r>
      <w:r>
        <w:rPr>
          <w:rStyle w:val="FootnoteAnchor"/>
          <w:rtl w:val="true"/>
        </w:rPr>
        <w:footnoteReference w:id="442"/>
      </w:r>
      <w:r>
        <w:rPr>
          <w:rFonts w:ascii="Amiri" w:hAnsi="Amiri" w:eastAsia="Amiri" w:cs="Amiri"/>
          <w:color w:val="111111"/>
          <w:sz w:val="28"/>
          <w:sz w:val="28"/>
          <w:szCs w:val="28"/>
          <w:rtl w:val="true"/>
          <w:lang w:bidi="ar-SA"/>
        </w:rPr>
        <w:t xml:space="preserve">، وولده في الايضاح </w:t>
      </w:r>
      <w:r>
        <w:rPr>
          <w:rStyle w:val="FootnoteAnchor"/>
          <w:rtl w:val="true"/>
        </w:rPr>
        <w:footnoteReference w:id="443"/>
      </w:r>
      <w:r>
        <w:rPr>
          <w:rFonts w:ascii="Amiri" w:hAnsi="Amiri" w:eastAsia="Amiri" w:cs="Amiri"/>
          <w:color w:val="111111"/>
          <w:sz w:val="28"/>
          <w:sz w:val="28"/>
          <w:szCs w:val="28"/>
          <w:rtl w:val="true"/>
          <w:lang w:bidi="ar-SA"/>
        </w:rPr>
        <w:t xml:space="preserve">، والمحقق الكركي </w:t>
      </w:r>
      <w:r>
        <w:rPr>
          <w:rStyle w:val="FootnoteAnchor"/>
          <w:rtl w:val="true"/>
        </w:rPr>
        <w:footnoteReference w:id="444"/>
      </w:r>
      <w:r>
        <w:rPr>
          <w:rFonts w:ascii="Amiri" w:hAnsi="Amiri" w:eastAsia="Amiri" w:cs="Amiri"/>
          <w:color w:val="111111"/>
          <w:sz w:val="28"/>
          <w:sz w:val="28"/>
          <w:szCs w:val="28"/>
          <w:rtl w:val="true"/>
          <w:lang w:bidi="ar-SA"/>
        </w:rPr>
        <w:t>سقوط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في الايضاح قولا بعدم سقوطها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فيه في التذكرة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وتنظر فيه في القواعد </w:t>
      </w:r>
      <w:r>
        <w:rPr>
          <w:rStyle w:val="FootnoteAnchor"/>
          <w:rtl w:val="true"/>
        </w:rPr>
        <w:footnoteReference w:id="446"/>
      </w:r>
      <w:r>
        <w:rPr>
          <w:rFonts w:ascii="Amiri" w:hAnsi="Amiri" w:eastAsia="Amiri" w:cs="Amiri"/>
          <w:color w:val="111111"/>
          <w:sz w:val="28"/>
          <w:sz w:val="28"/>
          <w:szCs w:val="28"/>
          <w:rtl w:val="true"/>
          <w:lang w:bidi="ar-SA"/>
        </w:rPr>
        <w:t>والمسالك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ومبنى المسألة على أن النذر المفروض هل يقضي بالمنع من التصرف في المنذور قبل حصول الشرط أو لا؟ فمنهم من حكم بذلك ، فيتفرع عليه سقوط الزكاة ؛ لما عرفت من اشتراط التمكّن من التصرف في وجوبه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وتأمّل فيه في المدارك </w:t>
      </w:r>
      <w:r>
        <w:rPr>
          <w:rStyle w:val="FootnoteAnchor"/>
          <w:rtl w:val="true"/>
        </w:rPr>
        <w:footnoteReference w:id="447"/>
      </w:r>
      <w:r>
        <w:rPr>
          <w:rFonts w:ascii="Amiri" w:hAnsi="Amiri" w:eastAsia="Amiri" w:cs="Amiri"/>
          <w:color w:val="111111"/>
          <w:sz w:val="28"/>
          <w:sz w:val="28"/>
          <w:szCs w:val="28"/>
          <w:rtl w:val="true"/>
          <w:lang w:bidi="ar-SA"/>
        </w:rPr>
        <w:t xml:space="preserve">مع حكمه بمنعه من التصرّفات المانعة لأداء المنذور ؛ نظرا إلى تأمّله في مانعيّة المنع من التصرّفات لوجوب الزكاة مطلقا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 كون ذلك مانعا لوجوب الزكاة كما ذكره الأصحاب انقطع الحول بمجرّد النذر ، وإلّا وجبت الزكاة مع تمامه ، وكأنّ القدر المخرج من النصاب كالتالف من المنذور ، وتجب الصدقة بالباقي مع حصول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المنع الشرعيّ من التصرف في المال إن كان من جهة تعلّق الحق بالعين أمكن جعله مانعا من وجوب الزكاة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مجرّد وجوب تبعيّة المال لصرفه في </w:t>
      </w:r>
      <w:r>
        <w:rPr>
          <w:rStyle w:val="FootnoteAnchor"/>
          <w:rtl w:val="true"/>
        </w:rPr>
        <w:footnoteReference w:id="448"/>
      </w:r>
      <w:r>
        <w:rPr>
          <w:rFonts w:ascii="Amiri" w:hAnsi="Amiri" w:eastAsia="Amiri" w:cs="Amiri"/>
          <w:color w:val="111111"/>
          <w:sz w:val="28"/>
          <w:sz w:val="28"/>
          <w:szCs w:val="28"/>
          <w:rtl w:val="true"/>
          <w:lang w:bidi="ar-SA"/>
        </w:rPr>
        <w:t>مصرف معين من غير تعلّق الحقّ بالعين فليس مانعا من تعلّق الزكاة ، فإن قلنا بكون تعلّق النذر في المقام موجبا لتعلّق حق بالعين مانع من التصرف فيها اتّجه القول بنفي الزكاة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نقل بتعلّق حقّ بالعين لكن أوجبنا إبقاءها استظهارا لتمكّن الوفاء بالنذر </w:t>
      </w:r>
      <w:r>
        <w:rPr>
          <w:rStyle w:val="FootnoteAnchor"/>
          <w:rtl w:val="true"/>
        </w:rPr>
        <w:footnoteReference w:id="449"/>
      </w:r>
      <w:r>
        <w:rPr>
          <w:rFonts w:ascii="Amiri" w:hAnsi="Amiri" w:eastAsia="Amiri" w:cs="Amiri"/>
          <w:color w:val="111111"/>
          <w:sz w:val="28"/>
          <w:sz w:val="28"/>
          <w:szCs w:val="28"/>
          <w:rtl w:val="true"/>
          <w:lang w:bidi="ar-SA"/>
        </w:rPr>
        <w:t>، وبعد تحقّق ما علّق عليه فلا وجه لانتفاء الزكاة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فالشأن على القول بمنع المالك من التصرف في العين في تعيين أحد الوجهين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الأظهر هو الأوّل ؛ انصرافا للنذر المفروض عرفا إلى نذر الإتيان بالفعل المذكور عند حصول ما علّق عليه ونذر إبقائه إلى الوقت الذي يمكن فيه حصول ذلك كما مرّ نظيره في اشتراط الخيار في وقت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عند حصول فعل معين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انعقد النذر المفروض بتحقّق شرائط النذر تعلّق الحق بالعين ، وكانت مستحقّة للإبقاء ، فلا يمكن تعلّق الزكاة بها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المال المعيّن صدقة بالنذر أو جعل الأغنام المعيّنة ضحايا سقطت </w:t>
      </w:r>
    </w:p>
    <w:p>
      <w:pPr>
        <w:pStyle w:val="BookText"/>
        <w:rPr/>
      </w:pPr>
      <w:r>
        <w:rPr>
          <w:rFonts w:ascii="Amiri" w:hAnsi="Amiri" w:eastAsia="Amiri" w:cs="Amiri"/>
          <w:color w:val="111111"/>
          <w:sz w:val="28"/>
          <w:sz w:val="28"/>
          <w:szCs w:val="28"/>
          <w:rtl w:val="true"/>
          <w:lang w:bidi="ar-SA"/>
        </w:rPr>
        <w:t xml:space="preserve">الزكاة بالأولى ، كما </w:t>
      </w:r>
      <w:r>
        <w:rPr>
          <w:rStyle w:val="FootnoteAnchor"/>
          <w:rtl w:val="true"/>
        </w:rPr>
        <w:footnoteReference w:id="450"/>
      </w:r>
      <w:r>
        <w:rPr>
          <w:rFonts w:ascii="Amiri" w:hAnsi="Amiri" w:eastAsia="Amiri" w:cs="Amiri"/>
          <w:color w:val="111111"/>
          <w:sz w:val="28"/>
          <w:sz w:val="28"/>
          <w:szCs w:val="28"/>
          <w:rtl w:val="true"/>
          <w:lang w:bidi="ar-SA"/>
        </w:rPr>
        <w:t xml:space="preserve">ذكره في القواعد </w:t>
      </w:r>
      <w:r>
        <w:rPr>
          <w:rStyle w:val="FootnoteAnchor"/>
          <w:rtl w:val="true"/>
        </w:rPr>
        <w:footnoteReference w:id="451"/>
      </w:r>
      <w:r>
        <w:rPr>
          <w:rFonts w:ascii="Amiri" w:hAnsi="Amiri" w:eastAsia="Amiri" w:cs="Amiri"/>
          <w:color w:val="111111"/>
          <w:sz w:val="28"/>
          <w:sz w:val="28"/>
          <w:szCs w:val="28"/>
          <w:rtl w:val="true"/>
          <w:lang w:bidi="ar-SA"/>
        </w:rPr>
        <w:t xml:space="preserve">والتذكرة </w:t>
      </w:r>
      <w:r>
        <w:rPr>
          <w:rStyle w:val="FootnoteAnchor"/>
          <w:rtl w:val="true"/>
        </w:rPr>
        <w:footnoteReference w:id="452"/>
      </w:r>
      <w:r>
        <w:rPr>
          <w:rFonts w:ascii="Amiri" w:hAnsi="Amiri" w:eastAsia="Amiri" w:cs="Amiri"/>
          <w:color w:val="111111"/>
          <w:sz w:val="28"/>
          <w:sz w:val="28"/>
          <w:szCs w:val="28"/>
          <w:rtl w:val="true"/>
          <w:lang w:bidi="ar-SA"/>
        </w:rPr>
        <w:t xml:space="preserve">ونهاية الإحكام </w:t>
      </w:r>
      <w:r>
        <w:rPr>
          <w:rStyle w:val="FootnoteAnchor"/>
          <w:rtl w:val="true"/>
        </w:rPr>
        <w:footnoteReference w:id="453"/>
      </w:r>
      <w:r>
        <w:rPr>
          <w:rFonts w:ascii="Amiri" w:hAnsi="Amiri" w:eastAsia="Amiri" w:cs="Amiri"/>
          <w:color w:val="111111"/>
          <w:sz w:val="28"/>
          <w:sz w:val="28"/>
          <w:szCs w:val="28"/>
          <w:rtl w:val="true"/>
          <w:lang w:bidi="ar-SA"/>
        </w:rPr>
        <w:t xml:space="preserve">والمسالك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وعلّله في الثلاثة الأخيرة بخروجه بذلك عن الملك قاطعا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قطع به في البيان </w:t>
      </w:r>
      <w:r>
        <w:rPr>
          <w:rStyle w:val="FootnoteAnchor"/>
          <w:rtl w:val="true"/>
        </w:rPr>
        <w:footnoteReference w:id="455"/>
      </w:r>
      <w:r>
        <w:rPr>
          <w:rFonts w:ascii="Amiri" w:hAnsi="Amiri" w:eastAsia="Amiri" w:cs="Amiri"/>
          <w:color w:val="111111"/>
          <w:sz w:val="28"/>
          <w:sz w:val="28"/>
          <w:szCs w:val="28"/>
          <w:rtl w:val="true"/>
          <w:lang w:bidi="ar-SA"/>
        </w:rPr>
        <w:t>أيضا ، وألحق به ما لو نذر مطلقا ثمّ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منه ما لو جعله صدقة بالنذر ؛ لخروجه عن ملكه بمجرد النذر فيما قطع به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ما ذكروه من خروجه عن الملك بذلك فلا إشكال ، لكنّ الشأن في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المدارك من كونه مقطوعا به عند الأصحاب غير ظاهر ؛ إذ لم نجد من قطع به سوى العلّامة في عدة من كتبه ، والشهيدان في البيان والمسالك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تردّد في الدروس </w:t>
      </w:r>
      <w:r>
        <w:rPr>
          <w:rStyle w:val="FootnoteAnchor"/>
          <w:rtl w:val="true"/>
        </w:rPr>
        <w:footnoteReference w:id="457"/>
      </w:r>
      <w:r>
        <w:rPr>
          <w:rFonts w:ascii="Amiri" w:hAnsi="Amiri" w:eastAsia="Amiri" w:cs="Amiri"/>
          <w:color w:val="111111"/>
          <w:sz w:val="28"/>
          <w:sz w:val="28"/>
          <w:szCs w:val="28"/>
          <w:rtl w:val="true"/>
          <w:lang w:bidi="ar-SA"/>
        </w:rPr>
        <w:t>في كتاب النذر في خروجه عن الملك بمجرّد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مشكلة ، ولتفصيل الكلام فيها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القول به ففي تملّك التصدق عليه إذا كان معينا بمجرد ذلك إشكال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ويثمر ذلك في وجوب الزكاة عليه مع حصول سائر الشرائط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تعلّق النذر بكلّيّ في الذمة لم يمنع من وجوب الزكاة فيما ملكه من جنس المنذور ، ولو فرض انحصار الوفاء بدفعه ؛ نظرا إلى عدم تعلّق الحق بالعين ، فهو نظير الدين إذا انحصر الوجه في أدائه بدفع ما ملكه من العين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نصّ على عدم وجوب الزكاة حينئذ جماعة من الأصحاب منهم الشهيدان في </w:t>
      </w:r>
    </w:p>
    <w:p>
      <w:pPr>
        <w:pStyle w:val="BookText"/>
        <w:rPr/>
      </w:pPr>
      <w:r>
        <w:rPr>
          <w:rFonts w:ascii="Amiri" w:hAnsi="Amiri" w:eastAsia="Amiri" w:cs="Amiri"/>
          <w:color w:val="111111"/>
          <w:sz w:val="28"/>
          <w:sz w:val="28"/>
          <w:szCs w:val="28"/>
          <w:rtl w:val="true"/>
          <w:lang w:bidi="ar-SA"/>
        </w:rPr>
        <w:t xml:space="preserve">البيان </w:t>
      </w:r>
      <w:r>
        <w:rPr>
          <w:rStyle w:val="FootnoteAnchor"/>
          <w:rtl w:val="true"/>
        </w:rPr>
        <w:footnoteReference w:id="458"/>
      </w:r>
      <w:r>
        <w:rPr>
          <w:rFonts w:ascii="Amiri" w:hAnsi="Amiri" w:eastAsia="Amiri" w:cs="Amiri"/>
          <w:color w:val="111111"/>
          <w:sz w:val="28"/>
          <w:sz w:val="28"/>
          <w:szCs w:val="28"/>
          <w:rtl w:val="true"/>
          <w:lang w:bidi="ar-SA"/>
        </w:rPr>
        <w:t xml:space="preserve">والمسالك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عيّن شيئا من جنس المنذور لأدائه ففي تعيّنه لذلك قبل دفعه ليتعلّق الحق بعينه وجهان ؛ أجودهما العدم ؛ للأصل مع عدم قيام دليل صالح على التعيين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عن البيان إلحاقه بما إذا تعلّق النذر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الوجه أن الحق إذا تعلّق بكلي في الذمة كان تعيينه موكولا إلى اختيار المكلف كما في زكاة المال وزكاة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كلام في كون تعيينه باختيار الناذر ، وإنّما الشأن في حصول التعين بذلك ولا يلزم من اختياره في التعيين حصول التعين به بنفسه قبل دفعه ، وقضيّة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الحكم في الزكاة لا يقضي بجريانه في غيرها مع عدم قيام دليل على التعميم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تعلّق النذر بجزء مشاع من الأغنام أو بأغنام معينة منها ، فإن لم يكن الباقي بمقدار النصاب جرى فيه الكلام المذكور ، وإن كان الباقي بمقدار النصاب ثبت فيه الزكاة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bookmarkStart w:id="69" w:name="pg15853_153346"/>
    </w:p>
    <w:p>
      <w:pPr>
        <w:pStyle w:val="Heading3"/>
        <w:numPr>
          <w:ilvl w:val="2"/>
          <w:numId w:val="1"/>
        </w:numPr>
        <w:rPr/>
      </w:pPr>
      <w:bookmarkStart w:id="70" w:name="__RefHeading___Toc14587085_2142443653"/>
      <w:bookmarkStart w:id="71" w:name="_Toc25"/>
      <w:bookmarkEnd w:id="69"/>
      <w:bookmarkEnd w:id="70"/>
      <w:r>
        <w:rPr>
          <w:rtl w:val="true"/>
        </w:rPr>
        <w:t>الباب الثاني</w:t>
      </w:r>
      <w:r>
        <w:rPr>
          <w:rtl w:val="true"/>
        </w:rPr>
        <w:t xml:space="preserve">: </w:t>
      </w:r>
      <w:r>
        <w:rPr>
          <w:rtl w:val="true"/>
        </w:rPr>
        <w:t>في بيان ما يجب الزكاة فيه وما يستحب الشرائط المعتبرة في ثبوت الزكاة في كلّ منها وما يلحق بذلك من الأحكام</w:t>
      </w:r>
      <w:bookmarkEnd w:id="71"/>
    </w:p>
    <w:p>
      <w:pPr>
        <w:pStyle w:val="Heading4"/>
        <w:numPr>
          <w:ilvl w:val="3"/>
          <w:numId w:val="1"/>
        </w:numPr>
        <w:rPr/>
      </w:pPr>
      <w:bookmarkStart w:id="72" w:name="__RefHeading___Toc14587087_2142443653"/>
      <w:bookmarkStart w:id="73" w:name="_Toc26"/>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 xml:space="preserve">الباب الثاني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في بيان ما يجب الزكاة فيه وما يستحب</w:t>
      </w:r>
    </w:p>
    <w:p>
      <w:pPr>
        <w:pStyle w:val="BookText"/>
        <w:rPr/>
      </w:pPr>
      <w:r>
        <w:rPr>
          <w:rFonts w:ascii="Amiri" w:hAnsi="Amiri" w:eastAsia="Amiri" w:cs="Amiri"/>
          <w:color w:val="111111"/>
          <w:sz w:val="28"/>
          <w:sz w:val="28"/>
          <w:szCs w:val="28"/>
          <w:rtl w:val="true"/>
          <w:lang w:bidi="ar-SA"/>
        </w:rPr>
        <w:t>الشرائط المعتبرة في ثبوت الزكاة في كلّ منها</w:t>
      </w:r>
    </w:p>
    <w:p>
      <w:pPr>
        <w:pStyle w:val="BookText"/>
        <w:rPr/>
      </w:pPr>
      <w:r>
        <w:rPr>
          <w:rFonts w:ascii="Amiri" w:hAnsi="Amiri" w:eastAsia="Amiri" w:cs="Amiri"/>
          <w:color w:val="111111"/>
          <w:sz w:val="28"/>
          <w:sz w:val="28"/>
          <w:szCs w:val="28"/>
          <w:rtl w:val="true"/>
          <w:lang w:bidi="ar-SA"/>
        </w:rPr>
        <w:t>وما يلحق بذلك من الأحكام</w:t>
      </w:r>
    </w:p>
    <w:p>
      <w:pPr>
        <w:pStyle w:val="Heading4"/>
        <w:numPr>
          <w:ilvl w:val="3"/>
          <w:numId w:val="1"/>
        </w:numPr>
        <w:rPr/>
      </w:pPr>
      <w:bookmarkStart w:id="74" w:name="__RefHeading___Toc14587089_2142443653"/>
      <w:bookmarkStart w:id="75" w:name="_Toc27"/>
      <w:bookmarkEnd w:id="74"/>
      <w:r>
        <w:rPr>
          <w:rtl w:val="true"/>
        </w:rPr>
        <w:t>تبصرة</w:t>
      </w:r>
      <w:r>
        <w:rPr>
          <w:rtl w:val="true"/>
        </w:rPr>
        <w:t xml:space="preserve">: [ </w:t>
      </w:r>
      <w:r>
        <w:rPr>
          <w:rtl w:val="true"/>
        </w:rPr>
        <w:t xml:space="preserve">في بيان ما يجب الزكاة فيه </w:t>
      </w:r>
      <w:r>
        <w:rPr>
          <w:rtl w:val="true"/>
        </w:rPr>
        <w:t>]</w:t>
      </w:r>
      <w:bookmarkEnd w:id="75"/>
    </w:p>
    <w:p>
      <w:pPr>
        <w:pStyle w:val="BookText"/>
        <w:rPr/>
      </w:pPr>
      <w:r>
        <w:rPr>
          <w:rFonts w:ascii="Amiri" w:hAnsi="Amiri" w:eastAsia="Amiri" w:cs="Amiri"/>
          <w:color w:val="111111"/>
          <w:sz w:val="28"/>
          <w:sz w:val="28"/>
          <w:szCs w:val="28"/>
          <w:rtl w:val="true"/>
          <w:lang w:bidi="ar-SA"/>
        </w:rPr>
        <w:t>إنّما تجب الزكاة في الأجناس التسعة أعني الأنعام الثلاث ، والغلّات الأربع ، والنقدين دون ما عداها من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وجوبها في الأجناس المذكورة فممّا انعقد عليه إجماع الأمة والروايات المستفيضة بل متواترة ، بل لا يبعد عدّه من الضروريات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وجوبها في غيرها هو المعروف من المذهب ، بل لا نعرف فيه مخالفا ممن تأخر عن الاسكافي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الإجماع عليه في الغنية والذخيرة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المنتهى </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مذهب علمائنا أجمع</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 ما في التذكرة </w:t>
      </w:r>
      <w:r>
        <w:rPr>
          <w:rStyle w:val="FootnoteAnchor"/>
          <w:rtl w:val="true"/>
        </w:rPr>
        <w:footnoteReference w:id="465"/>
      </w:r>
      <w:r>
        <w:rPr>
          <w:rFonts w:ascii="Amiri" w:hAnsi="Amiri" w:eastAsia="Amiri" w:cs="Amiri"/>
          <w:color w:val="111111"/>
          <w:sz w:val="28"/>
          <w:sz w:val="28"/>
          <w:szCs w:val="28"/>
          <w:rtl w:val="true"/>
          <w:lang w:bidi="ar-SA"/>
        </w:rPr>
        <w:t xml:space="preserve">في الثمار والغلات عدا الأجناس الأربعة والورس والعسل </w:t>
      </w:r>
    </w:p>
    <w:p>
      <w:pPr>
        <w:pStyle w:val="BookText"/>
        <w:rPr/>
      </w:pPr>
      <w:r>
        <w:rPr>
          <w:rFonts w:ascii="Amiri" w:hAnsi="Amiri" w:eastAsia="Amiri" w:cs="Amiri"/>
          <w:color w:val="111111"/>
          <w:sz w:val="28"/>
          <w:sz w:val="28"/>
          <w:szCs w:val="28"/>
          <w:rtl w:val="true"/>
          <w:lang w:bidi="ar-SA"/>
        </w:rPr>
        <w:t>والزيتون والأزهار كالزعفران والقطن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تجب الزكاة عند علماء آل محمد صلى‌اللّه‌عليه‌وآله في تسعة 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المعتبر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مذهب الأصحاب عدا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الشيخان في الكافي </w:t>
      </w:r>
      <w:r>
        <w:rPr>
          <w:rStyle w:val="FootnoteAnchor"/>
          <w:rtl w:val="true"/>
        </w:rPr>
        <w:footnoteReference w:id="468"/>
      </w:r>
      <w:r>
        <w:rPr>
          <w:rFonts w:ascii="Amiri" w:hAnsi="Amiri" w:eastAsia="Amiri" w:cs="Amiri"/>
          <w:color w:val="111111"/>
          <w:sz w:val="28"/>
          <w:sz w:val="28"/>
          <w:szCs w:val="28"/>
          <w:rtl w:val="true"/>
          <w:lang w:bidi="ar-SA"/>
        </w:rPr>
        <w:t>والإستبصار عن يونس بن عبد الرحمن أنّ ذلك أنما كان في أوّل النبوة كما كانت الصلاة ركعتين ، ثمّ زاد رسول اللّه صلى‌اللّه‌عليه‌وآله فيها سبع ركعات وكذلك الزكاة وضعها وسنّها في أوّل نبوته على تسعة أشياء ثمّ وضعها على جميع الحبوب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 القول بوجوب الزكاة في أرض العشر في كلّ ما دخل القفيز من حنطة وشعير وسمسم وأرز ودخن وذرّة وسلت وسائر الحبوب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كلامه اختصاص الوجوب بما يحصل من أرض الخراج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 </w:t>
      </w:r>
      <w:r>
        <w:rPr>
          <w:rStyle w:val="FootnoteAnchor"/>
          <w:rtl w:val="true"/>
        </w:rPr>
        <w:footnoteReference w:id="469"/>
      </w:r>
      <w:r>
        <w:rPr>
          <w:rFonts w:ascii="Amiri" w:hAnsi="Amiri" w:eastAsia="Amiri" w:cs="Amiri"/>
          <w:color w:val="111111"/>
          <w:sz w:val="28"/>
          <w:sz w:val="28"/>
          <w:szCs w:val="28"/>
          <w:rtl w:val="true"/>
          <w:lang w:bidi="ar-SA"/>
        </w:rPr>
        <w:t>المحكي عن يونس تعميم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فهما ضعيفان ملحوقان بالاتفاق على خلافه ، لأن تخصيص الحكم بأرض الخراج ممّا لا شاهد عليه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الروايات الدالّة على خلافهما كثيرة جدا وفيها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هناك روايات أخر مستفيضة يدلّ على ثبوت الزكاة في غيرها أيضا كقول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دخل القفيز فهو يجري مجرى الحنطة والشعير والتمر والزبيب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مكاتبة علي بن مهزيار والصحيحة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الزكاة في كلّ شي‌ء كيل </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الأرز فما سقت السماء العشر وما سقى بالدلو فنصف العشر </w:t>
      </w:r>
    </w:p>
    <w:p>
      <w:pPr>
        <w:pStyle w:val="BookText"/>
        <w:rPr/>
      </w:pPr>
      <w:r>
        <w:rPr>
          <w:rFonts w:ascii="Amiri" w:hAnsi="Amiri" w:eastAsia="Amiri" w:cs="Amiri"/>
          <w:color w:val="111111"/>
          <w:sz w:val="28"/>
          <w:sz w:val="28"/>
          <w:szCs w:val="28"/>
          <w:rtl w:val="true"/>
          <w:lang w:bidi="ar-SA"/>
        </w:rPr>
        <w:t xml:space="preserve">فكلّ </w:t>
      </w:r>
      <w:r>
        <w:rPr>
          <w:rStyle w:val="FootnoteAnchor"/>
          <w:rtl w:val="true"/>
        </w:rPr>
        <w:footnoteReference w:id="472"/>
      </w:r>
      <w:r>
        <w:rPr>
          <w:rFonts w:ascii="Amiri" w:hAnsi="Amiri" w:eastAsia="Amiri" w:cs="Amiri"/>
          <w:color w:val="111111"/>
          <w:sz w:val="28"/>
          <w:sz w:val="28"/>
          <w:szCs w:val="28"/>
          <w:rtl w:val="true"/>
          <w:lang w:bidi="ar-SA"/>
        </w:rPr>
        <w:t xml:space="preserve">ما كيلت بالصاع أو قال كيل بالمكيال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آخر بعد حكمه عليه‌السلام بثبوتها في عدّة من الحبوب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ما كيل بالصاع فبلغ الأوساق فعليه الزكاة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كما ترى غير صريحة في الوجوب ، ولذا حملها الأصحاب على الندب لدلالة تلك الأخبار على انتفاء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يحتمل بعد حملها على التقيّة فإنّ القول بالوجوب في ذلك من مذاهب العامة ، وفي غير وأحد من الأخبار شهادة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مرسلة القماط ، عن الصادق عليه‌السلام بعد حكمه باختصاص الزكاة بالأجناس التسعة والعفو عمّا سواها فقال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والذرّة؟ فغضب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واللّه على عهد رسول اللّه صلى‌اللّه‌عليه‌وآله دائما السماسم والذرة والدخن وجميع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ذلك على عهد رسول اللّه صلى‌اللّه‌عليه‌وآله وإنّما وضع على تسعة أشياء لما لم يكن بحضرته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عليه‌السلام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كذبوا فهل تكون العفو إلّا عن شي‌ء قد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أعرف شيئا عليه الزكاة غير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فَلْيُؤْمِنْ وَمَنْ شاءَ فَلْيَكْفُرْ </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الرواية وغيرها تصريح ببطلان ما ذهب إليه يونس ، وحمل عليه ما دلّ على نفي الزكاة في غير 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المدار في كلّ من الأجناس التسعة على التسمية العرفية ، فالحنطة والشعير يعمّان جميع أنواعهما ممّا يندرج في إطلاق الاسم عرفا على سبيل الحقيقة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شمول الحنطة للعلس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والشعير للسلت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فالإسكان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خلاف بين الأصحاب ، فذهب جماعة منهم الشيخ في المبسوط والخلاف ، والحلي في السرائر ، </w:t>
      </w:r>
    </w:p>
    <w:p>
      <w:pPr>
        <w:pStyle w:val="BookText"/>
        <w:rPr/>
      </w:pPr>
      <w:r>
        <w:rPr>
          <w:rFonts w:ascii="Amiri" w:hAnsi="Amiri" w:eastAsia="Amiri" w:cs="Amiri"/>
          <w:color w:val="111111"/>
          <w:sz w:val="28"/>
          <w:sz w:val="28"/>
          <w:szCs w:val="28"/>
          <w:rtl w:val="true"/>
          <w:lang w:bidi="ar-SA"/>
        </w:rPr>
        <w:t xml:space="preserve">والشهيدان في البيان </w:t>
      </w:r>
      <w:r>
        <w:rPr>
          <w:rStyle w:val="FootnoteAnchor"/>
          <w:rtl w:val="true"/>
        </w:rPr>
        <w:footnoteReference w:id="476"/>
      </w:r>
      <w:r>
        <w:rPr>
          <w:rFonts w:ascii="Amiri" w:hAnsi="Amiri" w:eastAsia="Amiri" w:cs="Amiri"/>
          <w:color w:val="111111"/>
          <w:sz w:val="28"/>
          <w:sz w:val="28"/>
          <w:szCs w:val="28"/>
          <w:rtl w:val="true"/>
          <w:lang w:bidi="ar-SA"/>
        </w:rPr>
        <w:t xml:space="preserve">والمسالك </w:t>
      </w:r>
      <w:r>
        <w:rPr>
          <w:rStyle w:val="FootnoteAnchor"/>
          <w:rtl w:val="true"/>
        </w:rPr>
        <w:footnoteReference w:id="477"/>
      </w:r>
      <w:r>
        <w:rPr>
          <w:rFonts w:ascii="Amiri" w:hAnsi="Amiri" w:eastAsia="Amiri" w:cs="Amiri"/>
          <w:color w:val="111111"/>
          <w:sz w:val="28"/>
          <w:sz w:val="28"/>
          <w:szCs w:val="28"/>
          <w:rtl w:val="true"/>
          <w:lang w:bidi="ar-SA"/>
        </w:rPr>
        <w:t xml:space="preserve">والروضة </w:t>
      </w:r>
      <w:r>
        <w:rPr>
          <w:rStyle w:val="FootnoteAnchor"/>
          <w:rtl w:val="true"/>
        </w:rPr>
        <w:footnoteReference w:id="478"/>
      </w:r>
      <w:r>
        <w:rPr>
          <w:rFonts w:ascii="Amiri" w:hAnsi="Amiri" w:eastAsia="Amiri" w:cs="Amiri"/>
          <w:color w:val="111111"/>
          <w:sz w:val="28"/>
          <w:sz w:val="28"/>
          <w:szCs w:val="28"/>
          <w:rtl w:val="true"/>
          <w:lang w:bidi="ar-SA"/>
        </w:rPr>
        <w:t xml:space="preserve">، والمحقق الكركي في جامع المقاصد </w:t>
      </w:r>
      <w:r>
        <w:rPr>
          <w:rStyle w:val="FootnoteAnchor"/>
          <w:rtl w:val="true"/>
        </w:rPr>
        <w:footnoteReference w:id="479"/>
      </w:r>
      <w:r>
        <w:rPr>
          <w:rFonts w:ascii="Amiri" w:hAnsi="Amiri" w:eastAsia="Amiri" w:cs="Amiri"/>
          <w:color w:val="111111"/>
          <w:sz w:val="28"/>
          <w:sz w:val="28"/>
          <w:szCs w:val="28"/>
          <w:rtl w:val="true"/>
          <w:lang w:bidi="ar-SA"/>
        </w:rPr>
        <w:t>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قطع في الإيضاح </w:t>
      </w:r>
      <w:r>
        <w:rPr>
          <w:rStyle w:val="FootnoteAnchor"/>
          <w:rtl w:val="true"/>
        </w:rPr>
        <w:footnoteReference w:id="480"/>
      </w:r>
      <w:r>
        <w:rPr>
          <w:rFonts w:ascii="Amiri" w:hAnsi="Amiri" w:eastAsia="Amiri" w:cs="Amiri"/>
          <w:color w:val="111111"/>
          <w:sz w:val="28"/>
          <w:sz w:val="28"/>
          <w:szCs w:val="28"/>
          <w:rtl w:val="true"/>
          <w:lang w:bidi="ar-SA"/>
        </w:rPr>
        <w:t>في السلت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كلامه يعطي قوله باندراج العلس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المبسوط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العلس ضرب من الحنطة تكون منه حبتان في كمام فيترك كذلك ؛ لأنّه أبقى له حتّى يراد استعماله فيلقى في رحى خفيفة فيلقى منه كمامه ويصير 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السرائر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العلس ضرب من الحنطة إذا دبس بقي كلّ حبتين في كمام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 حتى يدق أو يطرح في رحى خفيفة ، ولا يبقى بقاء الحنطة ، وبقاؤها في كمامها ، ويظن أهلها أنها إذا هرست أو طرحت في رحى خفيفة خرجت على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شعير لونه لون الشعير وطعمه طعمه إلّا أن حبّه أصغر من حبّ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احتجّ على ذلك في البيان </w:t>
      </w:r>
      <w:r>
        <w:rPr>
          <w:rStyle w:val="FootnoteAnchor"/>
          <w:rtl w:val="true"/>
        </w:rPr>
        <w:footnoteReference w:id="483"/>
      </w:r>
      <w:r>
        <w:rPr>
          <w:rFonts w:ascii="IRNazanin" w:hAnsi="IRNazanin" w:eastAsia="IRNazanin"/>
          <w:color w:val="111111"/>
          <w:sz w:val="28"/>
          <w:sz w:val="28"/>
          <w:szCs w:val="28"/>
          <w:rtl w:val="true"/>
          <w:lang w:bidi="fa-IR"/>
        </w:rPr>
        <w:t xml:space="preserve">وجامع المقاصد </w:t>
      </w:r>
      <w:r>
        <w:rPr>
          <w:rStyle w:val="FootnoteAnchor"/>
          <w:rtl w:val="true"/>
        </w:rPr>
        <w:footnoteReference w:id="484"/>
      </w:r>
      <w:r>
        <w:rPr>
          <w:rFonts w:ascii="Amiri" w:hAnsi="Amiri" w:eastAsia="Amiri" w:cs="Amiri"/>
          <w:color w:val="111111"/>
          <w:sz w:val="28"/>
          <w:sz w:val="28"/>
          <w:szCs w:val="28"/>
          <w:rtl w:val="true"/>
          <w:lang w:bidi="ar-SA"/>
        </w:rPr>
        <w:t xml:space="preserve">والمسالك </w:t>
      </w:r>
      <w:r>
        <w:rPr>
          <w:rStyle w:val="FootnoteAnchor"/>
          <w:rtl w:val="true"/>
        </w:rPr>
        <w:footnoteReference w:id="485"/>
      </w:r>
      <w:r>
        <w:rPr>
          <w:rFonts w:ascii="Amiri" w:hAnsi="Amiri" w:eastAsia="Amiri" w:cs="Amiri"/>
          <w:color w:val="111111"/>
          <w:sz w:val="28"/>
          <w:sz w:val="28"/>
          <w:szCs w:val="28"/>
          <w:rtl w:val="true"/>
          <w:lang w:bidi="ar-SA"/>
        </w:rPr>
        <w:t>بنص أهل اللغة عليه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قطع أكثر هؤلاء بالحكم من غير 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في جامع المقاصد بضعف القول بعدم الاندراج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آخرون إلى عدم شمول الحكم لها منهم الفاضلان في الشرائع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والتذكرة </w:t>
      </w:r>
      <w:r>
        <w:rPr>
          <w:rStyle w:val="FootnoteAnchor"/>
          <w:rtl w:val="true"/>
        </w:rPr>
        <w:footnoteReference w:id="487"/>
      </w:r>
      <w:r>
        <w:rPr>
          <w:rFonts w:ascii="Amiri" w:hAnsi="Amiri" w:eastAsia="Amiri" w:cs="Amiri"/>
          <w:color w:val="111111"/>
          <w:sz w:val="28"/>
          <w:sz w:val="28"/>
          <w:szCs w:val="28"/>
          <w:rtl w:val="true"/>
          <w:lang w:bidi="ar-SA"/>
        </w:rPr>
        <w:t xml:space="preserve">والتحرير </w:t>
      </w:r>
      <w:r>
        <w:rPr>
          <w:rStyle w:val="FootnoteAnchor"/>
          <w:rtl w:val="true"/>
        </w:rPr>
        <w:footnoteReference w:id="488"/>
      </w:r>
      <w:r>
        <w:rPr>
          <w:rFonts w:ascii="IRNazanin" w:hAnsi="IRNazanin" w:eastAsia="IRNazanin"/>
          <w:color w:val="111111"/>
          <w:sz w:val="28"/>
          <w:sz w:val="28"/>
          <w:szCs w:val="28"/>
          <w:rtl w:val="true"/>
          <w:lang w:bidi="fa-IR"/>
        </w:rPr>
        <w:t xml:space="preserve">والمختلف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ويلوح ذلك من صاحب المدارك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جماعة من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الشيخ في السلت في النهاية </w:t>
      </w:r>
      <w:r>
        <w:rPr>
          <w:rStyle w:val="FootnoteAnchor"/>
          <w:rtl w:val="true"/>
        </w:rPr>
        <w:footnoteReference w:id="491"/>
      </w:r>
      <w:r>
        <w:rPr>
          <w:rFonts w:ascii="Amiri" w:hAnsi="Amiri" w:eastAsia="Amiri" w:cs="Amiri"/>
          <w:color w:val="111111"/>
          <w:sz w:val="28"/>
          <w:sz w:val="28"/>
          <w:szCs w:val="28"/>
          <w:rtl w:val="true"/>
          <w:lang w:bidi="ar-SA"/>
        </w:rPr>
        <w:t>حيث عدّه في جملة الحبوب التي يستحب فيها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وتوقّف في المعتبر </w:t>
      </w:r>
      <w:r>
        <w:rPr>
          <w:rStyle w:val="FootnoteAnchor"/>
          <w:rtl w:val="true"/>
        </w:rPr>
        <w:footnoteReference w:id="492"/>
      </w:r>
      <w:r>
        <w:rPr>
          <w:rFonts w:ascii="Amiri" w:hAnsi="Amiri" w:eastAsia="Amiri" w:cs="Amiri"/>
          <w:color w:val="111111"/>
          <w:sz w:val="28"/>
          <w:sz w:val="28"/>
          <w:szCs w:val="28"/>
          <w:rtl w:val="true"/>
          <w:lang w:bidi="ar-SA"/>
        </w:rPr>
        <w:t>بعد ما حكى القول بالاندراج فيهما عن الشيخ وبعض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يلوح ذلك من الدروس حيث أسند الحكم باندراجهما فيهما إلى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أهل اللغة أيضا اختلاف في ذلك ؛ ففي الصحاح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العلس ضرب من الحنطة تكون حبّتان في قشر ، وهو طعام أهل 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ما في القاموس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نوع من الحنطة تكون في القشر منه حبّتان ، وقد تكون واحدة أو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دريد </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العلس حبّة سوداء تخبز في الجدب أو تطبخ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مثل البرّ إلّا أنه عسر الانقاع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 الأخيرين مغايرته للحنطة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الصحاح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السلت ضرب من الشعير لا قشر فيه كأنّه الحنطة تكون في الحجاز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القاموس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السلت الشعير أو ضرب منه </w:t>
      </w:r>
      <w:r>
        <w:rPr>
          <w:rStyle w:val="FootnoteAnchor"/>
          <w:rtl w:val="true"/>
        </w:rPr>
        <w:footnoteReference w:id="498"/>
      </w:r>
      <w:r>
        <w:rPr>
          <w:rFonts w:ascii="IRNazanin" w:hAnsi="IRNazanin" w:eastAsia="IRNazanin"/>
          <w:color w:val="111111"/>
          <w:sz w:val="28"/>
          <w:sz w:val="28"/>
          <w:szCs w:val="28"/>
          <w:rtl w:val="true"/>
          <w:lang w:bidi="fa-IR"/>
        </w:rPr>
        <w:t>أو الحامض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المغرب </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إنّه شعير لا قشر له يكون بالحجاز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فارس </w:t>
      </w:r>
      <w:r>
        <w:rPr>
          <w:rFonts w:eastAsia="IRNazanin" w:cs="IRNazanin"/>
          <w:color w:val="111111"/>
          <w:sz w:val="28"/>
          <w:szCs w:val="28"/>
          <w:rtl w:val="true"/>
          <w:lang w:bidi="fa-IR"/>
        </w:rPr>
        <w:t xml:space="preserve">: </w:t>
      </w:r>
      <w:r>
        <w:rPr>
          <w:rStyle w:val="FootnoteAnchor"/>
          <w:rtl w:val="true"/>
        </w:rPr>
        <w:footnoteReference w:id="500"/>
      </w:r>
      <w:r>
        <w:rPr>
          <w:rFonts w:ascii="Amiri" w:hAnsi="Amiri" w:eastAsia="Amiri" w:cs="Amiri"/>
          <w:color w:val="111111"/>
          <w:sz w:val="28"/>
          <w:sz w:val="28"/>
          <w:szCs w:val="28"/>
          <w:rtl w:val="true"/>
          <w:lang w:bidi="ar-SA"/>
        </w:rPr>
        <w:t>إنّه ضرب من الشعير رقيق القشر صغار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الأزهري </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إنّه حبّ بين الحنطة والشعير ، ولا قشر له كقشر الحنطة ، فهو كالحنطة في ملاسته وكالشعير في طبعه وبرودته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دريد </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السلت حبة يشبه الشعير أو هو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الصيدلاني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كالشعير في صورته كالقمح </w:t>
      </w:r>
      <w:r>
        <w:rPr>
          <w:rStyle w:val="FootnoteAnchor"/>
          <w:rtl w:val="true"/>
        </w:rPr>
        <w:footnoteReference w:id="503"/>
      </w:r>
      <w:r>
        <w:rPr>
          <w:rFonts w:ascii="Amiri" w:hAnsi="Amiri" w:eastAsia="Amiri" w:cs="Amiri"/>
          <w:color w:val="111111"/>
          <w:sz w:val="28"/>
          <w:sz w:val="28"/>
          <w:szCs w:val="28"/>
          <w:rtl w:val="true"/>
          <w:lang w:bidi="ar-SA"/>
        </w:rPr>
        <w:t>في 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بظاهره مخالف لما ذكره الأزهري ، وهو الموافق لما يوجد في كلام الفقهاء بين </w:t>
      </w:r>
      <w:r>
        <w:rPr>
          <w:rStyle w:val="FootnoteAnchor"/>
          <w:rtl w:val="true"/>
        </w:rPr>
        <w:footnoteReference w:id="504"/>
      </w:r>
      <w:r>
        <w:rPr>
          <w:rFonts w:ascii="Amiri" w:hAnsi="Amiri" w:eastAsia="Amiri" w:cs="Amiri"/>
          <w:color w:val="111111"/>
          <w:sz w:val="28"/>
          <w:sz w:val="28"/>
          <w:szCs w:val="28"/>
          <w:rtl w:val="true"/>
          <w:lang w:bidi="ar-SA"/>
        </w:rPr>
        <w:t>احتمال ضمّه إلى الشعير ؛ لموافقته له صورة ، واحتمال ضمّه إلى الحنطة لاتفاقهما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فظاهر الجماعة الأخيرة عدم اندراجه في الشعير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ظهر ممّا قلناه </w:t>
      </w:r>
      <w:r>
        <w:rPr>
          <w:rStyle w:val="FootnoteAnchor"/>
          <w:rtl w:val="true"/>
        </w:rPr>
        <w:footnoteReference w:id="505"/>
      </w:r>
      <w:r>
        <w:rPr>
          <w:rFonts w:ascii="Amiri" w:hAnsi="Amiri" w:eastAsia="Amiri" w:cs="Amiri"/>
          <w:color w:val="111111"/>
          <w:sz w:val="28"/>
          <w:sz w:val="28"/>
          <w:szCs w:val="28"/>
          <w:rtl w:val="true"/>
          <w:lang w:bidi="ar-SA"/>
        </w:rPr>
        <w:t xml:space="preserve">من كلمات الأصحاب ونقلة اللغة أنّ الحكم فيهما محلّ إشكال إلّا أنّ الأظهر عدم وجوب الزكاة فيهما ؛ للأصل بعد </w:t>
      </w:r>
      <w:r>
        <w:rPr>
          <w:rStyle w:val="FootnoteAnchor"/>
          <w:rtl w:val="true"/>
        </w:rPr>
        <w:footnoteReference w:id="506"/>
      </w:r>
      <w:r>
        <w:rPr>
          <w:rFonts w:ascii="Amiri" w:hAnsi="Amiri" w:eastAsia="Amiri" w:cs="Amiri"/>
          <w:color w:val="111111"/>
          <w:sz w:val="28"/>
          <w:sz w:val="28"/>
          <w:szCs w:val="28"/>
          <w:rtl w:val="true"/>
          <w:lang w:bidi="ar-SA"/>
        </w:rPr>
        <w:t xml:space="preserve">عدم وضوح اندراجهما في الحنطة والشعير على سبيل الحقيقة ؛ لما عرفت من اختلاف كلمات أهل اللغة مع احتمال حمل كلام </w:t>
      </w:r>
      <w:r>
        <w:rPr>
          <w:rStyle w:val="FootnoteAnchor"/>
          <w:rtl w:val="true"/>
        </w:rPr>
        <w:footnoteReference w:id="507"/>
      </w:r>
      <w:r>
        <w:rPr>
          <w:rFonts w:ascii="Amiri" w:hAnsi="Amiri" w:eastAsia="Amiri" w:cs="Amiri"/>
          <w:color w:val="111111"/>
          <w:sz w:val="28"/>
          <w:sz w:val="28"/>
          <w:szCs w:val="28"/>
          <w:rtl w:val="true"/>
          <w:lang w:bidi="ar-SA"/>
        </w:rPr>
        <w:t xml:space="preserve">الحاكمين بالاندراج على إرادة مطلق الإطلاق ، ولو على سبيل التوسعة ؛ نظرا إلى الموافقة في الصورة كما </w:t>
      </w:r>
    </w:p>
    <w:p>
      <w:pPr>
        <w:pStyle w:val="BookText"/>
        <w:rPr/>
      </w:pPr>
      <w:r>
        <w:rPr>
          <w:rFonts w:ascii="Amiri" w:hAnsi="Amiri" w:eastAsia="Amiri" w:cs="Amiri"/>
          <w:color w:val="111111"/>
          <w:sz w:val="28"/>
          <w:sz w:val="28"/>
          <w:szCs w:val="28"/>
          <w:rtl w:val="true"/>
          <w:lang w:bidi="ar-SA"/>
        </w:rPr>
        <w:t>قد يشهد له ملاحظة العرف أنّه لا ينصرف الإطلاق إلى ما يعمهما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تسليم اندراجهما في الحنطة والشعير على سبيل الحقيقة فلا ينبغي التأمل في عدم اندراجهما في الإطلاقات الواردة في الزكاة ؛ لما هو معلوم بملاحظة العرف من انصراف الإطلاق إلى غيرهما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كاف في المقام ، وإن كان التبادر إطلاقيا ، ولذا لا يحكم بإرادة </w:t>
      </w:r>
      <w:r>
        <w:rPr>
          <w:rStyle w:val="FootnoteAnchor"/>
          <w:rtl w:val="true"/>
        </w:rPr>
        <w:footnoteReference w:id="508"/>
      </w:r>
      <w:r>
        <w:rPr>
          <w:rFonts w:ascii="Amiri" w:hAnsi="Amiri" w:eastAsia="Amiri" w:cs="Amiri"/>
          <w:color w:val="111111"/>
          <w:sz w:val="28"/>
          <w:sz w:val="28"/>
          <w:szCs w:val="28"/>
          <w:rtl w:val="true"/>
          <w:lang w:bidi="ar-SA"/>
        </w:rPr>
        <w:t xml:space="preserve">ما يشملهما عند إطلاق الحنطة أو </w:t>
      </w:r>
      <w:r>
        <w:rPr>
          <w:rStyle w:val="FootnoteAnchor"/>
          <w:rtl w:val="true"/>
        </w:rPr>
        <w:footnoteReference w:id="509"/>
      </w:r>
      <w:r>
        <w:rPr>
          <w:rFonts w:ascii="Amiri" w:hAnsi="Amiri" w:eastAsia="Amiri" w:cs="Amiri"/>
          <w:color w:val="111111"/>
          <w:sz w:val="28"/>
          <w:sz w:val="28"/>
          <w:szCs w:val="28"/>
          <w:rtl w:val="true"/>
          <w:lang w:bidi="ar-SA"/>
        </w:rPr>
        <w:t>الشعير في الوصايا والأقارير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أنّهما مع عدم اندراجهما في إطلاق اللفظين يدخلان في عموم ما عدا الأشياء التسعة المذكورة المنصوص في تلك النصوص بعفو الرسول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ظاهر 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الذرة والعدس والسلت والحبوب فيها مثل ماء الحنطة والشعير </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ويشير إليه أيضا ما في الصحيح </w:t>
      </w:r>
      <w:r>
        <w:rPr>
          <w:rStyle w:val="FootnoteAnchor"/>
          <w:rtl w:val="true"/>
        </w:rPr>
        <w:footnoteReference w:id="511"/>
      </w:r>
      <w:r>
        <w:rPr>
          <w:rFonts w:ascii="Amiri" w:hAnsi="Amiri" w:eastAsia="Amiri" w:cs="Amiri"/>
          <w:color w:val="111111"/>
          <w:sz w:val="28"/>
          <w:sz w:val="28"/>
          <w:szCs w:val="28"/>
          <w:rtl w:val="true"/>
          <w:lang w:bidi="ar-SA"/>
        </w:rPr>
        <w:t>وغيره من عطف السلت في عدّة من الحبوب على الشعير ؛ لظهوره في المغايرة ، وكونه من قبيل عطف الخاص على العام وإن كان ممكنا إلّا أنّه لا يخلو عن بعد بالنظر إلى ظاهر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في الايضاح </w:t>
      </w:r>
      <w:r>
        <w:rPr>
          <w:rStyle w:val="FootnoteAnchor"/>
          <w:rtl w:val="true"/>
        </w:rPr>
        <w:footnoteReference w:id="512"/>
      </w:r>
      <w:r>
        <w:rPr>
          <w:rFonts w:ascii="Amiri" w:hAnsi="Amiri" w:eastAsia="Amiri" w:cs="Amiri"/>
          <w:color w:val="111111"/>
          <w:sz w:val="28"/>
          <w:sz w:val="28"/>
          <w:szCs w:val="28"/>
          <w:rtl w:val="true"/>
          <w:lang w:bidi="ar-SA"/>
        </w:rPr>
        <w:t xml:space="preserve">عن بعض الأصحاب قولا بإلحاق السلت بالحنطة الموافقة لها في الطبيعة </w:t>
      </w:r>
      <w:r>
        <w:rPr>
          <w:rStyle w:val="FootnoteAnchor"/>
          <w:rtl w:val="true"/>
        </w:rPr>
        <w:footnoteReference w:id="513"/>
      </w:r>
      <w:r>
        <w:rPr>
          <w:rFonts w:ascii="Amiri" w:hAnsi="Amiri" w:eastAsia="Amiri" w:cs="Amiri"/>
          <w:color w:val="111111"/>
          <w:sz w:val="28"/>
          <w:sz w:val="28"/>
          <w:szCs w:val="28"/>
          <w:rtl w:val="true"/>
          <w:lang w:bidi="ar-SA"/>
        </w:rPr>
        <w:t>المختصّة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واحتمله في القواعد ، </w:t>
      </w:r>
      <w:r>
        <w:rPr>
          <w:rStyle w:val="FootnoteAnchor"/>
          <w:rtl w:val="true"/>
        </w:rPr>
        <w:footnoteReference w:id="514"/>
      </w:r>
      <w:r>
        <w:rPr>
          <w:rFonts w:ascii="Amiri" w:hAnsi="Amiri" w:eastAsia="Amiri" w:cs="Amiri"/>
          <w:color w:val="111111"/>
          <w:sz w:val="28"/>
          <w:sz w:val="28"/>
          <w:szCs w:val="28"/>
          <w:rtl w:val="true"/>
          <w:lang w:bidi="ar-SA"/>
        </w:rPr>
        <w:t>وهو قول لبعض العامّة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موهون جدّا لخروجه عن مقتضى العرف وكلمات أهل اللغة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يفسّر العلس بالعدس كما ذكره في القاموس </w:t>
      </w:r>
      <w:r>
        <w:rPr>
          <w:rStyle w:val="FootnoteAnchor"/>
          <w:rtl w:val="true"/>
        </w:rPr>
        <w:footnoteReference w:id="515"/>
      </w:r>
      <w:r>
        <w:rPr>
          <w:rFonts w:ascii="Amiri" w:hAnsi="Amiri" w:eastAsia="Amiri" w:cs="Amiri"/>
          <w:color w:val="111111"/>
          <w:sz w:val="28"/>
          <w:sz w:val="28"/>
          <w:szCs w:val="28"/>
          <w:rtl w:val="true"/>
          <w:lang w:bidi="ar-SA"/>
        </w:rPr>
        <w:t>وغيره ، والسلت بالشعير الحامض كما قطع به في 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في القاموس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بهذين المعنيين لا إشكال فيهما ؛ لوضوح خروج الأوّل عن الحنطة ، واندراج الأخير في الشعير لكونه نوعا معروفا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الابل يشمل سائر أنواعها من العراب والبخاتي والذلول وغيرها ، والبقر يشمل الجاموس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 عليه النص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في التذكرة </w:t>
      </w:r>
      <w:r>
        <w:rPr>
          <w:rStyle w:val="FootnoteAnchor"/>
          <w:rtl w:val="true"/>
        </w:rPr>
        <w:footnoteReference w:id="516"/>
      </w:r>
      <w:r>
        <w:rPr>
          <w:rFonts w:ascii="Amiri" w:hAnsi="Amiri" w:eastAsia="Amiri" w:cs="Amiri"/>
          <w:color w:val="111111"/>
          <w:sz w:val="28"/>
          <w:sz w:val="28"/>
          <w:szCs w:val="28"/>
          <w:rtl w:val="true"/>
          <w:lang w:bidi="ar-SA"/>
        </w:rPr>
        <w:t>إجماع العلماء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المعتبر </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اتّفاق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يندرج فيها البقر الوحشيّة وإن تأنست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الإجماع إلّا على قول شاذ لأحمد ، وعزاه في التذكرة إلى أكثر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من </w:t>
      </w:r>
      <w:r>
        <w:rPr>
          <w:rStyle w:val="FootnoteAnchor"/>
          <w:rtl w:val="true"/>
        </w:rPr>
        <w:footnoteReference w:id="518"/>
      </w:r>
      <w:r>
        <w:rPr>
          <w:rFonts w:ascii="Amiri" w:hAnsi="Amiri" w:eastAsia="Amiri" w:cs="Amiri"/>
          <w:color w:val="111111"/>
          <w:sz w:val="28"/>
          <w:sz w:val="28"/>
          <w:szCs w:val="28"/>
          <w:rtl w:val="true"/>
          <w:lang w:bidi="ar-SA"/>
        </w:rPr>
        <w:t>أحمد في رواية وأنه شمولها لبقر الوحش لاندراجها في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والغنم يشمل الضّأن والمعز بلا خلاف بين الخاصّة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المعتبر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أهل العلم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الأنعام الثلاث بين الصغير والكبير ، ولا يندرج فيها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يعتبر من عين الانفصال أو خروج المعظم في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يستشكل في الرضيع من جهة انتفاء النوم </w:t>
      </w:r>
      <w:r>
        <w:rPr>
          <w:rStyle w:val="FootnoteAnchor"/>
          <w:rtl w:val="true"/>
        </w:rPr>
        <w:footnoteReference w:id="520"/>
      </w:r>
      <w:r>
        <w:rPr>
          <w:rFonts w:ascii="Amiri" w:hAnsi="Amiri" w:eastAsia="Amiri" w:cs="Amiri"/>
          <w:color w:val="111111"/>
          <w:sz w:val="28"/>
          <w:sz w:val="28"/>
          <w:szCs w:val="28"/>
          <w:rtl w:val="true"/>
          <w:lang w:bidi="ar-SA"/>
        </w:rPr>
        <w:t>، وهو كلام آخر يجي‌ء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فرق فيها بين الذكر والأنثى على المعروف من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وتفرد الديلمي باشتراط الأنوثة فيها ، فلا زكاة عنده في ذكور الأنعام بالغا ما بلغت ، وهو بخلاف الإجماع كما في السرائر </w:t>
      </w:r>
      <w:r>
        <w:rPr>
          <w:rStyle w:val="FootnoteAnchor"/>
          <w:rtl w:val="true"/>
        </w:rPr>
        <w:footnoteReference w:id="521"/>
      </w:r>
      <w:r>
        <w:rPr>
          <w:rStyle w:val="FootnoteAnchor"/>
          <w:rtl w:val="true"/>
        </w:rPr>
        <w:footnoteReference w:id="522"/>
      </w:r>
      <w:r>
        <w:rPr>
          <w:rFonts w:ascii="Amiri" w:hAnsi="Amiri" w:eastAsia="Amiri" w:cs="Amiri"/>
          <w:color w:val="111111"/>
          <w:sz w:val="28"/>
          <w:sz w:val="28"/>
          <w:szCs w:val="28"/>
          <w:rtl w:val="true"/>
          <w:lang w:bidi="ar-SA"/>
        </w:rPr>
        <w:t>لكن المذكور في كلامه خصوص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وباقي الأصحاب على عدمه كما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في التذكرة ؛ لإطلاق الأدلّة وعدم قيام دليل على اختصاص الحكم بالإناث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العلامة </w:t>
      </w:r>
      <w:r>
        <w:rPr>
          <w:rStyle w:val="FootnoteAnchor"/>
          <w:rtl w:val="true"/>
        </w:rPr>
        <w:footnoteReference w:id="523"/>
      </w:r>
      <w:r>
        <w:rPr>
          <w:rFonts w:ascii="Amiri" w:hAnsi="Amiri" w:eastAsia="Amiri" w:cs="Amiri"/>
          <w:color w:val="111111"/>
          <w:sz w:val="28"/>
          <w:sz w:val="28"/>
          <w:szCs w:val="28"/>
          <w:rtl w:val="true"/>
          <w:lang w:bidi="ar-SA"/>
        </w:rPr>
        <w:t xml:space="preserve">والديلمي بأنّ الشرط اتخاذها للدر والنسل ، ولا يتحقّق إلّا في الإناث ربّما ورد في الأخبار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خمس من الإبل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لاختصاصها بالإناث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 الاول ظاهر ، وكذا الثاني ؛ إذ مقتضاه </w:t>
      </w:r>
      <w:r>
        <w:rPr>
          <w:rStyle w:val="FootnoteAnchor"/>
          <w:rtl w:val="true"/>
        </w:rPr>
        <w:footnoteReference w:id="524"/>
      </w:r>
      <w:r>
        <w:rPr>
          <w:rFonts w:ascii="Amiri" w:hAnsi="Amiri" w:eastAsia="Amiri" w:cs="Amiri"/>
          <w:color w:val="111111"/>
          <w:sz w:val="28"/>
          <w:sz w:val="28"/>
          <w:szCs w:val="28"/>
          <w:rtl w:val="true"/>
          <w:lang w:bidi="ar-SA"/>
        </w:rPr>
        <w:t>عدم دلالة تلك الأخبار على الوجوب ، وليس فيها دلالة على نفي الوجوب في غيرها ففي الإطلاقات المتظافرة كفاية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مقدار المخرج حينئذ بالإجماع ؛ إذ لا قائل بالفرق بين الذكر والأنثى في قدر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شمول إطلاقات تلك الروايات للذكور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وحذف التاء في العدد لا يدلّ على تأنيث المعدود ؛ إذ مدخوله في المقام من أسماء </w:t>
      </w:r>
      <w:r>
        <w:rPr>
          <w:rStyle w:val="FootnoteAnchor"/>
          <w:rtl w:val="true"/>
        </w:rPr>
        <w:footnoteReference w:id="525"/>
      </w:r>
      <w:r>
        <w:rPr>
          <w:rFonts w:ascii="Amiri" w:hAnsi="Amiri" w:eastAsia="Amiri" w:cs="Amiri"/>
          <w:color w:val="111111"/>
          <w:sz w:val="28"/>
          <w:sz w:val="28"/>
          <w:szCs w:val="28"/>
          <w:rtl w:val="true"/>
          <w:lang w:bidi="ar-SA"/>
        </w:rPr>
        <w:t>الأجناس الجمعيّة ممّا لا مفرد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ويتعيّن فيها حذف التاء في المقام كما نصّ عليه الرضي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البيان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التأنيث باعتبار التأويل لا بالنفس أو بالدابّة ، وفي الغنم باعتبار الشاة </w:t>
      </w:r>
    </w:p>
    <w:p>
      <w:pPr>
        <w:pStyle w:val="BookText"/>
        <w:rPr/>
      </w:pPr>
      <w:r>
        <w:rPr>
          <w:rFonts w:ascii="Amiri" w:hAnsi="Amiri" w:eastAsia="Amiri" w:cs="Amiri"/>
          <w:color w:val="111111"/>
          <w:sz w:val="28"/>
          <w:sz w:val="28"/>
          <w:szCs w:val="28"/>
          <w:rtl w:val="true"/>
          <w:lang w:bidi="ar-SA"/>
        </w:rPr>
        <w:t xml:space="preserve">التي تطلق على الذكر وأراد بالآخر </w:t>
      </w:r>
      <w:r>
        <w:rPr>
          <w:rStyle w:val="FootnoteAnchor"/>
          <w:rtl w:val="true"/>
        </w:rPr>
        <w:footnoteReference w:id="527"/>
      </w:r>
      <w:r>
        <w:rPr>
          <w:rFonts w:ascii="Amiri" w:hAnsi="Amiri" w:eastAsia="Amiri" w:cs="Amiri"/>
          <w:color w:val="111111"/>
          <w:sz w:val="28"/>
          <w:sz w:val="28"/>
          <w:szCs w:val="28"/>
          <w:rtl w:val="true"/>
          <w:lang w:bidi="ar-SA"/>
        </w:rPr>
        <w:t xml:space="preserve">دفع ما احتجّ 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سائمة الغنم 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لا حاجة إلى التأويل ، والظاهر أنه يعتبر في الأنعام حلية لحمها ، فلو حرمت مؤبدا كموطوء الإنسان ونسله والشاة المربّاة بلبن الخنزيرة لم يجب فيها الزكاة ، فلا يلفق النصاب عنه وعن المحلّل ، فلا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الجلّال إن كان بحيث لا يمنع صدقه من صدق اسم السوم </w:t>
      </w:r>
      <w:r>
        <w:rPr>
          <w:rStyle w:val="FootnoteAnchor"/>
          <w:rtl w:val="true"/>
        </w:rPr>
        <w:footnoteReference w:id="528"/>
      </w:r>
      <w:r>
        <w:rPr>
          <w:rFonts w:ascii="Amiri" w:hAnsi="Amiri" w:eastAsia="Amiri" w:cs="Amiri"/>
          <w:color w:val="111111"/>
          <w:sz w:val="28"/>
          <w:sz w:val="28"/>
          <w:szCs w:val="28"/>
          <w:rtl w:val="true"/>
          <w:lang w:bidi="ar-SA"/>
        </w:rPr>
        <w:t>فقد يتأمّل فيه من جهة حرمة اللحم ، لكن لا يبعد القول بالوجوب لارتفاع تحريمه بالاستبراء ، فلا باعث فيه للخروج عن ظاهر الاطلاقات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والعبرة في المتولّد بين الزكاتين </w:t>
      </w:r>
      <w:r>
        <w:rPr>
          <w:rStyle w:val="FootnoteAnchor"/>
          <w:rtl w:val="true"/>
        </w:rPr>
        <w:footnoteReference w:id="529"/>
      </w:r>
      <w:r>
        <w:rPr>
          <w:rFonts w:ascii="Amiri" w:hAnsi="Amiri" w:eastAsia="Amiri" w:cs="Amiri"/>
          <w:color w:val="111111"/>
          <w:sz w:val="28"/>
          <w:sz w:val="28"/>
          <w:szCs w:val="28"/>
          <w:rtl w:val="true"/>
          <w:lang w:bidi="ar-SA"/>
        </w:rPr>
        <w:t xml:space="preserve">أو غيرهما أو المختلفين بالاندراج تحت اسم الزكاة </w:t>
      </w:r>
      <w:r>
        <w:rPr>
          <w:rStyle w:val="FootnoteAnchor"/>
          <w:rtl w:val="true"/>
        </w:rPr>
        <w:footnoteReference w:id="530"/>
      </w:r>
      <w:r>
        <w:rPr>
          <w:rFonts w:ascii="Amiri" w:hAnsi="Amiri" w:eastAsia="Amiri" w:cs="Amiri"/>
          <w:color w:val="111111"/>
          <w:sz w:val="28"/>
          <w:sz w:val="28"/>
          <w:szCs w:val="28"/>
          <w:rtl w:val="true"/>
          <w:lang w:bidi="ar-SA"/>
        </w:rPr>
        <w:t>كما نصّ عليه جماعة ويعتبر فيه حلية اللحم ، فلو حكم بحرمة لحمه بناء على حرمة أصله لم يتعلق به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والذهب والفضة يشملان العالي </w:t>
      </w:r>
      <w:r>
        <w:rPr>
          <w:rStyle w:val="FootnoteAnchor"/>
          <w:rtl w:val="true"/>
        </w:rPr>
        <w:footnoteReference w:id="531"/>
      </w:r>
      <w:r>
        <w:rPr>
          <w:rFonts w:ascii="Amiri" w:hAnsi="Amiri" w:eastAsia="Amiri" w:cs="Amiri"/>
          <w:color w:val="111111"/>
          <w:sz w:val="28"/>
          <w:sz w:val="28"/>
          <w:szCs w:val="28"/>
          <w:rtl w:val="true"/>
          <w:lang w:bidi="ar-SA"/>
        </w:rPr>
        <w:t>والدون ، والخالص والمخلوط بغيره ما لم يستهلك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عبرة بالغش الحاصل فيهما ، وإن كان مستهلكا وأطلق على المجموع اسم الذهب أو الفضة ، بل يعتبران صافيين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وسيجي‌ء الإشارة إن شاء اللّه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ولنفصّل القول في الأجناس المذكورة في فصول </w:t>
      </w:r>
      <w:r>
        <w:rPr>
          <w:rFonts w:eastAsia="Amiri" w:cs="Amiri" w:ascii="Amiri" w:hAnsi="Amiri"/>
          <w:color w:val="111111"/>
          <w:sz w:val="28"/>
          <w:szCs w:val="28"/>
          <w:rtl w:val="true"/>
          <w:lang w:bidi="ar-SA"/>
        </w:rPr>
        <w:t xml:space="preserve">: </w:t>
      </w:r>
      <w:bookmarkStart w:id="76" w:name="pg15853_153356"/>
    </w:p>
    <w:p>
      <w:pPr>
        <w:pStyle w:val="Heading4"/>
        <w:numPr>
          <w:ilvl w:val="3"/>
          <w:numId w:val="1"/>
        </w:numPr>
        <w:rPr/>
      </w:pPr>
      <w:bookmarkStart w:id="77" w:name="__RefHeading___Toc14587091_2142443653"/>
      <w:bookmarkStart w:id="78" w:name="_Toc28"/>
      <w:bookmarkEnd w:id="76"/>
      <w:bookmarkEnd w:id="77"/>
      <w:r>
        <w:rPr>
          <w:rtl w:val="true"/>
        </w:rPr>
        <w:t>الفصل الأوّل</w:t>
      </w:r>
      <w:r>
        <w:rPr>
          <w:rtl w:val="true"/>
        </w:rPr>
        <w:t xml:space="preserve">: </w:t>
      </w:r>
      <w:r>
        <w:rPr>
          <w:rtl w:val="true"/>
        </w:rPr>
        <w:t>في زكاة الأنعام</w:t>
      </w:r>
      <w:bookmarkEnd w:id="78"/>
    </w:p>
    <w:p>
      <w:pPr>
        <w:pStyle w:val="Heading5"/>
        <w:numPr>
          <w:ilvl w:val="4"/>
          <w:numId w:val="1"/>
        </w:numPr>
        <w:rPr/>
      </w:pPr>
      <w:bookmarkStart w:id="79" w:name="__RefHeading___Toc14587093_2142443653"/>
      <w:bookmarkStart w:id="80" w:name="_Toc29"/>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 xml:space="preserve">والكلام فيها في الشروط واللواحق ، فهاهنا بحثان </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14587095_2142443653"/>
      <w:bookmarkStart w:id="82" w:name="_Toc30"/>
      <w:bookmarkEnd w:id="81"/>
      <w:r>
        <w:rPr>
          <w:rtl w:val="true"/>
        </w:rPr>
        <w:t>البحث الأوّل</w:t>
      </w:r>
      <w:r>
        <w:rPr>
          <w:rtl w:val="true"/>
        </w:rPr>
        <w:t xml:space="preserve">: </w:t>
      </w:r>
      <w:r>
        <w:rPr>
          <w:rtl w:val="true"/>
        </w:rPr>
        <w:t>في بيان شروط وجوب الزكاة فيها</w:t>
      </w:r>
      <w:bookmarkEnd w:id="82"/>
    </w:p>
    <w:p>
      <w:pPr>
        <w:pStyle w:val="Heading6"/>
        <w:numPr>
          <w:ilvl w:val="5"/>
          <w:numId w:val="1"/>
        </w:numPr>
        <w:rPr/>
      </w:pPr>
      <w:bookmarkStart w:id="83" w:name="__RefHeading___Toc14587097_2142443653"/>
      <w:bookmarkStart w:id="84" w:name="_Toc31"/>
      <w:bookmarkEnd w:id="83"/>
      <w:r>
        <w:rPr>
          <w:rtl w:val="true"/>
        </w:rPr>
        <w:t>تبصرة</w:t>
      </w:r>
      <w:r>
        <w:rPr>
          <w:rtl w:val="true"/>
        </w:rPr>
        <w:t xml:space="preserve">: [ </w:t>
      </w:r>
      <w:r>
        <w:rPr>
          <w:rtl w:val="true"/>
        </w:rPr>
        <w:t xml:space="preserve">في اشتراط النصاب </w:t>
      </w:r>
      <w:r>
        <w:rPr>
          <w:rtl w:val="true"/>
        </w:rPr>
        <w:t>]</w:t>
      </w:r>
      <w:bookmarkEnd w:id="84"/>
    </w:p>
    <w:p>
      <w:pPr>
        <w:pStyle w:val="BookText"/>
        <w:rPr/>
      </w:pPr>
      <w:r>
        <w:rPr>
          <w:rFonts w:ascii="Amiri" w:hAnsi="Amiri" w:eastAsia="Amiri" w:cs="Amiri"/>
          <w:color w:val="111111"/>
          <w:sz w:val="28"/>
          <w:sz w:val="28"/>
          <w:szCs w:val="28"/>
          <w:rtl w:val="true"/>
          <w:lang w:bidi="ar-SA"/>
        </w:rPr>
        <w:t xml:space="preserve">النصاب شرط وجوب زكاة الأنعام بإجماع علماء الإسلام ، وهو مختلف باختلاف الأنعام ، فللإبل اثنا عشر نصابا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الخمس وفيها شاة ، ثمّ العشر وفيها شاتان ، ثمّ الخمس عشر وفيها ثلاث شياه ، ثمّ العشرون وفيه أربع ، ثمّ الخمس والعشرون وفيه خمس ، ثمّ الست والعشرون وفيها بنت مخاض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دخلت في السنة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الست والثلاثون وفيها بنت لبون ، وهي ما دخلت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الست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حقّة ، وهي ما دخلت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الإحدى والستون وفيها جذعة ، وهي ما دخلت في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الست والسبعون وفيها بنتا 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الإحدى والتسعون وفيها حقّتان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مائة وإحدى وعشرون فما زاد عليها زاد عليها وفيها في كلّ خمسين حقّة ، وفي كلّ </w:t>
      </w:r>
    </w:p>
    <w:p>
      <w:pPr>
        <w:pStyle w:val="BookText"/>
        <w:rPr/>
      </w:pPr>
      <w:r>
        <w:rPr>
          <w:rFonts w:ascii="Amiri" w:hAnsi="Amiri" w:eastAsia="Amiri" w:cs="Amiri"/>
          <w:color w:val="111111"/>
          <w:sz w:val="28"/>
          <w:sz w:val="28"/>
          <w:szCs w:val="28"/>
          <w:rtl w:val="true"/>
          <w:lang w:bidi="ar-SA"/>
        </w:rPr>
        <w:t>أربعين بنت 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فالزيادة في النصب الخمس إلى النصاب السادس وفيه بواحدة ، ثمّ بعشر في السابع والثامن ، ثمّ بخمس عشر في التاسع والعاشر والحادي عشر ، ثمّ بثلاثين في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التفصيل هو المعروف بين الأصحاب بل استقرّ المذهب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الصحاح المستفيضة المصرّحة بالتفصيل المذكور المعتضدة بالعمل بل الاتفاق ، غير أن الموجود في صحيحتين منها </w:t>
      </w:r>
      <w:r>
        <w:rPr>
          <w:rStyle w:val="FootnoteAnchor"/>
          <w:rtl w:val="true"/>
        </w:rPr>
        <w:footnoteReference w:id="532"/>
      </w:r>
      <w:r>
        <w:rPr>
          <w:rFonts w:ascii="Amiri" w:hAnsi="Amiri" w:eastAsia="Amiri" w:cs="Amiri"/>
          <w:color w:val="111111"/>
          <w:sz w:val="28"/>
          <w:sz w:val="28"/>
          <w:szCs w:val="28"/>
          <w:rtl w:val="true"/>
          <w:lang w:bidi="ar-SA"/>
        </w:rPr>
        <w:t>تعيين الحقة في كلّ خمسين في النصاب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التصريح في صحيحة زرارة بالنحو المشهور ، فيحمل تينك الصحيحتين على ذلك ؛ جمعا بين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اعتضادها بالعمل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حكى الإجماع على التفصيل المذكور في شرح الجمل والغنية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النصب الأربعة </w:t>
      </w:r>
      <w:r>
        <w:rPr>
          <w:rStyle w:val="FootnoteAnchor"/>
          <w:rtl w:val="true"/>
        </w:rPr>
        <w:footnoteReference w:id="534"/>
      </w:r>
      <w:r>
        <w:rPr>
          <w:rFonts w:ascii="Amiri" w:hAnsi="Amiri" w:eastAsia="Amiri" w:cs="Amiri"/>
          <w:color w:val="111111"/>
          <w:sz w:val="28"/>
          <w:sz w:val="28"/>
          <w:szCs w:val="28"/>
          <w:rtl w:val="true"/>
          <w:lang w:bidi="ar-SA"/>
        </w:rPr>
        <w:t xml:space="preserve">الأول عددا وحكما ممّا اتّفق عليه الإسلام كما نصّ عليه في المعتبر </w:t>
      </w:r>
      <w:r>
        <w:rPr>
          <w:rStyle w:val="FootnoteAnchor"/>
          <w:rtl w:val="true"/>
        </w:rPr>
        <w:footnoteReference w:id="535"/>
      </w:r>
      <w:r>
        <w:rPr>
          <w:rFonts w:ascii="Amiri" w:hAnsi="Amiri" w:eastAsia="Amiri" w:cs="Amiri"/>
          <w:color w:val="111111"/>
          <w:sz w:val="28"/>
          <w:sz w:val="28"/>
          <w:szCs w:val="28"/>
          <w:rtl w:val="true"/>
          <w:lang w:bidi="ar-SA"/>
        </w:rPr>
        <w:t xml:space="preserve">والتذكرة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النصاب السابع والثامن والتاسع والحادي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وقع </w:t>
      </w:r>
      <w:r>
        <w:rPr>
          <w:rStyle w:val="FootnoteAnchor"/>
          <w:rtl w:val="true"/>
        </w:rPr>
        <w:footnoteReference w:id="537"/>
      </w:r>
      <w:r>
        <w:rPr>
          <w:rFonts w:ascii="Amiri" w:hAnsi="Amiri" w:eastAsia="Amiri" w:cs="Amiri"/>
          <w:color w:val="111111"/>
          <w:sz w:val="28"/>
          <w:sz w:val="28"/>
          <w:szCs w:val="28"/>
          <w:rtl w:val="true"/>
          <w:lang w:bidi="ar-SA"/>
        </w:rPr>
        <w:t xml:space="preserve">في غير النصب المذكورة خلاف ضعيف في مواضع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 وثانيها النصاب الخامس والسادس ، فذهب الإسكافي إلى أن الواجب في النصاب الخامس بنت المخاض ، فإن لم تكن في الإبل فابن اللبون ، فإن لم تكن فخمس شياة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حكاه في المختلف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والظاهر أن المحكيّ فيه عبارته بلفظه ، والمحكي عنه في المعتبر </w:t>
      </w:r>
      <w:r>
        <w:rPr>
          <w:rStyle w:val="FootnoteAnchor"/>
          <w:rtl w:val="true"/>
        </w:rPr>
        <w:footnoteReference w:id="539"/>
      </w:r>
      <w:r>
        <w:rPr>
          <w:rFonts w:ascii="IRNazanin" w:hAnsi="IRNazanin" w:eastAsia="IRNazanin"/>
          <w:color w:val="111111"/>
          <w:sz w:val="28"/>
          <w:sz w:val="28"/>
          <w:szCs w:val="28"/>
          <w:rtl w:val="true"/>
          <w:lang w:bidi="fa-IR"/>
        </w:rPr>
        <w:t xml:space="preserve">والمنتهى </w:t>
      </w:r>
      <w:r>
        <w:rPr>
          <w:rStyle w:val="FootnoteAnchor"/>
          <w:rtl w:val="true"/>
        </w:rPr>
        <w:footnoteReference w:id="540"/>
      </w:r>
      <w:r>
        <w:rPr>
          <w:rFonts w:ascii="Amiri" w:hAnsi="Amiri" w:eastAsia="Amiri" w:cs="Amiri"/>
          <w:color w:val="111111"/>
          <w:sz w:val="28"/>
          <w:sz w:val="28"/>
          <w:szCs w:val="28"/>
          <w:rtl w:val="true"/>
          <w:lang w:bidi="ar-SA"/>
        </w:rPr>
        <w:t xml:space="preserve">والتذكرة </w:t>
      </w:r>
      <w:r>
        <w:rPr>
          <w:rStyle w:val="FootnoteAnchor"/>
          <w:rtl w:val="true"/>
        </w:rPr>
        <w:footnoteReference w:id="541"/>
      </w:r>
      <w:r>
        <w:rPr>
          <w:rFonts w:ascii="Amiri" w:hAnsi="Amiri" w:eastAsia="Amiri" w:cs="Amiri"/>
          <w:color w:val="111111"/>
          <w:sz w:val="28"/>
          <w:sz w:val="28"/>
          <w:szCs w:val="28"/>
          <w:rtl w:val="true"/>
          <w:lang w:bidi="ar-SA"/>
        </w:rPr>
        <w:t>وجوب بنت المخاض أو ابن اللبون أوّلا ثمّ الشياه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شرح الجمل إيجابه فيه بنت المخاض أو ابن اللبون من غير ذكر للشياه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العماني تعيين بنت المخاض بدل الشياه ، وقال بسقوط النصاب السادس ، فأوجب ذلك إلى الست والثلاثين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وأسند هذا القول في المعتبر إلى جماعة من محققي الأصحاب ، وذكر ان الرواية الآتية التي هي الحجة في ذلك ممّا رواه البزنطي واختاره ، وهي صحيحة الفضلاء عن الصادقين عليهما‌السلام أنهما قالا في صدقة الإبل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خمس شاة إلى أن تبلغ خمسا وعشرين ، فإن بلغت ذلك ففيها ابنة مخاض ، وليس فيها شي‌ء حتى يبلغ خمسا وثلاثين ففيها ابنة لبون </w:t>
      </w:r>
      <w:r>
        <w:rPr>
          <w:rFonts w:eastAsia="Amiri" w:cs="Amiri" w:ascii="Amiri" w:hAnsi="Amiri"/>
          <w:color w:val="111111"/>
          <w:sz w:val="28"/>
          <w:szCs w:val="28"/>
          <w:rtl w:val="true"/>
          <w:lang w:bidi="ar-SA"/>
        </w:rPr>
        <w:t xml:space="preserve">.. » </w:t>
      </w:r>
      <w:r>
        <w:rPr>
          <w:rStyle w:val="FootnoteAnchor"/>
          <w:rtl w:val="true"/>
        </w:rPr>
        <w:footnoteReference w:id="542"/>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وأوّلها الشيخ </w:t>
      </w:r>
      <w:r>
        <w:rPr>
          <w:rStyle w:val="FootnoteAnchor"/>
          <w:rtl w:val="true"/>
        </w:rPr>
        <w:footnoteReference w:id="543"/>
      </w:r>
      <w:r>
        <w:rPr>
          <w:rFonts w:ascii="Amiri" w:hAnsi="Amiri" w:eastAsia="Amiri" w:cs="Amiri"/>
          <w:color w:val="111111"/>
          <w:sz w:val="28"/>
          <w:sz w:val="28"/>
          <w:szCs w:val="28"/>
          <w:rtl w:val="true"/>
          <w:lang w:bidi="ar-SA"/>
        </w:rPr>
        <w:t>تارة بحصول إضمار في الرواية ، فيراد ثبوت ذلك مع زيادة الواحد ، وأخرى بالحمل على التقيّة ؛ إذ ذلك ممّا أطبقت عليه العامة ؛ لما رووه من كتاب أبي بكر لأنس لمّا وجّهه إلى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ضعّفهما في المعتبر </w:t>
      </w:r>
      <w:r>
        <w:rPr>
          <w:rStyle w:val="FootnoteAnchor"/>
          <w:rtl w:val="true"/>
        </w:rPr>
        <w:footnoteReference w:id="544"/>
      </w:r>
      <w:r>
        <w:rPr>
          <w:rFonts w:ascii="Amiri" w:hAnsi="Amiri" w:eastAsia="Amiri" w:cs="Amiri"/>
          <w:color w:val="111111"/>
          <w:sz w:val="28"/>
          <w:sz w:val="28"/>
          <w:szCs w:val="28"/>
          <w:rtl w:val="true"/>
          <w:lang w:bidi="ar-SA"/>
        </w:rPr>
        <w:t xml:space="preserve">ببعد الإضمار ، وبعد الحمل على التقيّة لكونه مذهب جماعة من محققي الأصحاب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يذهب على مثل ابن أبي عقيل والبزنطي وغيرهما ممّن اختار ذلك مذهب الاماميّة؟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يفيده ذلك عدم انعقاد الإجماع على خلافه هناك ، وهو لا ينافي الحمل على التقية بعد موافقة الرواية لما أطبقت عليه العامة ، ومخالفته لما في الروايات المعتبرة </w:t>
      </w:r>
    </w:p>
    <w:p>
      <w:pPr>
        <w:pStyle w:val="BookText"/>
        <w:rPr/>
      </w:pPr>
      <w:r>
        <w:rPr>
          <w:rFonts w:ascii="Amiri" w:hAnsi="Amiri" w:eastAsia="Amiri" w:cs="Amiri"/>
          <w:color w:val="111111"/>
          <w:sz w:val="28"/>
          <w:sz w:val="28"/>
          <w:szCs w:val="28"/>
          <w:rtl w:val="true"/>
          <w:lang w:bidi="ar-SA"/>
        </w:rPr>
        <w:t>المنجبرة بعمل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إليه ما ذكره عبد الرحمن بن الحجاج على ما في الكافي </w:t>
      </w:r>
      <w:r>
        <w:rPr>
          <w:rStyle w:val="FootnoteAnchor"/>
          <w:rtl w:val="true"/>
        </w:rPr>
        <w:footnoteReference w:id="545"/>
      </w:r>
      <w:r>
        <w:rPr>
          <w:rFonts w:ascii="Amiri" w:hAnsi="Amiri" w:eastAsia="Amiri" w:cs="Amiri"/>
          <w:color w:val="111111"/>
          <w:sz w:val="28"/>
          <w:sz w:val="28"/>
          <w:szCs w:val="28"/>
          <w:rtl w:val="true"/>
          <w:lang w:bidi="ar-SA"/>
        </w:rPr>
        <w:t xml:space="preserve">بعد ما روى في صحيحته ثبوت بنت المخاض في ست وعشرين إلى خمس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فرق بيننا وبين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الإضمار سقوط الواحدة في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في المراتب المتأخرة أيضا وقد وقع الاتفاق على اعتبارها هناك كما في المنتهى ، وإذا التزم في تلك </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المراتب التزم به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الغاية في المراتب المذكورة داخلة في المغيّى ، فيكون المراد بما بعده بيان حكم الزائد على تلك المرتبة بالتزام إضمار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ضعف حملها على التقية لا بما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الأولى التزام نقص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أنه قد رواها الصدوق في معاني الأخبار </w:t>
      </w:r>
      <w:r>
        <w:rPr>
          <w:rStyle w:val="FootnoteAnchor"/>
          <w:rtl w:val="true"/>
        </w:rPr>
        <w:footnoteReference w:id="547"/>
      </w:r>
      <w:r>
        <w:rPr>
          <w:rFonts w:ascii="Amiri" w:hAnsi="Amiri" w:eastAsia="Amiri" w:cs="Amiri"/>
          <w:color w:val="111111"/>
          <w:sz w:val="28"/>
          <w:sz w:val="28"/>
          <w:szCs w:val="28"/>
          <w:rtl w:val="true"/>
          <w:lang w:bidi="ar-SA"/>
        </w:rPr>
        <w:t>في الصحيح مع التصريح باعتبار الزيادة في تلك المراتب على ما حكي عن بعض النسخ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ضعف القول المذكور وما في المعتبر </w:t>
      </w:r>
      <w:r>
        <w:rPr>
          <w:rStyle w:val="FootnoteAnchor"/>
          <w:rtl w:val="true"/>
        </w:rPr>
        <w:footnoteReference w:id="548"/>
      </w:r>
      <w:r>
        <w:rPr>
          <w:rFonts w:ascii="Amiri" w:hAnsi="Amiri" w:eastAsia="Amiri" w:cs="Amiri"/>
          <w:color w:val="111111"/>
          <w:sz w:val="28"/>
          <w:sz w:val="28"/>
          <w:szCs w:val="28"/>
          <w:rtl w:val="true"/>
          <w:lang w:bidi="ar-SA"/>
        </w:rPr>
        <w:t xml:space="preserve">بعد تضعيفه الحملين المذكورين من أن 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روايتان أشهرها </w:t>
      </w:r>
      <w:r>
        <w:rPr>
          <w:rStyle w:val="FootnoteAnchor"/>
          <w:rtl w:val="true"/>
        </w:rPr>
        <w:footnoteReference w:id="549"/>
      </w:r>
      <w:r>
        <w:rPr>
          <w:rFonts w:ascii="Amiri" w:hAnsi="Amiri" w:eastAsia="Amiri" w:cs="Amiri"/>
          <w:color w:val="111111"/>
          <w:sz w:val="28"/>
          <w:sz w:val="28"/>
          <w:szCs w:val="28"/>
          <w:rtl w:val="true"/>
          <w:lang w:bidi="ar-SA"/>
        </w:rPr>
        <w:t>ما اختاره المشايخ الخمسة وأتباعهم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فالعمل بالأخبار المتقدمة متعيّن ، وهذه الصحيحة لا بدّ من حملها على أحد الوجوه المذكورة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المنتهى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خبر شاذّ لا يعارض ما تقدم من الأحاديث الصحاح المعتضدة بعمل </w:t>
      </w:r>
    </w:p>
    <w:p>
      <w:pPr>
        <w:pStyle w:val="BookText"/>
        <w:rPr/>
      </w:pPr>
      <w:r>
        <w:rPr>
          <w:rFonts w:ascii="Amiri" w:hAnsi="Amiri" w:eastAsia="Amiri" w:cs="Amiri"/>
          <w:color w:val="111111"/>
          <w:sz w:val="28"/>
          <w:sz w:val="28"/>
          <w:szCs w:val="28"/>
          <w:rtl w:val="true"/>
          <w:lang w:bidi="ar-SA"/>
        </w:rPr>
        <w:t>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وحكاية الإجماع على المشهور مستفيضة حكاه في المختلف </w:t>
      </w:r>
      <w:r>
        <w:rPr>
          <w:rStyle w:val="FootnoteAnchor"/>
          <w:rtl w:val="true"/>
        </w:rPr>
        <w:footnoteReference w:id="551"/>
      </w:r>
      <w:r>
        <w:rPr>
          <w:rFonts w:ascii="Amiri" w:hAnsi="Amiri" w:eastAsia="Amiri" w:cs="Amiri"/>
          <w:color w:val="111111"/>
          <w:sz w:val="28"/>
          <w:sz w:val="28"/>
          <w:szCs w:val="28"/>
          <w:rtl w:val="true"/>
          <w:lang w:bidi="ar-SA"/>
        </w:rPr>
        <w:t>والغنية وشرح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سابق له ومتأخر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ذهب إليه الإسكافي فلم نقف على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ذكر السيد في </w:t>
      </w:r>
      <w:r>
        <w:rPr>
          <w:rFonts w:eastAsia="Amiri" w:cs="Amiri" w:ascii="Amiri" w:hAnsi="Amiri"/>
          <w:color w:val="111111"/>
          <w:sz w:val="28"/>
          <w:szCs w:val="28"/>
          <w:rtl w:val="true"/>
          <w:lang w:bidi="ar-SA"/>
        </w:rPr>
        <w:t xml:space="preserve">[ ... ] </w:t>
      </w:r>
      <w:r>
        <w:rPr>
          <w:rStyle w:val="FootnoteAnchor"/>
          <w:rtl w:val="true"/>
        </w:rPr>
        <w:footnoteReference w:id="552"/>
      </w:r>
      <w:r>
        <w:rPr>
          <w:rFonts w:ascii="Amiri" w:hAnsi="Amiri" w:eastAsia="Amiri" w:cs="Amiri"/>
          <w:color w:val="111111"/>
          <w:sz w:val="28"/>
          <w:sz w:val="28"/>
          <w:szCs w:val="28"/>
          <w:rtl w:val="true"/>
          <w:lang w:bidi="ar-SA"/>
        </w:rPr>
        <w:t>والقاضي في شرح الجمل أنّه عوّل في ذلك على بعض الأخبار الواردة من طرقنا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يتضمن ذلك من 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يحمل ذكر بنت المخاض أو ابن اللبون في خمس وعشرين على سبيل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العاشر ، فأسقطه الصدوقان في الرسالة والهداية </w:t>
      </w:r>
      <w:r>
        <w:rPr>
          <w:rStyle w:val="FootnoteAnchor"/>
          <w:rtl w:val="true"/>
        </w:rPr>
        <w:footnoteReference w:id="553"/>
      </w:r>
      <w:r>
        <w:rPr>
          <w:rFonts w:ascii="IRNazanin" w:hAnsi="IRNazanin" w:eastAsia="IRNazanin"/>
          <w:color w:val="111111"/>
          <w:sz w:val="28"/>
          <w:sz w:val="28"/>
          <w:szCs w:val="28"/>
          <w:rtl w:val="true"/>
          <w:lang w:bidi="fa-IR"/>
        </w:rPr>
        <w:t xml:space="preserve">والمقنع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إمكانه الواحد والثمانين ، وأوجبا فيه ثلثا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أكمل الخامسة ودخل في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مستندهما في ذلك كتاب الفقه الرضوي ؛ فإنّ ذلك بعينه موجود فيه ، وهو شاهد على وجود الكتاب عندهما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أصحّ عندهما من ساير الأخبار حيث قدّماه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الحكم موجود في حديث مسند في الخصال </w:t>
      </w:r>
      <w:r>
        <w:rPr>
          <w:rStyle w:val="FootnoteAnchor"/>
          <w:rtl w:val="true"/>
        </w:rPr>
        <w:footnoteReference w:id="555"/>
      </w:r>
      <w:r>
        <w:rPr>
          <w:rFonts w:ascii="Amiri" w:hAnsi="Amiri" w:eastAsia="Amiri" w:cs="Amiri"/>
          <w:color w:val="111111"/>
          <w:sz w:val="28"/>
          <w:sz w:val="28"/>
          <w:szCs w:val="28"/>
          <w:rtl w:val="true"/>
          <w:lang w:bidi="ar-SA"/>
        </w:rPr>
        <w:t>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ذلك هو مستندهما في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استنادهما إلى الكتاب المذكور فلم يظهر منهما في شي‌ء من الموارد ، بل ولا أسندا الحكم المذكور فيه إلى الرواية أصلا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فضعف كل من المستندين ظاهر ؛ إذ لا يقاومان ما عرفت من الروايات </w:t>
      </w:r>
    </w:p>
    <w:p>
      <w:pPr>
        <w:pStyle w:val="BookText"/>
        <w:rPr/>
      </w:pPr>
      <w:r>
        <w:rPr>
          <w:rFonts w:ascii="Amiri" w:hAnsi="Amiri" w:eastAsia="Amiri" w:cs="Amiri"/>
          <w:color w:val="111111"/>
          <w:sz w:val="28"/>
          <w:sz w:val="28"/>
          <w:szCs w:val="28"/>
          <w:rtl w:val="true"/>
          <w:lang w:bidi="ar-SA"/>
        </w:rPr>
        <w:t>الواضحة المعتضدة بعمل الطائفة والإجماعات المحكية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في الفقيه موافقة المشهور في نصب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فيه بأن الأسنان التي أخذ في الصدقة من ابن المخاض إلى الجذع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زاد الصدوق في الهداية </w:t>
      </w:r>
      <w:r>
        <w:rPr>
          <w:rStyle w:val="FootnoteAnchor"/>
          <w:rtl w:val="true"/>
        </w:rPr>
        <w:footnoteReference w:id="556"/>
      </w:r>
      <w:r>
        <w:rPr>
          <w:rFonts w:ascii="Amiri" w:hAnsi="Amiri" w:eastAsia="Amiri" w:cs="Amiri"/>
          <w:color w:val="111111"/>
          <w:sz w:val="28"/>
          <w:sz w:val="28"/>
          <w:szCs w:val="28"/>
          <w:rtl w:val="true"/>
          <w:lang w:bidi="ar-SA"/>
        </w:rPr>
        <w:t>بعد النصاب المذكور نصابا آخر ، وهو التسعين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فيه بنتي لبون ، ثم جعل النصاب بعده واحدا وتسعين وأوجب فيه حقتين على ما هو المعروف ، فيكون عنده نصابان لا عفو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ضعيف مخالف للأخبار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مستنده في ذلك أيضا الرواية المتقدمة عن الخصال </w:t>
      </w:r>
      <w:r>
        <w:rPr>
          <w:rStyle w:val="FootnoteAnchor"/>
          <w:rtl w:val="true"/>
        </w:rPr>
        <w:footnoteReference w:id="557"/>
      </w:r>
      <w:r>
        <w:rPr>
          <w:rFonts w:ascii="Amiri" w:hAnsi="Amiri" w:eastAsia="Amiri" w:cs="Amiri"/>
          <w:color w:val="111111"/>
          <w:sz w:val="28"/>
          <w:sz w:val="28"/>
          <w:szCs w:val="28"/>
          <w:rtl w:val="true"/>
          <w:lang w:bidi="ar-SA"/>
        </w:rPr>
        <w:t>لوجود ذلك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على استناده إليها في الحكم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خالف فيه السيد في الانتصار حيث ذهب إلى عدم اختلاف الغرض بذلك ، فلا شي‌ء من جهة زيادة الواحد على مائة وعشرين إلى مائة وثلاثين ، فأوجب فيها حقّة وبنتي لبون ، فيكون ذلك هو لنصاب الثاني عشر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وباقي الأصحاب على خلافه حيث نصّوا بما ذكرناه ، وحكاية الإجماع عليه مستفيضة في كلامهم حكاه في الناصريات </w:t>
      </w:r>
      <w:r>
        <w:rPr>
          <w:rStyle w:val="FootnoteAnchor"/>
          <w:rtl w:val="true"/>
        </w:rPr>
        <w:footnoteReference w:id="558"/>
      </w:r>
      <w:r>
        <w:rPr>
          <w:rFonts w:ascii="Amiri" w:hAnsi="Amiri" w:eastAsia="Amiri" w:cs="Amiri"/>
          <w:color w:val="111111"/>
          <w:sz w:val="28"/>
          <w:sz w:val="28"/>
          <w:szCs w:val="28"/>
          <w:rtl w:val="true"/>
          <w:lang w:bidi="ar-SA"/>
        </w:rPr>
        <w:t xml:space="preserve">وشرح الجمل والغنية </w:t>
      </w:r>
      <w:r>
        <w:rPr>
          <w:rStyle w:val="FootnoteAnchor"/>
          <w:rtl w:val="true"/>
        </w:rPr>
        <w:footnoteReference w:id="559"/>
      </w:r>
      <w:r>
        <w:rPr>
          <w:rFonts w:ascii="IRNazanin" w:hAnsi="IRNazanin" w:eastAsia="IRNazanin"/>
          <w:color w:val="111111"/>
          <w:sz w:val="28"/>
          <w:sz w:val="28"/>
          <w:szCs w:val="28"/>
          <w:rtl w:val="true"/>
          <w:lang w:bidi="fa-IR"/>
        </w:rPr>
        <w:t xml:space="preserve">والسرائر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المبسوط </w:t>
      </w:r>
      <w:r>
        <w:rPr>
          <w:rStyle w:val="FootnoteAnchor"/>
          <w:rtl w:val="true"/>
        </w:rPr>
        <w:footnoteReference w:id="561"/>
      </w:r>
      <w:r>
        <w:rPr>
          <w:rFonts w:ascii="Amiri" w:hAnsi="Amiri" w:eastAsia="Amiri" w:cs="Amiri"/>
          <w:color w:val="111111"/>
          <w:sz w:val="28"/>
          <w:sz w:val="28"/>
          <w:szCs w:val="28"/>
          <w:rtl w:val="true"/>
          <w:lang w:bidi="ar-SA"/>
        </w:rPr>
        <w:t>نفى عنه الخلاف بين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في الخلاف </w:t>
      </w:r>
      <w:r>
        <w:rPr>
          <w:rStyle w:val="FootnoteAnchor"/>
          <w:rtl w:val="true"/>
        </w:rPr>
        <w:footnoteReference w:id="562"/>
      </w:r>
      <w:r>
        <w:rPr>
          <w:rFonts w:ascii="Amiri" w:hAnsi="Amiri" w:eastAsia="Amiri" w:cs="Amiri"/>
          <w:color w:val="111111"/>
          <w:sz w:val="28"/>
          <w:sz w:val="28"/>
          <w:szCs w:val="28"/>
          <w:rtl w:val="true"/>
          <w:lang w:bidi="ar-SA"/>
        </w:rPr>
        <w:t xml:space="preserve">الإجماع على الراوية الدالّة على ثبوت الحقّة في كل خمسين وبنت اللبون في كل أربعين بعد زيادة الإبل على مائة </w:t>
      </w:r>
    </w:p>
    <w:p>
      <w:pPr>
        <w:pStyle w:val="BookText"/>
        <w:rPr/>
      </w:pPr>
      <w:r>
        <w:rPr>
          <w:rFonts w:ascii="Amiri" w:hAnsi="Amiri" w:eastAsia="Amiri" w:cs="Amiri"/>
          <w:color w:val="111111"/>
          <w:sz w:val="28"/>
          <w:sz w:val="28"/>
          <w:szCs w:val="28"/>
          <w:rtl w:val="true"/>
          <w:lang w:bidi="ar-SA"/>
        </w:rPr>
        <w:t>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إجماع العامة والخاصة ، وعزي الحكم المذكور في المعتبر </w:t>
      </w:r>
      <w:r>
        <w:rPr>
          <w:rStyle w:val="FootnoteAnchor"/>
          <w:rtl w:val="true"/>
        </w:rPr>
        <w:footnoteReference w:id="563"/>
      </w:r>
      <w:r>
        <w:rPr>
          <w:rFonts w:ascii="Amiri" w:hAnsi="Amiri" w:eastAsia="Amiri" w:cs="Amiri"/>
          <w:color w:val="111111"/>
          <w:sz w:val="28"/>
          <w:sz w:val="28"/>
          <w:szCs w:val="28"/>
          <w:rtl w:val="true"/>
          <w:lang w:bidi="ar-SA"/>
        </w:rPr>
        <w:t xml:space="preserve">والتذكرة </w:t>
      </w:r>
      <w:r>
        <w:rPr>
          <w:rStyle w:val="FootnoteAnchor"/>
          <w:rtl w:val="true"/>
        </w:rPr>
        <w:footnoteReference w:id="564"/>
      </w:r>
      <w:r>
        <w:rPr>
          <w:rFonts w:ascii="Amiri" w:hAnsi="Amiri" w:eastAsia="Amiri" w:cs="Amiri"/>
          <w:color w:val="111111"/>
          <w:sz w:val="28"/>
          <w:sz w:val="28"/>
          <w:szCs w:val="28"/>
          <w:rtl w:val="true"/>
          <w:lang w:bidi="ar-SA"/>
        </w:rPr>
        <w:t>إلى علمائنا مؤذنا بالإجماع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المنتهى </w:t>
      </w:r>
      <w:r>
        <w:rPr>
          <w:rStyle w:val="FootnoteAnchor"/>
          <w:rtl w:val="true"/>
        </w:rPr>
        <w:footnoteReference w:id="565"/>
      </w:r>
      <w:r>
        <w:rPr>
          <w:rFonts w:ascii="Amiri" w:hAnsi="Amiri" w:eastAsia="Amiri" w:cs="Amiri"/>
          <w:color w:val="111111"/>
          <w:sz w:val="28"/>
          <w:sz w:val="28"/>
          <w:szCs w:val="28"/>
          <w:rtl w:val="true"/>
          <w:lang w:bidi="ar-SA"/>
        </w:rPr>
        <w:t xml:space="preserve">إلّا أنّه ذكر خلاف السيد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إلى ما اخترناه </w:t>
      </w:r>
      <w:r>
        <w:rPr>
          <w:rStyle w:val="FootnoteAnchor"/>
          <w:rtl w:val="true"/>
        </w:rPr>
        <w:footnoteReference w:id="566"/>
      </w:r>
      <w:r>
        <w:rPr>
          <w:rFonts w:ascii="Amiri" w:hAnsi="Amiri" w:eastAsia="Amiri" w:cs="Amiri"/>
          <w:color w:val="111111"/>
          <w:sz w:val="28"/>
          <w:sz w:val="28"/>
          <w:szCs w:val="28"/>
          <w:rtl w:val="true"/>
          <w:lang w:bidi="ar-SA"/>
        </w:rPr>
        <w:t xml:space="preserve">في المسائل الناصرية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السيد لما ذهب إليه بإجماع الإمامية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آخر كلامه أنّ هناك أخبارا لا تحصى من طرق الخاصة يوافق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ما حكاه من الإجماع تفرّده بالقول المذكور ؛ إذ لم نقف على من وافقه فيه ، وهو رحمه‌اللّه قد خالف نفسه فاختار المشهور في الجمل والناصريات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الغريب أنّه رحمه‌اللّه ادعى الإجماع في الناصريات على ذلك أيضا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الأخبار فلم نقف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صحيحتي أبي بصير </w:t>
      </w:r>
      <w:r>
        <w:rPr>
          <w:rStyle w:val="FootnoteAnchor"/>
          <w:rtl w:val="true"/>
        </w:rPr>
        <w:footnoteReference w:id="569"/>
      </w:r>
      <w:r>
        <w:rPr>
          <w:rFonts w:ascii="IRNazanin" w:hAnsi="IRNazanin" w:eastAsia="IRNazanin"/>
          <w:color w:val="111111"/>
          <w:sz w:val="28"/>
          <w:sz w:val="28"/>
          <w:szCs w:val="28"/>
          <w:rtl w:val="true"/>
          <w:lang w:bidi="fa-IR"/>
        </w:rPr>
        <w:t xml:space="preserve">وعبد الرحمن بن الحجاج </w:t>
      </w:r>
      <w:r>
        <w:rPr>
          <w:rStyle w:val="FootnoteAnchor"/>
          <w:rtl w:val="true"/>
        </w:rPr>
        <w:footnoteReference w:id="570"/>
      </w:r>
      <w:r>
        <w:rPr>
          <w:rFonts w:ascii="Amiri" w:hAnsi="Amiri" w:eastAsia="Amiri" w:cs="Amiri"/>
          <w:color w:val="111111"/>
          <w:sz w:val="28"/>
          <w:sz w:val="28"/>
          <w:szCs w:val="28"/>
          <w:rtl w:val="true"/>
          <w:lang w:bidi="ar-SA"/>
        </w:rPr>
        <w:t>ثبوت الحقة في كل خمسين مع الزيادة على المائة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منافاة فيهما للمشهور ، وظاهر إطلاقهما أن نافي المشهور ، فينافي ما اختاره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 الحقة المأخوذة في النصاب الثامن والحقّتان المأخوذتان في النصاب الحادي عشر لا يعتبر فيهما أن تكونا حوائل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العماني والإسكافي تقييدهما بكونهما طروقي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الثاني تقييد الحقة </w:t>
      </w:r>
    </w:p>
    <w:p>
      <w:pPr>
        <w:pStyle w:val="BookText"/>
        <w:rPr/>
      </w:pPr>
      <w:r>
        <w:rPr>
          <w:rFonts w:ascii="Amiri" w:hAnsi="Amiri" w:eastAsia="Amiri" w:cs="Amiri"/>
          <w:color w:val="111111"/>
          <w:sz w:val="28"/>
          <w:sz w:val="28"/>
          <w:szCs w:val="28"/>
          <w:rtl w:val="true"/>
          <w:lang w:bidi="ar-SA"/>
        </w:rPr>
        <w:t>المأخوذة عن كل خمسين بكونها طروقة الفحل أيضا ، وقد ورد التقييد المذكور في صحيحة الفضلاء في النصابين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وكأنّهما مستندهما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حمل الرواية على بيان الشأن فيها حيث إنّها بلغت إلى حيث استحقّت أن يطرقها الفحل حسبما ذكره الأصحاب في سبب تسميتها حقّة ؛ نظرا إلى إطلاق ساير الروايات ، وإن كان قضية حمل المطلق على المقيّد حمل إطلاقها على ما في الصحيحة المذكورة إلّا أنّها لمّا أمكن حملها على الوجه المذكور واعتضد ذلك بفتوى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قام الدليل على عدم تسلط الساعي على أخذ الحامل كما سيجي‌ء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الأخذ بتلك الإطلاقات ، وحمل تلك الصحيحة على الوجه المذكور ، فإن حمل كلامهما على ذلك أيضا فلا خلاف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ما ذكره جماعة من القدماء كالشيخ في النهاية </w:t>
      </w:r>
      <w:r>
        <w:rPr>
          <w:rStyle w:val="FootnoteAnchor"/>
          <w:rtl w:val="true"/>
        </w:rPr>
        <w:footnoteReference w:id="571"/>
      </w:r>
      <w:r>
        <w:rPr>
          <w:rFonts w:ascii="IRNazanin" w:hAnsi="IRNazanin" w:eastAsia="IRNazanin"/>
          <w:color w:val="111111"/>
          <w:sz w:val="28"/>
          <w:sz w:val="28"/>
          <w:szCs w:val="28"/>
          <w:rtl w:val="true"/>
          <w:lang w:bidi="fa-IR"/>
        </w:rPr>
        <w:t xml:space="preserve">والمبسوط </w:t>
      </w:r>
      <w:r>
        <w:rPr>
          <w:rStyle w:val="FootnoteAnchor"/>
          <w:rtl w:val="true"/>
        </w:rPr>
        <w:footnoteReference w:id="572"/>
      </w:r>
      <w:r>
        <w:rPr>
          <w:rFonts w:ascii="Amiri" w:hAnsi="Amiri" w:eastAsia="Amiri" w:cs="Amiri"/>
          <w:color w:val="111111"/>
          <w:sz w:val="28"/>
          <w:sz w:val="28"/>
          <w:szCs w:val="28"/>
          <w:rtl w:val="true"/>
          <w:lang w:bidi="ar-SA"/>
        </w:rPr>
        <w:t xml:space="preserve">وجمل العقود ، والسيد في الجمل ، والديلمي والقاضي </w:t>
      </w:r>
      <w:r>
        <w:rPr>
          <w:rStyle w:val="FootnoteAnchor"/>
          <w:rtl w:val="true"/>
        </w:rPr>
        <w:footnoteReference w:id="573"/>
      </w:r>
      <w:r>
        <w:rPr>
          <w:rFonts w:ascii="Amiri" w:hAnsi="Amiri" w:eastAsia="Amiri" w:cs="Amiri"/>
          <w:color w:val="111111"/>
          <w:sz w:val="28"/>
          <w:sz w:val="28"/>
          <w:szCs w:val="28"/>
          <w:rtl w:val="true"/>
          <w:lang w:bidi="ar-SA"/>
        </w:rPr>
        <w:t xml:space="preserve">والحلي </w:t>
      </w:r>
      <w:r>
        <w:rPr>
          <w:rStyle w:val="FootnoteAnchor"/>
          <w:rtl w:val="true"/>
        </w:rPr>
        <w:footnoteReference w:id="574"/>
      </w:r>
      <w:r>
        <w:rPr>
          <w:rFonts w:ascii="Amiri" w:hAnsi="Amiri" w:eastAsia="Amiri" w:cs="Amiri"/>
          <w:color w:val="111111"/>
          <w:sz w:val="28"/>
          <w:sz w:val="28"/>
          <w:szCs w:val="28"/>
          <w:rtl w:val="true"/>
          <w:lang w:bidi="ar-SA"/>
        </w:rPr>
        <w:t>وغيرهم كون النصاب الثاني والثالث والرابع والخامس هو العشر والخمس عشر والعشرون والخمس وعشرون ، فيكون السابق على كل مرتبة جزء منه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والمنصوص به في كلام جماعة منهم الطوسي </w:t>
      </w:r>
      <w:r>
        <w:rPr>
          <w:rStyle w:val="FootnoteAnchor"/>
          <w:rtl w:val="true"/>
        </w:rPr>
        <w:footnoteReference w:id="575"/>
      </w:r>
      <w:r>
        <w:rPr>
          <w:rFonts w:ascii="Amiri" w:hAnsi="Amiri" w:eastAsia="Amiri" w:cs="Amiri"/>
          <w:color w:val="111111"/>
          <w:sz w:val="28"/>
          <w:sz w:val="28"/>
          <w:szCs w:val="28"/>
          <w:rtl w:val="true"/>
          <w:lang w:bidi="ar-SA"/>
        </w:rPr>
        <w:t xml:space="preserve">والمحقق في كتبه الثلاثة </w:t>
      </w:r>
      <w:r>
        <w:rPr>
          <w:rStyle w:val="FootnoteAnchor"/>
          <w:rtl w:val="true"/>
        </w:rPr>
        <w:footnoteReference w:id="576"/>
      </w:r>
      <w:r>
        <w:rPr>
          <w:rFonts w:ascii="Amiri" w:hAnsi="Amiri" w:eastAsia="Amiri" w:cs="Amiri"/>
          <w:color w:val="111111"/>
          <w:sz w:val="28"/>
          <w:sz w:val="28"/>
          <w:szCs w:val="28"/>
          <w:rtl w:val="true"/>
          <w:lang w:bidi="ar-SA"/>
        </w:rPr>
        <w:t xml:space="preserve">والعلامة في عدة من كتبه </w:t>
      </w:r>
      <w:r>
        <w:rPr>
          <w:rStyle w:val="FootnoteAnchor"/>
          <w:rtl w:val="true"/>
        </w:rPr>
        <w:footnoteReference w:id="577"/>
      </w:r>
      <w:r>
        <w:rPr>
          <w:rFonts w:ascii="Amiri" w:hAnsi="Amiri" w:eastAsia="Amiri" w:cs="Amiri"/>
          <w:color w:val="111111"/>
          <w:sz w:val="28"/>
          <w:sz w:val="28"/>
          <w:szCs w:val="28"/>
          <w:rtl w:val="true"/>
          <w:lang w:bidi="ar-SA"/>
        </w:rPr>
        <w:t xml:space="preserve">والشهيدان </w:t>
      </w:r>
      <w:r>
        <w:rPr>
          <w:rStyle w:val="FootnoteAnchor"/>
          <w:rtl w:val="true"/>
        </w:rPr>
        <w:footnoteReference w:id="578"/>
      </w:r>
      <w:r>
        <w:rPr>
          <w:rFonts w:ascii="Amiri" w:hAnsi="Amiri" w:eastAsia="Amiri" w:cs="Amiri"/>
          <w:color w:val="111111"/>
          <w:sz w:val="28"/>
          <w:sz w:val="28"/>
          <w:szCs w:val="28"/>
          <w:rtl w:val="true"/>
          <w:lang w:bidi="ar-SA"/>
        </w:rPr>
        <w:t>وغيرهم أنّ كلا من النصب الخمسة خمسة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يكون النصاب الأول جزء من الثاني ولا الثاني جزء من الثالث إلى الخامس ، فإذا بلغ السادس كان نصابا واحدا يندرج فيه ما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الوجهين ما إذا اختلف أول ملكه لكل خمس إلى أن بلغت خمسا وعشرين ، فيؤخذ لكل واحد حولا منفردا على الثاني وعلى الأول يشكل الحال فيه ، بل لا يصح اعتباره كذلك كما سيجي‌ء بيانه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التعبير عن تلك النصب في الروايات بكل من الوجهين ، والظاهر البناء على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التعبير به في صحيحة الفضلاء وزرارة ، وأكثر أخبار الباب التعبير بالأول لكن لا بعد في حملها على ذلك ، بل هو المتعيّن بعد دلالة غيرها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فيمكن تنزيل كلام من عبّر به من الأصحاب عليه فلا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لذا قطع به جماعة من المتأخرين من غير إشارة إلى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بينهم أنّ نصب الإبل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في كلام جماعة منهم الشيخ في النهاية </w:t>
      </w:r>
      <w:r>
        <w:rPr>
          <w:rStyle w:val="FootnoteAnchor"/>
          <w:rtl w:val="true"/>
        </w:rPr>
        <w:footnoteReference w:id="579"/>
      </w:r>
      <w:r>
        <w:rPr>
          <w:rFonts w:ascii="IRNazanin" w:hAnsi="IRNazanin" w:eastAsia="IRNazanin"/>
          <w:color w:val="111111"/>
          <w:sz w:val="28"/>
          <w:sz w:val="28"/>
          <w:szCs w:val="28"/>
          <w:rtl w:val="true"/>
          <w:lang w:bidi="fa-IR"/>
        </w:rPr>
        <w:t xml:space="preserve">والمبسوط </w:t>
      </w:r>
      <w:r>
        <w:rPr>
          <w:rStyle w:val="FootnoteAnchor"/>
          <w:rtl w:val="true"/>
        </w:rPr>
        <w:footnoteReference w:id="580"/>
      </w:r>
      <w:r>
        <w:rPr>
          <w:rFonts w:ascii="Amiri" w:hAnsi="Amiri" w:eastAsia="Amiri" w:cs="Amiri"/>
          <w:color w:val="111111"/>
          <w:sz w:val="28"/>
          <w:sz w:val="28"/>
          <w:szCs w:val="28"/>
          <w:rtl w:val="true"/>
          <w:lang w:bidi="ar-SA"/>
        </w:rPr>
        <w:t xml:space="preserve">والجمل ، والطوسي في الوسيلة </w:t>
      </w:r>
      <w:r>
        <w:rPr>
          <w:rStyle w:val="FootnoteAnchor"/>
          <w:rtl w:val="true"/>
        </w:rPr>
        <w:footnoteReference w:id="581"/>
      </w:r>
      <w:r>
        <w:rPr>
          <w:rFonts w:ascii="Amiri" w:hAnsi="Amiri" w:eastAsia="Amiri" w:cs="Amiri"/>
          <w:color w:val="111111"/>
          <w:sz w:val="28"/>
          <w:sz w:val="28"/>
          <w:szCs w:val="28"/>
          <w:rtl w:val="true"/>
          <w:lang w:bidi="ar-SA"/>
        </w:rPr>
        <w:t xml:space="preserve">، والعلامة في التذكرة </w:t>
      </w:r>
      <w:r>
        <w:rPr>
          <w:rStyle w:val="FootnoteAnchor"/>
          <w:rtl w:val="true"/>
        </w:rPr>
        <w:footnoteReference w:id="582"/>
      </w:r>
      <w:r>
        <w:rPr>
          <w:rFonts w:ascii="Amiri" w:hAnsi="Amiri" w:eastAsia="Amiri" w:cs="Amiri"/>
          <w:color w:val="111111"/>
          <w:sz w:val="28"/>
          <w:sz w:val="28"/>
          <w:szCs w:val="28"/>
          <w:rtl w:val="true"/>
          <w:lang w:bidi="ar-SA"/>
        </w:rPr>
        <w:t>أنّها ثلاثة عشر ؛ نظرا إلى عدّ المائة واحد وعشرين نصابا ، والأربعين والخمسين الملحوظين عند تكثر الإبل نصابا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يتفرع عليه ما سيجي‌ء إن شاء اللّه من احتمال كون الواحدة الزائدة جزء من النصاب لو جعلنا المائة والأحد وعشرين نصابا مستقلا ، وإن جعلنا النصاب هو الأربعين والخمسين فلا إشكال إذن في الخروج</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فالظاهر أنّ الاختلاف المذكور إنّما هو في مجرد الاعتبار ، ولا خلاف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على ما حكيناه من الصدوق في الهداية يكون النصب ثلاثة عشر على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عرفت ضعفه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وهاهنا أمران ينبغي الإشارة إليهما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الواحدة الزائدة على المائة والعشرين هل هي جزء من النصاب فيتعلق بها حصة من الزكاة أو أنّها شرط في تحقق النصاب وليس بجزء؟</w:t>
      </w:r>
    </w:p>
    <w:p>
      <w:pPr>
        <w:pStyle w:val="BookText"/>
        <w:rPr/>
      </w:pPr>
      <w:r>
        <w:rPr>
          <w:rFonts w:ascii="Amiri" w:hAnsi="Amiri" w:eastAsia="Amiri" w:cs="Amiri"/>
          <w:color w:val="111111"/>
          <w:sz w:val="28"/>
          <w:sz w:val="28"/>
          <w:szCs w:val="28"/>
          <w:rtl w:val="true"/>
          <w:lang w:bidi="ar-SA"/>
        </w:rPr>
        <w:t xml:space="preserve">وفرّع عليه فيما لو تلفت بعد حلول الحول قبل إخراج الزكاة بغير تفريط من المالك ، فعلى الأول يسقط من الزكاة بالنسبة بخلاف الأخير ؛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مختار العلامة في النهاية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يظهر من الشيخ في المبسوط </w:t>
      </w:r>
      <w:r>
        <w:rPr>
          <w:rStyle w:val="FootnoteAnchor"/>
          <w:rtl w:val="true"/>
        </w:rPr>
        <w:footnoteReference w:id="584"/>
      </w:r>
      <w:r>
        <w:rPr>
          <w:rFonts w:ascii="Amiri" w:hAnsi="Amiri" w:eastAsia="Amiri" w:cs="Amiri"/>
          <w:color w:val="111111"/>
          <w:sz w:val="28"/>
          <w:sz w:val="28"/>
          <w:szCs w:val="28"/>
          <w:rtl w:val="true"/>
          <w:lang w:bidi="ar-SA"/>
        </w:rPr>
        <w:t>وجمل العقود حيث جعل الوقص المتقدم على مائة وثلاثين ثمانية أو لو لا بناؤه على ذلك لجعله تسعة كما جعل في المراتب المتأخرة عن المائة والثلاثين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محكي عن جماعة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قطع المحقق الكركي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واختاره الشهيد الثاني في المسالك </w:t>
      </w:r>
      <w:r>
        <w:rPr>
          <w:rStyle w:val="FootnoteAnchor"/>
          <w:rtl w:val="true"/>
        </w:rPr>
        <w:footnoteReference w:id="586"/>
      </w:r>
      <w:r>
        <w:rPr>
          <w:rFonts w:ascii="Amiri" w:hAnsi="Amiri" w:eastAsia="Amiri" w:cs="Amiri"/>
          <w:color w:val="111111"/>
          <w:sz w:val="28"/>
          <w:sz w:val="28"/>
          <w:szCs w:val="28"/>
          <w:rtl w:val="true"/>
          <w:lang w:bidi="ar-SA"/>
        </w:rPr>
        <w:t xml:space="preserve">وصاحب المدارك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الظاهر من الغنية حيث حكم بعدم ثبوت شي‌ء بين العشرين والثلاثين بعد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الشهيد في البيان </w:t>
      </w:r>
      <w:r>
        <w:rPr>
          <w:rStyle w:val="FootnoteAnchor"/>
          <w:rtl w:val="true"/>
        </w:rPr>
        <w:footnoteReference w:id="588"/>
      </w:r>
      <w:r>
        <w:rPr>
          <w:rFonts w:ascii="Amiri" w:hAnsi="Amiri" w:eastAsia="Amiri" w:cs="Amiri"/>
          <w:color w:val="111111"/>
          <w:sz w:val="28"/>
          <w:sz w:val="28"/>
          <w:szCs w:val="28"/>
          <w:rtl w:val="true"/>
          <w:lang w:bidi="ar-SA"/>
        </w:rPr>
        <w:t>التوقف في ذلك إلّا أنّه نفى البعد عن كونها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خروجها عما يخرج عنه الزكاة ؛ أخذا بظاهر الروايات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 ذلك نصابا لا ينافي عدم وجوبها في بعض منه ، فإنّ النصاب هو القدر الذي يناط </w:t>
      </w:r>
    </w:p>
    <w:p>
      <w:pPr>
        <w:pStyle w:val="BookText"/>
        <w:rPr/>
      </w:pPr>
      <w:r>
        <w:rPr>
          <w:rFonts w:ascii="Amiri" w:hAnsi="Amiri" w:eastAsia="Amiri" w:cs="Amiri"/>
          <w:color w:val="111111"/>
          <w:sz w:val="28"/>
          <w:sz w:val="28"/>
          <w:szCs w:val="28"/>
          <w:rtl w:val="true"/>
          <w:lang w:bidi="ar-SA"/>
        </w:rPr>
        <w:t>وجوب الزكاة أو قدر معيّن منها بالبلوغ إليه وإن لم يجب في بعض منه كما في المقام حسبما قضت به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جعلنا النصاب هو بلوغها إلى المائة وإحدى وعشرين ، وأمّا إن قلنا بأنّ النصاب عند البلوغ إلى القدر المذكور هو الأربعون والخمسون ، ولأنّه القدر المذكور </w:t>
      </w:r>
      <w:r>
        <w:rPr>
          <w:rStyle w:val="FootnoteAnchor"/>
          <w:rtl w:val="true"/>
        </w:rPr>
        <w:footnoteReference w:id="589"/>
      </w:r>
      <w:r>
        <w:rPr>
          <w:rFonts w:ascii="Amiri" w:hAnsi="Amiri" w:eastAsia="Amiri" w:cs="Amiri"/>
          <w:color w:val="111111"/>
          <w:sz w:val="28"/>
          <w:sz w:val="28"/>
          <w:szCs w:val="28"/>
          <w:rtl w:val="true"/>
          <w:lang w:bidi="ar-SA"/>
        </w:rPr>
        <w:t>يجب فيه الزكاة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يظهر من كثير من المتقدمين منهم المفيد في المقنعة </w:t>
      </w:r>
      <w:r>
        <w:rPr>
          <w:rStyle w:val="FootnoteAnchor"/>
          <w:rtl w:val="true"/>
        </w:rPr>
        <w:footnoteReference w:id="590"/>
      </w:r>
      <w:r>
        <w:rPr>
          <w:rFonts w:ascii="Amiri" w:hAnsi="Amiri" w:eastAsia="Amiri" w:cs="Amiri"/>
          <w:color w:val="111111"/>
          <w:sz w:val="28"/>
          <w:sz w:val="28"/>
          <w:szCs w:val="28"/>
          <w:rtl w:val="true"/>
          <w:lang w:bidi="ar-SA"/>
        </w:rPr>
        <w:t xml:space="preserve">، والسيد في الجمل ، والشيخ في النهاية </w:t>
      </w:r>
      <w:r>
        <w:rPr>
          <w:rStyle w:val="FootnoteAnchor"/>
          <w:rtl w:val="true"/>
        </w:rPr>
        <w:footnoteReference w:id="591"/>
      </w:r>
      <w:r>
        <w:rPr>
          <w:rFonts w:ascii="Amiri" w:hAnsi="Amiri" w:eastAsia="Amiri" w:cs="Amiri"/>
          <w:color w:val="111111"/>
          <w:sz w:val="28"/>
          <w:sz w:val="28"/>
          <w:szCs w:val="28"/>
          <w:rtl w:val="true"/>
          <w:lang w:bidi="ar-SA"/>
        </w:rPr>
        <w:t xml:space="preserve">وجمل العقود ، والحلبي في الكافي </w:t>
      </w:r>
      <w:r>
        <w:rPr>
          <w:rStyle w:val="FootnoteAnchor"/>
          <w:rtl w:val="true"/>
        </w:rPr>
        <w:footnoteReference w:id="592"/>
      </w:r>
      <w:r>
        <w:rPr>
          <w:rFonts w:ascii="Amiri" w:hAnsi="Amiri" w:eastAsia="Amiri" w:cs="Amiri"/>
          <w:color w:val="111111"/>
          <w:sz w:val="28"/>
          <w:sz w:val="28"/>
          <w:szCs w:val="28"/>
          <w:rtl w:val="true"/>
          <w:lang w:bidi="ar-SA"/>
        </w:rPr>
        <w:t xml:space="preserve">، والقاضي في شرح الجمل ، وابن زهرة في الغنية </w:t>
      </w:r>
      <w:r>
        <w:rPr>
          <w:rStyle w:val="FootnoteAnchor"/>
          <w:rtl w:val="true"/>
        </w:rPr>
        <w:footnoteReference w:id="593"/>
      </w:r>
      <w:r>
        <w:rPr>
          <w:rFonts w:ascii="Amiri" w:hAnsi="Amiri" w:eastAsia="Amiri" w:cs="Amiri"/>
          <w:color w:val="111111"/>
          <w:sz w:val="28"/>
          <w:sz w:val="28"/>
          <w:szCs w:val="28"/>
          <w:rtl w:val="true"/>
          <w:lang w:bidi="ar-SA"/>
        </w:rPr>
        <w:t xml:space="preserve">، والطوسي في الوسيلة ، والحلي في السرائر </w:t>
      </w:r>
      <w:r>
        <w:rPr>
          <w:rStyle w:val="FootnoteAnchor"/>
          <w:rtl w:val="true"/>
        </w:rPr>
        <w:footnoteReference w:id="594"/>
      </w:r>
      <w:r>
        <w:rPr>
          <w:rFonts w:ascii="Amiri" w:hAnsi="Amiri" w:eastAsia="Amiri" w:cs="Amiri"/>
          <w:color w:val="111111"/>
          <w:sz w:val="28"/>
          <w:sz w:val="28"/>
          <w:szCs w:val="28"/>
          <w:rtl w:val="true"/>
          <w:lang w:bidi="ar-SA"/>
        </w:rPr>
        <w:t>وغيرهم ؛ لنصّهم بأنها إذا بلغت هذا المقدار ترك هذا الاعتبار وأخذ من كل خمسين حقة ، ومن كلّ أربعين بنت 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الوسيلة </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النصاب حينئذ الأربعين والخمسين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بما ذكرنا أن قضية كلام هؤلاء أيضا ما اخترناه ، فينطبق النصوص والفتاوى على ذلك ، فالاحتمال الآخر موهون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الروايات بعد الجمع بينهما وبين ظاهر إطلاق جماعة من الأصحاب التخيير في النصاب الأخير بين الإخراج عن كل خمسين حقة وعن كل أربعين بنت لبون ، سواء حصل الاستيعاب بهما أو بأحدهما دون الآخر أو كان أحدهما أقرب إلى الاستيعاب أو لا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الذي حكم به الشهيد الثانى رحمة اللّه في فوائد القواعد ، وعزاه إلى ظاهر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وإليه ذهب جماعة من المتأخرين كصاحب المدارك </w:t>
      </w:r>
      <w:r>
        <w:rPr>
          <w:rStyle w:val="FootnoteAnchor"/>
          <w:rtl w:val="true"/>
        </w:rPr>
        <w:footnoteReference w:id="596"/>
      </w:r>
      <w:r>
        <w:rPr>
          <w:rFonts w:ascii="Amiri" w:hAnsi="Amiri" w:eastAsia="Amiri" w:cs="Amiri"/>
          <w:color w:val="111111"/>
          <w:sz w:val="28"/>
          <w:sz w:val="28"/>
          <w:szCs w:val="28"/>
          <w:rtl w:val="true"/>
          <w:lang w:bidi="ar-SA"/>
        </w:rPr>
        <w:t xml:space="preserve">والذخيرة </w:t>
      </w:r>
      <w:r>
        <w:rPr>
          <w:rStyle w:val="FootnoteAnchor"/>
          <w:rtl w:val="true"/>
        </w:rPr>
        <w:footnoteReference w:id="597"/>
      </w:r>
      <w:r>
        <w:rPr>
          <w:rFonts w:ascii="IRNazanin" w:hAnsi="IRNazanin" w:eastAsia="IRNazanin"/>
          <w:color w:val="111111"/>
          <w:sz w:val="28"/>
          <w:sz w:val="28"/>
          <w:szCs w:val="28"/>
          <w:rtl w:val="true"/>
          <w:lang w:bidi="fa-IR"/>
        </w:rPr>
        <w:t xml:space="preserve">والحدائق </w:t>
      </w:r>
      <w:r>
        <w:rPr>
          <w:rStyle w:val="FootnoteAnchor"/>
          <w:rtl w:val="true"/>
        </w:rPr>
        <w:footnoteReference w:id="598"/>
      </w:r>
      <w:r>
        <w:rPr>
          <w:rFonts w:ascii="Amiri" w:hAnsi="Amiri" w:eastAsia="Amiri" w:cs="Amiri"/>
          <w:color w:val="111111"/>
          <w:sz w:val="28"/>
          <w:sz w:val="28"/>
          <w:szCs w:val="28"/>
          <w:rtl w:val="true"/>
          <w:lang w:bidi="ar-SA"/>
        </w:rPr>
        <w:t xml:space="preserve">والرياض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ذلك من المحقّق الأردبيلي </w:t>
      </w:r>
      <w:r>
        <w:rPr>
          <w:rStyle w:val="FootnoteAnchor"/>
          <w:rtl w:val="true"/>
        </w:rPr>
        <w:footnoteReference w:id="600"/>
      </w:r>
      <w:r>
        <w:rPr>
          <w:rFonts w:ascii="Amiri" w:hAnsi="Amiri" w:eastAsia="Amiri" w:cs="Amiri"/>
          <w:color w:val="111111"/>
          <w:sz w:val="28"/>
          <w:sz w:val="28"/>
          <w:szCs w:val="28"/>
          <w:rtl w:val="true"/>
          <w:lang w:bidi="ar-SA"/>
        </w:rPr>
        <w:t xml:space="preserve">والمجلسي رحمة اللّه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صحيحتا أبي بصير </w:t>
      </w:r>
      <w:r>
        <w:rPr>
          <w:rStyle w:val="FootnoteAnchor"/>
          <w:rtl w:val="true"/>
        </w:rPr>
        <w:footnoteReference w:id="602"/>
      </w:r>
      <w:r>
        <w:rPr>
          <w:rFonts w:ascii="IRNazanin" w:hAnsi="IRNazanin" w:eastAsia="IRNazanin"/>
          <w:color w:val="111111"/>
          <w:sz w:val="28"/>
          <w:sz w:val="28"/>
          <w:szCs w:val="28"/>
          <w:rtl w:val="true"/>
          <w:lang w:bidi="fa-IR"/>
        </w:rPr>
        <w:t xml:space="preserve">وعبد الرحمن بن الحجاج </w:t>
      </w:r>
      <w:r>
        <w:rPr>
          <w:rStyle w:val="FootnoteAnchor"/>
          <w:rtl w:val="true"/>
        </w:rPr>
        <w:footnoteReference w:id="603"/>
      </w:r>
      <w:r>
        <w:rPr>
          <w:rFonts w:ascii="Amiri" w:hAnsi="Amiri" w:eastAsia="Amiri" w:cs="Amiri"/>
          <w:color w:val="111111"/>
          <w:sz w:val="28"/>
          <w:sz w:val="28"/>
          <w:szCs w:val="28"/>
          <w:rtl w:val="true"/>
          <w:lang w:bidi="ar-SA"/>
        </w:rPr>
        <w:t>المشتملين على وجوب حقّة في كلّ خمسين بعد زيادة العدد على المائة والعشرين ؛ لتصريحه عليه‌السلام إذن ما بعد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الفضلاء وزرارة الحاكمتان بالتخيير بين الوجهين إذا زادت على المائة والعشرين واحدة لتعين ثلاث بنات لبون فيه على الوجه الآخر وإطلاق غيرها ممّا ظاهره التخيير بين الوجهين فيما إذا زادت الإبل على المائة والعشرين أو ما إذا كثرت الإبل بعد البلوغ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الأصل ، وموافقته للإرفاق بالمالك العشر في نظر الشارع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 المحقّق الكركي </w:t>
      </w:r>
      <w:r>
        <w:rPr>
          <w:rStyle w:val="FootnoteAnchor"/>
          <w:rtl w:val="true"/>
        </w:rPr>
        <w:footnoteReference w:id="604"/>
      </w:r>
      <w:r>
        <w:rPr>
          <w:rFonts w:ascii="Amiri" w:hAnsi="Amiri" w:eastAsia="Amiri" w:cs="Amiri"/>
          <w:color w:val="111111"/>
          <w:sz w:val="28"/>
          <w:sz w:val="28"/>
          <w:szCs w:val="28"/>
          <w:rtl w:val="true"/>
          <w:lang w:bidi="ar-SA"/>
        </w:rPr>
        <w:t xml:space="preserve">والشهيد الثاني في المسالك </w:t>
      </w:r>
      <w:r>
        <w:rPr>
          <w:rStyle w:val="FootnoteAnchor"/>
          <w:rtl w:val="true"/>
        </w:rPr>
        <w:footnoteReference w:id="605"/>
      </w:r>
      <w:r>
        <w:rPr>
          <w:rFonts w:ascii="Amiri" w:hAnsi="Amiri" w:eastAsia="Amiri" w:cs="Amiri"/>
          <w:color w:val="111111"/>
          <w:sz w:val="28"/>
          <w:sz w:val="28"/>
          <w:szCs w:val="28"/>
          <w:rtl w:val="true"/>
          <w:lang w:bidi="ar-SA"/>
        </w:rPr>
        <w:t>إلى أنّ التعدية بهما ليس على وجه التخيير مطلقا ، بل يجب التقدير بما يحصل به الاستيعاب إن أمكن ، سواء حصل من ملاحظته بأحد الوجهين أو بالتلفيق منهما وإلّا لزم مراعاة أقربهما إلى الاستيعاب ؛ رعاية لحق الفقراء ، وإن تساويا في الاستيعاب أو في مقدار القرب تخيّر بين الوجهين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قطع به معظم الأصحاب ممّن وصل إلينا كلامهم إلى الشهيد الثاني من غير خلاف تعرف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وممّن نصّ عليه الشيخ في الخلاف </w:t>
      </w:r>
      <w:r>
        <w:rPr>
          <w:rStyle w:val="FootnoteAnchor"/>
          <w:rtl w:val="true"/>
        </w:rPr>
        <w:footnoteReference w:id="606"/>
      </w:r>
      <w:r>
        <w:rPr>
          <w:rFonts w:ascii="IRNazanin" w:hAnsi="IRNazanin" w:eastAsia="IRNazanin"/>
          <w:color w:val="111111"/>
          <w:sz w:val="28"/>
          <w:sz w:val="28"/>
          <w:szCs w:val="28"/>
          <w:rtl w:val="true"/>
          <w:lang w:bidi="fa-IR"/>
        </w:rPr>
        <w:t xml:space="preserve">والمبسوط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يقتضيه المذهب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حكاية الإجماع على أنّ في مائة وخمسين ثلاث أحقاق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لم يفصّلوا ، والأخبار مطلقة ، والذي يقتضيه عمومها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الفريضة في المائة وإحدى وعشرين ثلاث بنات لبون ، وفي المائة وثلاثين بنتا لبون وحقّة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عندنا وعند أكثر من المخالفين في مائة وثلاثين حقة وبنتا 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إجماعنا على تعيين ذلك في القدر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الإجماع المتقدم عن السيد في الانتصار </w:t>
      </w:r>
      <w:r>
        <w:rPr>
          <w:rStyle w:val="FootnoteAnchor"/>
          <w:rtl w:val="true"/>
        </w:rPr>
        <w:footnoteReference w:id="608"/>
      </w:r>
      <w:r>
        <w:rPr>
          <w:rFonts w:ascii="Amiri" w:hAnsi="Amiri" w:eastAsia="Amiri" w:cs="Amiri"/>
          <w:color w:val="111111"/>
          <w:sz w:val="28"/>
          <w:sz w:val="28"/>
          <w:szCs w:val="28"/>
          <w:rtl w:val="true"/>
          <w:lang w:bidi="ar-SA"/>
        </w:rPr>
        <w:t>إشارة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السرائر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يقتضيه أدلّتنا ويشهد به أصول مذهبنا والتواتر والإجماع منعقد عليه ما ذكره شيخنا أبو جعفر في مسائل خلافه ، ثمّ ذكر عبارة الشيخ في الخلاف </w:t>
      </w:r>
      <w:r>
        <w:rPr>
          <w:rStyle w:val="FootnoteAnchor"/>
          <w:rtl w:val="true"/>
        </w:rPr>
        <w:footnoteReference w:id="610"/>
      </w:r>
      <w:r>
        <w:rPr>
          <w:rFonts w:ascii="Amiri" w:hAnsi="Amiri" w:eastAsia="Amiri" w:cs="Amiri"/>
          <w:color w:val="111111"/>
          <w:sz w:val="28"/>
          <w:sz w:val="28"/>
          <w:szCs w:val="28"/>
          <w:rtl w:val="true"/>
          <w:lang w:bidi="ar-SA"/>
        </w:rPr>
        <w:t>المشتملة على أنّ ما يقتضيه المذهب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فصّل فيه بيان الواجب في خصوص كلّ من الأعداد إلى المائتين ، وحكم فيها بالتخيير بين أربع حقاق وخمس بنات لبون ، وجعل الحكم فيه على هذا الحساب بالغا ما بلغ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تصحيح </w:t>
      </w:r>
      <w:r>
        <w:rPr>
          <w:rStyle w:val="FootnoteAnchor"/>
          <w:rtl w:val="true"/>
        </w:rPr>
        <w:footnoteReference w:id="611"/>
      </w:r>
      <w:r>
        <w:rPr>
          <w:rFonts w:ascii="Amiri" w:hAnsi="Amiri" w:eastAsia="Amiri" w:cs="Amiri"/>
          <w:color w:val="111111"/>
          <w:sz w:val="28"/>
          <w:sz w:val="28"/>
          <w:szCs w:val="28"/>
          <w:rtl w:val="true"/>
          <w:lang w:bidi="ar-SA"/>
        </w:rPr>
        <w:t>المتّفق عليه المجمع</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كما ترى صريح في حكاية الإجماع إلّا أنّ ما ذكره في مقام الرد على السيد حيث </w:t>
      </w:r>
    </w:p>
    <w:p>
      <w:pPr>
        <w:pStyle w:val="BookText"/>
        <w:rPr/>
      </w:pPr>
      <w:r>
        <w:rPr>
          <w:rFonts w:ascii="Amiri" w:hAnsi="Amiri" w:eastAsia="Amiri" w:cs="Amiri"/>
          <w:color w:val="111111"/>
          <w:sz w:val="28"/>
          <w:sz w:val="28"/>
          <w:szCs w:val="28"/>
          <w:rtl w:val="true"/>
          <w:lang w:bidi="ar-SA"/>
        </w:rPr>
        <w:t xml:space="preserve">حكم بعدم </w:t>
      </w:r>
      <w:r>
        <w:rPr>
          <w:rStyle w:val="FootnoteAnchor"/>
          <w:rtl w:val="true"/>
        </w:rPr>
        <w:footnoteReference w:id="612"/>
      </w:r>
      <w:r>
        <w:rPr>
          <w:rFonts w:ascii="Amiri" w:hAnsi="Amiri" w:eastAsia="Amiri" w:cs="Amiri"/>
          <w:color w:val="111111"/>
          <w:sz w:val="28"/>
          <w:sz w:val="28"/>
          <w:szCs w:val="28"/>
          <w:rtl w:val="true"/>
          <w:lang w:bidi="ar-SA"/>
        </w:rPr>
        <w:t>ثبوت شي‌ء في الزائد على المائة والعشرين إلى المائة والثلاثين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المعتبر بعد ما ذكر نصب الإبل كما مرّ ، وأسنده إلى </w:t>
      </w:r>
      <w:r>
        <w:rPr>
          <w:rStyle w:val="FootnoteAnchor"/>
          <w:rtl w:val="true"/>
        </w:rPr>
        <w:footnoteReference w:id="613"/>
      </w:r>
      <w:r>
        <w:rPr>
          <w:rFonts w:ascii="Amiri" w:hAnsi="Amiri" w:eastAsia="Amiri" w:cs="Amiri"/>
          <w:color w:val="111111"/>
          <w:sz w:val="28"/>
          <w:sz w:val="28"/>
          <w:szCs w:val="28"/>
          <w:rtl w:val="true"/>
          <w:lang w:bidi="ar-SA"/>
        </w:rPr>
        <w:t xml:space="preserve">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 مائة وإحدى وعشرين ثلاث بنات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أقوال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كلامه بل صريحه تعيين </w:t>
      </w:r>
      <w:r>
        <w:rPr>
          <w:rStyle w:val="FootnoteAnchor"/>
          <w:rtl w:val="true"/>
        </w:rPr>
        <w:footnoteReference w:id="614"/>
      </w:r>
      <w:r>
        <w:rPr>
          <w:rFonts w:ascii="Amiri" w:hAnsi="Amiri" w:eastAsia="Amiri" w:cs="Amiri"/>
          <w:color w:val="111111"/>
          <w:sz w:val="28"/>
          <w:sz w:val="28"/>
          <w:szCs w:val="28"/>
          <w:rtl w:val="true"/>
          <w:lang w:bidi="ar-SA"/>
        </w:rPr>
        <w:t>ذلك في العدد المذكور سيّما بعد ملاحظة ما حكاه من أقوال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بعد ذلك بأنّه إذا اجتمع في مال الأمران كالمائتين ، فالخيار إلى المالك في إخراج أربع حقاق أو خمس بنات 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يدلّ أيضا على عدم قوله بالتخيير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زادت على مائة وعشرين واحدة وجب في كلّ خمسين حقة ، وفي كلّ أربعين ، بنت لبون فيجب هنا ثلاث بنات لبون إلى مائة وثلاثين ، ففيها حقّة وبنتا لبون إلى مائة وأربعين ، ففيها حقتان وبنتا لبون إلى مائة وخمسين ، ففيها ثلاث 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الحساب بالغا ما بلغ عند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أقوال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نحو ذلك في المنتهى </w:t>
      </w:r>
      <w:r>
        <w:rPr>
          <w:rStyle w:val="FootnoteAnchor"/>
          <w:rtl w:val="true"/>
        </w:rPr>
        <w:footnoteReference w:id="616"/>
      </w:r>
      <w:r>
        <w:rPr>
          <w:rFonts w:ascii="Amiri" w:hAnsi="Amiri" w:eastAsia="Amiri" w:cs="Amiri"/>
          <w:color w:val="111111"/>
          <w:sz w:val="28"/>
          <w:sz w:val="28"/>
          <w:szCs w:val="28"/>
          <w:rtl w:val="true"/>
          <w:lang w:bidi="ar-SA"/>
        </w:rPr>
        <w:t>إلّا أنه أسند الحكم أوّلا إلى علمائنا ، وفرع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يكون الجميع مسندا إليهم كما يكشف عنه عبارته في </w:t>
      </w:r>
      <w:r>
        <w:rPr>
          <w:rStyle w:val="FootnoteAnchor"/>
          <w:rtl w:val="true"/>
        </w:rPr>
        <w:footnoteReference w:id="617"/>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ففيه أيضا إشارة إلى الإجماع</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قطع به الشهيد في الدروس </w:t>
      </w:r>
      <w:r>
        <w:rPr>
          <w:rStyle w:val="FootnoteAnchor"/>
          <w:rtl w:val="true"/>
        </w:rPr>
        <w:footnoteReference w:id="618"/>
      </w:r>
      <w:r>
        <w:rPr>
          <w:rFonts w:ascii="Amiri" w:hAnsi="Amiri" w:eastAsia="Amiri" w:cs="Amiri"/>
          <w:color w:val="111111"/>
          <w:sz w:val="28"/>
          <w:sz w:val="28"/>
          <w:szCs w:val="28"/>
          <w:rtl w:val="true"/>
          <w:lang w:bidi="ar-SA"/>
        </w:rPr>
        <w:t xml:space="preserve">، وهو ظاهر كلامه في البيان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وذكر القاضي في شرح الجمل ان الأولى أن يخرج من هذا العدة يعني المائة وإحدى وعشرين ثلاث بنات لبون ؛ لأنّا لو أخرجنا من كلّ خمسين حقة ومن كلّ أربعين بنت لبون أجحف ذلك بالفقراء ؛ لأنّه يبقى من العدة إحدى وعشرين لا يدفع منها شي‌ء ، فالأولى إخراج ما ذكرناه من ثلاث بنات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ليس معنى الخبر الوارد بذلك ما تضمنه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معناه أنّه إن أخرج حقة كانت من خمسين ، وإن أخرج بنت لبون كانت عن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كلامه وإن أوهم عدم إيجابه لإخراج بنات اللبون في الصورة المفروضة إلّا أن آخر كلامه ظاهر الدلالة على الإيجاب ، فكان المقصود بالأولويّة هو الأولوية في الفتوى دون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هؤلاء الجماعة واضحة الدلالة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جماعة منهم كما عرفت حكاية الإجماع ، فما أسنده الشهيد الثاني إلى ظاهر الأصحاب من الحكم بالتخيير مطلقا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أشرنا إلى عبائرهم في المقام حتى يتبيّن حقيقة الحال ، فبملاحظة ذلك يشكل الحال في هذا المرام ؛ لما عرفت من ظهور الأخبار في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هؤلاء الأجلّاء على الثاني سيما بعد حكاية الإجماع عليه وكون المراد بما دلّ على إخراج الحقة عن كلّ خمسين وبنت اللبون عن كلّ أربعين فيما إذا كثرت الإبل هو ما فهمه الجماعة في كمال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الأظهر في معناه حسبما فسّره الشيخ رحمة اللّه في المبسوط </w:t>
      </w:r>
      <w:r>
        <w:rPr>
          <w:rStyle w:val="FootnoteAnchor"/>
          <w:rtl w:val="true"/>
        </w:rPr>
        <w:footnoteReference w:id="620"/>
      </w:r>
      <w:r>
        <w:rPr>
          <w:rFonts w:ascii="IRNazanin" w:hAnsi="IRNazanin" w:eastAsia="IRNazanin"/>
          <w:color w:val="111111"/>
          <w:sz w:val="28"/>
          <w:sz w:val="28"/>
          <w:szCs w:val="28"/>
          <w:rtl w:val="true"/>
          <w:lang w:bidi="fa-IR"/>
        </w:rPr>
        <w:t xml:space="preserve">والخلاف </w:t>
      </w:r>
      <w:r>
        <w:rPr>
          <w:rStyle w:val="FootnoteAnchor"/>
          <w:rtl w:val="true"/>
        </w:rPr>
        <w:footnoteReference w:id="621"/>
      </w:r>
      <w:r>
        <w:rPr>
          <w:rFonts w:ascii="Amiri" w:hAnsi="Amiri" w:eastAsia="Amiri" w:cs="Amiri"/>
          <w:color w:val="111111"/>
          <w:sz w:val="28"/>
          <w:sz w:val="28"/>
          <w:szCs w:val="28"/>
          <w:rtl w:val="true"/>
          <w:lang w:bidi="ar-SA"/>
        </w:rPr>
        <w:t>وغيره ، كما هو المراد بمثل تلك العبارة الواردة في نصاب البقر ؛ للاتفاق هناك على مراعاة ذلك ، فيؤيد ذلك إرادته في المقام أيضا ، فيكون ذكر الوجهين المذكورين مبنيّا على التوزيع دون التخيير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ما دلّ على ثبوت ذلك في المائة وإحدى وعشرين غير بعيد أيضا ؛ إذ ليس </w:t>
      </w:r>
    </w:p>
    <w:p>
      <w:pPr>
        <w:pStyle w:val="BookText"/>
        <w:rPr/>
      </w:pPr>
      <w:r>
        <w:rPr>
          <w:rFonts w:ascii="Amiri" w:hAnsi="Amiri" w:eastAsia="Amiri" w:cs="Amiri"/>
          <w:color w:val="111111"/>
          <w:sz w:val="28"/>
          <w:sz w:val="28"/>
          <w:szCs w:val="28"/>
          <w:rtl w:val="true"/>
          <w:lang w:bidi="ar-SA"/>
        </w:rPr>
        <w:t xml:space="preserve">المقصود في تلك </w:t>
      </w:r>
      <w:r>
        <w:rPr>
          <w:rStyle w:val="FootnoteAnchor"/>
          <w:rtl w:val="true"/>
        </w:rPr>
        <w:footnoteReference w:id="622"/>
      </w:r>
      <w:r>
        <w:rPr>
          <w:rFonts w:ascii="Amiri" w:hAnsi="Amiri" w:eastAsia="Amiri" w:cs="Amiri"/>
          <w:color w:val="111111"/>
          <w:sz w:val="28"/>
          <w:sz w:val="28"/>
          <w:szCs w:val="28"/>
          <w:rtl w:val="true"/>
          <w:lang w:bidi="ar-SA"/>
        </w:rPr>
        <w:t xml:space="preserve">الصحيحين ثبوت الحكم في خصوص العدد المذكور ، بل فيما لو </w:t>
      </w:r>
      <w:r>
        <w:rPr>
          <w:rStyle w:val="FootnoteAnchor"/>
          <w:rtl w:val="true"/>
        </w:rPr>
        <w:footnoteReference w:id="623"/>
      </w:r>
      <w:r>
        <w:rPr>
          <w:rFonts w:ascii="Amiri" w:hAnsi="Amiri" w:eastAsia="Amiri" w:cs="Amiri"/>
          <w:color w:val="111111"/>
          <w:sz w:val="28"/>
          <w:sz w:val="28"/>
          <w:szCs w:val="28"/>
          <w:rtl w:val="true"/>
          <w:lang w:bidi="ar-SA"/>
        </w:rPr>
        <w:t>حصل العدد المفروض وإن كان زائدا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يصحّ حملهما على إرادة التوزيع ، وإن تعيّن بنات اللبون في خصوص العدد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فتبقى الصحيحتان الأوليان المشتملان على إخراج الحقة عن كلّ خمسين دليلا على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وظاهرهما وإن لم يوافق المشهور أيضا لكن حملهما على بيان أحد فردي التخيير أقرب من الحمل على بيان الحكم في بعض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الاكتفاء بهما في الخروج عن مقتضى كلام الأصحاب بعد فهمهم ذلك من روايات الباب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الشيخ في الخلاف </w:t>
      </w:r>
      <w:r>
        <w:rPr>
          <w:rStyle w:val="FootnoteAnchor"/>
          <w:rtl w:val="true"/>
        </w:rPr>
        <w:footnoteReference w:id="624"/>
      </w:r>
      <w:r>
        <w:rPr>
          <w:rFonts w:ascii="Amiri" w:hAnsi="Amiri" w:eastAsia="Amiri" w:cs="Amiri"/>
          <w:color w:val="111111"/>
          <w:sz w:val="28"/>
          <w:sz w:val="28"/>
          <w:szCs w:val="28"/>
          <w:rtl w:val="true"/>
          <w:lang w:bidi="ar-SA"/>
        </w:rPr>
        <w:t xml:space="preserve">والمحقق في المعتبر </w:t>
      </w:r>
      <w:r>
        <w:rPr>
          <w:rStyle w:val="FootnoteAnchor"/>
          <w:rtl w:val="true"/>
        </w:rPr>
        <w:footnoteReference w:id="625"/>
      </w:r>
      <w:r>
        <w:rPr>
          <w:rFonts w:ascii="Amiri" w:hAnsi="Amiri" w:eastAsia="Amiri" w:cs="Amiri"/>
          <w:color w:val="111111"/>
          <w:sz w:val="28"/>
          <w:sz w:val="28"/>
          <w:szCs w:val="28"/>
          <w:rtl w:val="true"/>
          <w:lang w:bidi="ar-SA"/>
        </w:rPr>
        <w:t xml:space="preserve">ذكرا ورود التقديرين في روايتي أبي بصير </w:t>
      </w:r>
      <w:r>
        <w:rPr>
          <w:rStyle w:val="FootnoteAnchor"/>
          <w:rtl w:val="true"/>
        </w:rPr>
        <w:footnoteReference w:id="626"/>
      </w:r>
      <w:r>
        <w:rPr>
          <w:rFonts w:ascii="IRNazanin" w:hAnsi="IRNazanin" w:eastAsia="IRNazanin"/>
          <w:color w:val="111111"/>
          <w:sz w:val="28"/>
          <w:sz w:val="28"/>
          <w:szCs w:val="28"/>
          <w:rtl w:val="true"/>
          <w:lang w:bidi="fa-IR"/>
        </w:rPr>
        <w:t xml:space="preserve">وعبد الرحمن بن الحجاج </w:t>
      </w:r>
      <w:r>
        <w:rPr>
          <w:rStyle w:val="FootnoteAnchor"/>
          <w:rtl w:val="true"/>
        </w:rPr>
        <w:footnoteReference w:id="627"/>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البناء على التخيير بين الوجهين مطلقا يقتضي بالتخيير بين إخراج ثلاث حقاق وثلاث بنات لبون في المائة والخمسين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جواز اخراج حقّة وبنت لبون في المائة وإحدى وعشرين ، فيلزم نقصان الزكاة بزيادة النصاب</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أيضا كما ترى إلا أن يقال بخروج صورة التلفيق عن ظاهر الأخبار ، وهو مع بعده عن ظواهر تلك الإطلاقات قاض بعدم جواز الاعتبار به في صورة حصول الاستيعاب به </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أحدا لا يقول به ، فالأحوط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ما يحصل به الاستيعاب أو ما هو أقرب إليه مع عدم إمكانه</w:t>
      </w:r>
      <w:r>
        <w:rPr>
          <w:rFonts w:eastAsia="Amiri" w:cs="Amiri" w:ascii="Amiri" w:hAnsi="Amiri"/>
          <w:color w:val="111111"/>
          <w:sz w:val="28"/>
          <w:szCs w:val="28"/>
          <w:rtl w:val="true"/>
          <w:lang w:bidi="ar-SA"/>
        </w:rPr>
        <w:t xml:space="preserve">. </w:t>
      </w:r>
      <w:bookmarkStart w:id="85" w:name="pg15853_153373"/>
    </w:p>
    <w:p>
      <w:pPr>
        <w:pStyle w:val="Heading6"/>
        <w:numPr>
          <w:ilvl w:val="5"/>
          <w:numId w:val="1"/>
        </w:numPr>
        <w:rPr/>
      </w:pPr>
      <w:bookmarkStart w:id="86" w:name="__RefHeading___Toc14587099_2142443653"/>
      <w:bookmarkStart w:id="87" w:name="_Toc32"/>
      <w:bookmarkEnd w:id="85"/>
      <w:bookmarkEnd w:id="86"/>
      <w:r>
        <w:rPr>
          <w:rtl w:val="true"/>
        </w:rPr>
        <w:t>تبصرة</w:t>
      </w:r>
      <w:r>
        <w:rPr>
          <w:rtl w:val="true"/>
        </w:rPr>
        <w:t xml:space="preserve">: [ </w:t>
      </w:r>
      <w:r>
        <w:rPr>
          <w:rtl w:val="true"/>
        </w:rPr>
        <w:t xml:space="preserve">في نصاب البقر </w:t>
      </w:r>
      <w:r>
        <w:rPr>
          <w:rtl w:val="true"/>
        </w:rPr>
        <w:t>]</w:t>
      </w:r>
      <w:bookmarkEnd w:id="87"/>
    </w:p>
    <w:p>
      <w:pPr>
        <w:pStyle w:val="BookText"/>
        <w:rPr/>
      </w:pPr>
      <w:r>
        <w:rPr>
          <w:rFonts w:ascii="Amiri" w:hAnsi="Amiri" w:eastAsia="Amiri" w:cs="Amiri"/>
          <w:color w:val="111111"/>
          <w:sz w:val="28"/>
          <w:sz w:val="28"/>
          <w:szCs w:val="28"/>
          <w:rtl w:val="true"/>
          <w:lang w:bidi="ar-SA"/>
        </w:rPr>
        <w:t xml:space="preserve">لا خلاف بين الأصحاب في أن للبقر نصابين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 وفيها تبيع أو تبيعة على المعروف من المذهب ، وهو ما دخل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 وفيها مسنّة بلا خلاف ، فيه وهي ما دخلت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هذين النصابين يدور أمر البقر ، فليسا مخصوصين بالمرتبة الأولى بل كلما زاد البقر دار الأمر على النصابين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في كلام بعض الأصحاب زيادة في نصب البقر ، ففي المبسوط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نصبه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وأربعون وستون ، ثمّ الأخذ بالثلاثين والأربعين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ومنعه في المنتهى </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الوجه فيه اختلاف الأوقاص </w:t>
      </w:r>
      <w:r>
        <w:rPr>
          <w:rStyle w:val="FootnoteAnchor"/>
          <w:rtl w:val="true"/>
        </w:rPr>
        <w:footnoteReference w:id="630"/>
      </w:r>
      <w:r>
        <w:rPr>
          <w:rFonts w:ascii="Amiri" w:hAnsi="Amiri" w:eastAsia="Amiri" w:cs="Amiri"/>
          <w:color w:val="111111"/>
          <w:sz w:val="28"/>
          <w:sz w:val="28"/>
          <w:szCs w:val="28"/>
          <w:rtl w:val="true"/>
          <w:lang w:bidi="ar-SA"/>
        </w:rPr>
        <w:t>فيها ، واختلافها في السبعين فما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الفقيه </w:t>
      </w:r>
      <w:r>
        <w:rPr>
          <w:rStyle w:val="FootnoteAnchor"/>
          <w:rtl w:val="true"/>
        </w:rPr>
        <w:footnoteReference w:id="631"/>
      </w:r>
      <w:r>
        <w:rPr>
          <w:rFonts w:ascii="IRNazanin" w:hAnsi="IRNazanin" w:eastAsia="IRNazanin"/>
          <w:color w:val="111111"/>
          <w:sz w:val="28"/>
          <w:sz w:val="28"/>
          <w:szCs w:val="28"/>
          <w:rtl w:val="true"/>
          <w:lang w:bidi="fa-IR"/>
        </w:rPr>
        <w:t xml:space="preserve">والمقنع </w:t>
      </w:r>
      <w:r>
        <w:rPr>
          <w:rStyle w:val="FootnoteAnchor"/>
          <w:rtl w:val="true"/>
        </w:rPr>
        <w:footnoteReference w:id="632"/>
      </w:r>
      <w:r>
        <w:rPr>
          <w:rFonts w:ascii="Amiri" w:hAnsi="Amiri" w:eastAsia="Amiri" w:cs="Amiri"/>
          <w:color w:val="111111"/>
          <w:sz w:val="28"/>
          <w:sz w:val="28"/>
          <w:szCs w:val="28"/>
          <w:rtl w:val="true"/>
          <w:lang w:bidi="ar-SA"/>
        </w:rPr>
        <w:t xml:space="preserve">نحو ما في رواية الأعمش ،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نصبه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إخراج التبيع من كلّ ثلاثين والمسنة من كلّ أربعين بعد التجاوز عن التسعين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w:t>
      </w:r>
      <w:r>
        <w:rPr>
          <w:rStyle w:val="FootnoteAnchor"/>
          <w:rtl w:val="true"/>
        </w:rPr>
        <w:footnoteReference w:id="633"/>
      </w:r>
      <w:r>
        <w:rPr>
          <w:rFonts w:ascii="Amiri" w:hAnsi="Amiri" w:eastAsia="Amiri" w:cs="Amiri"/>
          <w:color w:val="111111"/>
          <w:sz w:val="28"/>
          <w:sz w:val="28"/>
          <w:szCs w:val="28"/>
          <w:rtl w:val="true"/>
          <w:lang w:bidi="ar-SA"/>
        </w:rPr>
        <w:t>جعل بعضها خمسة باعتبار النصاب الكلي بعد السبعين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لا خلاف في المعنى ، وإن تفرع عليه بعض الثمرات مع الجمود على ظاهر تلك </w:t>
      </w:r>
    </w:p>
    <w:p>
      <w:pPr>
        <w:pStyle w:val="BookText"/>
        <w:rPr/>
      </w:pPr>
      <w:r>
        <w:rPr>
          <w:rFonts w:ascii="Amiri" w:hAnsi="Amiri" w:eastAsia="Amiri" w:cs="Amiri"/>
          <w:color w:val="111111"/>
          <w:sz w:val="28"/>
          <w:sz w:val="28"/>
          <w:szCs w:val="28"/>
          <w:rtl w:val="true"/>
          <w:lang w:bidi="ar-SA"/>
        </w:rPr>
        <w:t>التعبيرات كما مرّت الإشارة إلى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الكركي </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المتّجه عدّها ثلاثة شخصيا لأوامر كلي ، وهو كلّ ثلاثين أو كل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فالمتجه على هذا عدّها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الكلي أيضا نصابان كالمبتدأ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تخيّر المالك في الأخذ بكلّ منهما مطلقا صح ما ذكره ؛ لكون النصاب حينئذ أحد الأمرين المذكورين ، وليس كذلك كما سيجي‌ء بيانه ، فيكون النصاب في بعضها كلّ ثلاثين وفي بعضها كلّ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وتخير المالك بين الوجهين مع مساواة التقديرين لا يقضي بعدهما نصابا واحدا ، فالأولى هو التعبير بما ذكرناه كما في كلام جماعة من الأصحاب ، فالأولى هو التعبير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المسالك </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وهاهنا يراعى من الأمرين المذكورين ما يحصل به استيعاب أو يكون أقرب إليه ، ومع المساواة يتخيّر في الملاحظة بلا خلاف فيه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سوى التخيير في الثلاثين بين التبيع والتبيعة صحيحة الفضلاء عن الصادقين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البقر في كلّ ثلاثين تبيع حولي ، وليس في أقلّ من ذلك شي‌ء ، وفي كلّ أربعين بقرة مسنة وليس فيما بين الأربعين والثلاثين شي‌ء ، فإذا بلغت الستّين ففيها تبيعان إلى السبعين ، فإذا بلغت السبعين ففيه تبيع ومسنة إلى ثمانين ، فإذا بلغت ثمانين ففي كلّ أربعين مسنة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تسعين ، فإذا بلغت تسعين ففيها ثلاث تبايع حوليّات ، فإذا بلغت عشرين ومائة ففي كلّ أربعين مسنّة </w:t>
      </w:r>
      <w:r>
        <w:rPr>
          <w:rFonts w:eastAsia="Amiri" w:cs="Amiri" w:ascii="Amiri" w:hAnsi="Amiri"/>
          <w:color w:val="111111"/>
          <w:sz w:val="28"/>
          <w:szCs w:val="28"/>
          <w:rtl w:val="true"/>
          <w:lang w:bidi="ar-SA"/>
        </w:rPr>
        <w:t xml:space="preserve">) </w:t>
      </w:r>
      <w:r>
        <w:rPr>
          <w:rStyle w:val="FootnoteAnchor"/>
          <w:rtl w:val="true"/>
        </w:rPr>
        <w:footnoteReference w:id="636"/>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وبمعناها رواية الأعمش ، عن الصادق عليه‌السلام المروية في الخصال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أيضا رواية الفقه الرضوى عليه‌السلام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خصوص المسنّة في المرتبة الأخيرة في الروايتين المذكورتين من جهة كونها أحد قسمي المخيّر ؛ لجواز إخراج التبايع أيضا ، أو لكونها الأفضل في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خلاف في شي‌ء من الأحكام المذكورة سوى التخيير في الثلاثين بين التبيع والتبيعة فإنّ المحكي عن ظاهر علي بن بابويه والعماني تعيين التبيع الحولي ، وهو الموجود في عبارة الصدوق في الفقيه </w:t>
      </w:r>
      <w:r>
        <w:rPr>
          <w:rStyle w:val="FootnoteAnchor"/>
          <w:rtl w:val="true"/>
        </w:rPr>
        <w:footnoteReference w:id="640"/>
      </w:r>
      <w:r>
        <w:rPr>
          <w:rFonts w:ascii="IRNazanin" w:hAnsi="IRNazanin" w:eastAsia="IRNazanin"/>
          <w:color w:val="111111"/>
          <w:sz w:val="28"/>
          <w:sz w:val="28"/>
          <w:szCs w:val="28"/>
          <w:rtl w:val="true"/>
          <w:lang w:bidi="fa-IR"/>
        </w:rPr>
        <w:t xml:space="preserve">والمقنع </w:t>
      </w:r>
      <w:r>
        <w:rPr>
          <w:rStyle w:val="FootnoteAnchor"/>
          <w:rtl w:val="true"/>
        </w:rPr>
        <w:footnoteReference w:id="641"/>
      </w:r>
      <w:r>
        <w:rPr>
          <w:rFonts w:ascii="Amiri" w:hAnsi="Amiri" w:eastAsia="Amiri" w:cs="Amiri"/>
          <w:color w:val="111111"/>
          <w:sz w:val="28"/>
          <w:sz w:val="28"/>
          <w:szCs w:val="28"/>
          <w:rtl w:val="true"/>
          <w:lang w:bidi="ar-SA"/>
        </w:rPr>
        <w:t>كما هو الموجود في الأخبار المذكورة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وتبعهم صاحب الحدائق </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المحقق الأردبيلي </w:t>
      </w:r>
      <w:r>
        <w:rPr>
          <w:rStyle w:val="FootnoteAnchor"/>
          <w:rtl w:val="true"/>
        </w:rPr>
        <w:footnoteReference w:id="643"/>
      </w:r>
      <w:r>
        <w:rPr>
          <w:rFonts w:ascii="Amiri" w:hAnsi="Amiri" w:eastAsia="Amiri" w:cs="Amiri"/>
          <w:color w:val="111111"/>
          <w:sz w:val="28"/>
          <w:sz w:val="28"/>
          <w:szCs w:val="28"/>
          <w:rtl w:val="true"/>
          <w:lang w:bidi="ar-SA"/>
        </w:rPr>
        <w:t xml:space="preserve">الميل إليه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مذهب ابن أبي عقيل وعلي بن بابويه هو مقتضى الدليل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هو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الإجماع عليه في الخلاف </w:t>
      </w:r>
      <w:r>
        <w:rPr>
          <w:rStyle w:val="FootnoteAnchor"/>
          <w:rtl w:val="true"/>
        </w:rPr>
        <w:footnoteReference w:id="644"/>
      </w:r>
      <w:r>
        <w:rPr>
          <w:rFonts w:ascii="Amiri" w:hAnsi="Amiri" w:eastAsia="Amiri" w:cs="Amiri"/>
          <w:color w:val="111111"/>
          <w:sz w:val="28"/>
          <w:sz w:val="28"/>
          <w:szCs w:val="28"/>
          <w:rtl w:val="true"/>
          <w:lang w:bidi="ar-SA"/>
        </w:rPr>
        <w:t xml:space="preserve">وشرح الجمل والتذكرة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المسلمون على وجوب التبيع أو التبيعة في الثلاثين ووجوب المسنّة في الأربعين ، وأجمعوا على أنّ هذين الستين هي المفروضة في زكاة البقر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إجزاء التبيعة عن الثلاثين ؛ للأحاديث ، ويدلّ عليه بعد الإجماعات المحكيّة اشتمال ما رواه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بالتخيير بين التبيع والتبيعة ، وعدم وجود تلك الزيادة في الموجود عندنا من كتب الحديث لا ينافيه ؛ لتقديم الزيادة على </w:t>
      </w:r>
    </w:p>
    <w:p>
      <w:pPr>
        <w:pStyle w:val="BookText"/>
        <w:rPr/>
      </w:pPr>
      <w:r>
        <w:rPr>
          <w:rFonts w:ascii="Amiri" w:hAnsi="Amiri" w:eastAsia="Amiri" w:cs="Amiri"/>
          <w:color w:val="111111"/>
          <w:sz w:val="28"/>
          <w:sz w:val="28"/>
          <w:szCs w:val="28"/>
          <w:rtl w:val="true"/>
          <w:lang w:bidi="ar-SA"/>
        </w:rPr>
        <w:t>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المحقق أخذ الرواية من الأصول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نهاية الإحكام </w:t>
      </w:r>
      <w:r>
        <w:rPr>
          <w:rStyle w:val="FootnoteAnchor"/>
          <w:rtl w:val="true"/>
        </w:rPr>
        <w:footnoteReference w:id="646"/>
      </w:r>
      <w:r>
        <w:rPr>
          <w:rFonts w:ascii="Amiri" w:hAnsi="Amiri" w:eastAsia="Amiri" w:cs="Amiri"/>
          <w:color w:val="111111"/>
          <w:sz w:val="28"/>
          <w:sz w:val="28"/>
          <w:szCs w:val="28"/>
          <w:rtl w:val="true"/>
          <w:lang w:bidi="ar-SA"/>
        </w:rPr>
        <w:t xml:space="preserve">مرسلا عن الباقر والصادق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البقر في كل ثلاثين تبيع أو تبيعة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قولهما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ليس فيها شي‌ء حتّى يبلغ ستين ففيها تبيعان أو تبيعتان ، ثمّ في سبعين تبيع أو تبيعة ومسنة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إسناده في المنتهى </w:t>
      </w:r>
      <w:r>
        <w:rPr>
          <w:rStyle w:val="FootnoteAnchor"/>
          <w:rtl w:val="true"/>
        </w:rPr>
        <w:footnoteReference w:id="647"/>
      </w:r>
      <w:r>
        <w:rPr>
          <w:rFonts w:ascii="Amiri" w:hAnsi="Amiri" w:eastAsia="Amiri" w:cs="Amiri"/>
          <w:color w:val="111111"/>
          <w:sz w:val="28"/>
          <w:sz w:val="28"/>
          <w:szCs w:val="28"/>
          <w:rtl w:val="true"/>
          <w:lang w:bidi="ar-SA"/>
        </w:rPr>
        <w:t>إلى الأخبار مع اعتضاد ذلك بعمل الأصحاب من غير مخالف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اشتمال صحيحة الفضلاء ورواية الأعمش وغيرهما على ذكر التبايع الثلاث في التسعين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المراد بها الإناث ، فإذا ثبت ذلك فيها ثبت في الثلاثين لكون النصاب أمرا واحدا كليا ، والفريضة واحدة في الجميع وإن اختلفت في الأعداد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أيضا موجود في عبارة الصدوق في الكتابين المذكورين ، فلا يبعد سقوط خلافه في المقام كغيره فيكون ذكرهم لخصوصه على سبيل المثال أو للتنبيه على جواز دفع الذكر أو للاقتصار على ذكر مورد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أيضا أنّه لو جاز دفع التبيع كان دفع التبيعة أولى ؛ إذ هي أعلى وأغلى منه ، ولذا لا يجوز دفع المسنّ في النصاب الثانى اتفاقا ، فتأمل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فبما قرّرناه ظهر ضعف القول المذكور وسقط مؤاخذة صاحب الحدائق </w:t>
      </w:r>
      <w:r>
        <w:rPr>
          <w:rStyle w:val="FootnoteAnchor"/>
          <w:rtl w:val="true"/>
        </w:rPr>
        <w:footnoteReference w:id="648"/>
      </w:r>
      <w:r>
        <w:rPr>
          <w:rFonts w:ascii="Amiri" w:hAnsi="Amiri" w:eastAsia="Amiri" w:cs="Amiri"/>
          <w:color w:val="111111"/>
          <w:sz w:val="28"/>
          <w:sz w:val="28"/>
          <w:szCs w:val="28"/>
          <w:rtl w:val="true"/>
          <w:lang w:bidi="ar-SA"/>
        </w:rPr>
        <w:t>عن صاحب البداية حيث أفتى بالتخيير</w:t>
      </w:r>
      <w:r>
        <w:rPr>
          <w:rFonts w:eastAsia="Amiri" w:cs="Amiri" w:ascii="Amiri" w:hAnsi="Amiri"/>
          <w:color w:val="111111"/>
          <w:sz w:val="28"/>
          <w:szCs w:val="28"/>
          <w:rtl w:val="true"/>
          <w:lang w:bidi="ar-SA"/>
        </w:rPr>
        <w:t xml:space="preserve">. </w:t>
      </w:r>
      <w:bookmarkStart w:id="88" w:name="pg15853_153377"/>
    </w:p>
    <w:p>
      <w:pPr>
        <w:pStyle w:val="Heading6"/>
        <w:numPr>
          <w:ilvl w:val="5"/>
          <w:numId w:val="1"/>
        </w:numPr>
        <w:rPr/>
      </w:pPr>
      <w:bookmarkStart w:id="89" w:name="__RefHeading___Toc14587101_2142443653"/>
      <w:bookmarkStart w:id="90" w:name="_Toc33"/>
      <w:bookmarkEnd w:id="88"/>
      <w:bookmarkEnd w:id="89"/>
      <w:r>
        <w:rPr>
          <w:rtl w:val="true"/>
        </w:rPr>
        <w:t>تبصرة</w:t>
      </w:r>
      <w:r>
        <w:rPr>
          <w:rtl w:val="true"/>
        </w:rPr>
        <w:t xml:space="preserve">: [ </w:t>
      </w:r>
      <w:r>
        <w:rPr>
          <w:rtl w:val="true"/>
        </w:rPr>
        <w:t xml:space="preserve">في نصاب الغنم </w:t>
      </w:r>
      <w:r>
        <w:rPr>
          <w:rtl w:val="true"/>
        </w:rPr>
        <w:t>]</w:t>
      </w:r>
      <w:bookmarkEnd w:id="90"/>
    </w:p>
    <w:p>
      <w:pPr>
        <w:pStyle w:val="BookText"/>
        <w:rPr/>
      </w:pPr>
      <w:r>
        <w:rPr>
          <w:rFonts w:ascii="Amiri" w:hAnsi="Amiri" w:eastAsia="Amiri" w:cs="Amiri"/>
          <w:color w:val="111111"/>
          <w:sz w:val="28"/>
          <w:sz w:val="28"/>
          <w:szCs w:val="28"/>
          <w:rtl w:val="true"/>
          <w:lang w:bidi="ar-SA"/>
        </w:rPr>
        <w:t xml:space="preserve">وللغنم نصب خمسة على المشهور بين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 وفيها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وإحدى وعشرون ، وفيها شاتان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وواحدة ، وفيها ثلاث شياة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مأئة وواحدة ، وفيها أربع شياه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مأئة فما زاد ، وفيها في كل مأئة شاة </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في المقام إلا في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الصدوق في الفقيه </w:t>
      </w:r>
      <w:r>
        <w:rPr>
          <w:rStyle w:val="FootnoteAnchor"/>
          <w:rtl w:val="true"/>
        </w:rPr>
        <w:footnoteReference w:id="651"/>
      </w:r>
      <w:r>
        <w:rPr>
          <w:rFonts w:ascii="IRNazanin" w:hAnsi="IRNazanin" w:eastAsia="IRNazanin"/>
          <w:color w:val="111111"/>
          <w:sz w:val="28"/>
          <w:sz w:val="28"/>
          <w:szCs w:val="28"/>
          <w:rtl w:val="true"/>
          <w:lang w:bidi="fa-IR"/>
        </w:rPr>
        <w:t xml:space="preserve">والمقنع </w:t>
      </w:r>
      <w:r>
        <w:rPr>
          <w:rStyle w:val="FootnoteAnchor"/>
          <w:rtl w:val="true"/>
        </w:rPr>
        <w:footnoteReference w:id="652"/>
      </w:r>
      <w:r>
        <w:rPr>
          <w:rFonts w:ascii="Amiri" w:hAnsi="Amiri" w:eastAsia="Amiri" w:cs="Amiri"/>
          <w:color w:val="111111"/>
          <w:sz w:val="28"/>
          <w:sz w:val="28"/>
          <w:szCs w:val="28"/>
          <w:rtl w:val="true"/>
          <w:lang w:bidi="ar-SA"/>
        </w:rPr>
        <w:t>من اعتبار زيادة شاة على الأربعين ، في النصاب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ذلك عن والده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من مذهب الأصحاب هو ما ذكرناه ، بل الظاهر الاتفاق عليه بعد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القاضي في شرح الجمل وابن زهرة </w:t>
      </w:r>
      <w:r>
        <w:rPr>
          <w:rStyle w:val="FootnoteAnchor"/>
          <w:rtl w:val="true"/>
        </w:rPr>
        <w:footnoteReference w:id="653"/>
      </w:r>
      <w:r>
        <w:rPr>
          <w:rFonts w:ascii="Amiri" w:hAnsi="Amiri" w:eastAsia="Amiri" w:cs="Amiri"/>
          <w:color w:val="111111"/>
          <w:sz w:val="28"/>
          <w:sz w:val="28"/>
          <w:szCs w:val="28"/>
          <w:rtl w:val="true"/>
          <w:lang w:bidi="ar-SA"/>
        </w:rPr>
        <w:t>حكاية الإجماع عليه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المعتبر </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فيه بين الخاصّة والعامة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المنتهى </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أجمع كلّ من يحفظ عنه العلم أنّ أوّل نصب الغنم 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به إجماع الخاصّة والعامة ، لكن ذكر في المختلف </w:t>
      </w:r>
      <w:r>
        <w:rPr>
          <w:rStyle w:val="FootnoteAnchor"/>
          <w:rtl w:val="true"/>
        </w:rPr>
        <w:footnoteReference w:id="657"/>
      </w:r>
      <w:r>
        <w:rPr>
          <w:rFonts w:ascii="Amiri" w:hAnsi="Amiri" w:eastAsia="Amiri" w:cs="Amiri"/>
          <w:color w:val="111111"/>
          <w:sz w:val="28"/>
          <w:sz w:val="28"/>
          <w:szCs w:val="28"/>
          <w:rtl w:val="true"/>
          <w:lang w:bidi="ar-SA"/>
        </w:rPr>
        <w:t>أنه المشهور عند علمائنا أجمع ، ثمّ حكى الخلاف فيه عن الصدوقين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658"/>
      </w:r>
      <w:r>
        <w:rPr>
          <w:rFonts w:ascii="Amiri" w:hAnsi="Amiri" w:eastAsia="Amiri" w:cs="Amiri"/>
          <w:color w:val="111111"/>
          <w:sz w:val="28"/>
          <w:sz w:val="28"/>
          <w:szCs w:val="28"/>
          <w:rtl w:val="true"/>
          <w:lang w:bidi="ar-SA"/>
        </w:rPr>
        <w:t xml:space="preserve">حكاية إجماع الأصحاب عليه إلّا أنّه ذكر خلاف الصدوق </w:t>
      </w:r>
      <w:r>
        <w:rPr>
          <w:rStyle w:val="FootnoteAnchor"/>
          <w:rtl w:val="true"/>
        </w:rPr>
        <w:footnoteReference w:id="65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ذهب إليه الصدوقان مع كونه مخالفا لما أفتى به الأصحاب مخالف لمعظم روايات الباب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الفضلاء وصحيحة محمد بن قيس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وجد ذلك في كتاب الفقه الرضوى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الخصال </w:t>
      </w:r>
      <w:r>
        <w:rPr>
          <w:rStyle w:val="FootnoteAnchor"/>
          <w:rtl w:val="true"/>
        </w:rPr>
        <w:footnoteReference w:id="661"/>
      </w:r>
      <w:r>
        <w:rPr>
          <w:rFonts w:ascii="Amiri" w:hAnsi="Amiri" w:eastAsia="Amiri" w:cs="Amiri"/>
          <w:color w:val="111111"/>
          <w:sz w:val="28"/>
          <w:sz w:val="28"/>
          <w:szCs w:val="28"/>
          <w:rtl w:val="true"/>
          <w:lang w:bidi="ar-SA"/>
        </w:rPr>
        <w:t xml:space="preserve">بإسناده عن الأعمش ، عن الصادق عليه‌السلام حيث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ويجب على الغنم الزكاة إذا بلغت أربعين شاة ، وتزيد واحدة فيكون فيها شاة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ذلك لا تقاوم تلك الأخبار سيّما بعد الانجبار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المنتهى </w:t>
      </w:r>
      <w:r>
        <w:rPr>
          <w:rStyle w:val="FootnoteAnchor"/>
          <w:rtl w:val="true"/>
        </w:rPr>
        <w:footnoteReference w:id="662"/>
      </w:r>
      <w:r>
        <w:rPr>
          <w:rFonts w:ascii="Amiri" w:hAnsi="Amiri" w:eastAsia="Amiri" w:cs="Amiri"/>
          <w:color w:val="111111"/>
          <w:sz w:val="28"/>
          <w:sz w:val="28"/>
          <w:szCs w:val="28"/>
          <w:rtl w:val="true"/>
          <w:lang w:bidi="ar-SA"/>
        </w:rPr>
        <w:t>إسناد عبارة الصدوق في نصب الغنم إلى 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سهو صدر منه لتوهّمه العبارة المذكورة من تتمّة ما تقدّمها من رواية حريز ، عن زرارة ، عن الباقر عليه‌السلام كما لا يخفى على من لاحظه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بوجوب الثلاثة في ثلاثمائة وواحدة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 النصاب الخامس وجعل الرابع آخر نصب الغنم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فيجب في ثلاثمائة وواحدة فصاعدا في كلّ مائة واحدة ، فقد ذهب إلى ذلك كله جماعة من الأصحاب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الصدوقان </w:t>
      </w:r>
      <w:r>
        <w:rPr>
          <w:rStyle w:val="FootnoteAnchor"/>
          <w:rtl w:val="true"/>
        </w:rPr>
        <w:footnoteReference w:id="663"/>
      </w:r>
      <w:r>
        <w:rPr>
          <w:rFonts w:ascii="Amiri" w:hAnsi="Amiri" w:eastAsia="Amiri" w:cs="Amiri"/>
          <w:color w:val="111111"/>
          <w:sz w:val="28"/>
          <w:sz w:val="28"/>
          <w:szCs w:val="28"/>
          <w:rtl w:val="true"/>
          <w:lang w:bidi="ar-SA"/>
        </w:rPr>
        <w:t xml:space="preserve">والعمانى والسيد </w:t>
      </w:r>
      <w:r>
        <w:rPr>
          <w:rStyle w:val="FootnoteAnchor"/>
          <w:rtl w:val="true"/>
        </w:rPr>
        <w:footnoteReference w:id="664"/>
      </w:r>
      <w:r>
        <w:rPr>
          <w:rFonts w:ascii="Amiri" w:hAnsi="Amiri" w:eastAsia="Amiri" w:cs="Amiri"/>
          <w:color w:val="111111"/>
          <w:sz w:val="28"/>
          <w:sz w:val="28"/>
          <w:szCs w:val="28"/>
          <w:rtl w:val="true"/>
          <w:lang w:bidi="ar-SA"/>
        </w:rPr>
        <w:t xml:space="preserve">والديلمي والطوسي </w:t>
      </w:r>
      <w:r>
        <w:rPr>
          <w:rStyle w:val="FootnoteAnchor"/>
          <w:rtl w:val="true"/>
        </w:rPr>
        <w:footnoteReference w:id="665"/>
      </w:r>
      <w:r>
        <w:rPr>
          <w:rFonts w:ascii="Amiri" w:hAnsi="Amiri" w:eastAsia="Amiri" w:cs="Amiri"/>
          <w:color w:val="111111"/>
          <w:sz w:val="28"/>
          <w:sz w:val="28"/>
          <w:szCs w:val="28"/>
          <w:rtl w:val="true"/>
          <w:lang w:bidi="ar-SA"/>
        </w:rPr>
        <w:t xml:space="preserve">والجعفي والحلي </w:t>
      </w:r>
      <w:r>
        <w:rPr>
          <w:rStyle w:val="FootnoteAnchor"/>
          <w:rtl w:val="true"/>
        </w:rPr>
        <w:footnoteReference w:id="666"/>
      </w:r>
      <w:r>
        <w:rPr>
          <w:rFonts w:ascii="Amiri" w:hAnsi="Amiri" w:eastAsia="Amiri" w:cs="Amiri"/>
          <w:color w:val="111111"/>
          <w:sz w:val="28"/>
          <w:sz w:val="28"/>
          <w:szCs w:val="28"/>
          <w:rtl w:val="true"/>
          <w:lang w:bidi="ar-SA"/>
        </w:rPr>
        <w:t xml:space="preserve">، والعلّامة في المنتهى </w:t>
      </w:r>
      <w:r>
        <w:rPr>
          <w:rStyle w:val="FootnoteAnchor"/>
          <w:rtl w:val="true"/>
        </w:rPr>
        <w:footnoteReference w:id="667"/>
      </w:r>
      <w:r>
        <w:rPr>
          <w:rFonts w:ascii="Amiri" w:hAnsi="Amiri" w:eastAsia="Amiri" w:cs="Amiri"/>
          <w:color w:val="111111"/>
          <w:sz w:val="28"/>
          <w:sz w:val="28"/>
          <w:szCs w:val="28"/>
          <w:rtl w:val="true"/>
          <w:lang w:bidi="ar-SA"/>
        </w:rPr>
        <w:t xml:space="preserve">والتحرير </w:t>
      </w:r>
      <w:r>
        <w:rPr>
          <w:rStyle w:val="FootnoteAnchor"/>
          <w:rtl w:val="true"/>
        </w:rPr>
        <w:footnoteReference w:id="668"/>
      </w:r>
      <w:r>
        <w:rPr>
          <w:rFonts w:ascii="Amiri" w:hAnsi="Amiri" w:eastAsia="Amiri" w:cs="Amiri"/>
          <w:color w:val="111111"/>
          <w:sz w:val="28"/>
          <w:sz w:val="28"/>
          <w:szCs w:val="28"/>
          <w:rtl w:val="true"/>
          <w:lang w:bidi="ar-SA"/>
        </w:rPr>
        <w:t xml:space="preserve">والنهاية </w:t>
      </w:r>
      <w:r>
        <w:rPr>
          <w:rStyle w:val="FootnoteAnchor"/>
          <w:rtl w:val="true"/>
        </w:rPr>
        <w:footnoteReference w:id="669"/>
      </w:r>
      <w:r>
        <w:rPr>
          <w:rFonts w:ascii="Amiri" w:hAnsi="Amiri" w:eastAsia="Amiri" w:cs="Amiri"/>
          <w:color w:val="111111"/>
          <w:sz w:val="28"/>
          <w:sz w:val="28"/>
          <w:szCs w:val="28"/>
          <w:rtl w:val="true"/>
          <w:lang w:bidi="ar-SA"/>
        </w:rPr>
        <w:t xml:space="preserve">، وولده في الإيضاح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وإليه ميل السيد في المدارك </w:t>
      </w:r>
      <w:r>
        <w:rPr>
          <w:rStyle w:val="FootnoteAnchor"/>
          <w:rtl w:val="true"/>
        </w:rPr>
        <w:footnoteReference w:id="671"/>
      </w:r>
      <w:r>
        <w:rPr>
          <w:rFonts w:ascii="Amiri" w:hAnsi="Amiri" w:eastAsia="Amiri" w:cs="Amiri"/>
          <w:color w:val="111111"/>
          <w:sz w:val="28"/>
          <w:sz w:val="28"/>
          <w:szCs w:val="28"/>
          <w:rtl w:val="true"/>
          <w:lang w:bidi="ar-SA"/>
        </w:rPr>
        <w:t>والمحقق الشيخ حسن في المنتقى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هو الذي ذهب إليه الأكثر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ونصّ عليه الإسكافي والشيخ </w:t>
      </w:r>
      <w:r>
        <w:rPr>
          <w:rStyle w:val="FootnoteAnchor"/>
          <w:rtl w:val="true"/>
        </w:rPr>
        <w:footnoteReference w:id="672"/>
      </w:r>
      <w:r>
        <w:rPr>
          <w:rFonts w:ascii="Amiri" w:hAnsi="Amiri" w:eastAsia="Amiri" w:cs="Amiri"/>
          <w:color w:val="111111"/>
          <w:sz w:val="28"/>
          <w:sz w:val="28"/>
          <w:szCs w:val="28"/>
          <w:rtl w:val="true"/>
          <w:lang w:bidi="ar-SA"/>
        </w:rPr>
        <w:t xml:space="preserve">في كتبه ، والقاضي </w:t>
      </w:r>
      <w:r>
        <w:rPr>
          <w:rStyle w:val="FootnoteAnchor"/>
          <w:rtl w:val="true"/>
        </w:rPr>
        <w:footnoteReference w:id="673"/>
      </w:r>
      <w:r>
        <w:rPr>
          <w:rFonts w:ascii="Amiri" w:hAnsi="Amiri" w:eastAsia="Amiri" w:cs="Amiri"/>
          <w:color w:val="111111"/>
          <w:sz w:val="28"/>
          <w:sz w:val="28"/>
          <w:szCs w:val="28"/>
          <w:rtl w:val="true"/>
          <w:lang w:bidi="ar-SA"/>
        </w:rPr>
        <w:t xml:space="preserve">والحلبي </w:t>
      </w:r>
      <w:r>
        <w:rPr>
          <w:rStyle w:val="FootnoteAnchor"/>
          <w:rtl w:val="true"/>
        </w:rPr>
        <w:footnoteReference w:id="674"/>
      </w:r>
      <w:r>
        <w:rPr>
          <w:rFonts w:ascii="Amiri" w:hAnsi="Amiri" w:eastAsia="Amiri" w:cs="Amiri"/>
          <w:color w:val="111111"/>
          <w:sz w:val="28"/>
          <w:sz w:val="28"/>
          <w:szCs w:val="28"/>
          <w:rtl w:val="true"/>
          <w:lang w:bidi="ar-SA"/>
        </w:rPr>
        <w:t xml:space="preserve">، والفاضلان في الشرائع </w:t>
      </w:r>
      <w:r>
        <w:rPr>
          <w:rStyle w:val="FootnoteAnchor"/>
          <w:rtl w:val="true"/>
        </w:rPr>
        <w:footnoteReference w:id="675"/>
      </w:r>
      <w:r>
        <w:rPr>
          <w:rFonts w:ascii="IRNazanin" w:hAnsi="IRNazanin" w:eastAsia="IRNazanin"/>
          <w:color w:val="111111"/>
          <w:sz w:val="28"/>
          <w:sz w:val="28"/>
          <w:szCs w:val="28"/>
          <w:rtl w:val="true"/>
          <w:lang w:bidi="fa-IR"/>
        </w:rPr>
        <w:t xml:space="preserve">والمختلف </w:t>
      </w:r>
      <w:r>
        <w:rPr>
          <w:rStyle w:val="FootnoteAnchor"/>
          <w:rtl w:val="true"/>
        </w:rPr>
        <w:footnoteReference w:id="676"/>
      </w:r>
      <w:r>
        <w:rPr>
          <w:rFonts w:ascii="IRNazanin" w:hAnsi="IRNazanin" w:eastAsia="IRNazanin"/>
          <w:color w:val="111111"/>
          <w:sz w:val="28"/>
          <w:sz w:val="28"/>
          <w:szCs w:val="28"/>
          <w:rtl w:val="true"/>
          <w:lang w:bidi="fa-IR"/>
        </w:rPr>
        <w:t xml:space="preserve">والقواعد </w:t>
      </w:r>
      <w:r>
        <w:rPr>
          <w:rStyle w:val="FootnoteAnchor"/>
          <w:rtl w:val="true"/>
        </w:rPr>
        <w:footnoteReference w:id="677"/>
      </w:r>
      <w:r>
        <w:rPr>
          <w:rFonts w:ascii="IRNazanin" w:hAnsi="IRNazanin" w:eastAsia="IRNazanin"/>
          <w:color w:val="111111"/>
          <w:sz w:val="28"/>
          <w:sz w:val="28"/>
          <w:szCs w:val="28"/>
          <w:rtl w:val="true"/>
          <w:lang w:bidi="fa-IR"/>
        </w:rPr>
        <w:t xml:space="preserve">والارشاد </w:t>
      </w:r>
      <w:r>
        <w:rPr>
          <w:rStyle w:val="FootnoteAnchor"/>
          <w:rtl w:val="true"/>
        </w:rPr>
        <w:footnoteReference w:id="678"/>
      </w:r>
      <w:r>
        <w:rPr>
          <w:rFonts w:ascii="Amiri" w:hAnsi="Amiri" w:eastAsia="Amiri" w:cs="Amiri"/>
          <w:color w:val="111111"/>
          <w:sz w:val="28"/>
          <w:sz w:val="28"/>
          <w:szCs w:val="28"/>
          <w:rtl w:val="true"/>
          <w:lang w:bidi="ar-SA"/>
        </w:rPr>
        <w:t xml:space="preserve">، والشهيد في اللمعة </w:t>
      </w:r>
      <w:r>
        <w:rPr>
          <w:rStyle w:val="FootnoteAnchor"/>
          <w:rtl w:val="true"/>
        </w:rPr>
        <w:footnoteReference w:id="679"/>
      </w:r>
      <w:r>
        <w:rPr>
          <w:rFonts w:ascii="IRNazanin" w:hAnsi="IRNazanin" w:eastAsia="IRNazanin"/>
          <w:color w:val="111111"/>
          <w:sz w:val="28"/>
          <w:sz w:val="28"/>
          <w:szCs w:val="28"/>
          <w:rtl w:val="true"/>
          <w:lang w:bidi="fa-IR"/>
        </w:rPr>
        <w:t xml:space="preserve">والدروس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والبيان </w:t>
      </w:r>
      <w:r>
        <w:rPr>
          <w:rStyle w:val="FootnoteAnchor"/>
          <w:rtl w:val="true"/>
        </w:rPr>
        <w:footnoteReference w:id="681"/>
      </w:r>
      <w:r>
        <w:rPr>
          <w:rFonts w:ascii="Amiri" w:hAnsi="Amiri" w:eastAsia="Amiri" w:cs="Amiri"/>
          <w:color w:val="111111"/>
          <w:sz w:val="28"/>
          <w:sz w:val="28"/>
          <w:szCs w:val="28"/>
          <w:rtl w:val="true"/>
          <w:lang w:bidi="ar-SA"/>
        </w:rPr>
        <w:t xml:space="preserve">، والسيوري والصيمري والمحقّق الكركي </w:t>
      </w:r>
      <w:r>
        <w:rPr>
          <w:rStyle w:val="FootnoteAnchor"/>
          <w:rtl w:val="true"/>
        </w:rPr>
        <w:footnoteReference w:id="682"/>
      </w:r>
      <w:r>
        <w:rPr>
          <w:rFonts w:ascii="Amiri" w:hAnsi="Amiri" w:eastAsia="Amiri" w:cs="Amiri"/>
          <w:color w:val="111111"/>
          <w:sz w:val="28"/>
          <w:sz w:val="28"/>
          <w:szCs w:val="28"/>
          <w:rtl w:val="true"/>
          <w:lang w:bidi="ar-SA"/>
        </w:rPr>
        <w:t>وجماعة من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وحكاه جماعة عن المفيد ، وهو الموجود في المقنعة </w:t>
      </w:r>
      <w:r>
        <w:rPr>
          <w:rStyle w:val="FootnoteAnchor"/>
          <w:rtl w:val="true"/>
        </w:rPr>
        <w:footnoteReference w:id="683"/>
      </w:r>
      <w:r>
        <w:rPr>
          <w:rFonts w:ascii="Amiri" w:hAnsi="Amiri" w:eastAsia="Amiri" w:cs="Amiri"/>
          <w:color w:val="111111"/>
          <w:sz w:val="28"/>
          <w:sz w:val="28"/>
          <w:szCs w:val="28"/>
          <w:rtl w:val="true"/>
          <w:lang w:bidi="ar-SA"/>
        </w:rPr>
        <w:t>لكن حكى عنه الحلّي وغيره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وتعجّب في المختلف </w:t>
      </w:r>
      <w:r>
        <w:rPr>
          <w:rStyle w:val="FootnoteAnchor"/>
          <w:rtl w:val="true"/>
        </w:rPr>
        <w:footnoteReference w:id="684"/>
      </w:r>
      <w:r>
        <w:rPr>
          <w:rFonts w:ascii="Amiri" w:hAnsi="Amiri" w:eastAsia="Amiri" w:cs="Amiri"/>
          <w:color w:val="111111"/>
          <w:sz w:val="28"/>
          <w:sz w:val="28"/>
          <w:szCs w:val="28"/>
          <w:rtl w:val="true"/>
          <w:lang w:bidi="ar-SA"/>
        </w:rPr>
        <w:t>من إسناده ذلك إليه مع تصريحه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الشهرة على القول المذكور جماعة من الأصحاب منهم المحقق الأردبيلي </w:t>
      </w:r>
      <w:r>
        <w:rPr>
          <w:rStyle w:val="FootnoteAnchor"/>
          <w:rtl w:val="true"/>
        </w:rPr>
        <w:footnoteReference w:id="685"/>
      </w:r>
      <w:r>
        <w:rPr>
          <w:rFonts w:ascii="Amiri" w:hAnsi="Amiri" w:eastAsia="Amiri" w:cs="Amiri"/>
          <w:color w:val="111111"/>
          <w:sz w:val="28"/>
          <w:sz w:val="28"/>
          <w:szCs w:val="28"/>
          <w:rtl w:val="true"/>
          <w:lang w:bidi="ar-SA"/>
        </w:rPr>
        <w:t xml:space="preserve">ومولانا التقي المجلسي رحمة اللّه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الشرائع </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الروضة </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الدالّة عليه أشهر بين الأصحاب ، وهو الأظهر ؛ لصحيحة الفضلاء المرويّة عن الصادقين عليهما‌السلام المخالفة لما ذهب إليه معظم فقهاء العامة وما أطبق عليه أئمتهم الأربعة سوى رواية أحمد كما في المنتهى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وموافقتهما </w:t>
      </w:r>
      <w:r>
        <w:rPr>
          <w:rStyle w:val="FootnoteAnchor"/>
          <w:rtl w:val="true"/>
        </w:rPr>
        <w:footnoteReference w:id="689"/>
      </w:r>
      <w:r>
        <w:rPr>
          <w:rFonts w:ascii="Amiri" w:hAnsi="Amiri" w:eastAsia="Amiri" w:cs="Amiri"/>
          <w:color w:val="111111"/>
          <w:sz w:val="28"/>
          <w:sz w:val="28"/>
          <w:szCs w:val="28"/>
          <w:rtl w:val="true"/>
          <w:lang w:bidi="ar-SA"/>
        </w:rPr>
        <w:t>لما هو الأشهر بين الفرقة مع ما فيه من مراعاة الاحتياط بالنسبة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حكاية الشيخ عليه في الخلاف إجماع الفرقة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قيس ، وفيها بعد ذكر النصابين الأولين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زادت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المائتين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ثلاث شياة من الغنم إلى ثلاثمائة ، فإذا كثرت الغنم ففي كل </w:t>
      </w:r>
    </w:p>
    <w:p>
      <w:pPr>
        <w:pStyle w:val="BookText"/>
        <w:rPr/>
      </w:pPr>
      <w:r>
        <w:rPr>
          <w:rFonts w:ascii="Amiri" w:hAnsi="Amiri" w:eastAsia="Amiri" w:cs="Amiri"/>
          <w:color w:val="111111"/>
          <w:sz w:val="28"/>
          <w:sz w:val="28"/>
          <w:szCs w:val="28"/>
          <w:rtl w:val="true"/>
          <w:lang w:bidi="ar-SA"/>
        </w:rPr>
        <w:t xml:space="preserve">مائة شاة </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مدفوعة بموافقة العامة ، ففي مقام التعارض تحمل على التقية ؛ إذ هي عمدة السبب في اختلاف الأخبار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أنّها غير صريحة في إسقاط النصاب الخامس كدلالة الأخرى على إثباته ، فقد يكون قد أجمل القول فيه ، وأراد بالكثرة بلوغ أربعمائة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وسكت عن حكم الثلاثمائة وواحدة من أجل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عبّر بالكثرة الظاهرة في إرادة ما يزيد على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ظاهر مفهوم الغاية يدلّ على مخالفة الحكم فيما بعد الثلاثمائة بالنسبة إلى ما قبلها ، فيومي إلى عدم ثبوت الثلاثة فيه ، وليس إلّا الأربعة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 ذلك كلّه ، فترجح الرواية الأولى أن الرواة لها الفضلاء النجباء الذين ورد في شأنهم من المدائح ما ورد ، وأجمعت العصابة على تصحيح ما يصح كل واحد منهم ، وكون المروي عنه الإمامين عليه‌السلام فهي في الحقيقة بمنزلة خبرين صحيحين ، بخلاف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 إليها في المنتهى </w:t>
      </w:r>
      <w:r>
        <w:rPr>
          <w:rStyle w:val="FootnoteAnchor"/>
          <w:rtl w:val="true"/>
        </w:rPr>
        <w:footnoteReference w:id="691"/>
      </w:r>
      <w:r>
        <w:rPr>
          <w:rFonts w:ascii="Amiri" w:hAnsi="Amiri" w:eastAsia="Amiri" w:cs="Amiri"/>
          <w:color w:val="111111"/>
          <w:sz w:val="28"/>
          <w:sz w:val="28"/>
          <w:szCs w:val="28"/>
          <w:rtl w:val="true"/>
          <w:lang w:bidi="ar-SA"/>
        </w:rPr>
        <w:t>صحيحة أخرى رواه عن الصدوق ، والظاهر أنه سهو منه رحمة اللّه بجعله عبارة الصدوق المذكورة عقيب صحيحة زرارة الواردة في الجوابين من كلام الإمام عليه‌السلام كما مرّت الاشارة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لم يذكره أحد من الأصحاب في مقام الاحتجاج للقول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ورد ذلك في </w:t>
      </w:r>
      <w:r>
        <w:rPr>
          <w:rStyle w:val="FootnoteAnchor"/>
          <w:rtl w:val="true"/>
        </w:rPr>
        <w:footnoteReference w:id="692"/>
      </w:r>
      <w:r>
        <w:rPr>
          <w:rFonts w:ascii="Amiri" w:hAnsi="Amiri" w:eastAsia="Amiri" w:cs="Amiri"/>
          <w:color w:val="111111"/>
          <w:sz w:val="28"/>
          <w:sz w:val="28"/>
          <w:szCs w:val="28"/>
          <w:rtl w:val="true"/>
          <w:lang w:bidi="ar-SA"/>
        </w:rPr>
        <w:t xml:space="preserve">الفقه الرضوي </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في ضعفه معروف</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يرجّح هذه الرواية بكونها أصحّ إسنادا من صحيحة الفضلاء ؛ لاشتمال سندها على إبراهيم بن هاشم المعدود روايته من الحسان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ابراهيم بن هاشم لا يقصر عن سائر الصحاح سيّما مع اشتمال إسناد هذه الرواية على محمد بن قيس المشترك بين جماعة ، وفيهم من لا يوثق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طعن فيها بالاشتراك في المختلف </w:t>
      </w:r>
      <w:r>
        <w:rPr>
          <w:rStyle w:val="FootnoteAnchor"/>
          <w:rtl w:val="true"/>
        </w:rPr>
        <w:footnoteReference w:id="694"/>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كان مدفوعا برجحان كونه البجلي الثقة من جهة رواية عاصم بن حميد عنه إلّا أنّ ذلك لا يقضي بكثير اطمئنان في التعيين ، فالرواية الأخرى السالمة من ذلك بالترجيح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بما ذكرناه أن الأخذ بالرواية الأولى أرجح من هذه من جهات شتى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 المحقق </w:t>
      </w:r>
      <w:r>
        <w:rPr>
          <w:rStyle w:val="FootnoteAnchor"/>
          <w:rtl w:val="true"/>
        </w:rPr>
        <w:footnoteReference w:id="695"/>
      </w:r>
      <w:r>
        <w:rPr>
          <w:rFonts w:ascii="Amiri" w:hAnsi="Amiri" w:eastAsia="Amiri" w:cs="Amiri"/>
          <w:color w:val="111111"/>
          <w:sz w:val="28"/>
          <w:sz w:val="28"/>
          <w:szCs w:val="28"/>
          <w:rtl w:val="true"/>
          <w:lang w:bidi="ar-SA"/>
        </w:rPr>
        <w:t>في كتبه وجماعة من المتأخرين الاستشكال في المسألة ؛ لتعارض الخبرين المذكورين ، وليس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هاهنا سؤالا مشهورا حكي عن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أورده في الدرس </w:t>
      </w:r>
      <w:r>
        <w:rPr>
          <w:rStyle w:val="FootnoteAnchor"/>
          <w:rtl w:val="true"/>
        </w:rPr>
        <w:footnoteReference w:id="696"/>
      </w:r>
      <w:r>
        <w:rPr>
          <w:rFonts w:ascii="Amiri" w:hAnsi="Amiri" w:eastAsia="Amiri" w:cs="Amiri"/>
          <w:color w:val="111111"/>
          <w:sz w:val="28"/>
          <w:sz w:val="28"/>
          <w:szCs w:val="28"/>
          <w:rtl w:val="true"/>
          <w:lang w:bidi="ar-SA"/>
        </w:rPr>
        <w:t xml:space="preserve">وقد أشار إلى الجواب عنه في الشرائع </w:t>
      </w:r>
      <w:r>
        <w:rPr>
          <w:rStyle w:val="FootnoteAnchor"/>
          <w:rtl w:val="true"/>
        </w:rPr>
        <w:footnoteReference w:id="697"/>
      </w:r>
      <w:r>
        <w:rPr>
          <w:rFonts w:ascii="Amiri" w:hAnsi="Amiri" w:eastAsia="Amiri" w:cs="Amiri"/>
          <w:color w:val="111111"/>
          <w:sz w:val="28"/>
          <w:sz w:val="28"/>
          <w:szCs w:val="28"/>
          <w:rtl w:val="true"/>
          <w:lang w:bidi="ar-SA"/>
        </w:rPr>
        <w:t xml:space="preserve">إجمالا ، وبيّنه في الدرس </w:t>
      </w:r>
      <w:r>
        <w:rPr>
          <w:rStyle w:val="FootnoteAnchor"/>
          <w:rtl w:val="true"/>
        </w:rPr>
        <w:footnoteReference w:id="698"/>
      </w:r>
      <w:r>
        <w:rPr>
          <w:rFonts w:ascii="Amiri" w:hAnsi="Amiri" w:eastAsia="Amiri" w:cs="Amiri"/>
          <w:color w:val="111111"/>
          <w:sz w:val="28"/>
          <w:sz w:val="28"/>
          <w:szCs w:val="28"/>
          <w:rtl w:val="true"/>
          <w:lang w:bidi="ar-SA"/>
        </w:rPr>
        <w:t xml:space="preserve">تفصيلا ، والمحكي عنه في تقرير السؤال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عن فائدة الخلاف مع أنّ الواجب في أربعمائة أربع شياة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الواجب في ثلاثمائة وواحدة ما يجب في أربعمائة ، فأيّ فائدة في الزائد؟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السؤال الأوّل ساقط بالمرّة ؛ إذ لا اختلاف بين القولين في أربعمائة حتّى يسأل عن الفارق بينهما كما أنّه لا فرق بينهما فيما فوق تلك المرتبة للإجماع على وجوب الشاة في كلّ مائة بعد البلوغ إلى أربعمائة ، وإنّما الخلاف في مبدأ هذا التقدير ، وإن كان المقصود السؤال </w:t>
      </w:r>
    </w:p>
    <w:p>
      <w:pPr>
        <w:pStyle w:val="BookText"/>
        <w:rPr/>
      </w:pPr>
      <w:r>
        <w:rPr>
          <w:rFonts w:ascii="Amiri" w:hAnsi="Amiri" w:eastAsia="Amiri" w:cs="Amiri"/>
          <w:color w:val="111111"/>
          <w:sz w:val="28"/>
          <w:sz w:val="28"/>
          <w:szCs w:val="28"/>
          <w:rtl w:val="true"/>
          <w:lang w:bidi="ar-SA"/>
        </w:rPr>
        <w:t xml:space="preserve">عن ثمرة الخلاف </w:t>
      </w:r>
      <w:r>
        <w:rPr>
          <w:rStyle w:val="FootnoteAnchor"/>
          <w:rtl w:val="true"/>
        </w:rPr>
        <w:footnoteReference w:id="699"/>
      </w:r>
      <w:r>
        <w:rPr>
          <w:rFonts w:ascii="Amiri" w:hAnsi="Amiri" w:eastAsia="Amiri" w:cs="Amiri"/>
          <w:color w:val="111111"/>
          <w:sz w:val="28"/>
          <w:sz w:val="28"/>
          <w:szCs w:val="28"/>
          <w:rtl w:val="true"/>
          <w:lang w:bidi="ar-SA"/>
        </w:rPr>
        <w:t xml:space="preserve">في مورد اختلاف القولين فهو أمر واضح لا يليق بالسؤال ؛ ضرورة وجوب أربع شياة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وثلاث على الثاني ومع ذلك تظهر الثمرة في أمور أخر منها كون الواحدة على القول </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الثاني شرطا للوجوب ، فلا يسقط بتلفها بعد الحول من غير تفريط المالك شي‌ء من الفريضة بخلاف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تلف شاتان كذلك كان الساقط من الفريضة على الأوّل جزءان من خمسة وسبعين جزءا وربع جزء ، وعلى الثاني جزء من مائة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تلف ثلاثة كان الساقط ثلاثة أجزاء من الأجزاء المذكورة ، وعلى الثاني جزءان من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تلف هناك شاتان لزم تقسيط التالف على جميع النصاب ؛ لكون المخرج عنه هو الجميع ، فيسقط جزء ان من ثلاثمائة جزء ، وجزء من كلّ من الشياة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إنّما يسقط التالف على مائة منها ؛ لكون المخرج عنه في الحقيقة هو كلّ مائة ، فيسقط من شاة واحدة جزء من مائة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إنّ الفرق بين القولين </w:t>
      </w:r>
      <w:r>
        <w:rPr>
          <w:rFonts w:eastAsia="Amiri" w:cs="Amiri" w:ascii="Amiri" w:hAnsi="Amiri"/>
          <w:color w:val="111111"/>
          <w:sz w:val="28"/>
          <w:szCs w:val="28"/>
          <w:rtl w:val="true"/>
          <w:lang w:bidi="ar-SA"/>
        </w:rPr>
        <w:t xml:space="preserve">[ ... ]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نصاب البقر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w:t>
      </w:r>
      <w:r>
        <w:rPr>
          <w:rStyle w:val="FootnoteAnchor"/>
          <w:rtl w:val="true"/>
        </w:rPr>
        <w:footnoteReference w:id="7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نصاب البقر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بين الأصحاب في أنّ للبقر نصابين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ثلاثون وأربعون وستون ، ثمّ الأخذ بالثلاثين والأربعين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ومنعه في المنتهى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الوجه فيه اختلاف الأوقاص فيها واتفاقها في السبعين </w:t>
      </w:r>
      <w:r>
        <w:rPr>
          <w:rStyle w:val="FootnoteAnchor"/>
          <w:rtl w:val="true"/>
        </w:rPr>
        <w:footnoteReference w:id="704"/>
      </w:r>
      <w:r>
        <w:rPr>
          <w:rFonts w:ascii="IRNazanin" w:hAnsi="IRNazanin" w:eastAsia="IRNazanin"/>
          <w:color w:val="111111"/>
          <w:sz w:val="28"/>
          <w:sz w:val="28"/>
          <w:szCs w:val="28"/>
          <w:rtl w:val="true"/>
          <w:lang w:bidi="fa-IR"/>
        </w:rPr>
        <w:t>وما زاد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المحقق الكركي </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المتّجه عدّها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شخصيّتان ، وأمر كلّي ، وهو كلّ ثلاثين أو كلّ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فالمتجه على هذا عدّها أربعة ؛ إذ الكلي أيضا نصابان كالمبتدء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تخيّر المالك في كل منهما مطلقا صحّ ما ذكره لكون النصاب حينئذ أحد الأمرين المذكورين ، وليس كذلك ؛ لوجوب الاعتبار بالمطابق ؛ إذ الأمر إليه كما سيجي‌ء الاشارة إليه ، فيكون النصاب في بعضها كلّ ثلاثين وفي بعضها كلّ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فرض تساويهما في ذلك تخيّر المالك ، وهو لا يقضي بعدهما نصابا واحدا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عدّها نصابين كما ذكرها جماعة من الأصحاب كما في رواية الأعمش </w:t>
      </w:r>
      <w:r>
        <w:rPr>
          <w:rStyle w:val="FootnoteAnchor"/>
          <w:rtl w:val="true"/>
        </w:rPr>
        <w:footnoteReference w:id="706"/>
      </w:r>
      <w:r>
        <w:rPr>
          <w:rFonts w:ascii="Amiri" w:hAnsi="Amiri" w:eastAsia="Amiri" w:cs="Amiri"/>
          <w:color w:val="111111"/>
          <w:sz w:val="28"/>
          <w:sz w:val="28"/>
          <w:szCs w:val="28"/>
          <w:rtl w:val="true"/>
          <w:lang w:bidi="ar-SA"/>
        </w:rPr>
        <w:t>عن الصادق 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وفيها تبيع وتبيعة على المعروف من المذهب ، وهو ما دخل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أربعون ، وفيها مسنة بلا خلاف فيه ، وهي ما دخلت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هذين النصابين يدور أمر البقر ، فليسا مخصوصين بالمرتبة الأولى خاصّة بل كلّما زاد البقر دار الأمر على النصابين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في كلام بعض الأصحاب زيادة في نصاب البقر عن نصابين ، ففي المبسوط </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نصبه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الشيخ </w:t>
      </w:r>
      <w:r>
        <w:rPr>
          <w:rStyle w:val="FootnoteAnchor"/>
          <w:rtl w:val="true"/>
        </w:rPr>
        <w:footnoteReference w:id="708"/>
      </w:r>
      <w:r>
        <w:rPr>
          <w:rFonts w:ascii="Amiri" w:hAnsi="Amiri" w:eastAsia="Amiri" w:cs="Amiri"/>
          <w:color w:val="111111"/>
          <w:sz w:val="28"/>
          <w:sz w:val="28"/>
          <w:szCs w:val="28"/>
          <w:rtl w:val="true"/>
          <w:lang w:bidi="ar-SA"/>
        </w:rPr>
        <w:t>أنّ نصبه ثمانية حيث جعل إخراج التبيع من كلّ ثلاثين ، والمشهور عن أربعين بعد التجاوز عن التسعين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w:t>
      </w:r>
      <w:r>
        <w:rPr>
          <w:rStyle w:val="FootnoteAnchor"/>
          <w:rtl w:val="true"/>
        </w:rPr>
        <w:footnoteReference w:id="709"/>
      </w:r>
      <w:r>
        <w:rPr>
          <w:rFonts w:ascii="Amiri" w:hAnsi="Amiri" w:eastAsia="Amiri" w:cs="Amiri"/>
          <w:color w:val="111111"/>
          <w:sz w:val="28"/>
          <w:sz w:val="28"/>
          <w:szCs w:val="28"/>
          <w:rtl w:val="true"/>
          <w:lang w:bidi="ar-SA"/>
        </w:rPr>
        <w:t>جعل نصبها خمسة باعتبار الكلي بعد السبعين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هو التعبير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المسالك </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خصوص المسنة في المرتبة الأخيرة في الروايتين الأوليين من جهة كونه أحد قسمي المخير أو لكونه أحد الأفراد ؛ لجواز إخراج أربع تبايع أيضا ، ففي ثلاثين تبيع أو تبيعة ، وفي كلّ أربعين مسنة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يراعى بين الأمرين المذكورين ما يحصل به الاستيعاب أو يكون أقرب إليه ، ومع المساواة يتخيّر في الملاحظة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جميع ذلك سوى التخيير في الثلاثين بين التبيع والتبيعة صحيحة الفضلاء ؛ عن الصادقين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البقر في كلّ ثلاثين تبيع حولي ، وليس في أقلّ من ذلك شي‌ء ، وكلّ أربعين بقرة مسنة وليس فيما بين الأربعين والثلاثين شي‌ء ، فاذا بلغت الستين ففيها تبيعان إلى </w:t>
      </w:r>
    </w:p>
    <w:p>
      <w:pPr>
        <w:pStyle w:val="BookText"/>
        <w:rPr/>
      </w:pPr>
      <w:r>
        <w:rPr>
          <w:rFonts w:ascii="Amiri" w:hAnsi="Amiri" w:eastAsia="Amiri" w:cs="Amiri"/>
          <w:color w:val="111111"/>
          <w:sz w:val="28"/>
          <w:sz w:val="28"/>
          <w:szCs w:val="28"/>
          <w:rtl w:val="true"/>
          <w:lang w:bidi="ar-SA"/>
        </w:rPr>
        <w:t xml:space="preserve">السبعين ، وإذا بلغت السبعين ففيها تبيع ومسنة إلى ثمانين ، فاذا بلغت ثمانين ففي كل أربعين مسنة إلى تسعين ، فإذا بلغت تسعين ففيها ثلاث تبايع حوليات </w:t>
      </w:r>
      <w:r>
        <w:rPr>
          <w:rStyle w:val="FootnoteAnchor"/>
          <w:rtl w:val="true"/>
        </w:rPr>
        <w:footnoteReference w:id="711"/>
      </w:r>
      <w:r>
        <w:rPr>
          <w:rFonts w:ascii="Amiri" w:hAnsi="Amiri" w:eastAsia="Amiri" w:cs="Amiri"/>
          <w:color w:val="111111"/>
          <w:sz w:val="28"/>
          <w:sz w:val="28"/>
          <w:szCs w:val="28"/>
          <w:rtl w:val="true"/>
          <w:lang w:bidi="ar-SA"/>
        </w:rPr>
        <w:t xml:space="preserve">فإذا بلغت عشرين ومائة ، ففي كلّ أربعين مسنة </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وبمعناها رواية الأعمش ، عن الصادق عليه‌السلام المرويّة في الخصال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أيضا رواية الفقه الرضوي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لا خلاف في شي‌ء من المذكورات سوى التخيير في الثلاثين بين التبيع والتبيعة ؛ فإنّ المحكي عن </w:t>
      </w:r>
      <w:r>
        <w:rPr>
          <w:rStyle w:val="FootnoteAnchor"/>
          <w:rtl w:val="true"/>
        </w:rPr>
        <w:footnoteReference w:id="715"/>
      </w:r>
      <w:r>
        <w:rPr>
          <w:rFonts w:ascii="Amiri" w:hAnsi="Amiri" w:eastAsia="Amiri" w:cs="Amiri"/>
          <w:color w:val="111111"/>
          <w:sz w:val="28"/>
          <w:sz w:val="28"/>
          <w:szCs w:val="28"/>
          <w:rtl w:val="true"/>
          <w:lang w:bidi="ar-SA"/>
        </w:rPr>
        <w:t xml:space="preserve">عليّ بن بابويه والعماني تعيين التبيع الحولي ، وهو الموجود في عبارة الصدوق في الفقيه </w:t>
      </w:r>
      <w:r>
        <w:rPr>
          <w:rStyle w:val="FootnoteAnchor"/>
          <w:rtl w:val="true"/>
        </w:rPr>
        <w:footnoteReference w:id="716"/>
      </w:r>
      <w:r>
        <w:rPr>
          <w:rFonts w:ascii="IRNazanin" w:hAnsi="IRNazanin" w:eastAsia="IRNazanin"/>
          <w:color w:val="111111"/>
          <w:sz w:val="28"/>
          <w:sz w:val="28"/>
          <w:szCs w:val="28"/>
          <w:rtl w:val="true"/>
          <w:lang w:bidi="fa-IR"/>
        </w:rPr>
        <w:t xml:space="preserve">والمقنع </w:t>
      </w:r>
      <w:r>
        <w:rPr>
          <w:rStyle w:val="FootnoteAnchor"/>
          <w:rtl w:val="true"/>
        </w:rPr>
        <w:footnoteReference w:id="717"/>
      </w:r>
      <w:r>
        <w:rPr>
          <w:rFonts w:ascii="Amiri" w:hAnsi="Amiri" w:eastAsia="Amiri" w:cs="Amiri"/>
          <w:color w:val="111111"/>
          <w:sz w:val="28"/>
          <w:sz w:val="28"/>
          <w:szCs w:val="28"/>
          <w:rtl w:val="true"/>
          <w:lang w:bidi="ar-SA"/>
        </w:rPr>
        <w:t>كما هو مضمون الصحيحة المذكورة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وتبعهم صاحب الحدائق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والمشهور هو التخيير كما أشرنا إليه ، وقد حكى الإجماع عليه في الخلاف </w:t>
      </w:r>
      <w:r>
        <w:rPr>
          <w:rStyle w:val="FootnoteAnchor"/>
          <w:rtl w:val="true"/>
        </w:rPr>
        <w:footnoteReference w:id="719"/>
      </w:r>
      <w:r>
        <w:rPr>
          <w:rFonts w:ascii="Amiri" w:hAnsi="Amiri" w:eastAsia="Amiri" w:cs="Amiri"/>
          <w:color w:val="111111"/>
          <w:sz w:val="28"/>
          <w:sz w:val="28"/>
          <w:szCs w:val="28"/>
          <w:rtl w:val="true"/>
          <w:lang w:bidi="ar-SA"/>
        </w:rPr>
        <w:t xml:space="preserve">والتذكرة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المنتهى </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المسلمون على وجوب التبيع أو التبيعة في الثلاثين ، ووجوب المسنة في الأربعين ، وأجمعوا على أنّ </w:t>
      </w:r>
      <w:r>
        <w:rPr>
          <w:rStyle w:val="FootnoteAnchor"/>
          <w:rtl w:val="true"/>
        </w:rPr>
        <w:footnoteReference w:id="722"/>
      </w:r>
      <w:r>
        <w:rPr>
          <w:rFonts w:ascii="Amiri" w:hAnsi="Amiri" w:eastAsia="Amiri" w:cs="Amiri"/>
          <w:color w:val="111111"/>
          <w:sz w:val="28"/>
          <w:sz w:val="28"/>
          <w:szCs w:val="28"/>
          <w:rtl w:val="true"/>
          <w:lang w:bidi="ar-SA"/>
        </w:rPr>
        <w:t>هذين السنين هي المفروضة في زكاة البقر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الأظهر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ويدلّ عليه بعد الإجماعات المحكيّة اشتمال رواية الفضلاء على ما في المعتبر </w:t>
      </w:r>
      <w:r>
        <w:rPr>
          <w:rStyle w:val="FootnoteAnchor"/>
          <w:rtl w:val="true"/>
        </w:rPr>
        <w:footnoteReference w:id="723"/>
      </w:r>
      <w:r>
        <w:rPr>
          <w:rFonts w:ascii="Amiri" w:hAnsi="Amiri" w:eastAsia="Amiri" w:cs="Amiri"/>
          <w:color w:val="111111"/>
          <w:sz w:val="28"/>
          <w:sz w:val="28"/>
          <w:szCs w:val="28"/>
          <w:rtl w:val="true"/>
          <w:lang w:bidi="ar-SA"/>
        </w:rPr>
        <w:t>على التصريح بالتخيير بين التبيع والتبيعة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وجود تلك الزيادة في كتب الحديث لا ينافيه لتقديم الزيادة على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المحقق أخذ الرواية من الأصول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وروته في نهاية الإحكام </w:t>
      </w:r>
      <w:r>
        <w:rPr>
          <w:rStyle w:val="FootnoteAnchor"/>
          <w:rtl w:val="true"/>
        </w:rPr>
        <w:footnoteReference w:id="724"/>
      </w:r>
      <w:r>
        <w:rPr>
          <w:rFonts w:ascii="Amiri" w:hAnsi="Amiri" w:eastAsia="Amiri" w:cs="Amiri"/>
          <w:color w:val="111111"/>
          <w:sz w:val="28"/>
          <w:sz w:val="28"/>
          <w:szCs w:val="28"/>
          <w:rtl w:val="true"/>
          <w:lang w:bidi="ar-SA"/>
        </w:rPr>
        <w:t xml:space="preserve">مرسلا عن الباقر والصادق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البقر في كلّ ثلاثين تبيع أو تبيعة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شي‌ء حتّى يبلغ ستين ففيها تبيعان أو تبيعتان ثمّ في سبعين تبيع أو تبيعة ومسنة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اعتضاد ذلك بعمل الأصحاب من غير مخالف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اشتمال صحيحة الفضلاء ورواية الأنس ، عن الصادق عليه‌السلام وغيرهما على ذكر التبايع الثلاث في التسعين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المراد بها الإناث ، فإذا جاز هناك جاز في الأوّل ؛ لكون النصاب أمرا واحدا كليا ، والفريضة واحدة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أيضا موجود في عبارة الصدوق في الغنية </w:t>
      </w:r>
      <w:r>
        <w:rPr>
          <w:rStyle w:val="FootnoteAnchor"/>
          <w:rtl w:val="true"/>
        </w:rPr>
        <w:footnoteReference w:id="725"/>
      </w:r>
      <w:r>
        <w:rPr>
          <w:rFonts w:ascii="IRNazanin" w:hAnsi="IRNazanin" w:eastAsia="IRNazanin"/>
          <w:color w:val="111111"/>
          <w:sz w:val="28"/>
          <w:sz w:val="28"/>
          <w:szCs w:val="28"/>
          <w:rtl w:val="true"/>
          <w:lang w:bidi="fa-IR"/>
        </w:rPr>
        <w:t xml:space="preserve">والمقنع </w:t>
      </w:r>
      <w:r>
        <w:rPr>
          <w:rStyle w:val="FootnoteAnchor"/>
          <w:rtl w:val="true"/>
        </w:rPr>
        <w:footnoteReference w:id="726"/>
      </w:r>
      <w:r>
        <w:rPr>
          <w:rFonts w:ascii="Amiri" w:hAnsi="Amiri" w:eastAsia="Amiri" w:cs="Amiri"/>
          <w:color w:val="111111"/>
          <w:sz w:val="28"/>
          <w:sz w:val="28"/>
          <w:szCs w:val="28"/>
          <w:rtl w:val="true"/>
          <w:lang w:bidi="ar-SA"/>
        </w:rPr>
        <w:t>، فلا يبعد سقوط خلافه في المقام كغيره ، فيكون ذكرهم بخصوصه على سبيل المثال أو للاقتصار على ذكر مورد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أنّه لو جاز دفع التبيع كان دفع التبيعة أولى ؛ إذ هي أعلى وأغلى منه ، ولذا لا يجوز دفع المسنّ في النصاب الثاني اتفاقا ، ففيه مراعاة جانب الفقراء</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ضعف القول المذكور ، ويسقط مؤاخذة صاحب الحدائق </w:t>
      </w:r>
      <w:r>
        <w:rPr>
          <w:rStyle w:val="FootnoteAnchor"/>
          <w:rtl w:val="true"/>
        </w:rPr>
        <w:footnoteReference w:id="727"/>
      </w:r>
      <w:r>
        <w:rPr>
          <w:rFonts w:ascii="Amiri" w:hAnsi="Amiri" w:eastAsia="Amiri" w:cs="Amiri"/>
          <w:color w:val="111111"/>
          <w:sz w:val="28"/>
          <w:sz w:val="28"/>
          <w:szCs w:val="28"/>
          <w:rtl w:val="true"/>
          <w:lang w:bidi="ar-SA"/>
        </w:rPr>
        <w:t>من صاحب البداية حيث أفتى بالتخيير</w:t>
      </w:r>
      <w:r>
        <w:rPr>
          <w:rFonts w:eastAsia="Amiri" w:cs="Amiri" w:ascii="Amiri" w:hAnsi="Amiri"/>
          <w:color w:val="111111"/>
          <w:sz w:val="28"/>
          <w:szCs w:val="28"/>
          <w:rtl w:val="true"/>
          <w:lang w:bidi="ar-SA"/>
        </w:rPr>
        <w:t xml:space="preserve">. </w:t>
      </w:r>
      <w:bookmarkStart w:id="91" w:name="pg15853_153388"/>
    </w:p>
    <w:p>
      <w:pPr>
        <w:pStyle w:val="Heading6"/>
        <w:numPr>
          <w:ilvl w:val="5"/>
          <w:numId w:val="1"/>
        </w:numPr>
        <w:rPr/>
      </w:pPr>
      <w:bookmarkStart w:id="92" w:name="__RefHeading___Toc14587103_2142443653"/>
      <w:bookmarkStart w:id="93" w:name="_Toc34"/>
      <w:bookmarkEnd w:id="91"/>
      <w:bookmarkEnd w:id="92"/>
      <w:r>
        <w:rPr>
          <w:rtl w:val="true"/>
        </w:rPr>
        <w:t>تبصرة</w:t>
      </w:r>
      <w:r>
        <w:rPr>
          <w:rtl w:val="true"/>
        </w:rPr>
        <w:t xml:space="preserve">: [ </w:t>
      </w:r>
      <w:r>
        <w:rPr>
          <w:rtl w:val="true"/>
        </w:rPr>
        <w:t xml:space="preserve">في نصاب الغنم </w:t>
      </w:r>
      <w:r>
        <w:rPr>
          <w:rtl w:val="true"/>
        </w:rPr>
        <w:t>]</w:t>
      </w:r>
      <w:bookmarkEnd w:id="93"/>
    </w:p>
    <w:p>
      <w:pPr>
        <w:pStyle w:val="BookText"/>
        <w:rPr/>
      </w:pPr>
      <w:r>
        <w:rPr>
          <w:rFonts w:ascii="Amiri" w:hAnsi="Amiri" w:eastAsia="Amiri" w:cs="Amiri"/>
          <w:color w:val="111111"/>
          <w:sz w:val="28"/>
          <w:sz w:val="28"/>
          <w:szCs w:val="28"/>
          <w:rtl w:val="true"/>
          <w:lang w:bidi="ar-SA"/>
        </w:rPr>
        <w:t xml:space="preserve">وللغنم نصب خمسة على المشهور بين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الأربعين ، وفيها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وإحدى وعشرين ، وفيها شاتان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وواحدة ، وفيها ثلاث شياه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وواحدة ، وفيها أربع شياه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فما زاد فيها في كل مائة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خلاف هنا إلّا في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الصدوق في الفقيه </w:t>
      </w:r>
      <w:r>
        <w:rPr>
          <w:rStyle w:val="FootnoteAnchor"/>
          <w:rtl w:val="true"/>
        </w:rPr>
        <w:footnoteReference w:id="728"/>
      </w:r>
      <w:r>
        <w:rPr>
          <w:rFonts w:ascii="IRNazanin" w:hAnsi="IRNazanin" w:eastAsia="IRNazanin"/>
          <w:color w:val="111111"/>
          <w:sz w:val="28"/>
          <w:sz w:val="28"/>
          <w:szCs w:val="28"/>
          <w:rtl w:val="true"/>
          <w:lang w:bidi="fa-IR"/>
        </w:rPr>
        <w:t xml:space="preserve">والمقنع </w:t>
      </w:r>
      <w:r>
        <w:rPr>
          <w:rStyle w:val="FootnoteAnchor"/>
          <w:rtl w:val="true"/>
        </w:rPr>
        <w:footnoteReference w:id="729"/>
      </w:r>
      <w:r>
        <w:rPr>
          <w:rFonts w:ascii="Amiri" w:hAnsi="Amiri" w:eastAsia="Amiri" w:cs="Amiri"/>
          <w:color w:val="111111"/>
          <w:sz w:val="28"/>
          <w:sz w:val="28"/>
          <w:szCs w:val="28"/>
          <w:rtl w:val="true"/>
          <w:lang w:bidi="ar-SA"/>
        </w:rPr>
        <w:t>من اعتبار زيادة شاة في النصاب الأوّل على الأربعين ، وحكى ذلك عن والده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والمعروف من مذهب الأصحاب هو ما ذكرناه ، بل الظاهر الاتفاق عليه بعد الصدوق ، وهو مع كونه خلاف فتوى الأصحاب مخالف لمعظم الروايات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الفضلاء ، وصحيحة محمد بن قيس</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وجد ذلك في رواية الفقه الرضوي </w:t>
      </w:r>
      <w:r>
        <w:rPr>
          <w:rStyle w:val="FootnoteAnchor"/>
          <w:rtl w:val="true"/>
        </w:rPr>
        <w:footnoteReference w:id="730"/>
      </w:r>
      <w:r>
        <w:rPr>
          <w:rStyle w:val="FootnoteAnchor"/>
          <w:rtl w:val="true"/>
        </w:rPr>
        <w:footnoteReference w:id="731"/>
      </w:r>
      <w:r>
        <w:rPr>
          <w:rFonts w:ascii="Amiri" w:hAnsi="Amiri" w:eastAsia="Amiri" w:cs="Amiri"/>
          <w:color w:val="111111"/>
          <w:sz w:val="28"/>
          <w:sz w:val="28"/>
          <w:szCs w:val="28"/>
          <w:rtl w:val="true"/>
          <w:lang w:bidi="ar-SA"/>
        </w:rPr>
        <w:t xml:space="preserve">ورواية الخصال </w:t>
      </w:r>
      <w:r>
        <w:rPr>
          <w:rStyle w:val="FootnoteAnchor"/>
          <w:rtl w:val="true"/>
        </w:rPr>
        <w:footnoteReference w:id="732"/>
      </w:r>
      <w:r>
        <w:rPr>
          <w:rFonts w:ascii="IRNazanin" w:hAnsi="IRNazanin" w:eastAsia="IRNazanin"/>
          <w:color w:val="111111"/>
          <w:sz w:val="28"/>
          <w:sz w:val="28"/>
          <w:szCs w:val="28"/>
          <w:rtl w:val="true"/>
          <w:lang w:bidi="fa-IR"/>
        </w:rPr>
        <w:t xml:space="preserve">بإسناده عن الأعمش ، </w:t>
      </w:r>
    </w:p>
    <w:p>
      <w:pPr>
        <w:pStyle w:val="BookText"/>
        <w:rPr/>
      </w:pPr>
      <w:r>
        <w:rPr>
          <w:rFonts w:ascii="Amiri" w:hAnsi="Amiri" w:eastAsia="Amiri" w:cs="Amiri"/>
          <w:color w:val="111111"/>
          <w:sz w:val="28"/>
          <w:sz w:val="28"/>
          <w:szCs w:val="28"/>
          <w:rtl w:val="true"/>
          <w:lang w:bidi="ar-SA"/>
        </w:rPr>
        <w:t xml:space="preserve">عن الصادق عليه‌السلام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ويجب على الغنم الزكاة إذا بلغت أربعين شاة ، ويزيد </w:t>
      </w:r>
      <w:r>
        <w:rPr>
          <w:rStyle w:val="FootnoteAnchor"/>
          <w:rtl w:val="true"/>
        </w:rPr>
        <w:footnoteReference w:id="733"/>
      </w:r>
      <w:r>
        <w:rPr>
          <w:rFonts w:ascii="Amiri" w:hAnsi="Amiri" w:eastAsia="Amiri" w:cs="Amiri"/>
          <w:color w:val="111111"/>
          <w:sz w:val="28"/>
          <w:sz w:val="28"/>
          <w:szCs w:val="28"/>
          <w:rtl w:val="true"/>
          <w:lang w:bidi="ar-SA"/>
        </w:rPr>
        <w:t xml:space="preserve">واحدة فتكون فيها شاة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ذلك لا تقاوم تلك الأخبار سيّما بعد الانجبار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المنتهى </w:t>
      </w:r>
      <w:r>
        <w:rPr>
          <w:rStyle w:val="FootnoteAnchor"/>
          <w:rtl w:val="true"/>
        </w:rPr>
        <w:footnoteReference w:id="734"/>
      </w:r>
      <w:r>
        <w:rPr>
          <w:rFonts w:ascii="Amiri" w:hAnsi="Amiri" w:eastAsia="Amiri" w:cs="Amiri"/>
          <w:color w:val="111111"/>
          <w:sz w:val="28"/>
          <w:sz w:val="28"/>
          <w:szCs w:val="28"/>
          <w:rtl w:val="true"/>
          <w:lang w:bidi="ar-SA"/>
        </w:rPr>
        <w:t>إسناد عبارة الصدوق في نصب الغنم إلى 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سهو صدر منه لجعله العبارة المذكورة من تتمة ما تعلقه من رواية حريز ، عن زرارة ، عن الباقر عليه‌السلام كما لا يخفى على من لاحظه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بوجوب الثلاثة في الثلاثمائة وواحدة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النصاب الخامس وجعل الرابع آخر نصب الغنم ، فيجب في ثلاثمائة فما زاد في كلّ مائة واحدة ، فقد ذهب في </w:t>
      </w:r>
      <w:r>
        <w:rPr>
          <w:rStyle w:val="FootnoteAnchor"/>
          <w:rtl w:val="true"/>
        </w:rPr>
        <w:footnoteReference w:id="735"/>
      </w:r>
      <w:r>
        <w:rPr>
          <w:rFonts w:ascii="Amiri" w:hAnsi="Amiri" w:eastAsia="Amiri" w:cs="Amiri"/>
          <w:color w:val="111111"/>
          <w:sz w:val="28"/>
          <w:sz w:val="28"/>
          <w:szCs w:val="28"/>
          <w:rtl w:val="true"/>
          <w:lang w:bidi="ar-SA"/>
        </w:rPr>
        <w:t xml:space="preserve">ذلك كلّه جماعة من الأصحاب منهم الصدوقان والعماني والمفيد والسيد والديلمي والطوسي والجعفي والحلي ، والعلّامة في المنتهى والتحرير والنهاية ، وولده في الايضاح ، وإليه ميل السيد في المدارك ، والمحقق الشيخ حسن في المنتقى ، والذي ذهب الإسكافي والشيخ في كتبه ، والقاضي والحلبي ، والفاضلان في الشرائع والخلاف والقواعد والارشاد ، والشهيد في اللمعة والدروس والبيان ، والسيوري والصيمري والمحقّق الكركي </w:t>
      </w:r>
      <w:r>
        <w:rPr>
          <w:rStyle w:val="FootnoteAnchor"/>
          <w:rtl w:val="true"/>
        </w:rPr>
        <w:footnoteReference w:id="736"/>
      </w:r>
      <w:r>
        <w:rPr>
          <w:rFonts w:ascii="Amiri" w:hAnsi="Amiri" w:eastAsia="Amiri" w:cs="Amiri"/>
          <w:color w:val="111111"/>
          <w:sz w:val="28"/>
          <w:sz w:val="28"/>
          <w:szCs w:val="28"/>
          <w:rtl w:val="true"/>
          <w:lang w:bidi="ar-SA"/>
        </w:rPr>
        <w:t>وجماعة من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وحكاه جماعة عن المفيد ، وهو الموجود في المقنعة لكن حكى عنه الحلي وغيره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حكى الشهرة على القول المذكور جماعة من الأصحاب منهم المحقق الأردبيلي ومولانا التقي المجلسي رحمه‌اللّه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الدالّة عليه أشهر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الأظهر ؛ لصحيحة الفضلاء الصريحة فيه مع ما فيه من مراعاة الاحتياط بالنسبة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مخالفتها لما ذهب إليه معظم أئمة اللغة ، وموافقتها لما هو الأشهر من </w:t>
      </w:r>
      <w:r>
        <w:rPr>
          <w:rStyle w:val="FootnoteAnchor"/>
          <w:rtl w:val="true"/>
        </w:rPr>
        <w:footnoteReference w:id="737"/>
      </w:r>
      <w:r>
        <w:rPr>
          <w:rFonts w:ascii="Amiri" w:hAnsi="Amiri" w:eastAsia="Amiri" w:cs="Amiri"/>
          <w:color w:val="111111"/>
          <w:sz w:val="28"/>
          <w:sz w:val="28"/>
          <w:szCs w:val="28"/>
          <w:rtl w:val="true"/>
          <w:lang w:bidi="ar-SA"/>
        </w:rPr>
        <w:t>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قيس ، وفيها بعد ذكر النصابين الأولين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زادت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المائتين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ثلاث شياة من الغنم وثلاثمائة ، فإذا كثرت الغنم ففي كلّ مائة شاة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مدفوعة بموافقة العامة ، ففي مقام التعارض يحمل على التقية ؛ إذ ذلك مذهب أئمتهم الأربعة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أنّها غير صريحة في إسقاط الخامس ، فقد يكون عليه‌السلام قد أجمل القول فيها وأراد بالكثرة بلوغ أربعمائة فصاعدا وسكت أيضا عن حكم الثلاثمائة وواحدة من أجل التقية ، ولذا عبّر بالكثرة الظاهرة في إرادة ما يزيد على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مفهوم الغاية يدلّ على مخالفة الحكم فيما بعد الثلاثمائة بالنسبة إلى ما قبلها فيومي إلى عدم ثبوت الثلاثة فيه ، وليس إلّا الأربعة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الأول كون الرواة لها الفضلاء النجباء الذين ورد في شأنهم ما ورد من المدائح ، وأجمعت العصابة على تصحيح ما يصحّ عن كلّ واحد منهم ، وكون المروي عنه الإمامان عليهما‌السلام ، فهي في الحقيقة بمنزلة خبرين بخلاف الرواية الدالّة 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ضمّ إليها في المنتهى صحيحة أخرى رواه عن الصدوق ، والظاهر أنه سهو منه رحمه‌اللّه بجعله عبارة الصدوق رحمه‌اللّه المذكورة عقيب </w:t>
      </w:r>
      <w:r>
        <w:rPr>
          <w:rStyle w:val="FootnoteAnchor"/>
          <w:rtl w:val="true"/>
        </w:rPr>
        <w:footnoteReference w:id="738"/>
      </w:r>
      <w:r>
        <w:rPr>
          <w:rFonts w:ascii="Amiri" w:hAnsi="Amiri" w:eastAsia="Amiri" w:cs="Amiri"/>
          <w:color w:val="111111"/>
          <w:sz w:val="28"/>
          <w:sz w:val="28"/>
          <w:szCs w:val="28"/>
          <w:rtl w:val="true"/>
          <w:lang w:bidi="ar-SA"/>
        </w:rPr>
        <w:t>صحيحة زرارة الواردة من كلام الامام عليه‌السلام ، ولذا لم يذكره أحد من الأصحاب في مقام الاحتجاج للقول المذكور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ورد ذلك في عبارة الفقه الرضوي ، والأمر في جواز الاعتماد عليه وعدمه معروف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ترجح هذه الرواية بأصحيّة إسنادها عن صحيحة الفضلاء لا سيّما علي بن ابراهيم بن هاشم المعدود روايته في الحسان </w:t>
      </w:r>
      <w:r>
        <w:rPr>
          <w:rStyle w:val="FootnoteAnchor"/>
          <w:rtl w:val="true"/>
        </w:rPr>
        <w:footnoteReference w:id="739"/>
      </w:r>
      <w:r>
        <w:rPr>
          <w:rFonts w:ascii="Amiri" w:hAnsi="Amiri" w:eastAsia="Amiri" w:cs="Amiri"/>
          <w:color w:val="111111"/>
          <w:sz w:val="28"/>
          <w:sz w:val="28"/>
          <w:szCs w:val="28"/>
          <w:rtl w:val="true"/>
          <w:lang w:bidi="ar-SA"/>
        </w:rPr>
        <w:t xml:space="preserve">، ورواية ابراهيم بن هاشم لا يقصر عن سائر الصحاح سيّما اشتمال إسنادها </w:t>
      </w:r>
      <w:r>
        <w:rPr>
          <w:rStyle w:val="FootnoteAnchor"/>
          <w:rtl w:val="true"/>
        </w:rPr>
        <w:footnoteReference w:id="740"/>
      </w:r>
      <w:r>
        <w:rPr>
          <w:rFonts w:ascii="Amiri" w:hAnsi="Amiri" w:eastAsia="Amiri" w:cs="Amiri"/>
          <w:color w:val="111111"/>
          <w:sz w:val="28"/>
          <w:sz w:val="28"/>
          <w:szCs w:val="28"/>
          <w:rtl w:val="true"/>
          <w:lang w:bidi="ar-SA"/>
        </w:rPr>
        <w:t xml:space="preserve">في الرواية على محمد بن قيس المشترك بين جماعة </w:t>
      </w:r>
      <w:r>
        <w:rPr>
          <w:rStyle w:val="FootnoteAnchor"/>
          <w:rtl w:val="true"/>
        </w:rPr>
        <w:footnoteReference w:id="741"/>
      </w:r>
      <w:r>
        <w:rPr>
          <w:rFonts w:ascii="Amiri" w:hAnsi="Amiri" w:eastAsia="Amiri" w:cs="Amiri"/>
          <w:color w:val="111111"/>
          <w:sz w:val="28"/>
          <w:sz w:val="28"/>
          <w:szCs w:val="28"/>
          <w:rtl w:val="true"/>
          <w:lang w:bidi="ar-SA"/>
        </w:rPr>
        <w:t xml:space="preserve">، والأصحّ كونه البجلي الثقة بقرينة رواية عاصم بن حميد عنه عليه‌السلام ، إلّا أن ذلك لا يقضي بكثير اطمئنان </w:t>
      </w:r>
      <w:r>
        <w:rPr>
          <w:rStyle w:val="FootnoteAnchor"/>
          <w:rtl w:val="true"/>
        </w:rPr>
        <w:footnoteReference w:id="742"/>
      </w:r>
      <w:r>
        <w:rPr>
          <w:rFonts w:ascii="Amiri" w:hAnsi="Amiri" w:eastAsia="Amiri" w:cs="Amiri"/>
          <w:color w:val="111111"/>
          <w:sz w:val="28"/>
          <w:sz w:val="28"/>
          <w:szCs w:val="28"/>
          <w:rtl w:val="true"/>
          <w:lang w:bidi="ar-SA"/>
        </w:rPr>
        <w:t xml:space="preserve">بالتعيين ، فالرواية الأخرى السالمة </w:t>
      </w:r>
      <w:r>
        <w:rPr>
          <w:rStyle w:val="FootnoteAnchor"/>
          <w:rtl w:val="true"/>
        </w:rPr>
        <w:footnoteReference w:id="743"/>
      </w:r>
      <w:r>
        <w:rPr>
          <w:rFonts w:ascii="Amiri" w:hAnsi="Amiri" w:eastAsia="Amiri" w:cs="Amiri"/>
          <w:color w:val="111111"/>
          <w:sz w:val="28"/>
          <w:sz w:val="28"/>
          <w:szCs w:val="28"/>
          <w:rtl w:val="true"/>
          <w:lang w:bidi="ar-SA"/>
        </w:rPr>
        <w:t>عن ذلك بالترجيح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بما ذكرنا أن الأخذ بالرواية الأولى أرجح من هذه من جهات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المحقق في كتبه وجماعة من المتأخرين الإشكال في المسألة لتعارض الخبرين المذكورين ، وليس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هاهنا إشكالا مشهورا ، وهو أن الأربعة إذا وجبت في ثلاثمائة وواحدة وفي الأربعمائة ، فأيّ فائدة في النصاب الأخير ، وعدّهما نصابين؟</w:t>
      </w:r>
    </w:p>
    <w:p>
      <w:pPr>
        <w:pStyle w:val="BookText"/>
        <w:rPr/>
      </w:pPr>
      <w:r>
        <w:rPr>
          <w:rFonts w:ascii="IRNazanin" w:hAnsi="IRNazanin" w:eastAsia="IRNazanin"/>
          <w:color w:val="111111"/>
          <w:sz w:val="28"/>
          <w:sz w:val="28"/>
          <w:szCs w:val="28"/>
          <w:rtl w:val="true"/>
          <w:lang w:bidi="fa-IR"/>
        </w:rPr>
        <w:t xml:space="preserve">والجواب عنه أن هذا النصاب لا اختصاص </w:t>
      </w:r>
      <w:r>
        <w:rPr>
          <w:rStyle w:val="FootnoteAnchor"/>
          <w:rtl w:val="true"/>
        </w:rPr>
        <w:footnoteReference w:id="744"/>
      </w:r>
      <w:r>
        <w:rPr>
          <w:rFonts w:ascii="Amiri" w:hAnsi="Amiri" w:eastAsia="Amiri" w:cs="Amiri"/>
          <w:color w:val="111111"/>
          <w:sz w:val="28"/>
          <w:sz w:val="28"/>
          <w:szCs w:val="28"/>
          <w:rtl w:val="true"/>
          <w:lang w:bidi="ar-SA"/>
        </w:rPr>
        <w:t>له بهذه المرتبة ، وإنّما تكون هذه المرتبة من جملة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فانتفاء الثمرة في هذه المرتبة بخصوصها لا مانع منه مع حصولها في غيرها إلّا أن يقرّر الإيراد في فائدة تعميم ذلك بحيث يشمل هذه المرتبة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حينئذ مدفوع بأن ما تعلق به الزكاة حينئذ هو مجموع الأربعمائة فيكون حق الزكاة مشاعا في الجميع ، وفي الأوّل إنّما يتعلّق الحق بالثلاثمائة وواحدة ، ويكون الزائد عليه عفوا فلا يكون إشاعة الحق إلّا فيما تعلق به الزكاة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ويتفرّع </w:t>
      </w:r>
      <w:r>
        <w:rPr>
          <w:rStyle w:val="FootnoteAnchor"/>
          <w:rtl w:val="true"/>
        </w:rPr>
        <w:footnoteReference w:id="745"/>
      </w:r>
      <w:r>
        <w:rPr>
          <w:rFonts w:ascii="Amiri" w:hAnsi="Amiri" w:eastAsia="Amiri" w:cs="Amiri"/>
          <w:color w:val="111111"/>
          <w:sz w:val="28"/>
          <w:sz w:val="28"/>
          <w:szCs w:val="28"/>
          <w:rtl w:val="true"/>
          <w:lang w:bidi="ar-SA"/>
        </w:rPr>
        <w:t>على ذلك السقوط من الزكاة بحساب ما تلف من الأربعمائة بعد تعلّق الزكاة من غير تفريط ، بخلاف ما إذا روعي الوجه الآخر ؛ فإنه مع بقاء ثلاثمائة وواحدة لا يسقط شي‌ء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الزكاة إنّما تتعلق بالعين ، فيكون حينئذ ثابتا في جميع المال على سبيل الإشاعة ، فيكون التلف على التقديرين من المجموع ، فلا وجه لعدم سقوط شي‌ء من الزكاة مع بقاء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أورد صاحب المدارك ، وتبعه صاحب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ذكراه يكون النقص الحاصل منقسما على النصاب والعفو ، ويسقط من الزكاة بنسبة ما يقع من السقط بإزاء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يبقى فرق بين الوجهين لا فيما ذكر ولا في كون الحق الثابت في كلّ غنم جزء من مائة جزء على أحد الوجهين وجزء من خمس وسبعين جزء حقيقة أو تعريفا على الوجه الآخر ؛ ليكون التلف على تلك النسبة ؛ لما عرفت من التقسيط على العفو ، فلا يفرق الحال بين الوجهين بالنسبة إلى ملاحظة القدر التالف من الزكاة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من الشرع خلافه ، بل الظاهر أن النقيصة كلما وردت ترد على العفو إلى أن يستوفيها ، ولذا لو تلف منه شي‌ء قبل حلول الحول كان التلف من العفو قطعا ؛ ضرورة صدق حلول الحول على قدر النصاب ، فيجري مثله فيما بعد حلوله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قدر النصاب في المقام أمر كلي يحكم ببقائه مع بقاء ما يفي به ، وإن تلف من المال ما تلف فيحكم إذن ببقاء حصة الزكاة لإشاعته في خصوص مقدار النصاب</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746"/>
      </w:r>
      <w:r>
        <w:rPr>
          <w:rFonts w:ascii="Amiri" w:hAnsi="Amiri" w:eastAsia="Amiri" w:cs="Amiri"/>
          <w:color w:val="111111"/>
          <w:sz w:val="28"/>
          <w:sz w:val="28"/>
          <w:szCs w:val="28"/>
          <w:rtl w:val="true"/>
          <w:lang w:bidi="ar-SA"/>
        </w:rPr>
        <w:t xml:space="preserve">ممّا 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كما ذكراه لما جاز للمالك التصرف في المقدار الزائد على النصاب إلّا بعد ضمانه للحصّة التي فيه من الزكاة كما هو الشأن في تصرّف المالك في المال الذي تعلّق به الزكاة ، مع أنّ الأمر ليس كذلك بل له </w:t>
      </w:r>
    </w:p>
    <w:p>
      <w:pPr>
        <w:pStyle w:val="BookText"/>
        <w:rPr/>
      </w:pPr>
      <w:r>
        <w:rPr>
          <w:rFonts w:ascii="Amiri" w:hAnsi="Amiri" w:eastAsia="Amiri" w:cs="Amiri"/>
          <w:color w:val="111111"/>
          <w:sz w:val="28"/>
          <w:sz w:val="28"/>
          <w:szCs w:val="28"/>
          <w:rtl w:val="true"/>
          <w:lang w:bidi="ar-SA"/>
        </w:rPr>
        <w:t>التصرف في المقدار الزائد من غير حاجة إلى الضمان ، وإنّما يمنع من التصرف في قدر النصاب خاصة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كونه كليا يبقى ببقاء ما بقي من المال حسب ما قرّرنا</w:t>
      </w:r>
      <w:r>
        <w:rPr>
          <w:rFonts w:eastAsia="Amiri" w:cs="Amiri" w:ascii="Amiri" w:hAnsi="Amiri"/>
          <w:color w:val="111111"/>
          <w:sz w:val="28"/>
          <w:szCs w:val="28"/>
          <w:rtl w:val="true"/>
          <w:lang w:bidi="ar-SA"/>
        </w:rPr>
        <w:t xml:space="preserve">. </w:t>
      </w:r>
      <w:bookmarkStart w:id="94" w:name="pg15853_153394"/>
    </w:p>
    <w:p>
      <w:pPr>
        <w:pStyle w:val="Heading6"/>
        <w:numPr>
          <w:ilvl w:val="5"/>
          <w:numId w:val="1"/>
        </w:numPr>
        <w:rPr/>
      </w:pPr>
      <w:bookmarkStart w:id="95" w:name="__RefHeading___Toc14587105_2142443653"/>
      <w:bookmarkStart w:id="96" w:name="_Toc35"/>
      <w:bookmarkEnd w:id="94"/>
      <w:bookmarkEnd w:id="95"/>
      <w:r>
        <w:rPr>
          <w:rtl w:val="true"/>
        </w:rPr>
        <w:t>تبصرة</w:t>
      </w:r>
      <w:r>
        <w:rPr>
          <w:rtl w:val="true"/>
        </w:rPr>
        <w:t xml:space="preserve">: [ </w:t>
      </w:r>
      <w:r>
        <w:rPr>
          <w:rtl w:val="true"/>
        </w:rPr>
        <w:t xml:space="preserve">في اشتراط السوم </w:t>
      </w:r>
      <w:r>
        <w:rPr>
          <w:rtl w:val="true"/>
        </w:rPr>
        <w:t>]</w:t>
      </w:r>
      <w:bookmarkEnd w:id="96"/>
    </w:p>
    <w:p>
      <w:pPr>
        <w:pStyle w:val="BookText"/>
        <w:rPr/>
      </w:pPr>
      <w:r>
        <w:rPr>
          <w:rFonts w:ascii="Amiri" w:hAnsi="Amiri" w:eastAsia="Amiri" w:cs="Amiri"/>
          <w:color w:val="111111"/>
          <w:sz w:val="28"/>
          <w:sz w:val="28"/>
          <w:szCs w:val="28"/>
          <w:rtl w:val="true"/>
          <w:lang w:bidi="ar-SA"/>
        </w:rPr>
        <w:t xml:space="preserve">الثاني من شروط زكاة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السوم بالإجماع المعلوم والمنقول حدّ الاستفاضة والأخبار المستفيضة </w:t>
      </w:r>
      <w:r>
        <w:rPr>
          <w:rStyle w:val="FootnoteAnchor"/>
          <w:rtl w:val="true"/>
        </w:rPr>
        <w:footnoteReference w:id="747"/>
      </w:r>
      <w:r>
        <w:rPr>
          <w:rFonts w:ascii="Amiri" w:hAnsi="Amiri" w:eastAsia="Amiri" w:cs="Amiri"/>
          <w:color w:val="111111"/>
          <w:sz w:val="28"/>
          <w:sz w:val="28"/>
          <w:szCs w:val="28"/>
          <w:rtl w:val="true"/>
          <w:lang w:bidi="ar-SA"/>
        </w:rPr>
        <w:t>هو الرعي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وظاهره </w:t>
      </w:r>
      <w:r>
        <w:rPr>
          <w:rStyle w:val="FootnoteAnchor"/>
          <w:rtl w:val="true"/>
        </w:rPr>
        <w:footnoteReference w:id="748"/>
      </w:r>
      <w:r>
        <w:rPr>
          <w:rFonts w:ascii="Amiri" w:hAnsi="Amiri" w:eastAsia="Amiri" w:cs="Amiri"/>
          <w:color w:val="111111"/>
          <w:sz w:val="28"/>
          <w:sz w:val="28"/>
          <w:szCs w:val="28"/>
          <w:rtl w:val="true"/>
          <w:lang w:bidi="ar-SA"/>
        </w:rPr>
        <w:t>يعم الرعي في المملوك والمباح والمزروع وغير المزروع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ويقابله المعلوفة ، وهي ما يعلف باليد سواء كان من مال المالك أو مال غيره ، من العلف المملوك بالأصل أو بالاحتشاش ، من المباح أو غير المملوك كما لو أعلفه من العلف المباح لو قلنا بعدم تملكه بمجرد الأخذ مع عدم قصد المالك لتملك أو مع قصد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أكل من العلف المطروح على الأرض أو التبن الساقط عليها مع إعراض المالك عنها ففي إدراجها في المعلوفة وجهان ، وفي إلحاقها بالسائمة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استشكله الشهيد الثاني </w:t>
      </w:r>
      <w:r>
        <w:rPr>
          <w:rStyle w:val="FootnoteAnchor"/>
          <w:rtl w:val="true"/>
        </w:rPr>
        <w:footnoteReference w:id="749"/>
      </w:r>
      <w:r>
        <w:rPr>
          <w:rFonts w:ascii="Amiri" w:hAnsi="Amiri" w:eastAsia="Amiri" w:cs="Amiri"/>
          <w:color w:val="111111"/>
          <w:sz w:val="28"/>
          <w:sz w:val="28"/>
          <w:szCs w:val="28"/>
          <w:rtl w:val="true"/>
          <w:lang w:bidi="ar-SA"/>
        </w:rPr>
        <w:t>فيما لو علفها غير المالك من مال نفسه من أنّها في معنى السائمة ؛ نظرا إلى الحكمة المقتضية لسقوط الزكاة عن المعلوفة من جهة سقوط المئونة عن المالك قد قضى ذلك بتنصيف الزكاة في الغلات عند سعتها بالدوالى ونحوها بيّن الاندفاع ؛ إذ لا عبرة بالاعتبارات المذكورة في إثبات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 وقد يكون المصرف في السائمة معادلا للمعلوفة أو زائدا عليه ، وظاهر الأصحاب ثبوت الزكاة بل لا يظهر فيه تأمل من أحد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دار الأمر مدار المؤن لزم القول بالسقوط مع مساواة مؤنته لمؤنة المعلوفة أو زيادتها </w:t>
      </w:r>
    </w:p>
    <w:p>
      <w:pPr>
        <w:pStyle w:val="BookText"/>
        <w:rPr/>
      </w:pP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يعتبر أن تكون سائمة تمام الحول بطريق الحقيقة بحيث لو علّفت في بعض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كائنا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الحكم أو يعتبر الأغلب أو الاسم؟ وجوه ،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ظاهر الحلي </w:t>
      </w:r>
      <w:r>
        <w:rPr>
          <w:rStyle w:val="FootnoteAnchor"/>
          <w:rtl w:val="true"/>
        </w:rPr>
        <w:footnoteReference w:id="750"/>
      </w:r>
      <w:r>
        <w:rPr>
          <w:rFonts w:ascii="Amiri" w:hAnsi="Amiri" w:eastAsia="Amiri" w:cs="Amiri"/>
          <w:color w:val="111111"/>
          <w:sz w:val="28"/>
          <w:sz w:val="28"/>
          <w:szCs w:val="28"/>
          <w:rtl w:val="true"/>
          <w:lang w:bidi="ar-SA"/>
        </w:rPr>
        <w:t xml:space="preserve">والمحقّق </w:t>
      </w:r>
      <w:r>
        <w:rPr>
          <w:rStyle w:val="FootnoteAnchor"/>
          <w:rtl w:val="true"/>
        </w:rPr>
        <w:footnoteReference w:id="751"/>
      </w:r>
      <w:r>
        <w:rPr>
          <w:rFonts w:ascii="Amiri" w:hAnsi="Amiri" w:eastAsia="Amiri" w:cs="Amiri"/>
          <w:color w:val="111111"/>
          <w:sz w:val="28"/>
          <w:sz w:val="28"/>
          <w:szCs w:val="28"/>
          <w:rtl w:val="true"/>
          <w:lang w:bidi="ar-SA"/>
        </w:rPr>
        <w:t xml:space="preserve">، والثاني عن الشيخ </w:t>
      </w:r>
      <w:r>
        <w:rPr>
          <w:rStyle w:val="FootnoteAnchor"/>
          <w:rtl w:val="true"/>
        </w:rPr>
        <w:footnoteReference w:id="752"/>
      </w:r>
      <w:r>
        <w:rPr>
          <w:rFonts w:ascii="Amiri" w:hAnsi="Amiri" w:eastAsia="Amiri" w:cs="Amiri"/>
          <w:color w:val="111111"/>
          <w:sz w:val="28"/>
          <w:sz w:val="28"/>
          <w:szCs w:val="28"/>
          <w:rtl w:val="true"/>
          <w:lang w:bidi="ar-SA"/>
        </w:rPr>
        <w:t xml:space="preserve">في بعض كتبه ، والثالث مختار معظم المتأخرين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الأظهر ، وهو الظاهر من الشيخ في النهاية </w:t>
      </w:r>
      <w:r>
        <w:rPr>
          <w:rStyle w:val="FootnoteAnchor"/>
          <w:rtl w:val="true"/>
        </w:rPr>
        <w:footnoteReference w:id="754"/>
      </w:r>
      <w:r>
        <w:rPr>
          <w:rFonts w:ascii="Amiri" w:hAnsi="Amiri" w:eastAsia="Amiri" w:cs="Amiri"/>
          <w:color w:val="111111"/>
          <w:sz w:val="28"/>
          <w:sz w:val="28"/>
          <w:szCs w:val="28"/>
          <w:rtl w:val="true"/>
          <w:lang w:bidi="ar-SA"/>
        </w:rPr>
        <w:t>حيث حكم بسقوطه بعلف اليوم ، وصرّح بعدم اعتبار اللحظة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ظاهر ؛ لإناطة الحكم بالاسم ، ولا تحديد له في الشرع ، فيرجع فيه إلى صدق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ذلك هو الوجه في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وضعفه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والوجه الأوّل أن المعتبر في المقام هو السوم لحلول الحول ، وهو اسم لتمام المدّة ، ولا يناط الأحكام الشرعيّة بالتسامحات العرفيّة كما هو المعروف في مسألة الكر والسفر ومقادير النصب وغيرها ممّا تنيط </w:t>
      </w:r>
      <w:r>
        <w:rPr>
          <w:rStyle w:val="FootnoteAnchor"/>
          <w:rtl w:val="true"/>
        </w:rPr>
        <w:footnoteReference w:id="755"/>
      </w:r>
      <w:r>
        <w:rPr>
          <w:rFonts w:ascii="Amiri" w:hAnsi="Amiri" w:eastAsia="Amiri" w:cs="Amiri"/>
          <w:color w:val="111111"/>
          <w:sz w:val="28"/>
          <w:sz w:val="28"/>
          <w:szCs w:val="28"/>
          <w:rtl w:val="true"/>
          <w:lang w:bidi="ar-SA"/>
        </w:rPr>
        <w:t>فيه الأحكام بالأسماء</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ويدفعه أن التسامح العرفي ممّا لا يعتبر في المقام أيضا ؛ فإن الظاهر أن المعلوف في اللحظة ونحوها ممّا لا يقدح في صدق اسم السوم على سبيل الحقيقة كما لا يخفى على من لاحظ العرف ، فالوضع فيه على نحو يعمّ مثل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كان الإطلاق من قبيل التسامح فالظاهر أنّه </w:t>
      </w:r>
      <w:r>
        <w:rPr>
          <w:rStyle w:val="FootnoteAnchor"/>
          <w:rtl w:val="true"/>
        </w:rPr>
        <w:footnoteReference w:id="756"/>
      </w:r>
      <w:r>
        <w:rPr>
          <w:rFonts w:ascii="Amiri" w:hAnsi="Amiri" w:eastAsia="Amiri" w:cs="Amiri"/>
          <w:color w:val="111111"/>
          <w:sz w:val="28"/>
          <w:sz w:val="28"/>
          <w:szCs w:val="28"/>
          <w:rtl w:val="true"/>
          <w:lang w:bidi="ar-SA"/>
        </w:rPr>
        <w:t>ممّا لا عبرة به ، والظاهر أنّه خارج عن مقصود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يعتبر السوم أيضا في السخال ، والمراد بها أولاد الأنعام الثلاث ، فيجعل ابتداء الحول فيها من حين الاستغناء بالرعي أو لا يلاحظ فيها ذلك بحسب الحول فيها من حين النتاج؟ والأوّل محكيّ عن صريح جماعة من الأصحاب </w:t>
      </w:r>
      <w:r>
        <w:rPr>
          <w:rStyle w:val="FootnoteAnchor"/>
          <w:rtl w:val="true"/>
        </w:rPr>
        <w:footnoteReference w:id="757"/>
      </w:r>
      <w:r>
        <w:rPr>
          <w:rFonts w:ascii="Amiri" w:hAnsi="Amiri" w:eastAsia="Amiri" w:cs="Amiri"/>
          <w:color w:val="111111"/>
          <w:sz w:val="28"/>
          <w:sz w:val="28"/>
          <w:szCs w:val="28"/>
          <w:rtl w:val="true"/>
          <w:lang w:bidi="ar-SA"/>
        </w:rPr>
        <w:t xml:space="preserve">، والثاني يعزى إلى الشيخ </w:t>
      </w:r>
      <w:r>
        <w:rPr>
          <w:rStyle w:val="FootnoteAnchor"/>
          <w:rtl w:val="true"/>
        </w:rPr>
        <w:footnoteReference w:id="758"/>
      </w:r>
      <w:r>
        <w:rPr>
          <w:rFonts w:ascii="Amiri" w:hAnsi="Amiri" w:eastAsia="Amiri" w:cs="Amiri"/>
          <w:color w:val="111111"/>
          <w:sz w:val="28"/>
          <w:sz w:val="28"/>
          <w:szCs w:val="28"/>
          <w:rtl w:val="true"/>
          <w:lang w:bidi="ar-SA"/>
        </w:rPr>
        <w:t xml:space="preserve">وجماعة ، وفي المسالك </w:t>
      </w:r>
      <w:r>
        <w:rPr>
          <w:rStyle w:val="FootnoteAnchor"/>
          <w:rtl w:val="true"/>
        </w:rPr>
        <w:footnoteReference w:id="759"/>
      </w:r>
      <w:r>
        <w:rPr>
          <w:rFonts w:ascii="Amiri" w:hAnsi="Amiri" w:eastAsia="Amiri" w:cs="Amiri"/>
          <w:color w:val="111111"/>
          <w:sz w:val="28"/>
          <w:sz w:val="28"/>
          <w:szCs w:val="28"/>
          <w:rtl w:val="true"/>
          <w:lang w:bidi="ar-SA"/>
        </w:rPr>
        <w:t xml:space="preserve">حكى الشهرة عليه ، وفي الحدائق </w:t>
      </w:r>
      <w:r>
        <w:rPr>
          <w:rStyle w:val="FootnoteAnchor"/>
          <w:rtl w:val="true"/>
        </w:rPr>
        <w:footnoteReference w:id="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وكأنه الأظهر ؛ أخذا بظواهر عدّة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صغار الغنم شي‌ء حتى يحول عليها الحول من يوم ينتج </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من هذه الأصناف الثلاثة الإبل والبقر والغنم فليس فيها شي‌ء حتى يحول عليه من يوم ينتج </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رواية أخرى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والأصل في هذه الروايات إن كان واحدا إلّا أنّه لجلالة شأنه وبعده عن الخطأ في النقل لا يوجب وهنا في الخبر المذكور ، سيّما مع اعتضاده بعمل المشهور وأوفقيّته بالاحتياط ، فيقيّد بها إطلاق ما دلّ على اعتبار السوم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الآخر إطلاق ما دلّ على اعتبار السوم في الغنم ، فيجري الحكم في السخال </w:t>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ويدفعه أنّ هذه الروايات أخبار خاصّة فيقيّد بتلك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عرفت من تأيّدها بالشهرة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يؤيّد ذلك أيضا بأنّ سوم الأمّهات كاف </w:t>
      </w:r>
      <w:r>
        <w:rPr>
          <w:rStyle w:val="FootnoteAnchor"/>
          <w:rtl w:val="true"/>
        </w:rPr>
        <w:footnoteReference w:id="764"/>
      </w:r>
      <w:r>
        <w:rPr>
          <w:rFonts w:ascii="Amiri" w:hAnsi="Amiri" w:eastAsia="Amiri" w:cs="Amiri"/>
          <w:color w:val="111111"/>
          <w:sz w:val="28"/>
          <w:sz w:val="28"/>
          <w:szCs w:val="28"/>
          <w:rtl w:val="true"/>
          <w:lang w:bidi="ar-SA"/>
        </w:rPr>
        <w:t>في صدقه على الأولاد من جهة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ينقدح احتمال اختصاص الحكم بما إذا كانت أمّهاتها ساعة ، فلو كانت معلوفة لم يكن في أولادها شي‌ء ؛ إذ الظاهر كونها بمنزلة المعلوفة ، بل هي من المعلوفة في الحقيقة ، و </w:t>
      </w:r>
      <w:r>
        <w:rPr>
          <w:rStyle w:val="FootnoteAnchor"/>
          <w:rtl w:val="true"/>
        </w:rPr>
        <w:footnoteReference w:id="765"/>
      </w:r>
      <w:r>
        <w:rPr>
          <w:rFonts w:ascii="Amiri" w:hAnsi="Amiri" w:eastAsia="Amiri" w:cs="Amiri"/>
          <w:color w:val="111111"/>
          <w:sz w:val="28"/>
          <w:sz w:val="28"/>
          <w:szCs w:val="28"/>
          <w:rtl w:val="true"/>
          <w:lang w:bidi="ar-SA"/>
        </w:rPr>
        <w:t>الروايات المذكورة غير واضح الشمول لذلك</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الوجه وجيه لو أمكن تطبيق كلماتهم عليه</w:t>
      </w:r>
      <w:r>
        <w:rPr>
          <w:rFonts w:eastAsia="Amiri" w:cs="Amiri" w:ascii="Amiri" w:hAnsi="Amiri"/>
          <w:color w:val="111111"/>
          <w:sz w:val="28"/>
          <w:szCs w:val="28"/>
          <w:rtl w:val="true"/>
          <w:lang w:bidi="ar-SA"/>
        </w:rPr>
        <w:t xml:space="preserve">. </w:t>
      </w:r>
      <w:bookmarkStart w:id="97" w:name="pg15853_153398"/>
    </w:p>
    <w:p>
      <w:pPr>
        <w:pStyle w:val="Heading6"/>
        <w:numPr>
          <w:ilvl w:val="5"/>
          <w:numId w:val="1"/>
        </w:numPr>
        <w:rPr/>
      </w:pPr>
      <w:bookmarkStart w:id="98" w:name="__RefHeading___Toc14587107_2142443653"/>
      <w:bookmarkStart w:id="99" w:name="_Toc36"/>
      <w:bookmarkEnd w:id="97"/>
      <w:bookmarkEnd w:id="98"/>
      <w:r>
        <w:rPr>
          <w:rtl w:val="true"/>
        </w:rPr>
        <w:t>تبصرة</w:t>
      </w:r>
      <w:r>
        <w:rPr>
          <w:rtl w:val="true"/>
        </w:rPr>
        <w:t xml:space="preserve">: [ </w:t>
      </w:r>
      <w:r>
        <w:rPr>
          <w:rtl w:val="true"/>
        </w:rPr>
        <w:t xml:space="preserve">في اشتراط الحول </w:t>
      </w:r>
      <w:r>
        <w:rPr>
          <w:rtl w:val="true"/>
        </w:rPr>
        <w:t>]</w:t>
      </w:r>
      <w:bookmarkEnd w:id="99"/>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الحول ، بالنصوص المستفيضة والإجماع المعلوم والمنقول حدّ الاستفاضة ، بل هو قول أهل العلم كافّة من العامة والخاصّة إلا ما حكي عن ابن عباس وابن مسعود من قولهما بوجوب الزكاة في المال إذا استفاد المال ، ثمّ يتكرّر بتكرّر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المنتهى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وفساد قولهما ظاهر بعد إجماع الأمّة والروايات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اطباق الأصحاب على تعلّق الوجوب بمجرّد دخول الثاني عشر وإن لم يكمل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يتمّ الحول عند استهلال الثاني عشر ، وهو مذهب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المنتهى </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أهلّ الثاني عشر فقد حال الحول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علماؤنا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حولان الحول هو مضيّ أحد عشر شهرا كاملة على المال ، فإذا أهلّ الثاني عشر وجبت الزكاة وإن لم يكمل أيّامه بل يجب بدخول الثاني عشر عند علمائنا أجمع</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بعد ذلك صحيحة زرارة ، عن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كانت له مائتا درهم فوهبه </w:t>
      </w:r>
      <w:r>
        <w:rPr>
          <w:rStyle w:val="FootnoteAnchor"/>
          <w:rtl w:val="true"/>
        </w:rPr>
        <w:footnoteReference w:id="769"/>
      </w:r>
      <w:r>
        <w:rPr>
          <w:rFonts w:ascii="IRNazanin" w:hAnsi="IRNazanin" w:eastAsia="IRNazanin"/>
          <w:color w:val="111111"/>
          <w:sz w:val="28"/>
          <w:sz w:val="28"/>
          <w:szCs w:val="28"/>
          <w:rtl w:val="true"/>
          <w:lang w:bidi="fa-IR"/>
        </w:rPr>
        <w:t xml:space="preserve">لبعض إخوانه أو ولده أو أهله فرارا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Style w:val="FootnoteAnchor"/>
          <w:rtl w:val="true"/>
        </w:rPr>
        <w:footnoteReference w:id="770"/>
      </w:r>
      <w:r>
        <w:rPr>
          <w:rFonts w:ascii="Amiri" w:hAnsi="Amiri" w:eastAsia="Amiri" w:cs="Amiri"/>
          <w:color w:val="111111"/>
          <w:sz w:val="28"/>
          <w:sz w:val="28"/>
          <w:szCs w:val="28"/>
          <w:rtl w:val="true"/>
          <w:lang w:bidi="ar-SA"/>
        </w:rPr>
        <w:t xml:space="preserve">من الزكاة فعل ذلك قبل حلها بشهر؟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الشهر الثاني عشر فقد حال عليها الحول ووجبت عليه الزكاة </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فارق بين النقدين والأنعام ، على أن الظاهر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حال عليها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الحولان شرعا بذلك في الزكاة ، فيحمل عليه الإطلاق بالنسبة إلى غيرها </w:t>
      </w:r>
      <w:r>
        <w:rPr>
          <w:rStyle w:val="FootnoteAnchor"/>
          <w:rtl w:val="true"/>
        </w:rPr>
        <w:footnoteReference w:id="772"/>
      </w:r>
      <w:r>
        <w:rPr>
          <w:rFonts w:ascii="Amiri" w:hAnsi="Amiri" w:eastAsia="Amiri" w:cs="Amiri"/>
          <w:color w:val="111111"/>
          <w:sz w:val="28"/>
          <w:sz w:val="28"/>
          <w:szCs w:val="28"/>
          <w:rtl w:val="true"/>
          <w:lang w:bidi="ar-SA"/>
        </w:rPr>
        <w:t>أيضا ؛ إذ لم يعتبر فيه إلّا حولان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فالمسألة ظاهرة لا خفاء فيها ، وظاهر جماعة من المتأخرين منهم صاحب الوافي والعلامة المجلسي وصاحب الحدائق </w:t>
      </w:r>
      <w:r>
        <w:rPr>
          <w:rStyle w:val="FootnoteAnchor"/>
          <w:rtl w:val="true"/>
        </w:rPr>
        <w:footnoteReference w:id="773"/>
      </w:r>
      <w:r>
        <w:rPr>
          <w:rFonts w:ascii="Amiri" w:hAnsi="Amiri" w:eastAsia="Amiri" w:cs="Amiri"/>
          <w:color w:val="111111"/>
          <w:sz w:val="28"/>
          <w:sz w:val="28"/>
          <w:szCs w:val="28"/>
          <w:rtl w:val="true"/>
          <w:lang w:bidi="ar-SA"/>
        </w:rPr>
        <w:t xml:space="preserve">المناقشة في الحكم المذكور ، بل ظاهر عبارة الوافي </w:t>
      </w:r>
      <w:r>
        <w:rPr>
          <w:rStyle w:val="FootnoteAnchor"/>
          <w:rtl w:val="true"/>
        </w:rPr>
        <w:footnoteReference w:id="774"/>
      </w:r>
      <w:r>
        <w:rPr>
          <w:rFonts w:ascii="Amiri" w:hAnsi="Amiri" w:eastAsia="Amiri" w:cs="Amiri"/>
          <w:color w:val="111111"/>
          <w:sz w:val="28"/>
          <w:sz w:val="28"/>
          <w:szCs w:val="28"/>
          <w:rtl w:val="true"/>
          <w:lang w:bidi="ar-SA"/>
        </w:rPr>
        <w:t xml:space="preserve">الاقتصار على مورد النصّ المذكور بحمله على الوجوب وحلول الحول بالنسبة إلى خصوص ما فرض فيه من مزيد الفرار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والحول معناه معروف ، والأخبار بإطلاقه 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حملناه على معنى استقرار الزكاة فلا يجوز تقييد ما ثبت بالضرورة من الدين بمثل هذا الخبر الواحد الذي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بذلك إلى ما في تلك الرواية من وجوه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الوجهين جاريان في حمل المذكور أيضا مع ما فيه من الضعف ؛ إذ لا يعرف قائل به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فضعف القول المذكور غني عن البيان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 صحيحة عبد اللّه بن سنان أنّه </w:t>
      </w:r>
      <w:r>
        <w:rPr>
          <w:rStyle w:val="FootnoteAnchor"/>
          <w:rtl w:val="true"/>
        </w:rPr>
        <w:footnoteReference w:id="775"/>
      </w:r>
      <w:r>
        <w:rPr>
          <w:rFonts w:ascii="Amiri" w:hAnsi="Amiri" w:eastAsia="Amiri" w:cs="Amiri"/>
          <w:color w:val="111111"/>
          <w:sz w:val="28"/>
          <w:sz w:val="28"/>
          <w:szCs w:val="28"/>
          <w:rtl w:val="true"/>
          <w:lang w:bidi="ar-SA"/>
        </w:rPr>
        <w:t xml:space="preserve">لما نزلت آية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 فأمر رسول اللّه صلى‌اللّه‌عليه‌وآله مناديه ، فنادى في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فرض عليكم الزكاة كما فرض عليكم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لم يتعرض بشي‌ء </w:t>
      </w:r>
      <w:r>
        <w:rPr>
          <w:rStyle w:val="FootnoteAnchor"/>
          <w:rtl w:val="true"/>
        </w:rPr>
        <w:footnoteReference w:id="776"/>
      </w:r>
      <w:r>
        <w:rPr>
          <w:rFonts w:ascii="Amiri" w:hAnsi="Amiri" w:eastAsia="Amiri" w:cs="Amiri"/>
          <w:color w:val="111111"/>
          <w:sz w:val="28"/>
          <w:sz w:val="28"/>
          <w:szCs w:val="28"/>
          <w:rtl w:val="true"/>
          <w:lang w:bidi="ar-SA"/>
        </w:rPr>
        <w:t xml:space="preserve">من أموالهم حتى حال عليه الحول من قابل ، فصاموا وأفطروا ، فأمر مناديه ، فنادى في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زكّوا أموالكم تقبل صلاتكم ، ثمّ وجّه عمّال الصدقة </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واستظهر منها في الحدائق </w:t>
      </w:r>
      <w:r>
        <w:rPr>
          <w:rStyle w:val="FootnoteAnchor"/>
          <w:rtl w:val="true"/>
        </w:rPr>
        <w:footnoteReference w:id="778"/>
      </w:r>
      <w:r>
        <w:rPr>
          <w:rFonts w:ascii="Amiri" w:hAnsi="Amiri" w:eastAsia="Amiri" w:cs="Amiri"/>
          <w:color w:val="111111"/>
          <w:sz w:val="28"/>
          <w:sz w:val="28"/>
          <w:szCs w:val="28"/>
          <w:rtl w:val="true"/>
          <w:lang w:bidi="ar-SA"/>
        </w:rPr>
        <w:t>كون حلول الحول بمضيّ اثني 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المناقشة فيه ، بل وادّعاء ظهورها في خلافه ؛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حال عليه الحول من قابل فصاموا وأفطروا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ظاهرة في كون الحلول قبل الصوم ، فيكون قبل إكمال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يجعل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فصاموا وأفطروا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لما أجملوا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حال عليه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وتفسيرا له ، فلا يدلّ على كون الحول قبل الصيام إلّا أنّ حمل العبارة </w:t>
      </w:r>
      <w:r>
        <w:rPr>
          <w:rStyle w:val="FootnoteAnchor"/>
          <w:rtl w:val="true"/>
        </w:rPr>
        <w:footnoteReference w:id="779"/>
      </w:r>
      <w:r>
        <w:rPr>
          <w:rFonts w:ascii="Amiri" w:hAnsi="Amiri" w:eastAsia="Amiri" w:cs="Amiri"/>
          <w:color w:val="111111"/>
          <w:sz w:val="28"/>
          <w:sz w:val="28"/>
          <w:szCs w:val="28"/>
          <w:rtl w:val="true"/>
          <w:lang w:bidi="ar-SA"/>
        </w:rPr>
        <w:t>لا يخلو عن خروج من الظاهر ، فلا داعي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عنه فلا أقلّ من قيام الاحتمال الهادم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سرّ تأخير النداء ، وهو يجري على الوجهين لإكمال الاثني عشر في شهر رمضان ، وكأنّه لحكمة قضت به في المقام ، ومنها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الكلام في المقام في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يحتسب الشهر المذكور بعد تعلّق الوجوب في الحول الأوّل أو الثاني؟ قولان ، والأوّل مختار فخر المحققين في الإيضاح ، والثاني مختار الشهيد في الدروس </w:t>
      </w:r>
      <w:r>
        <w:rPr>
          <w:rStyle w:val="FootnoteAnchor"/>
          <w:rtl w:val="true"/>
        </w:rPr>
        <w:footnoteReference w:id="781"/>
      </w:r>
      <w:r>
        <w:rPr>
          <w:rFonts w:ascii="Amiri" w:hAnsi="Amiri" w:eastAsia="Amiri" w:cs="Amiri"/>
          <w:color w:val="111111"/>
          <w:sz w:val="28"/>
          <w:sz w:val="28"/>
          <w:szCs w:val="28"/>
          <w:rtl w:val="true"/>
          <w:lang w:bidi="ar-SA"/>
        </w:rPr>
        <w:t xml:space="preserve">والبيان </w:t>
      </w:r>
      <w:r>
        <w:rPr>
          <w:rStyle w:val="FootnoteAnchor"/>
          <w:rtl w:val="true"/>
        </w:rPr>
        <w:footnoteReference w:id="782"/>
      </w:r>
      <w:r>
        <w:rPr>
          <w:rFonts w:ascii="Amiri" w:hAnsi="Amiri" w:eastAsia="Amiri" w:cs="Amiri"/>
          <w:color w:val="111111"/>
          <w:sz w:val="28"/>
          <w:sz w:val="28"/>
          <w:szCs w:val="28"/>
          <w:rtl w:val="true"/>
          <w:lang w:bidi="ar-SA"/>
        </w:rPr>
        <w:t xml:space="preserve">وغيره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الأظهر ؛ إذ الحول لغة وعرفا اسم للشهور الاثني عشر ، وغاية ما دلّت عليه الصحيحة المتقدمة واستفيد من كلام الأصحاب الحكم بحلول الحول بدخول الثاني عشر تنزيلا لدخول الشهر الأخير منزلة كماله ، فكأنه بإهلال الثاني عشر قد مضى عليه اثنا عشر هلالا ، فيلاحظ الباقي من كمال الحول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فالحول إنّما أطلق على مجموع الاثني عشر ، واكتفى </w:t>
      </w:r>
      <w:r>
        <w:rPr>
          <w:rStyle w:val="FootnoteAnchor"/>
          <w:rtl w:val="true"/>
        </w:rPr>
        <w:footnoteReference w:id="784"/>
      </w:r>
      <w:r>
        <w:rPr>
          <w:rFonts w:ascii="Amiri" w:hAnsi="Amiri" w:eastAsia="Amiri" w:cs="Amiri"/>
          <w:color w:val="111111"/>
          <w:sz w:val="28"/>
          <w:sz w:val="28"/>
          <w:szCs w:val="28"/>
          <w:rtl w:val="true"/>
          <w:lang w:bidi="ar-SA"/>
        </w:rPr>
        <w:t>حلوله بحلول إهلال الثاني عشر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ذلك في التذكرة </w:t>
      </w:r>
      <w:r>
        <w:rPr>
          <w:rStyle w:val="FootnoteAnchor"/>
          <w:rtl w:val="true"/>
        </w:rPr>
        <w:footnoteReference w:id="785"/>
      </w:r>
      <w:r>
        <w:rPr>
          <w:rFonts w:ascii="IRNazanin" w:hAnsi="IRNazanin" w:eastAsia="IRNazanin"/>
          <w:color w:val="111111"/>
          <w:sz w:val="28"/>
          <w:sz w:val="28"/>
          <w:szCs w:val="28"/>
          <w:rtl w:val="true"/>
          <w:lang w:bidi="fa-IR"/>
        </w:rPr>
        <w:t xml:space="preserve">والقواعد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الصحيحة المتقدّمة ؛ إذ حلول الحول ظاهر في كماله ، وقد أتى به بلفظ الماضي مع الفاء الدالّ على التعقيب أو من جهة ظهوره في ترتّبه على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يظهر منها حصول الحول بذلك ، وقد يكون الوجه فيه ما ذكرناه فلا يلزم منه الخروج عن الظاهر في لفظ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وكأنّها أظهر في إرادة صدق الحولان خاصّة ، وغاية الأمر تكافؤ </w:t>
      </w:r>
      <w:r>
        <w:rPr>
          <w:rStyle w:val="FootnoteAnchor"/>
          <w:rtl w:val="true"/>
        </w:rPr>
        <w:footnoteReference w:id="787"/>
      </w:r>
      <w:r>
        <w:rPr>
          <w:rFonts w:ascii="Amiri" w:hAnsi="Amiri" w:eastAsia="Amiri" w:cs="Amiri"/>
          <w:color w:val="111111"/>
          <w:sz w:val="28"/>
          <w:sz w:val="28"/>
          <w:szCs w:val="28"/>
          <w:rtl w:val="true"/>
          <w:lang w:bidi="ar-SA"/>
        </w:rPr>
        <w:t>الوجهين ، وقضية الأصل احتسابه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يستقر الوجوب بمجرّد إهلال الثاني عشر ، فلا يراعي بقاء الشرائط في بقية الشهر أو أنّه يجب متزلزلا فيراعى بقاؤها إلى آخر الحول؟ وجهان ، ظاهر الأكثر الأوّل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ظاهر الصحيحة المتقدمة ، بل ظاهر ما حكي من الإجماع ، والثاني مختار الشهيد الثاني ؛ استضعافا للرواية من جهة اشتمال إسنادها على إبراهيم بن هاشم ، ولم ينصّ عليه بالتوثيق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الأدلّة بقاء اعتبار الشرائط إلى آخر الحول أو الشهر حقيقة في اللغة والعرف في مجموع الشهر والاثني عشر ، والأصل عدم النقل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ودلالة الرواية والإجماع على وجوبها في الثاني عشر أعمّ من المستقرّ وغيره ، فلا يثبت به زيادة على غير المستقرّ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ويضعّفه </w:t>
      </w:r>
      <w:r>
        <w:rPr>
          <w:rStyle w:val="FootnoteAnchor"/>
          <w:rtl w:val="true"/>
        </w:rPr>
        <w:footnoteReference w:id="788"/>
      </w:r>
      <w:r>
        <w:rPr>
          <w:rFonts w:ascii="Amiri" w:hAnsi="Amiri" w:eastAsia="Amiri" w:cs="Amiri"/>
          <w:color w:val="111111"/>
          <w:sz w:val="28"/>
          <w:sz w:val="28"/>
          <w:szCs w:val="28"/>
          <w:rtl w:val="true"/>
          <w:lang w:bidi="ar-SA"/>
        </w:rPr>
        <w:t>صحّة الرواية المذكورة بل وكونها في أعلى درجات الصحّة ؛ إذ لا تأمّل في جلالة إبراهيم ، وقد اعترف به غير مرّة سيّما مع اعتضادها بعمل الأصحاب ، فالظاهر الأخذ بظاهر الصحيحة المعتضد أيضا بظاهر فتوى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الأولاد في حول الأمهات تبعا ، بل لا بدّ من مراعاة الحول فيها بالاستقلال أو مع الغنم إلى غيرها ، وفي ما دلّ على أنّ ما يحلّ عليه الحول عند ربّه فلا شي‌ء فيه كفاية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في بعض الصحاح وغيره تصريح بذلك ، والمسألة بيّنة ولا خلاف فيه بين الفرقة ، وإنّما وقع الكلام فيها بين العامة حيث ذهب بعضهم إلى تبعيّة الأولاد للأمهات في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موهون خارج عن مقتضى القواعد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اتفق للأولاد نصاب مستقلّ مجامع للأولى كأن ولدت خمس من الإبل خمسا فلا كلام إن جعلنا الخمس الثاني نصابا مستقلا منضمّا إلى الأوّل ، وإن جعلنا العشر حينئذ نصابا واحدا جرى فيه الاحتمال الآتي ، ولو بلغت الأولاد إلى المرتبة الأولى من النصاب إذا لوحظت بالاستقلال ، ولم تصل المرتبة الثانية ولو مع الضم إلى الأمهّات كأربعين من الغنم ولدت أربعين ، ففي ثبوت الزكاة في الأولاد احتمال ذكره المحقّق في المعتبر </w:t>
      </w:r>
      <w:r>
        <w:rPr>
          <w:rStyle w:val="FootnoteAnchor"/>
          <w:rtl w:val="true"/>
        </w:rPr>
        <w:footnoteReference w:id="789"/>
      </w:r>
      <w:r>
        <w:rPr>
          <w:rFonts w:ascii="Amiri" w:hAnsi="Amiri" w:eastAsia="Amiri" w:cs="Amiri"/>
          <w:color w:val="111111"/>
          <w:sz w:val="28"/>
          <w:sz w:val="28"/>
          <w:szCs w:val="28"/>
          <w:rtl w:val="true"/>
          <w:lang w:bidi="ar-SA"/>
        </w:rPr>
        <w:t xml:space="preserve">؛ أخذا بظاهر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أربعين شاة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ويضعّفه أنّ المنساق من ذلك ثبوته فيه عند حصوله في أوّل الأمر دون المنضمّ إلى أربعين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ترى أنّه لو ملك ثمانين شاة لم يكن عليه في كلّ أربعين شاة اتفاقا؟ فكذا لو ملكها على سبيل التعاقب كما في المقام ، فالزائد على قدر الأربعين عفو</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بلغت نصاب الأولاد وحدها إلى المرتبة الثانية من النصاب كأن ولدت سبعين </w:t>
      </w:r>
      <w:r>
        <w:rPr>
          <w:rStyle w:val="FootnoteAnchor"/>
          <w:rtl w:val="true"/>
        </w:rPr>
        <w:footnoteReference w:id="790"/>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 xml:space="preserve">الغنم مثلا مائة وأحد وعشرون </w:t>
      </w:r>
      <w:r>
        <w:rPr>
          <w:rStyle w:val="FootnoteAnchor"/>
          <w:rtl w:val="true"/>
        </w:rPr>
        <w:footnoteReference w:id="791"/>
      </w:r>
      <w:r>
        <w:rPr>
          <w:rFonts w:ascii="Amiri" w:hAnsi="Amiri" w:eastAsia="Amiri" w:cs="Amiri"/>
          <w:color w:val="111111"/>
          <w:sz w:val="28"/>
          <w:sz w:val="28"/>
          <w:szCs w:val="28"/>
          <w:rtl w:val="true"/>
          <w:lang w:bidi="ar-SA"/>
        </w:rPr>
        <w:t xml:space="preserve">كان لكلّ من الأمّهات والأولاد نصاب مستقل على ما قطع به في ظاهر المدارك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 بل الظاهر ملاحظة الجميع ، والبناء على العفو فيما زاد على النصاب كما في الفرض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أنه رحمه‌اللّه نصّ على أنّه لو كان الأولاد بالغة إلى النصاب الأول على نحو ما مرّ حكم بالعفو ، ولا فرق بين ذلك وما فرض في المقام ؛ اذ لو بنى على ملاحظة الأمهّات والسخال منفردا عن الآخر وجبت الزكاة في المقامين ، وإلّا سقط اعتبارها في الصورة المذكورة في السبعين ؛ إذ مع ملاحظة الجميع جملة يكون السبعين عفوا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أنه لا يعقل فرق بين إذا كان </w:t>
      </w:r>
      <w:r>
        <w:rPr>
          <w:rStyle w:val="FootnoteAnchor"/>
          <w:rtl w:val="true"/>
        </w:rPr>
        <w:footnoteReference w:id="793"/>
      </w:r>
      <w:r>
        <w:rPr>
          <w:rFonts w:ascii="Amiri" w:hAnsi="Amiri" w:eastAsia="Amiri" w:cs="Amiri"/>
          <w:color w:val="111111"/>
          <w:sz w:val="28"/>
          <w:sz w:val="28"/>
          <w:szCs w:val="28"/>
          <w:rtl w:val="true"/>
          <w:lang w:bidi="ar-SA"/>
        </w:rPr>
        <w:t>الغنم مائة إحدى وعشرين فولدت سبعين أو كانت سبعين فولدت مائة وإحدى وعشرين ، فلا معنى للبناء على الفرق والحكم بالعفو عن السبعين في الأوّل ، وجعل كلّ منهما نصابا مستقلا في الأخير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ظاهر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ولو بلغت الأمّهات بملاحظة الأولاد إلى المرتبة الثانية من النصاب كأن ولدت ثمانون من الغنم واحدا وأربعين فهل يلغى اعتبار النصاب الأول مع عدم مرور الحول عليه حال انفراده؟ بل تعتبر الجميع نصابا واحدا فيراعى طول الحول عليه كذلك ، أو يجب في كل منهما ما يجب فيه استقلالا؟ ففي المثال المفروض يراعى الحول في كلّ من الأمّهات والأولاد بالاستقلال ، ويثبت في كل منهما شاة عند حلول الحول عليه ، أو يحتسب حول الأمّهات بالاستقلال ، ثمّ يضمّ </w:t>
      </w:r>
      <w:r>
        <w:rPr>
          <w:rStyle w:val="FootnoteAnchor"/>
          <w:rtl w:val="true"/>
        </w:rPr>
        <w:footnoteReference w:id="794"/>
      </w:r>
      <w:r>
        <w:rPr>
          <w:rFonts w:ascii="Amiri" w:hAnsi="Amiri" w:eastAsia="Amiri" w:cs="Amiri"/>
          <w:color w:val="111111"/>
          <w:sz w:val="28"/>
          <w:sz w:val="28"/>
          <w:szCs w:val="28"/>
          <w:rtl w:val="true"/>
          <w:lang w:bidi="ar-SA"/>
        </w:rPr>
        <w:t xml:space="preserve">الأولاد إليها بالنسبة إلى الحول الآتي ، فيلغى اعتبار الأولاد إلى حين </w:t>
      </w:r>
    </w:p>
    <w:p>
      <w:pPr>
        <w:pStyle w:val="BookText"/>
        <w:rPr/>
      </w:pPr>
      <w:r>
        <w:rPr>
          <w:rFonts w:ascii="Amiri" w:hAnsi="Amiri" w:eastAsia="Amiri" w:cs="Amiri"/>
          <w:color w:val="111111"/>
          <w:sz w:val="28"/>
          <w:sz w:val="28"/>
          <w:szCs w:val="28"/>
          <w:rtl w:val="true"/>
          <w:lang w:bidi="ar-SA"/>
        </w:rPr>
        <w:t>حلول حول الأمهات؟ وجوه ، المعزى إلى جماعة من المتأخرين اختيار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 ذلك بأنّ القول بسقوط الزكاة من الأمّهات عند حلول حولها مع بلوغها حدّ النصاب مخالف لظاهر الأدلّة ، وبعد وجوب إخراج الزكاة عنها لا يمكن منها إلى السخال ليلزم القول بوجوب إخراجها عن الجميع أيضا عند حلول حول السخال ؛ اذ لا وجه للتبعيّة سيّما في المقام ، مع ما ورد في الأخبار من نفي التثنية في الصدقة وانّه لا يزكّى في عام مرّتين ، واعتبار النصاب الأوّل في الأولاد استقلالا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ضعفه ، فتعيّن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في تضعيف سقوط الزكاة عن الأمهات عند حلول الحول عليها جار </w:t>
      </w:r>
      <w:r>
        <w:rPr>
          <w:rStyle w:val="FootnoteAnchor"/>
          <w:rtl w:val="true"/>
        </w:rPr>
        <w:footnoteReference w:id="796"/>
      </w:r>
      <w:r>
        <w:rPr>
          <w:rFonts w:ascii="Amiri" w:hAnsi="Amiri" w:eastAsia="Amiri" w:cs="Amiri"/>
          <w:color w:val="111111"/>
          <w:sz w:val="28"/>
          <w:sz w:val="28"/>
          <w:szCs w:val="28"/>
          <w:rtl w:val="true"/>
          <w:lang w:bidi="ar-SA"/>
        </w:rPr>
        <w:t>في سقوطها عن السخال عند حلول حولها ، ولو جعل انضياف الغير إليها قاضيا بالسقوط جرى ذلك على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ويصدق هناك بعد انضياف تتمة النصاب الأخير تملكه لذلك النصاب ، فبعد حولان الحول عليها كذلك ينبغي القول بوجوب ما يجب فيه من الزكاة ، وهو قاض بسقوط اعتبار النصاب الأوّل ؛ لما مرّ من نفي التثنية في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المتيقّن ممّا ورد في النصاب الأوّل اعتباره فيما لا يبلغ إلى النصاب الذي بعده ، فبعد فرض بلوغه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اشناء الحول لا يظهر اندراجه في ما دل عليه ، بل اندراجه وظاهر في ما فرض بلوغه إليه </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فينبغي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ويضعفه أنّ البناء على ذلك قد يفضي إلى سقوط الزكاة عن المالك لو فرض حصول الزيادة كذلك قبل حلول الحول بالنسبة إلى كلّ عام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بيّن الفساد ؛ مضافا إلى أنّه مع تقضّي بعض الحول على النصاب الأوّل تعلّق به الحكم بوجوب الزكاة على فرض الحلول ، فيستصحب ذلك مع بقاء المال كما هو المفروض ، والانتقال منه إلى مراعاة النصاب الثاني في أثناء الحول غير معلوم ، فيبنى على استصحاب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بأنّه لا حكم شرعا قبل حلول الحول ، وعدّ ما فرض حكما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المسألة لخلوّها عن النصّ محل إشكال ، ويدور الأمر فيه بين وجوه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النصاب الأوّل ، والحكم بعدم اعتبار الحول بما ألحق به حتى يتمّ الحول على النصاب المذكور ، أو البناء على إسقاط ما مرّ من الحول على النصاب ، واحتساب الجميع نصابا واحدا ، والبناء على ملاحظة كلّ منهما نصابا مستقلا ، فيراعي فيه ما يتبعه من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فمراعاة الاحتياط في مثله هو الأولى إن لم نقل بتعيّنه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الكلام في كلّ ملك جديد كذلك يكون بعد مضي الحول على النصاب السابق ، بل وفي مراتب الزيادة في النصاب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اتفق معاوضة الأنعام بغير جنسها في أثناء الحول سواء كان زكويا أو غيره فلا كلام في سقوط الحول إلّا أنّ هناك قولا للشيخ </w:t>
      </w:r>
      <w:r>
        <w:rPr>
          <w:rStyle w:val="FootnoteAnchor"/>
          <w:rtl w:val="true"/>
        </w:rPr>
        <w:footnoteReference w:id="798"/>
      </w:r>
      <w:r>
        <w:rPr>
          <w:rFonts w:ascii="Amiri" w:hAnsi="Amiri" w:eastAsia="Amiri" w:cs="Amiri"/>
          <w:color w:val="111111"/>
          <w:sz w:val="28"/>
          <w:sz w:val="28"/>
          <w:szCs w:val="28"/>
          <w:rtl w:val="true"/>
          <w:lang w:bidi="ar-SA"/>
        </w:rPr>
        <w:t>بعدم انثلام الحول لو كان ذلك بقصد 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الكلام فيه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w:t>
      </w:r>
      <w:r>
        <w:rPr>
          <w:rStyle w:val="FootnoteAnchor"/>
          <w:rtl w:val="true"/>
        </w:rPr>
        <w:footnoteReference w:id="799"/>
      </w:r>
      <w:r>
        <w:rPr>
          <w:rFonts w:ascii="Amiri" w:hAnsi="Amiri" w:eastAsia="Amiri" w:cs="Amiri"/>
          <w:color w:val="111111"/>
          <w:sz w:val="28"/>
          <w:sz w:val="28"/>
          <w:szCs w:val="28"/>
          <w:rtl w:val="true"/>
          <w:lang w:bidi="ar-SA"/>
        </w:rPr>
        <w:t>عاوضها بجنسها كأربعين من الغنم بأربعين فالظاهر أيضا انثلام الحول لاختلاف المالين وعدم حلول الحول بالنسبة إلى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يقطع الحول لصدق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ولو كان استمرار صدق ملك الأربعين كافيا في تحقق الوجوب ولو اختلف مصاديقها لجرى في غير صورة المعاوضة ، ولا يظهر فيه قائل بالثبوت</w:t>
      </w:r>
      <w:r>
        <w:rPr>
          <w:rFonts w:eastAsia="Amiri" w:cs="Amiri" w:ascii="Amiri" w:hAnsi="Amiri"/>
          <w:color w:val="111111"/>
          <w:sz w:val="28"/>
          <w:szCs w:val="28"/>
          <w:rtl w:val="true"/>
          <w:lang w:bidi="ar-SA"/>
        </w:rPr>
        <w:t xml:space="preserve">. </w:t>
      </w:r>
      <w:bookmarkStart w:id="100" w:name="pg15853_153406"/>
    </w:p>
    <w:p>
      <w:pPr>
        <w:pStyle w:val="Heading6"/>
        <w:numPr>
          <w:ilvl w:val="5"/>
          <w:numId w:val="1"/>
        </w:numPr>
        <w:rPr/>
      </w:pPr>
      <w:bookmarkStart w:id="101" w:name="__RefHeading___Toc14587109_2142443653"/>
      <w:bookmarkStart w:id="102" w:name="_Toc37"/>
      <w:bookmarkEnd w:id="100"/>
      <w:bookmarkEnd w:id="101"/>
      <w:r>
        <w:rPr>
          <w:rtl w:val="true"/>
        </w:rPr>
        <w:t>تبصرة</w:t>
      </w:r>
      <w:r>
        <w:rPr>
          <w:rtl w:val="true"/>
        </w:rPr>
        <w:t xml:space="preserve">: [ </w:t>
      </w:r>
      <w:r>
        <w:rPr>
          <w:rtl w:val="true"/>
        </w:rPr>
        <w:t xml:space="preserve">في اشتراط أن لا تكون الإبل والبقر عوامل </w:t>
      </w:r>
      <w:r>
        <w:rPr>
          <w:rtl w:val="true"/>
        </w:rPr>
        <w:t>]</w:t>
      </w:r>
      <w:bookmarkEnd w:id="102"/>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عوامل بالإجماع المعلوم والمنقول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خالف فيه مالك من ائمّة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بعد الإجماع خصوص صحيحة الفضلاء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العوامل من الإبل والبقر شي‌ء ، إنّما الصدقات على السائمة الراعية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عدة من </w:t>
      </w:r>
      <w:r>
        <w:rPr>
          <w:rStyle w:val="FootnoteAnchor"/>
          <w:rtl w:val="true"/>
        </w:rPr>
        <w:footnoteReference w:id="801"/>
      </w:r>
      <w:r>
        <w:rPr>
          <w:rFonts w:ascii="Amiri" w:hAnsi="Amiri" w:eastAsia="Amiri" w:cs="Amiri"/>
          <w:color w:val="111111"/>
          <w:sz w:val="28"/>
          <w:sz w:val="28"/>
          <w:szCs w:val="28"/>
          <w:rtl w:val="true"/>
          <w:lang w:bidi="ar-SA"/>
        </w:rPr>
        <w:t>الروايات في جملتها الموثق ثبوت الزكاة على العوامل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تحمل على الاستحباب أو التقيّة ؛ لما عرفت من أنّه مذهب مالك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ذلك في أغلب الأحوال أو جميعها أو يناط بصدق الاسم؟ وجوه ؛ أقواها الأخير إلّا ما كان من قبيل التسامح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w:t>
      </w:r>
      <w:r>
        <w:rPr>
          <w:rStyle w:val="FootnoteAnchor"/>
          <w:rtl w:val="true"/>
        </w:rPr>
        <w:footnoteReference w:id="802"/>
      </w:r>
      <w:r>
        <w:rPr>
          <w:rFonts w:ascii="Amiri" w:hAnsi="Amiri" w:eastAsia="Amiri" w:cs="Amiri"/>
          <w:color w:val="111111"/>
          <w:sz w:val="28"/>
          <w:sz w:val="28"/>
          <w:szCs w:val="28"/>
          <w:rtl w:val="true"/>
          <w:lang w:bidi="ar-SA"/>
        </w:rPr>
        <w:t>النصّ على اعتبار الأغلبيّة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 فيرجع في العمل ومدّته إلى العرف بحيث يصدق معه اسم العامل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صدقه في العرف قاض بانثلام الحول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عمل بها غير المالك من غير اذنه مع عدم خروجها عن سلطان المالك فالظاهر جريان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استقلال أولادها في الحكم ، فلا يحكم فيها بتبعيّة الأمّهات في سقوط الزكاة ، وإن كانت </w:t>
      </w:r>
      <w:r>
        <w:rPr>
          <w:rStyle w:val="FootnoteAnchor"/>
          <w:rtl w:val="true"/>
        </w:rPr>
        <w:footnoteReference w:id="803"/>
      </w:r>
      <w:r>
        <w:rPr>
          <w:rFonts w:ascii="Amiri" w:hAnsi="Amiri" w:eastAsia="Amiri" w:cs="Amiri"/>
          <w:color w:val="111111"/>
          <w:sz w:val="28"/>
          <w:sz w:val="28"/>
          <w:szCs w:val="28"/>
          <w:rtl w:val="true"/>
          <w:lang w:bidi="ar-SA"/>
        </w:rPr>
        <w:t>زمن الرضاع بناء على الاعتبار بحال النتاج ، وإن قلنا بتبعيّتها في مسألة السوم</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w:t>
      </w:r>
      <w:r>
        <w:rPr>
          <w:rStyle w:val="FootnoteAnchor"/>
          <w:rtl w:val="true"/>
        </w:rPr>
        <w:footnoteReference w:id="804"/>
      </w:r>
      <w:r>
        <w:rPr>
          <w:rFonts w:ascii="Amiri" w:hAnsi="Amiri" w:eastAsia="Amiri" w:cs="Amiri"/>
          <w:color w:val="111111"/>
          <w:sz w:val="28"/>
          <w:sz w:val="28"/>
          <w:szCs w:val="28"/>
          <w:rtl w:val="true"/>
          <w:lang w:bidi="ar-SA"/>
        </w:rPr>
        <w:t xml:space="preserve">كان عشر من الإبل من شخصين تعمل أحدهما في السنة بمقدار حصّته سقط الزكاة من </w:t>
      </w:r>
      <w:r>
        <w:rPr>
          <w:rStyle w:val="FootnoteAnchor"/>
          <w:rtl w:val="true"/>
        </w:rPr>
        <w:footnoteReference w:id="805"/>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bookmarkStart w:id="103" w:name="pg15853_153408"/>
    </w:p>
    <w:p>
      <w:pPr>
        <w:pStyle w:val="Heading5"/>
        <w:numPr>
          <w:ilvl w:val="4"/>
          <w:numId w:val="1"/>
        </w:numPr>
        <w:rPr/>
      </w:pPr>
      <w:bookmarkStart w:id="104" w:name="__RefHeading___Toc14587111_2142443653"/>
      <w:bookmarkStart w:id="105" w:name="_Toc38"/>
      <w:bookmarkEnd w:id="103"/>
      <w:bookmarkEnd w:id="104"/>
      <w:r>
        <w:rPr>
          <w:rtl w:val="true"/>
        </w:rPr>
        <w:t>البحث الثاني</w:t>
      </w:r>
      <w:r>
        <w:rPr>
          <w:rtl w:val="true"/>
        </w:rPr>
        <w:t xml:space="preserve">: </w:t>
      </w:r>
      <w:r>
        <w:rPr>
          <w:rtl w:val="true"/>
        </w:rPr>
        <w:t>في اللواحق</w:t>
      </w:r>
      <w:bookmarkEnd w:id="105"/>
    </w:p>
    <w:p>
      <w:pPr>
        <w:pStyle w:val="Heading6"/>
        <w:numPr>
          <w:ilvl w:val="5"/>
          <w:numId w:val="1"/>
        </w:numPr>
        <w:rPr/>
      </w:pPr>
      <w:bookmarkStart w:id="106" w:name="__RefHeading___Toc14587113_2142443653"/>
      <w:bookmarkStart w:id="107" w:name="_Toc39"/>
      <w:bookmarkEnd w:id="106"/>
      <w:r>
        <w:rPr>
          <w:rtl w:val="true"/>
        </w:rPr>
        <w:t>تبصرة</w:t>
      </w:r>
      <w:r>
        <w:rPr>
          <w:rtl w:val="true"/>
        </w:rPr>
        <w:t xml:space="preserve">: [ </w:t>
      </w:r>
      <w:r>
        <w:rPr>
          <w:rtl w:val="true"/>
        </w:rPr>
        <w:t xml:space="preserve">في مصاديق الغنم </w:t>
      </w:r>
      <w:r>
        <w:rPr>
          <w:rtl w:val="true"/>
        </w:rPr>
        <w:t>]</w:t>
      </w:r>
      <w:bookmarkEnd w:id="107"/>
    </w:p>
    <w:p>
      <w:pPr>
        <w:pStyle w:val="BookText"/>
        <w:rPr/>
      </w:pPr>
      <w:r>
        <w:rPr>
          <w:rFonts w:ascii="Amiri" w:hAnsi="Amiri" w:eastAsia="Amiri" w:cs="Amiri"/>
          <w:color w:val="111111"/>
          <w:sz w:val="28"/>
          <w:sz w:val="28"/>
          <w:szCs w:val="28"/>
          <w:rtl w:val="true"/>
          <w:lang w:bidi="ar-SA"/>
        </w:rPr>
        <w:t>ذهب جماعة من الأصحاب إلى أنّ أقل ما يؤخذ من الغنم في الزكاة أن يكون جذعا من الضأن وثنيا من 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806"/>
      </w:r>
      <w:r>
        <w:rPr>
          <w:rFonts w:ascii="Amiri" w:hAnsi="Amiri" w:eastAsia="Amiri" w:cs="Amiri"/>
          <w:color w:val="111111"/>
          <w:sz w:val="28"/>
          <w:sz w:val="28"/>
          <w:szCs w:val="28"/>
          <w:rtl w:val="true"/>
          <w:lang w:bidi="ar-SA"/>
        </w:rPr>
        <w:t>حكاية الشهرة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الخلاف </w:t>
      </w:r>
      <w:r>
        <w:rPr>
          <w:rStyle w:val="FootnoteAnchor"/>
          <w:rtl w:val="true"/>
        </w:rPr>
        <w:footnoteReference w:id="807"/>
      </w:r>
      <w:r>
        <w:rPr>
          <w:rFonts w:ascii="Amiri" w:hAnsi="Amiri" w:eastAsia="Amiri" w:cs="Amiri"/>
          <w:color w:val="111111"/>
          <w:sz w:val="28"/>
          <w:sz w:val="28"/>
          <w:szCs w:val="28"/>
          <w:rtl w:val="true"/>
          <w:lang w:bidi="ar-SA"/>
        </w:rPr>
        <w:t>حكاية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جماعة من أفاضل المتأخرين منهم السيد في المدارك </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ما يسمّى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في الحدائق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يخلو عن قوّة ؛ لظواهر الإطلاقات في تلك المقامات من غير إشارة فيها إلى اعتبار خصوص شي‌ء من الأسنان ، فيدور الحكم مدار الاسم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الأوّل بعد الإجماع المحكي والاحتياط رواية سويد بن غفله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مصدق رسول اللّه صلى‌اللّه‌عليه‌وآله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نهانا أن نأخذ المراضع ، وأمرنا أن نأخذ الجذعة والثنية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كذا احتجّ بها في المعتبر </w:t>
      </w:r>
      <w:r>
        <w:rPr>
          <w:rStyle w:val="FootnoteAnchor"/>
          <w:rtl w:val="true"/>
        </w:rPr>
        <w:footnoteReference w:id="810"/>
      </w:r>
      <w:r>
        <w:rPr>
          <w:rFonts w:ascii="Amiri" w:hAnsi="Amiri" w:eastAsia="Amiri" w:cs="Amiri"/>
          <w:color w:val="111111"/>
          <w:sz w:val="28"/>
          <w:sz w:val="28"/>
          <w:szCs w:val="28"/>
          <w:rtl w:val="true"/>
          <w:lang w:bidi="ar-SA"/>
        </w:rPr>
        <w:t xml:space="preserve">والتذكرة </w:t>
      </w:r>
      <w:r>
        <w:rPr>
          <w:rStyle w:val="FootnoteAnchor"/>
          <w:rtl w:val="true"/>
        </w:rPr>
        <w:footnoteReference w:id="811"/>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 المنتهى </w:t>
      </w:r>
      <w:r>
        <w:rPr>
          <w:rStyle w:val="FootnoteAnchor"/>
          <w:rtl w:val="true"/>
        </w:rPr>
        <w:footnoteReference w:id="812"/>
      </w:r>
      <w:r>
        <w:rPr>
          <w:rFonts w:ascii="Amiri" w:hAnsi="Amiri" w:eastAsia="Amiri" w:cs="Amiri"/>
          <w:color w:val="111111"/>
          <w:sz w:val="28"/>
          <w:sz w:val="28"/>
          <w:szCs w:val="28"/>
          <w:rtl w:val="true"/>
          <w:lang w:bidi="ar-SA"/>
        </w:rPr>
        <w:t xml:space="preserve">كما ترى غير واف بالمقصود ، إذ لا اشارة فيها إلى التفصيل المذكور ، فالأولى الاحتجاج له بما رواه في التذكرة </w:t>
      </w:r>
      <w:r>
        <w:rPr>
          <w:rStyle w:val="FootnoteAnchor"/>
          <w:rtl w:val="true"/>
        </w:rPr>
        <w:footnoteReference w:id="813"/>
      </w:r>
      <w:r>
        <w:rPr>
          <w:rFonts w:ascii="Amiri" w:hAnsi="Amiri" w:eastAsia="Amiri" w:cs="Amiri"/>
          <w:color w:val="111111"/>
          <w:sz w:val="28"/>
          <w:sz w:val="28"/>
          <w:szCs w:val="28"/>
          <w:rtl w:val="true"/>
          <w:lang w:bidi="ar-SA"/>
        </w:rPr>
        <w:t xml:space="preserve">عن سويد بن عقبة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مصدق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نأخذ الجذع من الضأن والثني من 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اتحاد المحكي في المقامين ، فالثاني بيان لما أجمل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الزكاة إنّما تتعلّق بالعين ، وليس فيما تعلق به الحق ما دون الست أو السبع أو الثمان ، فجواز إخراجها يحتاج إلى الدليل ، وقضية الأصل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أنّ حكاية الإجماع موهونة في المقام ؛ لشيوع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غير موجودة في اصول الأصحاب ، فالظاهر أنّها من روايات العامة ، فيشكل الاعتماد عليها في تقييد تلك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المذكور لا يتمّ في الشي‌ء بناء على حلول </w:t>
      </w:r>
      <w:r>
        <w:rPr>
          <w:rStyle w:val="FootnoteAnchor"/>
          <w:rtl w:val="true"/>
        </w:rPr>
        <w:footnoteReference w:id="814"/>
      </w:r>
      <w:r>
        <w:rPr>
          <w:rFonts w:ascii="Amiri" w:hAnsi="Amiri" w:eastAsia="Amiri" w:cs="Amiri"/>
          <w:color w:val="111111"/>
          <w:sz w:val="28"/>
          <w:sz w:val="28"/>
          <w:szCs w:val="28"/>
          <w:rtl w:val="true"/>
          <w:lang w:bidi="ar-SA"/>
        </w:rPr>
        <w:t>الحول بدخول الثاني عشر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الإطلاقات كافية في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فالمسألة مشكلة ، والوقوف على ما ذكروه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تفسير الجذع والثني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فحكى الشيخ </w:t>
      </w:r>
      <w:r>
        <w:rPr>
          <w:rStyle w:val="FootnoteAnchor"/>
          <w:rtl w:val="true"/>
        </w:rPr>
        <w:footnoteReference w:id="815"/>
      </w:r>
      <w:r>
        <w:rPr>
          <w:rFonts w:ascii="Amiri" w:hAnsi="Amiri" w:eastAsia="Amiri" w:cs="Amiri"/>
          <w:color w:val="111111"/>
          <w:sz w:val="28"/>
          <w:sz w:val="28"/>
          <w:szCs w:val="28"/>
          <w:rtl w:val="true"/>
          <w:lang w:bidi="ar-SA"/>
        </w:rPr>
        <w:t xml:space="preserve">والعلامة </w:t>
      </w:r>
      <w:r>
        <w:rPr>
          <w:rStyle w:val="FootnoteAnchor"/>
          <w:rtl w:val="true"/>
        </w:rPr>
        <w:footnoteReference w:id="816"/>
      </w:r>
      <w:r>
        <w:rPr>
          <w:rFonts w:ascii="Amiri" w:hAnsi="Amiri" w:eastAsia="Amiri" w:cs="Amiri"/>
          <w:color w:val="111111"/>
          <w:sz w:val="28"/>
          <w:sz w:val="28"/>
          <w:szCs w:val="28"/>
          <w:rtl w:val="true"/>
          <w:lang w:bidi="ar-SA"/>
        </w:rPr>
        <w:t xml:space="preserve">عن ابن الأعرابى أن الجذع من الضأن ما بلغ ستة </w:t>
      </w:r>
      <w:r>
        <w:rPr>
          <w:rStyle w:val="FootnoteAnchor"/>
          <w:rtl w:val="true"/>
        </w:rPr>
        <w:footnoteReference w:id="817"/>
      </w:r>
      <w:r>
        <w:rPr>
          <w:rFonts w:ascii="IRNazanin" w:hAnsi="IRNazanin" w:eastAsia="IRNazanin"/>
          <w:color w:val="111111"/>
          <w:sz w:val="28"/>
          <w:sz w:val="28"/>
          <w:szCs w:val="28"/>
          <w:rtl w:val="true"/>
          <w:lang w:bidi="fa-IR"/>
        </w:rPr>
        <w:t xml:space="preserve">أشهر إن </w:t>
      </w:r>
    </w:p>
    <w:p>
      <w:pPr>
        <w:pStyle w:val="BookText"/>
        <w:rPr/>
      </w:pPr>
      <w:r>
        <w:rPr>
          <w:rFonts w:ascii="Amiri" w:hAnsi="Amiri" w:eastAsia="Amiri" w:cs="Amiri"/>
          <w:color w:val="111111"/>
          <w:sz w:val="28"/>
          <w:sz w:val="28"/>
          <w:szCs w:val="28"/>
          <w:rtl w:val="true"/>
          <w:lang w:bidi="ar-SA"/>
        </w:rPr>
        <w:t xml:space="preserve">كان بين شاتين </w:t>
      </w:r>
      <w:r>
        <w:rPr>
          <w:rStyle w:val="FootnoteAnchor"/>
          <w:rtl w:val="true"/>
        </w:rPr>
        <w:footnoteReference w:id="818"/>
      </w:r>
      <w:r>
        <w:rPr>
          <w:rFonts w:ascii="Amiri" w:hAnsi="Amiri" w:eastAsia="Amiri" w:cs="Amiri"/>
          <w:color w:val="111111"/>
          <w:sz w:val="28"/>
          <w:sz w:val="28"/>
          <w:szCs w:val="28"/>
          <w:rtl w:val="true"/>
          <w:lang w:bidi="ar-SA"/>
        </w:rPr>
        <w:t>، وإن كان من هرمين فلا يقال جذع حتى يستكمل ثمانية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جذع أبدا حتّى يستكمل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أنه إنّما قيل جذع في الضأن إذا بلغ سبعة أشهر وأجزأ في الأضحية ؛ لأنّه إذا بلغ هذا الوقت كان له نزو وضراب ، والمعز لا ينزو حتى يدخل في السنة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الجوهري </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الجذع يقال لولد الشاة في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في ولد النتيجة </w:t>
      </w:r>
      <w:r>
        <w:rPr>
          <w:rStyle w:val="FootnoteAnchor"/>
          <w:rtl w:val="true"/>
        </w:rPr>
        <w:footnoteReference w:id="820"/>
      </w:r>
      <w:r>
        <w:rPr>
          <w:rFonts w:ascii="Amiri" w:hAnsi="Amiri" w:eastAsia="Amiri" w:cs="Amiri"/>
          <w:color w:val="111111"/>
          <w:sz w:val="28"/>
          <w:sz w:val="28"/>
          <w:szCs w:val="28"/>
          <w:rtl w:val="true"/>
          <w:lang w:bidi="ar-SA"/>
        </w:rPr>
        <w:t>أنه يجذع في ستة أشهر أو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جائز في الأضحيّة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الفيروزآبادي </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يقال لولد الشاة في السنة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الأثير </w:t>
      </w:r>
      <w:r>
        <w:rPr>
          <w:rStyle w:val="FootnoteAnchor"/>
          <w:rtl w:val="true"/>
        </w:rPr>
        <w:footnoteReference w:id="822"/>
      </w:r>
      <w:r>
        <w:rPr>
          <w:rFonts w:ascii="Amiri" w:hAnsi="Amiri" w:eastAsia="Amiri" w:cs="Amiri"/>
          <w:color w:val="111111"/>
          <w:sz w:val="28"/>
          <w:sz w:val="28"/>
          <w:szCs w:val="28"/>
          <w:rtl w:val="true"/>
          <w:lang w:bidi="ar-SA"/>
        </w:rPr>
        <w:t>إنّه من البقر والمعز ما دخل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 في الثالثة ، ومن الضأن ما تمت له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الأزهري </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الجذع من المعز لسنة ، ومن الضّأن لثمانية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عن المطرزي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الفيومي </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والجذع ولد الشاة في السنة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ابن الأعرابي أنّ الأجذع من الضّأن إذا كان من شابين يجذع لستّة أشهر إلى سبعة أشهر ، وإذا كان من هرمين </w:t>
      </w:r>
      <w:r>
        <w:rPr>
          <w:rStyle w:val="FootnoteAnchor"/>
          <w:rtl w:val="true"/>
        </w:rPr>
        <w:footnoteReference w:id="826"/>
      </w:r>
      <w:r>
        <w:rPr>
          <w:rFonts w:ascii="Amiri" w:hAnsi="Amiri" w:eastAsia="Amiri" w:cs="Amiri"/>
          <w:color w:val="111111"/>
          <w:sz w:val="28"/>
          <w:sz w:val="28"/>
          <w:szCs w:val="28"/>
          <w:rtl w:val="true"/>
          <w:lang w:bidi="ar-SA"/>
        </w:rPr>
        <w:t>وأجذع من ثمانية إلى عشرة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 كلماتهم من الاختلاف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تفسير الجذع من الضّأن وإن اتفقت في تفسير الجذع من المعز بأنّها ما كملت سنة ودخلت في الثانية ، وكلام أكثر </w:t>
      </w:r>
      <w:r>
        <w:rPr>
          <w:rStyle w:val="FootnoteAnchor"/>
          <w:rtl w:val="true"/>
        </w:rPr>
        <w:footnoteReference w:id="827"/>
      </w:r>
      <w:r>
        <w:rPr>
          <w:rFonts w:ascii="Amiri" w:hAnsi="Amiri" w:eastAsia="Amiri" w:cs="Amiri"/>
          <w:color w:val="111111"/>
          <w:sz w:val="28"/>
          <w:sz w:val="28"/>
          <w:szCs w:val="28"/>
          <w:rtl w:val="true"/>
          <w:lang w:bidi="ar-SA"/>
        </w:rPr>
        <w:t>أهل اللغة يقيّد أن الجذع من الضّأن ما كملت له سنة إلّا أنّه غير موافق لظاهر كلمات الأصحاب وما ذكره غير واحد من أهل اللغة كما حكي عن ابن الأعرابي والأزهري والمطرزي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صدقه مع إكمال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السبع أيضا وجه قوي تقديما لقول المثبت سيّما مع موافقته لكلام جماعة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الثني من المعز فعن الشيخ </w:t>
      </w:r>
      <w:r>
        <w:rPr>
          <w:rStyle w:val="FootnoteAnchor"/>
          <w:rtl w:val="true"/>
        </w:rPr>
        <w:footnoteReference w:id="828"/>
      </w:r>
      <w:r>
        <w:rPr>
          <w:rFonts w:ascii="Amiri" w:hAnsi="Amiri" w:eastAsia="Amiri" w:cs="Amiri"/>
          <w:color w:val="111111"/>
          <w:sz w:val="28"/>
          <w:sz w:val="28"/>
          <w:szCs w:val="28"/>
          <w:rtl w:val="true"/>
          <w:lang w:bidi="ar-SA"/>
        </w:rPr>
        <w:t xml:space="preserve">والعلّامة </w:t>
      </w:r>
      <w:r>
        <w:rPr>
          <w:rStyle w:val="FootnoteAnchor"/>
          <w:rtl w:val="true"/>
        </w:rPr>
        <w:footnoteReference w:id="829"/>
      </w:r>
      <w:r>
        <w:rPr>
          <w:rFonts w:ascii="Amiri" w:hAnsi="Amiri" w:eastAsia="Amiri" w:cs="Amiri"/>
          <w:color w:val="111111"/>
          <w:sz w:val="28"/>
          <w:sz w:val="28"/>
          <w:szCs w:val="28"/>
          <w:rtl w:val="true"/>
          <w:lang w:bidi="ar-SA"/>
        </w:rPr>
        <w:t xml:space="preserve">أنّه ما دخل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الشاة ما دخل في الثانية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الجوهري </w:t>
      </w:r>
      <w:r>
        <w:rPr>
          <w:rStyle w:val="FootnoteAnchor"/>
          <w:rtl w:val="true"/>
        </w:rPr>
        <w:footnoteReference w:id="831"/>
      </w:r>
      <w:r>
        <w:rPr>
          <w:rFonts w:ascii="Amiri" w:hAnsi="Amiri" w:eastAsia="Amiri" w:cs="Amiri"/>
          <w:color w:val="111111"/>
          <w:sz w:val="28"/>
          <w:sz w:val="28"/>
          <w:szCs w:val="28"/>
          <w:rtl w:val="true"/>
          <w:lang w:bidi="ar-SA"/>
        </w:rPr>
        <w:t xml:space="preserve">والفيومي </w:t>
      </w:r>
      <w:r>
        <w:rPr>
          <w:rStyle w:val="FootnoteAnchor"/>
          <w:rtl w:val="true"/>
        </w:rPr>
        <w:footnoteReference w:id="832"/>
      </w:r>
      <w:r>
        <w:rPr>
          <w:rFonts w:ascii="Amiri" w:hAnsi="Amiri" w:eastAsia="Amiri" w:cs="Amiri"/>
          <w:color w:val="111111"/>
          <w:sz w:val="28"/>
          <w:sz w:val="28"/>
          <w:szCs w:val="28"/>
          <w:rtl w:val="true"/>
          <w:lang w:bidi="ar-SA"/>
        </w:rPr>
        <w:t xml:space="preserve">والمطرزي والفيروزآبادي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في الظلف والحافر في السنة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الثنيه من الغنم ما دخل في السنة الثالثة ، ومن ذوات الخفّ في السنة السادسة ، ثمّ قال </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ذكرناه من معرفة الثني الجمع من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الثني من الخيل ما دخل في الرابعة ، ومن المعز ما له سنة ودخل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نقلناه أنّ كلام الأكثر متّفق على أنّ الثني من المعز ما دخل في الثالثة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والاكتفاء فيه بالدخول في الثانية ممّا حكاه في المجمل عن البعض ، ولم يعيّن قائله ، فلا عبرة به في مقابلة الجماعة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حكي عن جماعة من الفقهاء </w:t>
      </w:r>
      <w:r>
        <w:rPr>
          <w:rStyle w:val="FootnoteAnchor"/>
          <w:rtl w:val="true"/>
        </w:rPr>
        <w:footnoteReference w:id="834"/>
      </w:r>
      <w:r>
        <w:rPr>
          <w:rFonts w:ascii="Amiri" w:hAnsi="Amiri" w:eastAsia="Amiri" w:cs="Amiri"/>
          <w:color w:val="111111"/>
          <w:sz w:val="28"/>
          <w:sz w:val="28"/>
          <w:szCs w:val="28"/>
          <w:rtl w:val="true"/>
          <w:lang w:bidi="ar-SA"/>
        </w:rPr>
        <w:t>تفسير الثني بما دخل في الثانية ، وقد حكي الشهرة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الفقه الرضوي </w:t>
      </w:r>
      <w:r>
        <w:rPr>
          <w:rStyle w:val="FootnoteAnchor"/>
          <w:rtl w:val="true"/>
        </w:rPr>
        <w:footnoteReference w:id="835"/>
      </w:r>
      <w:r>
        <w:rPr>
          <w:rFonts w:ascii="Amiri" w:hAnsi="Amiri" w:eastAsia="Amiri" w:cs="Amiri"/>
          <w:color w:val="111111"/>
          <w:sz w:val="28"/>
          <w:sz w:val="28"/>
          <w:szCs w:val="28"/>
          <w:rtl w:val="true"/>
          <w:lang w:bidi="ar-SA"/>
        </w:rPr>
        <w:t>فيما يجزى من الأضاحي ويجزى من المعز والبقر الثني ، وهو الّذي تمّ له سنة دخل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ذكر الصدوق رحمه‌اللّه في الفقيه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يتقوّى القول المذكور ؛ إذ العمدة في أصل المسألة اعتضادها بفتوى الأكثر ، والقدر الّذي يثبت به حينئذ هو الثني المذكور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اعتضاده أيضا بما عرفت إلّا أنّه لمعارضته لكلام أهل اللغة لا يخلو من إشكال ، فمراعاة الاحتياط فيه مهما أمكن أولى</w:t>
      </w:r>
      <w:r>
        <w:rPr>
          <w:rFonts w:eastAsia="Amiri" w:cs="Amiri" w:ascii="Amiri" w:hAnsi="Amiri"/>
          <w:color w:val="111111"/>
          <w:sz w:val="28"/>
          <w:szCs w:val="28"/>
          <w:rtl w:val="true"/>
          <w:lang w:bidi="ar-SA"/>
        </w:rPr>
        <w:t xml:space="preserve">. </w:t>
      </w:r>
      <w:bookmarkStart w:id="108" w:name="pg15853_153413"/>
    </w:p>
    <w:p>
      <w:pPr>
        <w:pStyle w:val="Heading6"/>
        <w:numPr>
          <w:ilvl w:val="5"/>
          <w:numId w:val="1"/>
        </w:numPr>
        <w:rPr/>
      </w:pPr>
      <w:bookmarkStart w:id="109" w:name="__RefHeading___Toc14587115_2142443653"/>
      <w:bookmarkStart w:id="110" w:name="_Toc40"/>
      <w:bookmarkEnd w:id="108"/>
      <w:bookmarkEnd w:id="109"/>
      <w:r>
        <w:rPr>
          <w:rtl w:val="true"/>
        </w:rPr>
        <w:t>تبصرة</w:t>
      </w:r>
      <w:r>
        <w:rPr>
          <w:rtl w:val="true"/>
        </w:rPr>
        <w:t xml:space="preserve">: [ </w:t>
      </w:r>
      <w:r>
        <w:rPr>
          <w:rtl w:val="true"/>
        </w:rPr>
        <w:t xml:space="preserve">في المريضة والهرمة وذات العوار </w:t>
      </w:r>
      <w:r>
        <w:rPr>
          <w:rtl w:val="true"/>
        </w:rPr>
        <w:t>]</w:t>
      </w:r>
      <w:bookmarkEnd w:id="110"/>
    </w:p>
    <w:p>
      <w:pPr>
        <w:pStyle w:val="Heading6"/>
        <w:numPr>
          <w:ilvl w:val="5"/>
          <w:numId w:val="1"/>
        </w:numPr>
        <w:rPr/>
      </w:pPr>
      <w:bookmarkStart w:id="111" w:name="__RefHeading___Toc14587117_2142443653"/>
      <w:bookmarkStart w:id="112" w:name="_Toc41"/>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 xml:space="preserve">لا يؤخذ المريضة ولا الهرمة ولا ذات العوار مما </w:t>
      </w:r>
      <w:r>
        <w:rPr>
          <w:rStyle w:val="FootnoteAnchor"/>
          <w:rtl w:val="true"/>
        </w:rPr>
        <w:footnoteReference w:id="837"/>
      </w:r>
      <w:r>
        <w:rPr>
          <w:rFonts w:ascii="Amiri" w:hAnsi="Amiri" w:eastAsia="Amiri" w:cs="Amiri"/>
          <w:color w:val="111111"/>
          <w:sz w:val="28"/>
          <w:sz w:val="28"/>
          <w:szCs w:val="28"/>
          <w:rtl w:val="true"/>
          <w:lang w:bidi="ar-SA"/>
        </w:rPr>
        <w:t>مرّ على خلاف ذلك ، بلا خلاف يعرف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المنتهى </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يعرف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وعزاه في المدارك </w:t>
      </w:r>
      <w:r>
        <w:rPr>
          <w:rStyle w:val="FootnoteAnchor"/>
          <w:rtl w:val="true"/>
        </w:rPr>
        <w:footnoteReference w:id="839"/>
      </w:r>
      <w:r>
        <w:rPr>
          <w:rFonts w:ascii="IRNazanin" w:hAnsi="IRNazanin" w:eastAsia="IRNazanin"/>
          <w:color w:val="111111"/>
          <w:sz w:val="28"/>
          <w:sz w:val="28"/>
          <w:szCs w:val="28"/>
          <w:rtl w:val="true"/>
          <w:lang w:bidi="fa-IR"/>
        </w:rPr>
        <w:t>إلى مذهب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واحتجّوا عليه بظاهر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تَيَمَّمُوا الْخَبِيثَ مِنْهُ تُنْفِقُونَ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وصحيحة محمد بن قيس الواردة في الغنم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تؤخذ هرمة ولا ذات عوار إلّا أن يشاء المصدق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نحو منه في بعض الروايات العاميّة </w:t>
      </w:r>
      <w:r>
        <w:rPr>
          <w:rStyle w:val="FootnoteAnchor"/>
          <w:rtl w:val="true"/>
        </w:rPr>
        <w:footnoteReference w:id="842"/>
      </w:r>
      <w:r>
        <w:rPr>
          <w:rFonts w:ascii="Amiri" w:hAnsi="Amiri" w:eastAsia="Amiri" w:cs="Amiri"/>
          <w:color w:val="111111"/>
          <w:sz w:val="28"/>
          <w:sz w:val="28"/>
          <w:szCs w:val="28"/>
          <w:rtl w:val="true"/>
          <w:lang w:bidi="ar-SA"/>
        </w:rPr>
        <w:t>بزيادة التيس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فالمريضة إما أن تندرج في ذات العوار ؛ إذ المراد به العيب والمرض من أعظم العيوب أو لجريان الحكم فيها بالأولى</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الزكاة متعلّق </w:t>
      </w:r>
      <w:r>
        <w:rPr>
          <w:rStyle w:val="FootnoteAnchor"/>
          <w:rtl w:val="true"/>
        </w:rPr>
        <w:footnoteReference w:id="843"/>
      </w:r>
      <w:r>
        <w:rPr>
          <w:rFonts w:ascii="Amiri" w:hAnsi="Amiri" w:eastAsia="Amiri" w:cs="Amiri"/>
          <w:color w:val="111111"/>
          <w:sz w:val="28"/>
          <w:sz w:val="28"/>
          <w:szCs w:val="28"/>
          <w:rtl w:val="true"/>
          <w:lang w:bidi="ar-SA"/>
        </w:rPr>
        <w:t xml:space="preserve">بالعين كما سيأتي الإشارة إليه إن شاء اللّه ، فيثبت الحق على </w:t>
      </w:r>
      <w:bookmarkStart w:id="113" w:name="pg15853_153414"/>
    </w:p>
    <w:p>
      <w:pPr>
        <w:pStyle w:val="BookText"/>
        <w:rPr/>
      </w:pPr>
      <w:bookmarkEnd w:id="113"/>
      <w:r>
        <w:rPr>
          <w:rFonts w:ascii="Amiri" w:hAnsi="Amiri" w:eastAsia="Amiri" w:cs="Amiri"/>
          <w:color w:val="111111"/>
          <w:sz w:val="28"/>
          <w:sz w:val="28"/>
          <w:szCs w:val="28"/>
          <w:rtl w:val="true"/>
          <w:lang w:bidi="ar-SA"/>
        </w:rPr>
        <w:t>نحو ما تكون العين ، وجواز إخراج الأدون من العين في الصفات إنّما يثبت بالدليل ، ولا دليل عليه في المقام ، فقضية الأصل المنع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فالحكم ممّا لا ينبغي التأمّل فيه من غير فرق فيه بين الأنعام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والصحيحة المذكورة وإن وردت في خصوص الغنم إلّا أنّ فيها دلالة على حكم غيرها بالفحوى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عدم القول بالفصل</w:t>
      </w:r>
      <w:r>
        <w:rPr>
          <w:rFonts w:eastAsia="IRNazanin" w:cs="IRNazanin"/>
          <w:color w:val="111111"/>
          <w:sz w:val="28"/>
          <w:szCs w:val="28"/>
          <w:rtl w:val="true"/>
          <w:lang w:bidi="fa-IR"/>
        </w:rPr>
        <w:t>.</w:t>
      </w:r>
    </w:p>
    <w:p>
      <w:pPr>
        <w:pStyle w:val="Heading6"/>
        <w:numPr>
          <w:ilvl w:val="5"/>
          <w:numId w:val="1"/>
        </w:numPr>
        <w:rPr/>
      </w:pPr>
      <w:bookmarkStart w:id="114" w:name="__RefHeading___Toc14587119_2142443653"/>
      <w:bookmarkStart w:id="115" w:name="_Toc42"/>
      <w:bookmarkEnd w:id="114"/>
      <w:r>
        <w:rPr>
          <w:rtl w:val="true"/>
        </w:rPr>
        <w:t xml:space="preserve">[ </w:t>
      </w:r>
      <w:r>
        <w:rPr>
          <w:rtl w:val="true"/>
        </w:rPr>
        <w:t xml:space="preserve">تنبيهات </w:t>
      </w:r>
      <w:r>
        <w:rPr>
          <w:rtl w:val="true"/>
        </w:rPr>
        <w:t>]</w:t>
      </w:r>
      <w:bookmarkEnd w:id="115"/>
    </w:p>
    <w:p>
      <w:pPr>
        <w:pStyle w:val="BookText"/>
        <w:rPr/>
      </w:pPr>
      <w:r>
        <w:rPr>
          <w:rFonts w:ascii="Amiri" w:hAnsi="Amiri" w:eastAsia="Amiri" w:cs="Amiri"/>
          <w:color w:val="111111"/>
          <w:sz w:val="28"/>
          <w:sz w:val="28"/>
          <w:szCs w:val="28"/>
          <w:rtl w:val="true"/>
          <w:lang w:bidi="ar-SA"/>
        </w:rPr>
        <w:t xml:space="preserve">وهاهنا أمور ينبغي الإشارة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الصحيحة المتقدمة جواز الدفع إذا رضي المصدق بها ، وكأن المراد به ما إذا كانت هناك مصلحة قاضية به ، والّا فمجرد رضاء المصدّق ممّا لا مدخل له في حقّ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فقد يقال بجواز الدفع مع عدمه أيضا ، وهو مخالف لظاهر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النعم كلّها مراضا لم يكلّف شراء الصحيحة ، وصحّ إخراج المريضة إجماعا كما في الحدائق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وعزاه في المنتهى </w:t>
      </w:r>
      <w:r>
        <w:rPr>
          <w:rStyle w:val="FootnoteAnchor"/>
          <w:rtl w:val="true"/>
        </w:rPr>
        <w:footnoteReference w:id="845"/>
      </w:r>
      <w:r>
        <w:rPr>
          <w:rFonts w:ascii="Amiri" w:hAnsi="Amiri" w:eastAsia="Amiri" w:cs="Amiri"/>
          <w:color w:val="111111"/>
          <w:sz w:val="28"/>
          <w:sz w:val="28"/>
          <w:szCs w:val="28"/>
          <w:rtl w:val="true"/>
          <w:lang w:bidi="ar-SA"/>
        </w:rPr>
        <w:t>إلى علمائنا مؤذنا بالإجماع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مقطوع به في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أيضا </w:t>
      </w:r>
      <w:r>
        <w:rPr>
          <w:rStyle w:val="FootnoteAnchor"/>
          <w:rtl w:val="true"/>
        </w:rPr>
        <w:footnoteReference w:id="847"/>
      </w:r>
      <w:r>
        <w:rPr>
          <w:rFonts w:ascii="Amiri" w:hAnsi="Amiri" w:eastAsia="Amiri" w:cs="Amiri"/>
          <w:color w:val="111111"/>
          <w:sz w:val="28"/>
          <w:sz w:val="28"/>
          <w:szCs w:val="28"/>
          <w:rtl w:val="true"/>
          <w:lang w:bidi="ar-SA"/>
        </w:rPr>
        <w:t>ظاهر بملاحظة القواعد ؛ لما عرفت من تعلّق الزكاة بالعين ، فلا يكلّف بإخراج ما عدا الموجود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الحال في سائر العيوب والهرم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ويعزى إلى بعض العامة </w:t>
      </w:r>
      <w:r>
        <w:rPr>
          <w:rStyle w:val="FootnoteAnchor"/>
          <w:rtl w:val="true"/>
        </w:rPr>
        <w:footnoteReference w:id="848"/>
      </w:r>
      <w:r>
        <w:rPr>
          <w:rFonts w:ascii="Amiri" w:hAnsi="Amiri" w:eastAsia="Amiri" w:cs="Amiri"/>
          <w:color w:val="111111"/>
          <w:sz w:val="28"/>
          <w:sz w:val="28"/>
          <w:szCs w:val="28"/>
          <w:rtl w:val="true"/>
          <w:lang w:bidi="ar-SA"/>
        </w:rPr>
        <w:t>تكليفه بدفع الصحيحة ؛ أخذا بظاهر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ضعيف ، وإن احتمل في المدارك </w:t>
      </w:r>
      <w:r>
        <w:rPr>
          <w:rStyle w:val="FootnoteAnchor"/>
          <w:rtl w:val="true"/>
        </w:rPr>
        <w:footnoteReference w:id="849"/>
      </w:r>
      <w:r>
        <w:rPr>
          <w:rFonts w:ascii="Amiri" w:hAnsi="Amiri" w:eastAsia="Amiri" w:cs="Amiri"/>
          <w:color w:val="111111"/>
          <w:sz w:val="28"/>
          <w:sz w:val="28"/>
          <w:szCs w:val="28"/>
          <w:rtl w:val="true"/>
          <w:lang w:bidi="ar-SA"/>
        </w:rPr>
        <w:t>المصير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ممتزجة من الصحيح والمريض فإن كان مقدار النصاب منها صحاحا فكذلك أيضا ، ويختص المراض بالعفو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النصاب ملفقا من الأمرين فظاهر جماعة من الأصحاب القطع بوجوب دفع الصحيحة الخالية عن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قوي ؛ أخذا بإطلاق الدليل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البناء على التقسيط كما هو قضية الأصل ؛ إذ الفقير شريك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ويتقوى ذلك مع كون الأكثر على خلاف الوصف سيّما إذا انحصر الصحيح السليم بالقدر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الممتزج يخرج منه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خروج عن إطلاق النصّ إلّا انّه 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تجدّد بعد تعلّق الوجوب قوي احتمال التقسيط مع انتفاء التفريط كما إذا تلف بعض النصاب ؛ فإنّ ذهاب الصفة كذهاب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أيضا لزوم مراعاة الوصف وقوفا على ظاهر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النصاب ملفقا من المريضة والهرمة وذات العوار فهل يتخير في الإخراج أو يتعين إخراج الأعلى منها أو يعتبر التقسيط؟ وجوه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النصاب من أصناف متعددة كالعراب والبخاتي </w:t>
      </w:r>
      <w:r>
        <w:rPr>
          <w:rStyle w:val="FootnoteAnchor"/>
          <w:rtl w:val="true"/>
        </w:rPr>
        <w:footnoteReference w:id="851"/>
      </w:r>
      <w:r>
        <w:rPr>
          <w:rFonts w:ascii="Amiri" w:hAnsi="Amiri" w:eastAsia="Amiri" w:cs="Amiri"/>
          <w:color w:val="111111"/>
          <w:sz w:val="28"/>
          <w:sz w:val="28"/>
          <w:szCs w:val="28"/>
          <w:rtl w:val="true"/>
          <w:lang w:bidi="ar-SA"/>
        </w:rPr>
        <w:t xml:space="preserve">والبقر والجاموس والشاة والمعز ، فهل يتخير المالك في إخراج ما شاء وإن تفاوت القيمة أو أنّه يجب التقسيط </w:t>
      </w:r>
    </w:p>
    <w:p>
      <w:pPr>
        <w:pStyle w:val="BookText"/>
        <w:rPr/>
      </w:pPr>
      <w:r>
        <w:rPr>
          <w:rFonts w:ascii="Amiri" w:hAnsi="Amiri" w:eastAsia="Amiri" w:cs="Amiri"/>
          <w:color w:val="111111"/>
          <w:sz w:val="28"/>
          <w:sz w:val="28"/>
          <w:szCs w:val="28"/>
          <w:rtl w:val="true"/>
          <w:lang w:bidi="ar-SA"/>
        </w:rPr>
        <w:t>والأخذ من كلّ بقسطه أو أنّه يناط الحكم بتفاوت القيم ، فمع الاختلاف يقسط وإلّا فالتخيير؟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فالأول مختار صاحب الحدائق </w:t>
      </w:r>
      <w:r>
        <w:rPr>
          <w:rStyle w:val="FootnoteAnchor"/>
          <w:rtl w:val="true"/>
        </w:rPr>
        <w:footnoteReference w:id="852"/>
      </w:r>
      <w:r>
        <w:rPr>
          <w:rFonts w:ascii="Amiri" w:hAnsi="Amiri" w:eastAsia="Amiri" w:cs="Amiri"/>
          <w:color w:val="111111"/>
          <w:sz w:val="28"/>
          <w:sz w:val="28"/>
          <w:szCs w:val="28"/>
          <w:rtl w:val="true"/>
          <w:lang w:bidi="ar-SA"/>
        </w:rPr>
        <w:t>، وهو الأظهر ؛ أخذا بظاهر الإطلاق ، وإنّ الاختلاف في القيمة لو كان مرعيّا في الزكاة لزم مراعاته مع اتحاد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خلاف ما يعطيه الأخبار وكلام الأصحاب ، بل الظاهر أنّه خلاف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البناء على عدم اعتباره هناك فلا وجه لمراعاته في المقام مع خلو الأخبار عن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مختار جماعة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أشهر بل حكى فيه الشهرة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تعلّق الزكاة بالعين ، ومقتضى الاشتراك التقسيط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مختار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ظاهر ممّا ذكر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ويدفعهما أنّ تعلّق الزكاة بالعين لا يقضي بذلك ؛ فإن الكلام حينئذ في كيفية أصل الاستحقاق</w:t>
      </w:r>
      <w:r>
        <w:rPr>
          <w:rFonts w:eastAsia="Amiri" w:cs="Amiri" w:ascii="Amiri" w:hAnsi="Amiri"/>
          <w:color w:val="111111"/>
          <w:sz w:val="28"/>
          <w:szCs w:val="28"/>
          <w:rtl w:val="true"/>
          <w:lang w:bidi="ar-SA"/>
        </w:rPr>
        <w:t xml:space="preserve">. </w:t>
      </w:r>
      <w:bookmarkStart w:id="116" w:name="pg15853_153417"/>
    </w:p>
    <w:p>
      <w:pPr>
        <w:pStyle w:val="Heading6"/>
        <w:numPr>
          <w:ilvl w:val="5"/>
          <w:numId w:val="1"/>
        </w:numPr>
        <w:rPr/>
      </w:pPr>
      <w:bookmarkStart w:id="117" w:name="__RefHeading___Toc14587121_2142443653"/>
      <w:bookmarkStart w:id="118" w:name="_Toc43"/>
      <w:bookmarkEnd w:id="116"/>
      <w:bookmarkEnd w:id="117"/>
      <w:r>
        <w:rPr>
          <w:rtl w:val="true"/>
        </w:rPr>
        <w:t>تبصرة</w:t>
      </w:r>
      <w:r>
        <w:rPr>
          <w:rtl w:val="true"/>
        </w:rPr>
        <w:t xml:space="preserve">: [ </w:t>
      </w:r>
      <w:r>
        <w:rPr>
          <w:rtl w:val="true"/>
        </w:rPr>
        <w:t xml:space="preserve">في الأكولة وفحل الضراب والرّبى </w:t>
      </w:r>
      <w:r>
        <w:rPr>
          <w:rtl w:val="true"/>
        </w:rPr>
        <w:t>]</w:t>
      </w:r>
      <w:bookmarkEnd w:id="118"/>
    </w:p>
    <w:p>
      <w:pPr>
        <w:pStyle w:val="BookText"/>
        <w:rPr/>
      </w:pPr>
      <w:r>
        <w:rPr>
          <w:rFonts w:ascii="Amiri" w:hAnsi="Amiri" w:eastAsia="Amiri" w:cs="Amiri"/>
          <w:color w:val="111111"/>
          <w:sz w:val="28"/>
          <w:sz w:val="28"/>
          <w:szCs w:val="28"/>
          <w:rtl w:val="true"/>
          <w:lang w:bidi="ar-SA"/>
        </w:rPr>
        <w:t xml:space="preserve">لا يؤخذ </w:t>
      </w:r>
      <w:r>
        <w:rPr>
          <w:rStyle w:val="FootnoteAnchor"/>
          <w:rtl w:val="true"/>
        </w:rPr>
        <w:footnoteReference w:id="855"/>
      </w:r>
      <w:r>
        <w:rPr>
          <w:rFonts w:ascii="Amiri" w:hAnsi="Amiri" w:eastAsia="Amiri" w:cs="Amiri"/>
          <w:color w:val="111111"/>
          <w:sz w:val="28"/>
          <w:sz w:val="28"/>
          <w:szCs w:val="28"/>
          <w:rtl w:val="true"/>
          <w:lang w:bidi="ar-SA"/>
        </w:rPr>
        <w:t>الأكولة ولا فحل الضراب ولا الربّى على المعروف من المذهب ، بل لا يظهر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الاكولة وفحل الضراب مندرجان في كرايم الأموال ، وقد ورد النهي من التعرض لها للموثق </w:t>
      </w:r>
      <w:r>
        <w:rPr>
          <w:rStyle w:val="FootnoteAnchor"/>
          <w:rtl w:val="true"/>
        </w:rPr>
        <w:footnoteReference w:id="85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تؤخذ الأكولة والأكولة الكبيرة من الشاة تكون في الغنم و </w:t>
      </w:r>
      <w:r>
        <w:rPr>
          <w:rStyle w:val="FootnoteAnchor"/>
          <w:rtl w:val="true"/>
        </w:rPr>
        <w:footnoteReference w:id="857"/>
      </w:r>
      <w:r>
        <w:rPr>
          <w:rFonts w:ascii="Amiri" w:hAnsi="Amiri" w:eastAsia="Amiri" w:cs="Amiri"/>
          <w:color w:val="111111"/>
          <w:sz w:val="28"/>
          <w:sz w:val="28"/>
          <w:szCs w:val="28"/>
          <w:rtl w:val="true"/>
          <w:lang w:bidi="ar-SA"/>
        </w:rPr>
        <w:t xml:space="preserve">ولا والد ولا الكبش الفحل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w:t>
      </w:r>
      <w:r>
        <w:rPr>
          <w:rStyle w:val="FootnoteAnchor"/>
          <w:rtl w:val="true"/>
        </w:rPr>
        <w:footnoteReference w:id="85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الأكيلة ولا في الربّى التي تربّي اثنين ولا شاة لبن ولا فحل الغنم 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المقصود في الرواية عدم أخذ المذكورات في الصدقة لا عدم تعلّق الزكاة بها رأسا للاتفاق ظاهرا على عدّ شاة اللبن وقرب حملها على 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فلا ينبغي التأمل في الحكم بعد وروده في المعتبر واعتضاده بفتوى الأصحاب ، مضافا إلى أنّ الأكولة وفحل الضراب مندرجان في كرايم الأموال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النهي عن التعرض لها وإنّما الكلام هنا في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كلام أهل اللغة في تفسير الأكولة ، ففي النهاية </w:t>
      </w:r>
      <w:r>
        <w:rPr>
          <w:rStyle w:val="FootnoteAnchor"/>
          <w:rtl w:val="true"/>
        </w:rPr>
        <w:footnoteReference w:id="859"/>
      </w:r>
      <w:r>
        <w:rPr>
          <w:rFonts w:ascii="Amiri" w:hAnsi="Amiri" w:eastAsia="Amiri" w:cs="Amiri"/>
          <w:color w:val="111111"/>
          <w:sz w:val="28"/>
          <w:sz w:val="28"/>
          <w:szCs w:val="28"/>
          <w:rtl w:val="true"/>
          <w:lang w:bidi="ar-SA"/>
        </w:rPr>
        <w:t xml:space="preserve">وغيرها </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التي تسمن للأكل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واختاره في الشرائع </w:t>
      </w:r>
      <w:r>
        <w:rPr>
          <w:rStyle w:val="FootnoteAnchor"/>
          <w:rtl w:val="true"/>
        </w:rPr>
        <w:footnoteReference w:id="861"/>
      </w:r>
      <w:r>
        <w:rPr>
          <w:rFonts w:ascii="Amiri" w:hAnsi="Amiri" w:eastAsia="Amiri" w:cs="Amiri"/>
          <w:color w:val="111111"/>
          <w:sz w:val="28"/>
          <w:sz w:val="28"/>
          <w:szCs w:val="28"/>
          <w:rtl w:val="true"/>
          <w:lang w:bidi="ar-SA"/>
        </w:rPr>
        <w:t>حيث فسّرها بالسمينة المعدة للأكل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يرجع إليه ما في الروضة </w:t>
      </w:r>
      <w:r>
        <w:rPr>
          <w:rStyle w:val="FootnoteAnchor"/>
          <w:rtl w:val="true"/>
        </w:rPr>
        <w:footnoteReference w:id="862"/>
      </w:r>
      <w:r>
        <w:rPr>
          <w:rFonts w:ascii="Amiri" w:hAnsi="Amiri" w:eastAsia="Amiri" w:cs="Amiri"/>
          <w:color w:val="111111"/>
          <w:sz w:val="28"/>
          <w:sz w:val="28"/>
          <w:szCs w:val="28"/>
          <w:rtl w:val="true"/>
          <w:lang w:bidi="ar-SA"/>
        </w:rPr>
        <w:t>من تفسيرها بالمعدة للأكل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 ذلك ما في القاموس </w:t>
      </w:r>
      <w:r>
        <w:rPr>
          <w:rStyle w:val="FootnoteAnchor"/>
          <w:rtl w:val="true"/>
        </w:rPr>
        <w:footnoteReference w:id="863"/>
      </w:r>
      <w:r>
        <w:rPr>
          <w:rFonts w:ascii="Amiri" w:hAnsi="Amiri" w:eastAsia="Amiri" w:cs="Amiri"/>
          <w:color w:val="111111"/>
          <w:sz w:val="28"/>
          <w:sz w:val="28"/>
          <w:szCs w:val="28"/>
          <w:rtl w:val="true"/>
          <w:lang w:bidi="ar-SA"/>
        </w:rPr>
        <w:t>من أنه العاقر من الشياه تعزل للأكل كالأكيل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الهرمة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العاقر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هذه الأقوال الثلاثة في النهاية الأثيرية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فسرت في الموثقة المتقدمة بالكبيرة من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عن إجمال ، فإن اريد منها الكبيرة في السن انطبق على ما ذكر من تفسيرها بالهرمة ، فيرجع إلى ما تقدم من عدم أخذ الهرمة ، إلّا أنّه خلاف ظاهر الأكثر في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بها الكبيرة في المقدار لم ينطبق على تفسيرهم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يرجع إلى تفسيرها بالسمينة المعدّة للأكل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الرواية وغيرها اختصاصها بالشاة وقد يعطي إطلاق بعضهم إطلاقها على سائر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تنزيلها على خصوص الشاة ، والمراد بفحل الضراب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المعدّ لذلك أو المتأهل له وإن لم يعد لذلك كما هو ظاهر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انصرافه عنها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يعمّ سائر الأنعام أو يختص بالشاة؟ وجهان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والمعروف في تفسير الربّى أنها الولد واختلفوا في القدر الذي يصدق عليه الاسم بعد </w:t>
      </w:r>
    </w:p>
    <w:p>
      <w:pPr>
        <w:pStyle w:val="BookText"/>
        <w:rPr/>
      </w:pPr>
      <w:r>
        <w:rPr>
          <w:rFonts w:ascii="Amiri" w:hAnsi="Amiri" w:eastAsia="Amiri" w:cs="Amiri"/>
          <w:color w:val="111111"/>
          <w:sz w:val="28"/>
          <w:sz w:val="28"/>
          <w:szCs w:val="28"/>
          <w:rtl w:val="true"/>
          <w:lang w:bidi="ar-SA"/>
        </w:rPr>
        <w:t xml:space="preserve">الولادة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خمسة عشر يوما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في الشرائع </w:t>
      </w:r>
      <w:r>
        <w:rPr>
          <w:rStyle w:val="FootnoteAnchor"/>
          <w:rtl w:val="true"/>
        </w:rPr>
        <w:footnoteReference w:id="864"/>
      </w:r>
      <w:r>
        <w:rPr>
          <w:rFonts w:ascii="Amiri" w:hAnsi="Amiri" w:eastAsia="Amiri" w:cs="Amiri"/>
          <w:color w:val="111111"/>
          <w:sz w:val="28"/>
          <w:sz w:val="28"/>
          <w:szCs w:val="28"/>
          <w:rtl w:val="true"/>
          <w:lang w:bidi="ar-SA"/>
        </w:rPr>
        <w:t xml:space="preserve">، وقطع في الروضة </w:t>
      </w:r>
      <w:r>
        <w:rPr>
          <w:rStyle w:val="FootnoteAnchor"/>
          <w:rtl w:val="true"/>
        </w:rPr>
        <w:footnoteReference w:id="865"/>
      </w:r>
      <w:r>
        <w:rPr>
          <w:rFonts w:ascii="Amiri" w:hAnsi="Amiri" w:eastAsia="Amiri" w:cs="Amiri"/>
          <w:color w:val="111111"/>
          <w:sz w:val="28"/>
          <w:sz w:val="28"/>
          <w:szCs w:val="28"/>
          <w:rtl w:val="true"/>
          <w:lang w:bidi="ar-SA"/>
        </w:rPr>
        <w:t>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مستند لشي‌ء من التحديدين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المصباح </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ربّى ما بينها وبين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وفسرها الجوهري </w:t>
      </w:r>
      <w:r>
        <w:rPr>
          <w:rStyle w:val="FootnoteAnchor"/>
          <w:rtl w:val="true"/>
        </w:rPr>
        <w:footnoteReference w:id="868"/>
      </w:r>
      <w:r>
        <w:rPr>
          <w:rFonts w:ascii="Amiri" w:hAnsi="Amiri" w:eastAsia="Amiri" w:cs="Amiri"/>
          <w:color w:val="111111"/>
          <w:sz w:val="28"/>
          <w:sz w:val="28"/>
          <w:szCs w:val="28"/>
          <w:rtl w:val="true"/>
          <w:lang w:bidi="ar-SA"/>
        </w:rPr>
        <w:t>بالتي وضعت جديدا ولم يحدّوه بالأيّام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الشاة القريبة العهد بالولادة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هو تفسيرها بالتي تربى في البيت من الغنم لأجل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تفسير آخر لا يراد في المقام لكونها إذن معلوفة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هناك اختلافا آخر بين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المعز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المعز والضّأن ، وربّما جاء في الإبل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فالظاهر في المقام الرجوع في التسمية إلى العرف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الشك يبنى على الأخذ بالإطلاقات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تعليلاتهم في بعضها يعمّ سائر الأنعام ، فلو تمّ الاستناد إليه في استنباط الحكم صحّ الأخذ بما يقتضيه ، وإلّا فالبناء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فسّر الرّبى في الصحيحة </w:t>
      </w:r>
      <w:r>
        <w:rPr>
          <w:rStyle w:val="FootnoteAnchor"/>
          <w:rtl w:val="true"/>
        </w:rPr>
        <w:footnoteReference w:id="870"/>
      </w:r>
      <w:r>
        <w:rPr>
          <w:rFonts w:ascii="Amiri" w:hAnsi="Amiri" w:eastAsia="Amiri" w:cs="Amiri"/>
          <w:color w:val="111111"/>
          <w:sz w:val="28"/>
          <w:sz w:val="28"/>
          <w:szCs w:val="28"/>
          <w:rtl w:val="true"/>
          <w:lang w:bidi="ar-SA"/>
        </w:rPr>
        <w:t>المتقدمة بالتي تربّي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يحمل الرواية على تقييد الحكم المذكور فيها دون التسمية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الأصحاب تعميم الحكم ، وهو قضية إطلاق الموثقة ، فكأنّه الأظهر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وليست الصحيحة صريحة </w:t>
      </w:r>
      <w:r>
        <w:rPr>
          <w:rStyle w:val="FootnoteAnchor"/>
          <w:rtl w:val="true"/>
        </w:rPr>
        <w:footnoteReference w:id="871"/>
      </w:r>
      <w:r>
        <w:rPr>
          <w:rFonts w:ascii="Amiri" w:hAnsi="Amiri" w:eastAsia="Amiri" w:cs="Amiri"/>
          <w:color w:val="111111"/>
          <w:sz w:val="28"/>
          <w:sz w:val="28"/>
          <w:szCs w:val="28"/>
          <w:rtl w:val="true"/>
          <w:lang w:bidi="ar-SA"/>
        </w:rPr>
        <w:t>في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في الحدائق </w:t>
      </w:r>
      <w:r>
        <w:rPr>
          <w:rStyle w:val="FootnoteAnchor"/>
          <w:rtl w:val="true"/>
        </w:rPr>
        <w:footnoteReference w:id="872"/>
      </w:r>
      <w:r>
        <w:rPr>
          <w:rFonts w:ascii="Amiri" w:hAnsi="Amiri" w:eastAsia="Amiri" w:cs="Amiri"/>
          <w:color w:val="111111"/>
          <w:sz w:val="28"/>
          <w:sz w:val="28"/>
          <w:szCs w:val="28"/>
          <w:rtl w:val="true"/>
          <w:lang w:bidi="ar-SA"/>
        </w:rPr>
        <w:t>حمل إطلاق الأوّل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اختلفوا في تعليل الحكم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أخذها </w:t>
      </w:r>
      <w:r>
        <w:rPr>
          <w:rStyle w:val="FootnoteAnchor"/>
          <w:rtl w:val="true"/>
        </w:rPr>
        <w:footnoteReference w:id="873"/>
      </w:r>
      <w:r>
        <w:rPr>
          <w:rFonts w:ascii="Amiri" w:hAnsi="Amiri" w:eastAsia="Amiri" w:cs="Amiri"/>
          <w:color w:val="111111"/>
          <w:sz w:val="28"/>
          <w:sz w:val="28"/>
          <w:szCs w:val="28"/>
          <w:rtl w:val="true"/>
          <w:lang w:bidi="ar-SA"/>
        </w:rPr>
        <w:t>إضرار بولدها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الفاضلان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مريضة </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واستوجه الشهيد الثاني </w:t>
      </w:r>
      <w:r>
        <w:rPr>
          <w:rStyle w:val="FootnoteAnchor"/>
          <w:rtl w:val="true"/>
        </w:rPr>
        <w:footnoteReference w:id="875"/>
      </w:r>
      <w:r>
        <w:rPr>
          <w:rFonts w:ascii="Amiri" w:hAnsi="Amiri" w:eastAsia="Amiri" w:cs="Amiri"/>
          <w:color w:val="111111"/>
          <w:sz w:val="28"/>
          <w:sz w:val="28"/>
          <w:szCs w:val="28"/>
          <w:rtl w:val="true"/>
          <w:lang w:bidi="ar-SA"/>
        </w:rPr>
        <w:t>معلّلا بأنّها نفساء ، والنفساء مريضة ، ومن ثمّ لا يقام الحدّ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ويثمر الوجهان فيما إذا رضي المالك بدفعها فيما إذا مات ولدها أو استغنى عن أبيه </w:t>
      </w:r>
      <w:r>
        <w:rPr>
          <w:rStyle w:val="FootnoteAnchor"/>
          <w:rtl w:val="true"/>
        </w:rPr>
        <w:footnoteReference w:id="876"/>
      </w:r>
      <w:r>
        <w:rPr>
          <w:rFonts w:ascii="Amiri" w:hAnsi="Amiri" w:eastAsia="Amiri" w:cs="Amiri"/>
          <w:color w:val="111111"/>
          <w:sz w:val="28"/>
          <w:sz w:val="28"/>
          <w:szCs w:val="28"/>
          <w:rtl w:val="true"/>
          <w:lang w:bidi="ar-SA"/>
        </w:rPr>
        <w:t>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إنها </w:t>
      </w:r>
      <w:r>
        <w:rPr>
          <w:rStyle w:val="FootnoteAnchor"/>
          <w:rtl w:val="true"/>
        </w:rPr>
        <w:footnoteReference w:id="877"/>
      </w:r>
      <w:r>
        <w:rPr>
          <w:rFonts w:ascii="Amiri" w:hAnsi="Amiri" w:eastAsia="Amiri" w:cs="Amiri"/>
          <w:color w:val="111111"/>
          <w:sz w:val="28"/>
          <w:sz w:val="28"/>
          <w:szCs w:val="28"/>
          <w:rtl w:val="true"/>
          <w:lang w:bidi="ar-SA"/>
        </w:rPr>
        <w:t>يضعف الأخير بأنّ المرجع في صدق المرض إلى العرف ، واندراج ذلك فيه محلّ تأمل بل الظاهر من العرف خلافه ، وعدم إقامة الحد على النفساء يقضي بكونها مريضة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تعدّدت فحول الضراب جرى الحكم في الكل </w:t>
      </w:r>
      <w:r>
        <w:rPr>
          <w:rStyle w:val="FootnoteAnchor"/>
          <w:rtl w:val="true"/>
        </w:rPr>
        <w:footnoteReference w:id="878"/>
      </w:r>
      <w:r>
        <w:rPr>
          <w:rFonts w:ascii="Amiri" w:hAnsi="Amiri" w:eastAsia="Amiri" w:cs="Amiri"/>
          <w:color w:val="111111"/>
          <w:sz w:val="28"/>
          <w:sz w:val="28"/>
          <w:szCs w:val="28"/>
          <w:rtl w:val="true"/>
          <w:lang w:bidi="ar-SA"/>
        </w:rPr>
        <w:t>وكذا الحال في الأكولة والربّى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استوعب النصاب فالظاهر الإخراج منها سيّما بعد الحكم بتعلّق الزكاة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القول بعدم إخراج شي‌ء منها والدفع من غيرها أو دفع القيمة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ذلك أيضا فيما لو تلفّق النصاب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المالك شيئا من المذكورات جاز الدفع ومن الواجب ؛ إذ المقصود من عدم أخذها مراعاة المالك والارتفاق به ، فلو تبرّع بدفعها لم يكن هناك مانع من أخذها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بأنّ عدم تعلّق الوجوب بها قاض بعدم احتسابها من الفريضة ، وإن كان ذلك </w:t>
      </w:r>
    </w:p>
    <w:p>
      <w:pPr>
        <w:pStyle w:val="BookText"/>
        <w:rPr/>
      </w:pPr>
      <w:r>
        <w:rPr>
          <w:rFonts w:ascii="Amiri" w:hAnsi="Amiri" w:eastAsia="Amiri" w:cs="Amiri"/>
          <w:color w:val="111111"/>
          <w:sz w:val="28"/>
          <w:sz w:val="28"/>
          <w:szCs w:val="28"/>
          <w:rtl w:val="true"/>
          <w:lang w:bidi="ar-SA"/>
        </w:rPr>
        <w:t>لمصلحة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إنما يصحّ دفعها من باب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بعيد ؛ إذ ظاهر الدليل عدم سلطان العامل على أخذها وهو لا يقضي بعدم سلطان المالك على ذلك مع قضاء الإطلاق </w:t>
      </w:r>
      <w:r>
        <w:rPr>
          <w:rStyle w:val="FootnoteAnchor"/>
          <w:rtl w:val="true"/>
        </w:rPr>
        <w:footnoteReference w:id="879"/>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إذا فسّرت المذكورات بما لا يشتمل على صفة نقص ، وأما لو فسّر بعضها بما فيه 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فائدة في رضا المالك بدفعه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تستشكل </w:t>
      </w:r>
      <w:r>
        <w:rPr>
          <w:rStyle w:val="FootnoteAnchor"/>
          <w:rtl w:val="true"/>
        </w:rPr>
        <w:footnoteReference w:id="880"/>
      </w:r>
      <w:r>
        <w:rPr>
          <w:rFonts w:ascii="Amiri" w:hAnsi="Amiri" w:eastAsia="Amiri" w:cs="Amiri"/>
          <w:color w:val="111111"/>
          <w:sz w:val="28"/>
          <w:sz w:val="28"/>
          <w:szCs w:val="28"/>
          <w:rtl w:val="true"/>
          <w:lang w:bidi="ar-SA"/>
        </w:rPr>
        <w:t>في المقام بأنّه مع جواز دفعها في الصدقة وأداء الفريضة بها لا ثمرة للحكم المذكور ؛ إذ ليس للفقير والعامل إجبار المالك على دفع عين مخصوصة ؛ لتخيره في دفع ما شاء مع الخلو عن صفات النقص المتقدمة ، فكما لا يصح إجبار المالك على دفع المذكورات لا يصحّ إجباره بالنسبة إلى ما عداها أيضا ، وكما يتحقّق دفع الواجب مع إقدام المالك عليه في غيرها يتحقّق ذلك بالنسبة إليها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إنّما يثمر فيها لو امتنع المالك عن أداء الحق ، فإنّه لا يقهر على دفع شي‌ء من المذكورات بخلاف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أيضا بإثماره في صحّة تصرف المالك فيما قبل الضمان لعدم تعلّق حق الفقير بها بخلاف غيرها ، وكذا في تلفها بعد حلول الحول فلا ينقص شي‌ء من الزكاة بتلف شي‌ء منها لتعين الحق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الحال فيهما بأنّ عدّها في النصاب قاض بتعلّق الزكاة بها أيضا غاية الأمر الارتفاق بالمالك في عدم أخذها ، وذلك لا يقضي بعدم تعلّق حق الفقير بها أصلا حتى يصحّ التصرف فيها بدون الضمان ، ولا يسقط شي‌ء من حقّ الفقير بتلفها بعد الحول ، ويجري ذلك بعينه في التصرّف فيما هو بخلاف الصفات المعتبرة في الفريضة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الأظهر هنا وهناك المنع من التصرف بدون الضمان ، وكذا السقوط من الزكاة </w:t>
      </w:r>
    </w:p>
    <w:p>
      <w:pPr>
        <w:pStyle w:val="BookText"/>
        <w:rPr/>
      </w:pPr>
      <w:r>
        <w:rPr>
          <w:rFonts w:ascii="Amiri" w:hAnsi="Amiri" w:eastAsia="Amiri" w:cs="Amiri"/>
          <w:color w:val="111111"/>
          <w:sz w:val="28"/>
          <w:sz w:val="28"/>
          <w:szCs w:val="28"/>
          <w:rtl w:val="true"/>
          <w:lang w:bidi="ar-SA"/>
        </w:rPr>
        <w:t xml:space="preserve">بالنسبة مع تلف </w:t>
      </w:r>
      <w:r>
        <w:rPr>
          <w:rStyle w:val="FootnoteAnchor"/>
          <w:rtl w:val="true"/>
        </w:rPr>
        <w:footnoteReference w:id="881"/>
      </w:r>
      <w:r>
        <w:rPr>
          <w:rFonts w:ascii="Amiri" w:hAnsi="Amiri" w:eastAsia="Amiri" w:cs="Amiri"/>
          <w:color w:val="111111"/>
          <w:sz w:val="28"/>
          <w:sz w:val="28"/>
          <w:szCs w:val="28"/>
          <w:rtl w:val="true"/>
          <w:lang w:bidi="ar-SA"/>
        </w:rPr>
        <w:t>ما هو بخلاف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المشهور عدّ الأكولة وفحل الضراب في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الربّى فظاهرهم الاتفاق على 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في المدارك </w:t>
      </w:r>
      <w:r>
        <w:rPr>
          <w:rStyle w:val="FootnoteAnchor"/>
          <w:rtl w:val="true"/>
        </w:rPr>
        <w:footnoteReference w:id="884"/>
      </w:r>
      <w:r>
        <w:rPr>
          <w:rFonts w:ascii="Amiri" w:hAnsi="Amiri" w:eastAsia="Amiri" w:cs="Amiri"/>
          <w:color w:val="111111"/>
          <w:sz w:val="28"/>
          <w:sz w:val="28"/>
          <w:szCs w:val="28"/>
          <w:rtl w:val="true"/>
          <w:lang w:bidi="ar-SA"/>
        </w:rPr>
        <w:t>اتفاقهم عليه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الفاضلان رحمه‌اللّه في النافع </w:t>
      </w:r>
      <w:r>
        <w:rPr>
          <w:rStyle w:val="FootnoteAnchor"/>
          <w:rtl w:val="true"/>
        </w:rPr>
        <w:footnoteReference w:id="885"/>
      </w:r>
      <w:r>
        <w:rPr>
          <w:rFonts w:ascii="Amiri" w:hAnsi="Amiri" w:eastAsia="Amiri" w:cs="Amiri"/>
          <w:color w:val="111111"/>
          <w:sz w:val="28"/>
          <w:sz w:val="28"/>
          <w:szCs w:val="28"/>
          <w:rtl w:val="true"/>
          <w:lang w:bidi="ar-SA"/>
        </w:rPr>
        <w:t xml:space="preserve">والقواعد ، والشهيد في اللمعة </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عدّ الأوليين في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واختاره في الحدائق </w:t>
      </w:r>
      <w:r>
        <w:rPr>
          <w:rStyle w:val="FootnoteAnchor"/>
          <w:rtl w:val="true"/>
        </w:rPr>
        <w:footnoteReference w:id="887"/>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بعدم عدّ شاة اللّبن والربّي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عبارة المحقق الأردبيلي </w:t>
      </w:r>
      <w:r>
        <w:rPr>
          <w:rStyle w:val="FootnoteAnchor"/>
          <w:rtl w:val="true"/>
        </w:rPr>
        <w:footnoteReference w:id="888"/>
      </w:r>
      <w:r>
        <w:rPr>
          <w:rFonts w:ascii="Amiri" w:hAnsi="Amiri" w:eastAsia="Amiri" w:cs="Amiri"/>
          <w:color w:val="111111"/>
          <w:sz w:val="28"/>
          <w:sz w:val="28"/>
          <w:szCs w:val="28"/>
          <w:rtl w:val="true"/>
          <w:lang w:bidi="ar-SA"/>
        </w:rPr>
        <w:t>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صاحب المفاتيح التردد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هو الأوّل ؛ لظاهر الإطلاقات الكثيرة المؤيّدة بالعمل والاحتياط للمالك مع عدم إشعار شي‌ء من الأخبار بخروج المذكورات مع عموم البلوى بذلك ، وظاهر الموثقة المتقدّمة الناهية عن أخذها فإنّها تومى إلى عدّها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والصحيحة المتقدمة وإن دلّت بظاهرها على عدم العدّ إلّا أنها لاشتمالها على شاة اللبن والربّى لا بدّ من حملها على عدم الأخذ ؛ إذ لا يظهر قائل من الأصحاب بعدم عدّهما في النصاب سوى شذوذ من المتأخرين حيث مالوا إلى العمل بمضمونها سيّما إذا فسّرت شاة اللبن </w:t>
      </w:r>
    </w:p>
    <w:p>
      <w:pPr>
        <w:pStyle w:val="BookText"/>
        <w:rPr/>
      </w:pPr>
      <w:r>
        <w:rPr>
          <w:rFonts w:ascii="Amiri" w:hAnsi="Amiri" w:eastAsia="Amiri" w:cs="Amiri"/>
          <w:color w:val="111111"/>
          <w:sz w:val="28"/>
          <w:sz w:val="28"/>
          <w:szCs w:val="28"/>
          <w:rtl w:val="true"/>
          <w:lang w:bidi="ar-SA"/>
        </w:rPr>
        <w:t>بذات اللبن كما هو الظاهر من إطلاقها ؛ فإنّ القول بعدم عدّها حينئذ ممّا ينبغي القطع بفساده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فلا ينبغي التأمّل في عدّ الأخيرتين ، وبذلك يسهل الخطب في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الحدائق </w:t>
      </w:r>
      <w:r>
        <w:rPr>
          <w:rStyle w:val="FootnoteAnchor"/>
          <w:rtl w:val="true"/>
        </w:rPr>
        <w:footnoteReference w:id="889"/>
      </w:r>
      <w:r>
        <w:rPr>
          <w:rFonts w:ascii="Amiri" w:hAnsi="Amiri" w:eastAsia="Amiri" w:cs="Amiri"/>
          <w:color w:val="111111"/>
          <w:sz w:val="28"/>
          <w:sz w:val="28"/>
          <w:szCs w:val="28"/>
          <w:rtl w:val="true"/>
          <w:lang w:bidi="ar-SA"/>
        </w:rPr>
        <w:t xml:space="preserve">من أنّه بعد تسليم الإجماع على عدّ الأخيرتين وترجيحه على الخبر فأيّ مانع من العمل بالخبر المذكور في الباقي؟ ممّا لا </w:t>
      </w:r>
      <w:r>
        <w:rPr>
          <w:rStyle w:val="FootnoteAnchor"/>
          <w:rtl w:val="true"/>
        </w:rPr>
        <w:footnoteReference w:id="890"/>
      </w:r>
      <w:r>
        <w:rPr>
          <w:rFonts w:ascii="Amiri" w:hAnsi="Amiri" w:eastAsia="Amiri" w:cs="Amiri"/>
          <w:color w:val="111111"/>
          <w:sz w:val="28"/>
          <w:sz w:val="28"/>
          <w:szCs w:val="28"/>
          <w:rtl w:val="true"/>
          <w:lang w:bidi="ar-SA"/>
        </w:rPr>
        <w:t>يتمّ فيه إجماع ، ولا دليل على ما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إلّا من قبيل العام المخصوص ، مدفوع بأنّ المراد أنّ قيام الإجماع على عدّ الأخيرين قرينة صرف الخبر عن ظاهره وحمله على المعنى المذكور ، وليس الغرض جعل ذلك باعثا على طرح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 ذلك فلا ريب في كون ذلك موهنا للرواية المذكورة ، فيرجّح الاخذ بما يقابلها في مقام الترجيح ، سيّما مع اعتضاد ذلك ببعض المؤيّدات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وجعله من قبيل العام المخصوص غير متّجه ؛ إذ ليس التخصيص طرحا للعام ، وإنّما هو بيان للمقصود بخلاف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بما قرّرناه الوجه في سائر الأقوال وضعفها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النصاب ملفّقا ممّا لا يؤخذ لكماله وممّا لا يؤخذ لنقصه ، فهل يتعيّن عليه الدفع من غيره أو يرجع فيه إلى القيمة أو يتعيّن عليه دفع الكامل إيفاء </w:t>
      </w:r>
      <w:r>
        <w:rPr>
          <w:rStyle w:val="FootnoteAnchor"/>
          <w:rtl w:val="true"/>
        </w:rPr>
        <w:footnoteReference w:id="891"/>
      </w:r>
      <w:r>
        <w:rPr>
          <w:rFonts w:ascii="Amiri" w:hAnsi="Amiri" w:eastAsia="Amiri" w:cs="Amiri"/>
          <w:color w:val="111111"/>
          <w:sz w:val="28"/>
          <w:sz w:val="28"/>
          <w:szCs w:val="28"/>
          <w:rtl w:val="true"/>
          <w:lang w:bidi="ar-SA"/>
        </w:rPr>
        <w:t>لحق الفقراء وأخذا بالاحتياط لو يجتزي منه حينئذ بدفع الناقص لمناسبة الارتفاق بالمالك؟ وجوه ؛ ومراعاة الاحتياط في ذلك ممّا لا ينبغي تركها</w:t>
      </w:r>
      <w:r>
        <w:rPr>
          <w:rFonts w:eastAsia="Amiri" w:cs="Amiri" w:ascii="Amiri" w:hAnsi="Amiri"/>
          <w:color w:val="111111"/>
          <w:sz w:val="28"/>
          <w:szCs w:val="28"/>
          <w:rtl w:val="true"/>
          <w:lang w:bidi="ar-SA"/>
        </w:rPr>
        <w:t xml:space="preserve">. </w:t>
      </w:r>
      <w:bookmarkStart w:id="119" w:name="pg15853_153424"/>
    </w:p>
    <w:p>
      <w:pPr>
        <w:pStyle w:val="Heading6"/>
        <w:numPr>
          <w:ilvl w:val="5"/>
          <w:numId w:val="1"/>
        </w:numPr>
        <w:rPr/>
      </w:pPr>
      <w:bookmarkStart w:id="120" w:name="__RefHeading___Toc14587123_2142443653"/>
      <w:bookmarkStart w:id="121" w:name="_Toc44"/>
      <w:bookmarkEnd w:id="119"/>
      <w:bookmarkEnd w:id="120"/>
      <w:r>
        <w:rPr>
          <w:rtl w:val="true"/>
        </w:rPr>
        <w:t>تبصرة</w:t>
      </w:r>
      <w:r>
        <w:rPr>
          <w:rtl w:val="true"/>
        </w:rPr>
        <w:t xml:space="preserve">: [ </w:t>
      </w:r>
      <w:r>
        <w:rPr>
          <w:rtl w:val="true"/>
        </w:rPr>
        <w:t xml:space="preserve">في تعدّد ما هو بصفة الواجب </w:t>
      </w:r>
      <w:r>
        <w:rPr>
          <w:rtl w:val="true"/>
        </w:rPr>
        <w:t>]</w:t>
      </w:r>
      <w:bookmarkEnd w:id="121"/>
    </w:p>
    <w:p>
      <w:pPr>
        <w:pStyle w:val="BookText"/>
        <w:rPr/>
      </w:pPr>
      <w:r>
        <w:rPr>
          <w:rFonts w:ascii="Amiri" w:hAnsi="Amiri" w:eastAsia="Amiri" w:cs="Amiri"/>
          <w:color w:val="111111"/>
          <w:sz w:val="28"/>
          <w:sz w:val="28"/>
          <w:szCs w:val="28"/>
          <w:rtl w:val="true"/>
          <w:lang w:bidi="ar-SA"/>
        </w:rPr>
        <w:t xml:space="preserve">يتخيّر المالك في دفع ما شاء مع تعدّد ما هو بصفة الواجب كما يقتضيه ظاهر </w:t>
      </w:r>
      <w:r>
        <w:rPr>
          <w:rStyle w:val="FootnoteAnchor"/>
          <w:rtl w:val="true"/>
        </w:rPr>
        <w:footnoteReference w:id="892"/>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المستفاد من ظاهر معظم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الشيخ </w:t>
      </w:r>
      <w:r>
        <w:rPr>
          <w:rStyle w:val="FootnoteAnchor"/>
          <w:rtl w:val="true"/>
        </w:rPr>
        <w:footnoteReference w:id="893"/>
      </w:r>
      <w:r>
        <w:rPr>
          <w:rFonts w:ascii="Amiri" w:hAnsi="Amiri" w:eastAsia="Amiri" w:cs="Amiri"/>
          <w:color w:val="111111"/>
          <w:sz w:val="28"/>
          <w:sz w:val="28"/>
          <w:szCs w:val="28"/>
          <w:rtl w:val="true"/>
          <w:lang w:bidi="ar-SA"/>
        </w:rPr>
        <w:t xml:space="preserve">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وقعت المشاحة في تعيين الواجب في الإبل مع تعدّد ما هو بالصفة </w:t>
      </w:r>
      <w:r>
        <w:rPr>
          <w:rStyle w:val="FootnoteAnchor"/>
          <w:rtl w:val="true"/>
        </w:rPr>
        <w:footnoteReference w:id="894"/>
      </w:r>
      <w:r>
        <w:rPr>
          <w:rFonts w:ascii="Amiri" w:hAnsi="Amiri" w:eastAsia="Amiri" w:cs="Amiri"/>
          <w:color w:val="111111"/>
          <w:sz w:val="28"/>
          <w:sz w:val="28"/>
          <w:szCs w:val="28"/>
          <w:rtl w:val="true"/>
          <w:lang w:bidi="ar-SA"/>
        </w:rPr>
        <w:t>يقسم ما جمع الوصف قسمين ثمّ يقرع بينهما ، وهكذا حتى يبقى قدر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يعرف المستند فيه ، وكأنّه من جهة إبهام الحق فيستخرج بالقرعة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 ]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 xml:space="preserve">. </w:t>
      </w:r>
      <w:bookmarkStart w:id="122" w:name="pg15853_153425"/>
    </w:p>
    <w:p>
      <w:pPr>
        <w:pStyle w:val="Heading6"/>
        <w:numPr>
          <w:ilvl w:val="5"/>
          <w:numId w:val="1"/>
        </w:numPr>
        <w:rPr/>
      </w:pPr>
      <w:bookmarkStart w:id="123" w:name="__RefHeading___Toc14587125_2142443653"/>
      <w:bookmarkStart w:id="124" w:name="_Toc45"/>
      <w:bookmarkEnd w:id="122"/>
      <w:bookmarkEnd w:id="123"/>
      <w:r>
        <w:rPr>
          <w:rtl w:val="true"/>
        </w:rPr>
        <w:t>تبصرة</w:t>
      </w:r>
      <w:r>
        <w:rPr>
          <w:rtl w:val="true"/>
        </w:rPr>
        <w:t xml:space="preserve">: [ </w:t>
      </w:r>
      <w:r>
        <w:rPr>
          <w:rtl w:val="true"/>
        </w:rPr>
        <w:t xml:space="preserve">في زكاة العين المستقرضة </w:t>
      </w:r>
      <w:r>
        <w:rPr>
          <w:rtl w:val="true"/>
        </w:rPr>
        <w:t>]</w:t>
      </w:r>
      <w:bookmarkEnd w:id="124"/>
    </w:p>
    <w:p>
      <w:pPr>
        <w:pStyle w:val="BookText"/>
        <w:rPr/>
      </w:pPr>
      <w:r>
        <w:rPr>
          <w:rFonts w:ascii="Amiri" w:hAnsi="Amiri" w:eastAsia="Amiri" w:cs="Amiri"/>
          <w:color w:val="111111"/>
          <w:sz w:val="28"/>
          <w:sz w:val="28"/>
          <w:szCs w:val="28"/>
          <w:rtl w:val="true"/>
          <w:lang w:bidi="ar-SA"/>
        </w:rPr>
        <w:t xml:space="preserve">زكاة العين المستقرضة اذا حال عليها الحول على المقترض دون المقرض بلا خلاف فيه ظاهرا ، ومصرحا به في الخلاف </w:t>
      </w:r>
      <w:r>
        <w:rPr>
          <w:rStyle w:val="FootnoteAnchor"/>
          <w:rtl w:val="true"/>
        </w:rPr>
        <w:footnoteReference w:id="896"/>
      </w:r>
      <w:r>
        <w:rPr>
          <w:rFonts w:ascii="IRNazanin" w:hAnsi="IRNazanin" w:eastAsia="IRNazanin"/>
          <w:color w:val="111111"/>
          <w:sz w:val="28"/>
          <w:sz w:val="28"/>
          <w:szCs w:val="28"/>
          <w:rtl w:val="true"/>
          <w:lang w:bidi="fa-IR"/>
        </w:rPr>
        <w:t xml:space="preserve">والسرائر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مذهب الأصحاب مؤذنا بالإجماع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يستفاد من الوسيلة </w:t>
      </w:r>
      <w:r>
        <w:rPr>
          <w:rStyle w:val="FootnoteAnchor"/>
          <w:rtl w:val="true"/>
        </w:rPr>
        <w:footnoteReference w:id="898"/>
      </w:r>
      <w:r>
        <w:rPr>
          <w:rFonts w:ascii="Amiri" w:hAnsi="Amiri" w:eastAsia="Amiri" w:cs="Amiri"/>
          <w:color w:val="111111"/>
          <w:sz w:val="28"/>
          <w:sz w:val="28"/>
          <w:szCs w:val="28"/>
          <w:rtl w:val="true"/>
          <w:lang w:bidi="ar-SA"/>
        </w:rPr>
        <w:t xml:space="preserve">وجوب الزكاة على المقرض مع ردّ المستقرض وإبائه عن الأخذ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لم يأخذ المال من المستقرض وهو يرد عليه وجب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حمله على الدين ، فيرجع إلى المسألة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يوجّه بنحو آخر يأتي الإشارة إليه إن شاء اللّه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يستفاد من إطلاق جماعة في المسألة المتقدمة من ثبوت زكاة الدين على الديّان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المديون باذلا ، وثبوتها على المديون مع عدمه وجب زكاة القرض على المقرض إذا كان </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 xml:space="preserve">باذلا لعين القرض ؛ بناء على وجوب قبول المقرض </w:t>
      </w:r>
      <w:r>
        <w:rPr>
          <w:rStyle w:val="FootnoteAnchor"/>
          <w:rtl w:val="true"/>
        </w:rPr>
        <w:footnoteReference w:id="900"/>
      </w:r>
      <w:r>
        <w:rPr>
          <w:rFonts w:ascii="Amiri" w:hAnsi="Amiri" w:eastAsia="Amiri" w:cs="Amiri"/>
          <w:color w:val="111111"/>
          <w:sz w:val="28"/>
          <w:sz w:val="28"/>
          <w:szCs w:val="28"/>
          <w:rtl w:val="true"/>
          <w:lang w:bidi="ar-SA"/>
        </w:rPr>
        <w:t xml:space="preserve">إذا بذله سيّما بما مرّ عن شرح الجمل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المستدين قد رام دفع مال المقرض إلى من ملكه فلم يقبضه المالك وأخّره ، وهو بحيث يتمكن من الصرف </w:t>
      </w:r>
      <w:r>
        <w:rPr>
          <w:rStyle w:val="FootnoteAnchor"/>
          <w:rtl w:val="true"/>
        </w:rPr>
        <w:footnoteReference w:id="901"/>
      </w:r>
      <w:r>
        <w:rPr>
          <w:rFonts w:ascii="Amiri" w:hAnsi="Amiri" w:eastAsia="Amiri" w:cs="Amiri"/>
          <w:color w:val="111111"/>
          <w:sz w:val="28"/>
          <w:sz w:val="28"/>
          <w:szCs w:val="28"/>
          <w:rtl w:val="true"/>
          <w:lang w:bidi="ar-SA"/>
        </w:rPr>
        <w:t>فيه لم يكن على المقترض شي‌ء ، وكانت الزكاة على المالك دون المقترض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ينزّل كلامهم على غير عين القرض لما نصّوا عليه من عدم وجوب زكاته على المستقرض من غير تفصيل ، لكن غير واحد من الكتب المذكورة خال من اختصاص مال القرض بالحكم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فلا تأمّل فيما ذكرناه من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بعد ما عرفت ممّا ذكرناه في مال الدين ؛ مضافا إلى ظهور دعوى الإجماع عليه من جماعة كما مرّ المعتبرة المستفيضة المشتملة على </w:t>
      </w:r>
      <w:r>
        <w:rPr>
          <w:rStyle w:val="FootnoteAnchor"/>
          <w:rtl w:val="true"/>
        </w:rPr>
        <w:footnoteReference w:id="902"/>
      </w:r>
      <w:r>
        <w:rPr>
          <w:rFonts w:ascii="Amiri" w:hAnsi="Amiri" w:eastAsia="Amiri" w:cs="Amiri"/>
          <w:color w:val="111111"/>
          <w:sz w:val="28"/>
          <w:sz w:val="28"/>
          <w:szCs w:val="28"/>
          <w:rtl w:val="true"/>
          <w:lang w:bidi="ar-SA"/>
        </w:rPr>
        <w:t>غير واحد من الصحاح وغيرها المعتضدة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شرط زكاتها على المقرض فهل يجب حينئذ على المقرض ويسقط من المقترض؟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الشرط ، فلا يجب بذلك على المقرض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جماعة منهم الحلي في السرائر </w:t>
      </w:r>
      <w:r>
        <w:rPr>
          <w:rStyle w:val="FootnoteAnchor"/>
          <w:rtl w:val="true"/>
        </w:rPr>
        <w:footnoteReference w:id="903"/>
      </w:r>
      <w:r>
        <w:rPr>
          <w:rFonts w:ascii="Amiri" w:hAnsi="Amiri" w:eastAsia="Amiri" w:cs="Amiri"/>
          <w:color w:val="111111"/>
          <w:sz w:val="28"/>
          <w:sz w:val="28"/>
          <w:szCs w:val="28"/>
          <w:rtl w:val="true"/>
          <w:lang w:bidi="ar-SA"/>
        </w:rPr>
        <w:t xml:space="preserve">، والعلّامة في التذكرة </w:t>
      </w:r>
      <w:r>
        <w:rPr>
          <w:rStyle w:val="FootnoteAnchor"/>
          <w:rtl w:val="true"/>
        </w:rPr>
        <w:footnoteReference w:id="904"/>
      </w:r>
      <w:r>
        <w:rPr>
          <w:rFonts w:ascii="Amiri" w:hAnsi="Amiri" w:eastAsia="Amiri" w:cs="Amiri"/>
          <w:color w:val="111111"/>
          <w:sz w:val="28"/>
          <w:sz w:val="28"/>
          <w:szCs w:val="28"/>
          <w:rtl w:val="true"/>
          <w:lang w:bidi="ar-SA"/>
        </w:rPr>
        <w:t xml:space="preserve">وزكاة المختلف </w:t>
      </w:r>
      <w:r>
        <w:rPr>
          <w:rStyle w:val="FootnoteAnchor"/>
          <w:rtl w:val="true"/>
        </w:rPr>
        <w:footnoteReference w:id="905"/>
      </w:r>
      <w:r>
        <w:rPr>
          <w:rFonts w:ascii="Amiri" w:hAnsi="Amiri" w:eastAsia="Amiri" w:cs="Amiri"/>
          <w:color w:val="111111"/>
          <w:sz w:val="28"/>
          <w:sz w:val="28"/>
          <w:szCs w:val="28"/>
          <w:rtl w:val="true"/>
          <w:lang w:bidi="ar-SA"/>
        </w:rPr>
        <w:t xml:space="preserve">، وولده في الايضاح </w:t>
      </w:r>
      <w:r>
        <w:rPr>
          <w:rStyle w:val="FootnoteAnchor"/>
          <w:rtl w:val="true"/>
        </w:rPr>
        <w:footnoteReference w:id="906"/>
      </w:r>
      <w:r>
        <w:rPr>
          <w:rFonts w:ascii="Amiri" w:hAnsi="Amiri" w:eastAsia="Amiri" w:cs="Amiri"/>
          <w:color w:val="111111"/>
          <w:sz w:val="28"/>
          <w:sz w:val="28"/>
          <w:szCs w:val="28"/>
          <w:rtl w:val="true"/>
          <w:lang w:bidi="ar-SA"/>
        </w:rPr>
        <w:t xml:space="preserve">، والشهيد في الدروس </w:t>
      </w:r>
      <w:r>
        <w:rPr>
          <w:rStyle w:val="FootnoteAnchor"/>
          <w:rtl w:val="true"/>
        </w:rPr>
        <w:footnoteReference w:id="907"/>
      </w:r>
      <w:r>
        <w:rPr>
          <w:rFonts w:ascii="Amiri" w:hAnsi="Amiri" w:eastAsia="Amiri" w:cs="Amiri"/>
          <w:color w:val="111111"/>
          <w:sz w:val="28"/>
          <w:sz w:val="28"/>
          <w:szCs w:val="28"/>
          <w:rtl w:val="true"/>
          <w:lang w:bidi="ar-SA"/>
        </w:rPr>
        <w:t xml:space="preserve">والبيان </w:t>
      </w:r>
      <w:r>
        <w:rPr>
          <w:rStyle w:val="FootnoteAnchor"/>
          <w:rtl w:val="true"/>
        </w:rPr>
        <w:footnoteReference w:id="908"/>
      </w:r>
      <w:r>
        <w:rPr>
          <w:rFonts w:ascii="Amiri" w:hAnsi="Amiri" w:eastAsia="Amiri" w:cs="Amiri"/>
          <w:color w:val="111111"/>
          <w:sz w:val="28"/>
          <w:sz w:val="28"/>
          <w:szCs w:val="28"/>
          <w:rtl w:val="true"/>
          <w:lang w:bidi="ar-SA"/>
        </w:rPr>
        <w:t>، والسيوري في التنقيح ، والمحقق الكركي في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المسالك </w:t>
      </w:r>
      <w:r>
        <w:rPr>
          <w:rStyle w:val="FootnoteAnchor"/>
          <w:rtl w:val="true"/>
        </w:rPr>
        <w:footnoteReference w:id="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وعزاه في المدارك </w:t>
      </w:r>
      <w:r>
        <w:rPr>
          <w:rStyle w:val="FootnoteAnchor"/>
          <w:rtl w:val="true"/>
        </w:rPr>
        <w:footnoteReference w:id="910"/>
      </w:r>
      <w:r>
        <w:rPr>
          <w:rFonts w:ascii="Amiri" w:hAnsi="Amiri" w:eastAsia="Amiri" w:cs="Amiri"/>
          <w:color w:val="111111"/>
          <w:sz w:val="28"/>
          <w:sz w:val="28"/>
          <w:szCs w:val="28"/>
          <w:rtl w:val="true"/>
          <w:lang w:bidi="ar-SA"/>
        </w:rPr>
        <w:t>إلى الأكثر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وقضية الحكم بقضاء الشرط الفاسد العقد المشتمل عليه فساد القرض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نصّ عليه الشهيد في الدروس </w:t>
      </w:r>
      <w:r>
        <w:rPr>
          <w:rStyle w:val="FootnoteAnchor"/>
          <w:rtl w:val="true"/>
        </w:rPr>
        <w:footnoteReference w:id="911"/>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الأقرب إبطال الملك أيضا ، لكنّ المستفاد من صريح بعض الكتب المذكورة وفحوى الثاني </w:t>
      </w:r>
      <w:r>
        <w:rPr>
          <w:rStyle w:val="FootnoteAnchor"/>
          <w:rtl w:val="true"/>
        </w:rPr>
        <w:footnoteReference w:id="912"/>
      </w:r>
      <w:r>
        <w:rPr>
          <w:rFonts w:ascii="Amiri" w:hAnsi="Amiri" w:eastAsia="Amiri" w:cs="Amiri"/>
          <w:color w:val="111111"/>
          <w:sz w:val="28"/>
          <w:sz w:val="28"/>
          <w:szCs w:val="28"/>
          <w:rtl w:val="true"/>
          <w:lang w:bidi="ar-SA"/>
        </w:rPr>
        <w:t>صحة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عزا القول المذكور في المختلف </w:t>
      </w:r>
      <w:r>
        <w:rPr>
          <w:rStyle w:val="FootnoteAnchor"/>
          <w:rtl w:val="true"/>
        </w:rPr>
        <w:footnoteReference w:id="913"/>
      </w:r>
      <w:r>
        <w:rPr>
          <w:rFonts w:ascii="Amiri" w:hAnsi="Amiri" w:eastAsia="Amiri" w:cs="Amiri"/>
          <w:color w:val="111111"/>
          <w:sz w:val="28"/>
          <w:sz w:val="28"/>
          <w:szCs w:val="28"/>
          <w:rtl w:val="true"/>
          <w:lang w:bidi="ar-SA"/>
        </w:rPr>
        <w:t xml:space="preserve">إلى عليّ بن بابويه في الرسالة ، والعماني والمفيد في المقنعة </w:t>
      </w:r>
      <w:r>
        <w:rPr>
          <w:rStyle w:val="FootnoteAnchor"/>
          <w:rtl w:val="true"/>
        </w:rPr>
        <w:footnoteReference w:id="914"/>
      </w:r>
      <w:r>
        <w:rPr>
          <w:rFonts w:ascii="Amiri" w:hAnsi="Amiri" w:eastAsia="Amiri" w:cs="Amiri"/>
          <w:color w:val="111111"/>
          <w:sz w:val="28"/>
          <w:sz w:val="28"/>
          <w:szCs w:val="28"/>
          <w:rtl w:val="true"/>
          <w:lang w:bidi="ar-SA"/>
        </w:rPr>
        <w:t xml:space="preserve">، والشيخ في زكاة النهاية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 لاطلاقهم وجوب زكاة القرض على المستقرض كما هو الحال في عبارة المقنعة </w:t>
      </w:r>
      <w:r>
        <w:rPr>
          <w:rStyle w:val="FootnoteAnchor"/>
          <w:rtl w:val="true"/>
        </w:rPr>
        <w:footnoteReference w:id="916"/>
      </w:r>
      <w:r>
        <w:rPr>
          <w:rFonts w:ascii="Amiri" w:hAnsi="Amiri" w:eastAsia="Amiri" w:cs="Amiri"/>
          <w:color w:val="111111"/>
          <w:sz w:val="28"/>
          <w:sz w:val="28"/>
          <w:szCs w:val="28"/>
          <w:rtl w:val="true"/>
          <w:lang w:bidi="ar-SA"/>
        </w:rPr>
        <w:t xml:space="preserve">وزكاة النهاية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الشرط ، ووجوب الزكاة </w:t>
      </w:r>
      <w:r>
        <w:rPr>
          <w:rStyle w:val="FootnoteAnchor"/>
          <w:rtl w:val="true"/>
        </w:rPr>
        <w:footnoteReference w:id="918"/>
      </w:r>
      <w:r>
        <w:rPr>
          <w:rFonts w:ascii="Amiri" w:hAnsi="Amiri" w:eastAsia="Amiri" w:cs="Amiri"/>
          <w:color w:val="111111"/>
          <w:sz w:val="28"/>
          <w:sz w:val="28"/>
          <w:szCs w:val="28"/>
          <w:rtl w:val="true"/>
          <w:lang w:bidi="ar-SA"/>
        </w:rPr>
        <w:t>على المقرض وسقوطها عن المستقرض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الشيخ في النهاية </w:t>
      </w:r>
      <w:r>
        <w:rPr>
          <w:rStyle w:val="FootnoteAnchor"/>
          <w:rtl w:val="true"/>
        </w:rPr>
        <w:footnoteReference w:id="919"/>
      </w:r>
      <w:r>
        <w:rPr>
          <w:rFonts w:ascii="Amiri" w:hAnsi="Amiri" w:eastAsia="Amiri" w:cs="Amiri"/>
          <w:color w:val="111111"/>
          <w:sz w:val="28"/>
          <w:sz w:val="28"/>
          <w:szCs w:val="28"/>
          <w:rtl w:val="true"/>
          <w:lang w:bidi="ar-SA"/>
        </w:rPr>
        <w:t xml:space="preserve">والقاضي في شرح الحمل ، والعلّامة في قرض المختلف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وحكاه عن الطوسي أيضا ، ولم نجد ذلك في الوسيلة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حكم فيها بصحّة الشرط المذكور ، وهي أعمّ ممّا ذكر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يظهر القول به عن الصدوقين حيث حكما في الرسالة والفقيه </w:t>
      </w:r>
      <w:r>
        <w:rPr>
          <w:rStyle w:val="FootnoteAnchor"/>
          <w:rtl w:val="true"/>
        </w:rPr>
        <w:footnoteReference w:id="922"/>
      </w:r>
      <w:r>
        <w:rPr>
          <w:rFonts w:ascii="IRNazanin" w:hAnsi="IRNazanin" w:eastAsia="IRNazanin"/>
          <w:color w:val="111111"/>
          <w:sz w:val="28"/>
          <w:sz w:val="28"/>
          <w:szCs w:val="28"/>
          <w:rtl w:val="true"/>
          <w:lang w:bidi="fa-IR"/>
        </w:rPr>
        <w:t xml:space="preserve">والمقنع </w:t>
      </w:r>
      <w:r>
        <w:rPr>
          <w:rStyle w:val="FootnoteAnchor"/>
          <w:rtl w:val="true"/>
        </w:rPr>
        <w:footnoteReference w:id="923"/>
      </w:r>
      <w:r>
        <w:rPr>
          <w:rFonts w:ascii="IRNazanin" w:hAnsi="IRNazanin" w:eastAsia="IRNazanin"/>
          <w:color w:val="111111"/>
          <w:sz w:val="28"/>
          <w:sz w:val="28"/>
          <w:szCs w:val="28"/>
          <w:rtl w:val="true"/>
          <w:lang w:bidi="fa-IR"/>
        </w:rPr>
        <w:t xml:space="preserve">بأنه لو </w:t>
      </w:r>
    </w:p>
    <w:p>
      <w:pPr>
        <w:pStyle w:val="BookText"/>
        <w:rPr/>
      </w:pPr>
      <w:r>
        <w:rPr>
          <w:rFonts w:ascii="Amiri" w:hAnsi="Amiri" w:eastAsia="Amiri" w:cs="Amiri"/>
          <w:color w:val="111111"/>
          <w:sz w:val="28"/>
          <w:sz w:val="28"/>
          <w:szCs w:val="28"/>
          <w:rtl w:val="true"/>
          <w:lang w:bidi="ar-SA"/>
        </w:rPr>
        <w:t>باع شيئا وشرط زكاة الثمن سنة أو سنتين أو أكثر على المشتري لزمه ذلك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واختاره صاحب الحدائق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بصحّة الشرط المذكور ووجوب الزكاة على المقرض ، لكن لا يسقط عن المقترض إلّا بأدائها دون مجرد الاشتراط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في المسالك </w:t>
      </w:r>
      <w:r>
        <w:rPr>
          <w:rStyle w:val="FootnoteAnchor"/>
          <w:rtl w:val="true"/>
        </w:rPr>
        <w:footnoteReference w:id="925"/>
      </w:r>
      <w:r>
        <w:rPr>
          <w:rFonts w:ascii="Amiri" w:hAnsi="Amiri" w:eastAsia="Amiri" w:cs="Amiri"/>
          <w:color w:val="111111"/>
          <w:sz w:val="28"/>
          <w:sz w:val="28"/>
          <w:szCs w:val="28"/>
          <w:rtl w:val="true"/>
          <w:lang w:bidi="ar-SA"/>
        </w:rPr>
        <w:t xml:space="preserve">والمدارك </w:t>
      </w:r>
      <w:r>
        <w:rPr>
          <w:rStyle w:val="FootnoteAnchor"/>
          <w:rtl w:val="true"/>
        </w:rPr>
        <w:footnoteReference w:id="926"/>
      </w:r>
      <w:r>
        <w:rPr>
          <w:rFonts w:ascii="Amiri" w:hAnsi="Amiri" w:eastAsia="Amiri" w:cs="Amiri"/>
          <w:color w:val="111111"/>
          <w:sz w:val="28"/>
          <w:sz w:val="28"/>
          <w:szCs w:val="28"/>
          <w:rtl w:val="true"/>
          <w:lang w:bidi="ar-SA"/>
        </w:rPr>
        <w:t xml:space="preserve">والذخيرة </w:t>
      </w:r>
      <w:r>
        <w:rPr>
          <w:rStyle w:val="FootnoteAnchor"/>
          <w:rtl w:val="true"/>
        </w:rPr>
        <w:footnoteReference w:id="927"/>
      </w:r>
      <w:r>
        <w:rPr>
          <w:rFonts w:ascii="Amiri" w:hAnsi="Amiri" w:eastAsia="Amiri" w:cs="Amiri"/>
          <w:color w:val="111111"/>
          <w:sz w:val="28"/>
          <w:sz w:val="28"/>
          <w:szCs w:val="28"/>
          <w:rtl w:val="true"/>
          <w:lang w:bidi="ar-SA"/>
        </w:rPr>
        <w:t xml:space="preserve">والرياض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ويحتمله عبارة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 ؛ أخذا بإطلاق ما دلّ على لزوم الوفاء بالشروط والعقود والقرض من العقود اللازمة في نقل الملك إلى المقترض وعدم جواز ارتجاع المقرض في عينه كما هو الأظهر ، والمعزى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وجه لتخصيص الإطلاقين ؛ لما اشتهر من كونه من العقود الجائزة ، فلا يكون الشرط الحاصل في ضمنه لازما ؛ إذ جوازه </w:t>
      </w:r>
      <w:r>
        <w:rPr>
          <w:rStyle w:val="FootnoteAnchor"/>
          <w:rtl w:val="true"/>
        </w:rPr>
        <w:footnoteReference w:id="929"/>
      </w:r>
      <w:r>
        <w:rPr>
          <w:rFonts w:ascii="Amiri" w:hAnsi="Amiri" w:eastAsia="Amiri" w:cs="Amiri"/>
          <w:color w:val="111111"/>
          <w:sz w:val="28"/>
          <w:sz w:val="28"/>
          <w:szCs w:val="28"/>
          <w:rtl w:val="true"/>
          <w:lang w:bidi="ar-SA"/>
        </w:rPr>
        <w:t>معنى آخر غير ما هو المراد في سائر العقود الجائزة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ذهب الشيخ </w:t>
      </w:r>
      <w:r>
        <w:rPr>
          <w:rStyle w:val="FootnoteAnchor"/>
          <w:rtl w:val="true"/>
        </w:rPr>
        <w:footnoteReference w:id="930"/>
      </w:r>
      <w:r>
        <w:rPr>
          <w:rFonts w:ascii="Amiri" w:hAnsi="Amiri" w:eastAsia="Amiri" w:cs="Amiri"/>
          <w:color w:val="111111"/>
          <w:sz w:val="28"/>
          <w:sz w:val="28"/>
          <w:szCs w:val="28"/>
          <w:rtl w:val="true"/>
          <w:lang w:bidi="ar-SA"/>
        </w:rPr>
        <w:t>رحمه‌اللّه إلى جوازه بالمعنى المشهور حيث جوّز ارتجاع العين المقترضة مع بقائها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منافاة لما ذهب إليه هنا من لزوم الشرط وما يدّعى من فساد الشرط المذكور ؛ لمنافاته للمشروع حيث إنه اشتراط للعبادة على غير من يجب </w:t>
      </w:r>
      <w:r>
        <w:rPr>
          <w:rStyle w:val="FootnoteAnchor"/>
          <w:rtl w:val="true"/>
        </w:rPr>
        <w:footnoteReference w:id="931"/>
      </w:r>
      <w:r>
        <w:rPr>
          <w:rFonts w:ascii="Amiri" w:hAnsi="Amiri" w:eastAsia="Amiri" w:cs="Amiri"/>
          <w:color w:val="111111"/>
          <w:sz w:val="28"/>
          <w:sz w:val="28"/>
          <w:szCs w:val="28"/>
          <w:rtl w:val="true"/>
          <w:lang w:bidi="ar-SA"/>
        </w:rPr>
        <w:t>عليه كاشتراط أداء الصلاة والصيام على غير من تجبان عليه ؛ بيّن الاندفاع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ذلك إنّما يتم في العبادات الصرفة المطلوبة فيها المباشرة بخلاف الزكاة ، فإنّها وإن كانت عبادة إلّا أن الملحوظ فيها جهة المالية ، ولذا يصحّ التوكيل فيها ، بل وأداؤها من المتبرع في وجه كما سيجي‌ء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 النصّ الصحيح الآتي على جواز أداء المقرض لها ، وسقوطها حينئذ عن المستقرض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صحّ إتيان المتبرع بها جاز اشتراطها في ضمن العقد بأن يؤيّدها عن المقترض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اشترط في ضمن العقد عدم وجوب الزكاة على المستقرض بحولان الحول على المال المقروض ووجوبها على المقرض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استقلالا أو بدلا عن المستقرض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يجب عليه كان الشرط باطلا ؛ لمخالفتة للمشروع ؛ إذ لا وجه لسقوط الزكاة عن المالك مع استجماعه لشرائط الوجوب ، ووجوبه على غيره على سبيل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سيأتي بيانه من تعلّق الزكاة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يحمل كلام المانعين على ذلك في مقابلة القائلين بسقوط الزكاة عن المستقرض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ظاهر ما استنده إليه من عدم مشروعية الشرط ؛ فإنّه إنّما ينصرف إلى ذلك ؛ إذ جواز أداء غير المالك لها مع إذن المالك ممّا لا يدخله ريب عندهم ، فأيّ مانع إذن من اشتراطه ، لكن سياق كلامهم في المقام كالصريح في خلاف ذلك ، وإن لم يساعده الدليل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بما قرّرنا حجّة القائل بفساد الشرط المذكور والجواب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عليه أيضا في المختلف بإطلاق الأخبار الدالّة على أن زكاة القرض على المستقرض دون المقرض</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كون </w:t>
      </w:r>
      <w:r>
        <w:rPr>
          <w:rStyle w:val="FootnoteAnchor"/>
          <w:rtl w:val="true"/>
        </w:rPr>
        <w:footnoteReference w:id="932"/>
      </w:r>
      <w:r>
        <w:rPr>
          <w:rFonts w:ascii="Amiri" w:hAnsi="Amiri" w:eastAsia="Amiri" w:cs="Amiri"/>
          <w:color w:val="111111"/>
          <w:sz w:val="28"/>
          <w:sz w:val="28"/>
          <w:szCs w:val="28"/>
          <w:rtl w:val="true"/>
          <w:lang w:bidi="ar-SA"/>
        </w:rPr>
        <w:t>المستفاد من تلك الأخبار عدم وجوب زكاة القرض على المقرض بالأصالة لا عدم وجوبها عليه بعارض الاشتراط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سلّم فأقصى ما يدلّ عليه وجوبها أصالة على المقترض مطلقا ، ولا ينافي ذلك وجوب أدائها على المقرض عوضا عن المقترض من دون سقوطها عنه إلّا بأدائها كما هو أحد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 ولو شرطها على غير المالك في سائر الأموال الزكويّة لزم الأداء عنه من غير ان ينافي إطلاق ما دلّ على وجوب الزكاة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القائل بصحّة الاشتراط المذكور وانتقال الوجوب إلى ذمّة المقرض صحيحة منصور بن حازم في رجل استقرض مالا وحال عليه الحول وهو عنده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الذي أقرضه يؤدّي زكاته فلا زكاة عليه ، وإن كان لا يؤدي أدّى المستقرض </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عليه في المختلف </w:t>
      </w:r>
      <w:r>
        <w:rPr>
          <w:rStyle w:val="FootnoteAnchor"/>
          <w:rtl w:val="true"/>
        </w:rPr>
        <w:footnoteReference w:id="934"/>
      </w:r>
      <w:r>
        <w:rPr>
          <w:rFonts w:ascii="Amiri" w:hAnsi="Amiri" w:eastAsia="Amiri" w:cs="Amiri"/>
          <w:color w:val="111111"/>
          <w:sz w:val="28"/>
          <w:sz w:val="28"/>
          <w:szCs w:val="28"/>
          <w:rtl w:val="true"/>
          <w:lang w:bidi="ar-SA"/>
        </w:rPr>
        <w:t xml:space="preserve">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935"/>
      </w:r>
      <w:r>
        <w:rPr>
          <w:rFonts w:ascii="Amiri" w:hAnsi="Amiri" w:eastAsia="Amiri" w:cs="Amiri"/>
          <w:color w:val="111111"/>
          <w:sz w:val="28"/>
          <w:sz w:val="28"/>
          <w:szCs w:val="28"/>
          <w:rtl w:val="true"/>
          <w:lang w:bidi="ar-SA"/>
        </w:rPr>
        <w:t xml:space="preserve">بما دلّ على صحّة اشتراط زكاة ثمن المبيع على المشتري ، فمما يدلّ عليه صحيحة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باع أبي من هشام بن عبد الملك أرضا بكذا وكذا ألف دينار واشترط عليه زكاة المال عشر سنين ، وإنّما فعل ذلك لأن هشام كان هو الوالي </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أيضا ،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باع أبي أرضا من سليمان بن عبد الملك بمال واشترط عليه في بيعه أن يزكّي هذا المال من عنده لستّ سنين </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الفقه الرضوي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بعت شيئا وقبضت ثمنه واشترطت على المشتري زكاة سنة أو سنتين أو أكثر من ذلك فإنه يلزمه ذلك دونك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عن الصدوقين أنهما عبّرا بمثل ذلك العبارة ، قال </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ثبت بهذه الأخبار صحّة </w:t>
      </w:r>
    </w:p>
    <w:p>
      <w:pPr>
        <w:pStyle w:val="BookText"/>
        <w:rPr/>
      </w:pPr>
      <w:r>
        <w:rPr>
          <w:rFonts w:ascii="Amiri" w:hAnsi="Amiri" w:eastAsia="Amiri" w:cs="Amiri"/>
          <w:color w:val="111111"/>
          <w:sz w:val="28"/>
          <w:sz w:val="28"/>
          <w:szCs w:val="28"/>
          <w:rtl w:val="true"/>
          <w:lang w:bidi="ar-SA"/>
        </w:rPr>
        <w:t>الشرط المذكور وأنّه سائغ وأن الزكاة تنتقل إلى ذمّة المشروط عليه ، فلا فرق بين وقوعه واشتراطه في بيع أو قرض أو غير هذا ؛ عملا بما دلّ على أنّ المؤمنين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أمّا عن الصحيحة فظاهر ؛ إذ لا دلالة فيها على لزوم الشرط ولا اشتغال ذمّة المشترط عليه بذلك ، ولا سقوطه بمجرد الاشتراط عن ذمة المشترط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دلالتها على سقوطها عن المقترض بأداء المقرض ، وهو غير المدّعى ، بل فيها دلالة على وجوبها على المقترض مع عدم أداء المقرض لها ، ولو مع الاشتراط إن قيل بشمولها لصورة الاشتراط ، فهي بالاحتجاج بها على خلاف المدّعى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استند إليها بعضهم كغيرها من الإطلاقات في عدم سقوطها على المقترض ، ولو مع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فيها دلالة على جواز التبرّع بأداء الزكاة عمن يجب عليه ، فيفيد كون الشرط المذكور سائغا فلا يصلح بها الاحتجاج بما دلّ على لزوم الوفاء بالشروط ، إلّا أن أقصى ما يقتضيه ذلك وجوب أداء المشروط عليه لذلك ، ولا يستلزم براءة ذمّة المشترط بمجرّد ذلك كما لو شرط عليه في ضمن عقد لازم أداء ديونه ؛ فإنّه لا يبرء بذلك ذمّة المديون ، وإنّما يجب عليه ، الوفاء بالشرط ، ويبرء المديون عنه بأدائه لا بمجرّد اشتراطه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الصحيحتان الحاكيتان لفعل الباقر عليه‌السلام ، فلا دلالة فيهما على سقوط الزكاة بسبب الاشتراط سيّما بالنسبة إلى من وقع الاشتراط معه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bookmarkStart w:id="125" w:name="pg15853_153432"/>
    </w:p>
    <w:p>
      <w:pPr>
        <w:pStyle w:val="Heading6"/>
        <w:numPr>
          <w:ilvl w:val="5"/>
          <w:numId w:val="1"/>
        </w:numPr>
        <w:rPr/>
      </w:pPr>
      <w:bookmarkStart w:id="126" w:name="__RefHeading___Toc14587127_2142443653"/>
      <w:bookmarkStart w:id="127" w:name="_Toc46"/>
      <w:bookmarkEnd w:id="125"/>
      <w:bookmarkEnd w:id="126"/>
      <w:r>
        <w:rPr>
          <w:rtl w:val="true"/>
        </w:rPr>
        <w:t>تبصرة</w:t>
      </w:r>
      <w:r>
        <w:rPr>
          <w:rtl w:val="true"/>
        </w:rPr>
        <w:t xml:space="preserve">: [ </w:t>
      </w:r>
      <w:r>
        <w:rPr>
          <w:rtl w:val="true"/>
        </w:rPr>
        <w:t xml:space="preserve">في تعيين أصناف المستحقين </w:t>
      </w:r>
      <w:r>
        <w:rPr>
          <w:rtl w:val="true"/>
        </w:rPr>
        <w:t>]</w:t>
      </w:r>
      <w:bookmarkEnd w:id="127"/>
    </w:p>
    <w:p>
      <w:pPr>
        <w:pStyle w:val="Heading6"/>
        <w:numPr>
          <w:ilvl w:val="5"/>
          <w:numId w:val="1"/>
        </w:numPr>
        <w:rPr/>
      </w:pPr>
      <w:bookmarkStart w:id="128" w:name="__RefHeading___Toc14587129_2142443653"/>
      <w:bookmarkStart w:id="129" w:name="_Toc47"/>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 xml:space="preserve">لا خلاف في كون أصناف المستحقين هي المذكورة في الكتاب كما دلت عليه الآية الشريفة </w:t>
      </w:r>
      <w:r>
        <w:rPr>
          <w:rStyle w:val="FootnoteAnchor"/>
          <w:rtl w:val="true"/>
        </w:rPr>
        <w:footnoteReference w:id="940"/>
      </w:r>
      <w:r>
        <w:rPr>
          <w:rFonts w:ascii="Amiri" w:hAnsi="Amiri" w:eastAsia="Amiri" w:cs="Amiri"/>
          <w:color w:val="111111"/>
          <w:sz w:val="28"/>
          <w:sz w:val="28"/>
          <w:szCs w:val="28"/>
          <w:rtl w:val="true"/>
          <w:lang w:bidi="ar-SA"/>
        </w:rPr>
        <w:t xml:space="preserve">إلّا أنّ هناك خلافا في ترادف الفقير والمسكين وعدمه ، فعلى الأوّل يكون المصارف في الحقيقة سبعة كما اختاره في الشرائع </w:t>
      </w:r>
      <w:r>
        <w:rPr>
          <w:rStyle w:val="FootnoteAnchor"/>
          <w:rtl w:val="true"/>
        </w:rPr>
        <w:footnoteReference w:id="941"/>
      </w:r>
      <w:r>
        <w:rPr>
          <w:rFonts w:ascii="Amiri" w:hAnsi="Amiri" w:eastAsia="Amiri" w:cs="Amiri"/>
          <w:color w:val="111111"/>
          <w:sz w:val="28"/>
          <w:sz w:val="28"/>
          <w:szCs w:val="28"/>
          <w:rtl w:val="true"/>
          <w:lang w:bidi="ar-SA"/>
        </w:rPr>
        <w:t xml:space="preserve">بعد أن حكى فيه القولين وعزا القول به عن </w:t>
      </w:r>
      <w:r>
        <w:rPr>
          <w:rStyle w:val="FootnoteAnchor"/>
          <w:rtl w:val="true"/>
        </w:rPr>
        <w:footnoteReference w:id="942"/>
      </w:r>
      <w:r>
        <w:rPr>
          <w:rFonts w:ascii="Amiri" w:hAnsi="Amiri" w:eastAsia="Amiri" w:cs="Amiri"/>
          <w:color w:val="111111"/>
          <w:sz w:val="28"/>
          <w:sz w:val="28"/>
          <w:szCs w:val="28"/>
          <w:rtl w:val="true"/>
          <w:lang w:bidi="ar-SA"/>
        </w:rPr>
        <w:t xml:space="preserve">بعض الناس ، وحكاه في المدارك </w:t>
      </w:r>
      <w:r>
        <w:rPr>
          <w:rStyle w:val="FootnoteAnchor"/>
          <w:rtl w:val="true"/>
        </w:rPr>
        <w:footnoteReference w:id="943"/>
      </w:r>
      <w:r>
        <w:rPr>
          <w:rFonts w:ascii="Amiri" w:hAnsi="Amiri" w:eastAsia="Amiri" w:cs="Amiri"/>
          <w:color w:val="111111"/>
          <w:sz w:val="28"/>
          <w:sz w:val="28"/>
          <w:szCs w:val="28"/>
          <w:rtl w:val="true"/>
          <w:lang w:bidi="ar-SA"/>
        </w:rPr>
        <w:t>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تكون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بين الأصحاب ، بل ظاهر التذكرة </w:t>
      </w:r>
      <w:r>
        <w:rPr>
          <w:rStyle w:val="FootnoteAnchor"/>
          <w:rtl w:val="true"/>
        </w:rPr>
        <w:footnoteReference w:id="944"/>
      </w:r>
      <w:r>
        <w:rPr>
          <w:rFonts w:ascii="Amiri" w:hAnsi="Amiri" w:eastAsia="Amiri" w:cs="Amiri"/>
          <w:color w:val="111111"/>
          <w:sz w:val="28"/>
          <w:sz w:val="28"/>
          <w:szCs w:val="28"/>
          <w:rtl w:val="true"/>
          <w:lang w:bidi="ar-SA"/>
        </w:rPr>
        <w:t xml:space="preserve">إجماع العلماء عليه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أصناف المستحقين للزكاة ثمانية </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بإجماع العلماء ، ثم ذكر الخلاف في كون المسكين أسوأ حالا من الفقير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ذلك الاتفاق على عدم المساواة كما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المعروف من مذهب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بعض النصوص الصحيحة من طرقنا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نصّ جماعة بإدراج كلّ منهما الآخر مع الانفراد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المنتهى </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تمييز بينهما </w:t>
      </w:r>
      <w:r>
        <w:rPr>
          <w:rStyle w:val="FootnoteAnchor"/>
          <w:rtl w:val="true"/>
        </w:rPr>
        <w:footnoteReference w:id="947"/>
      </w:r>
      <w:r>
        <w:rPr>
          <w:rFonts w:ascii="Amiri" w:hAnsi="Amiri" w:eastAsia="Amiri" w:cs="Amiri"/>
          <w:color w:val="111111"/>
          <w:sz w:val="28"/>
          <w:sz w:val="28"/>
          <w:szCs w:val="28"/>
          <w:rtl w:val="true"/>
          <w:lang w:bidi="ar-SA"/>
        </w:rPr>
        <w:t xml:space="preserve">مع الانفراد ، بل العرب قد استعملت كلّ واحد من </w:t>
      </w:r>
    </w:p>
    <w:p>
      <w:pPr>
        <w:pStyle w:val="BookText"/>
        <w:rPr/>
      </w:pPr>
      <w:r>
        <w:rPr>
          <w:rFonts w:ascii="Amiri" w:hAnsi="Amiri" w:eastAsia="Amiri" w:cs="Amiri"/>
          <w:color w:val="111111"/>
          <w:sz w:val="28"/>
          <w:sz w:val="28"/>
          <w:szCs w:val="28"/>
          <w:rtl w:val="true"/>
          <w:lang w:bidi="ar-SA"/>
        </w:rPr>
        <w:t>اللفظين في معنى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على إدراج كلّ في الآخر مع الانفراد الشيخ </w:t>
      </w:r>
      <w:r>
        <w:rPr>
          <w:rStyle w:val="FootnoteAnchor"/>
          <w:rtl w:val="true"/>
        </w:rPr>
        <w:footnoteReference w:id="948"/>
      </w:r>
      <w:r>
        <w:rPr>
          <w:rFonts w:ascii="IRNazanin" w:hAnsi="IRNazanin" w:eastAsia="IRNazanin"/>
          <w:color w:val="111111"/>
          <w:sz w:val="28"/>
          <w:sz w:val="28"/>
          <w:szCs w:val="28"/>
          <w:rtl w:val="true"/>
          <w:lang w:bidi="fa-IR"/>
        </w:rPr>
        <w:t xml:space="preserve">وظاهر </w:t>
      </w:r>
      <w:r>
        <w:rPr>
          <w:rStyle w:val="FootnoteAnchor"/>
          <w:rtl w:val="true"/>
        </w:rPr>
        <w:footnoteReference w:id="949"/>
      </w:r>
      <w:r>
        <w:rPr>
          <w:rFonts w:ascii="Amiri" w:hAnsi="Amiri" w:eastAsia="Amiri" w:cs="Amiri"/>
          <w:color w:val="111111"/>
          <w:sz w:val="28"/>
          <w:sz w:val="28"/>
          <w:szCs w:val="28"/>
          <w:rtl w:val="true"/>
          <w:lang w:bidi="ar-SA"/>
        </w:rPr>
        <w:t xml:space="preserve">الراوندي والحلي </w:t>
      </w:r>
      <w:r>
        <w:rPr>
          <w:rStyle w:val="FootnoteAnchor"/>
          <w:rtl w:val="true"/>
        </w:rPr>
        <w:footnoteReference w:id="950"/>
      </w:r>
      <w:r>
        <w:rPr>
          <w:rFonts w:ascii="IRNazanin" w:hAnsi="IRNazanin" w:eastAsia="IRNazanin"/>
          <w:color w:val="111111"/>
          <w:sz w:val="28"/>
          <w:sz w:val="28"/>
          <w:szCs w:val="28"/>
          <w:rtl w:val="true"/>
          <w:lang w:bidi="fa-IR"/>
        </w:rPr>
        <w:t xml:space="preserve">والفاضلان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نهاية الإحكام </w:t>
      </w:r>
      <w:r>
        <w:rPr>
          <w:rStyle w:val="FootnoteAnchor"/>
          <w:rtl w:val="true"/>
        </w:rPr>
        <w:footnoteReference w:id="952"/>
      </w:r>
      <w:r>
        <w:rPr>
          <w:rFonts w:ascii="Amiri" w:hAnsi="Amiri" w:eastAsia="Amiri" w:cs="Amiri"/>
          <w:color w:val="111111"/>
          <w:sz w:val="28"/>
          <w:sz w:val="28"/>
          <w:szCs w:val="28"/>
          <w:rtl w:val="true"/>
          <w:lang w:bidi="ar-SA"/>
        </w:rPr>
        <w:t xml:space="preserve">والمسالك </w:t>
      </w:r>
      <w:r>
        <w:rPr>
          <w:rStyle w:val="FootnoteAnchor"/>
          <w:rtl w:val="true"/>
        </w:rPr>
        <w:footnoteReference w:id="953"/>
      </w:r>
      <w:r>
        <w:rPr>
          <w:rFonts w:ascii="Amiri" w:hAnsi="Amiri" w:eastAsia="Amiri" w:cs="Amiri"/>
          <w:color w:val="111111"/>
          <w:sz w:val="28"/>
          <w:sz w:val="28"/>
          <w:szCs w:val="28"/>
          <w:rtl w:val="true"/>
          <w:lang w:bidi="ar-SA"/>
        </w:rPr>
        <w:t xml:space="preserve">وإيضاح النافع </w:t>
      </w:r>
      <w:r>
        <w:rPr>
          <w:rStyle w:val="FootnoteAnchor"/>
          <w:rtl w:val="true"/>
        </w:rPr>
        <w:footnoteReference w:id="954"/>
      </w:r>
      <w:r>
        <w:rPr>
          <w:rFonts w:ascii="Amiri" w:hAnsi="Amiri" w:eastAsia="Amiri" w:cs="Amiri"/>
          <w:color w:val="111111"/>
          <w:sz w:val="28"/>
          <w:sz w:val="28"/>
          <w:szCs w:val="28"/>
          <w:rtl w:val="true"/>
          <w:lang w:bidi="ar-SA"/>
        </w:rPr>
        <w:t>نفي الخلاف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الأصحاب أنّه متى ذكر أحدهما خاصة دخل فيه الآخر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الميسيّة والروضة </w:t>
      </w:r>
      <w:r>
        <w:rPr>
          <w:rStyle w:val="FootnoteAnchor"/>
          <w:rtl w:val="true"/>
        </w:rPr>
        <w:footnoteReference w:id="956"/>
      </w:r>
      <w:r>
        <w:rPr>
          <w:rFonts w:ascii="Amiri" w:hAnsi="Amiri" w:eastAsia="Amiri" w:cs="Amiri"/>
          <w:color w:val="111111"/>
          <w:sz w:val="28"/>
          <w:sz w:val="28"/>
          <w:szCs w:val="28"/>
          <w:rtl w:val="true"/>
          <w:lang w:bidi="ar-SA"/>
        </w:rPr>
        <w:t>حكاية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فيه جماعة ؛ ففي البيان </w:t>
      </w:r>
      <w:r>
        <w:rPr>
          <w:rStyle w:val="FootnoteAnchor"/>
          <w:rtl w:val="true"/>
        </w:rPr>
        <w:footnoteReference w:id="957"/>
      </w:r>
      <w:r>
        <w:rPr>
          <w:rFonts w:ascii="Amiri" w:hAnsi="Amiri" w:eastAsia="Amiri" w:cs="Amiri"/>
          <w:color w:val="111111"/>
          <w:sz w:val="28"/>
          <w:sz w:val="28"/>
          <w:szCs w:val="28"/>
          <w:rtl w:val="true"/>
          <w:lang w:bidi="ar-SA"/>
        </w:rPr>
        <w:t>إن أرادوا به حقيقة قضية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المتّجه بعد ثبوت التغاير عدم دخول أحدهما في إطلاق لفظ الآخر إلّا بقرينة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 في ذلك في الحدائق </w:t>
      </w:r>
      <w:r>
        <w:rPr>
          <w:rStyle w:val="FootnoteAnchor"/>
          <w:rtl w:val="true"/>
        </w:rPr>
        <w:footnoteReference w:id="9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متى ثبت التغاير كما ذكرناه ، وهو المشهور عندهم فدخول أحدهما تحت الآخر مجاز لا يصار إليه إلّا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يجعل الإجماع </w:t>
      </w:r>
    </w:p>
    <w:p>
      <w:pPr>
        <w:pStyle w:val="BookText"/>
        <w:rPr/>
      </w:pPr>
      <w:r>
        <w:rPr>
          <w:rFonts w:ascii="Amiri" w:hAnsi="Amiri" w:eastAsia="Amiri" w:cs="Amiri"/>
          <w:color w:val="111111"/>
          <w:sz w:val="28"/>
          <w:sz w:val="28"/>
          <w:szCs w:val="28"/>
          <w:rtl w:val="true"/>
          <w:lang w:bidi="ar-SA"/>
        </w:rPr>
        <w:t>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احتمل قريبا أنّ التغاير في الزكاة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وقطع في القواعد </w:t>
      </w:r>
      <w:r>
        <w:rPr>
          <w:rStyle w:val="FootnoteAnchor"/>
          <w:rtl w:val="true"/>
        </w:rPr>
        <w:footnoteReference w:id="960"/>
      </w:r>
      <w:r>
        <w:rPr>
          <w:rFonts w:ascii="Amiri" w:hAnsi="Amiri" w:eastAsia="Amiri" w:cs="Amiri"/>
          <w:color w:val="111111"/>
          <w:sz w:val="28"/>
          <w:sz w:val="28"/>
          <w:szCs w:val="28"/>
          <w:rtl w:val="true"/>
          <w:lang w:bidi="ar-SA"/>
        </w:rPr>
        <w:t>بإدراج المساكين في الفقراء إذا وصّى للفقراء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في عكسه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واختاره </w:t>
      </w:r>
      <w:r>
        <w:rPr>
          <w:rStyle w:val="FootnoteAnchor"/>
          <w:rtl w:val="true"/>
        </w:rPr>
        <w:footnoteReference w:id="961"/>
      </w:r>
      <w:r>
        <w:rPr>
          <w:rFonts w:ascii="Amiri" w:hAnsi="Amiri" w:eastAsia="Amiri" w:cs="Amiri"/>
          <w:color w:val="111111"/>
          <w:sz w:val="28"/>
          <w:sz w:val="28"/>
          <w:szCs w:val="28"/>
          <w:rtl w:val="true"/>
          <w:lang w:bidi="ar-SA"/>
        </w:rPr>
        <w:t xml:space="preserve">ولده في وصايا الإيضاح </w:t>
      </w:r>
      <w:r>
        <w:rPr>
          <w:rStyle w:val="FootnoteAnchor"/>
          <w:rtl w:val="true"/>
        </w:rPr>
        <w:footnoteReference w:id="962"/>
      </w:r>
      <w:r>
        <w:rPr>
          <w:rFonts w:ascii="Amiri" w:hAnsi="Amiri" w:eastAsia="Amiri" w:cs="Amiri"/>
          <w:color w:val="111111"/>
          <w:sz w:val="28"/>
          <w:sz w:val="28"/>
          <w:szCs w:val="28"/>
          <w:rtl w:val="true"/>
          <w:lang w:bidi="ar-SA"/>
        </w:rPr>
        <w:t xml:space="preserve">، والمحقّق الكركي </w:t>
      </w:r>
      <w:r>
        <w:rPr>
          <w:rStyle w:val="FootnoteAnchor"/>
          <w:rtl w:val="true"/>
        </w:rPr>
        <w:footnoteReference w:id="963"/>
      </w:r>
      <w:r>
        <w:rPr>
          <w:rFonts w:ascii="IRNazanin" w:hAnsi="IRNazanin" w:eastAsia="IRNazanin"/>
          <w:color w:val="111111"/>
          <w:sz w:val="28"/>
          <w:sz w:val="28"/>
          <w:szCs w:val="28"/>
          <w:rtl w:val="true"/>
          <w:lang w:bidi="fa-IR"/>
        </w:rPr>
        <w:t>عدم الدخول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والمسألة لا تخلو من إشكال إلّا أنّ ما عرفت من الإجماعات شاهد على اتحاد المعنيين مع انفراد كلّ منهما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الكفاية في مثله إلّا أنّ الظاهر عمّا حكي عن ماعة من اللغويين إطلاق الفرق بين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مع اختلاف المعنيين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مطلقا أو مع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المسكين أسوأ حالا من الفقير أو بالعكس؟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محكيّ عن يونس ، وهو قضيّة ما حكي </w:t>
      </w:r>
      <w:r>
        <w:rPr>
          <w:rStyle w:val="FootnoteAnchor"/>
          <w:rtl w:val="true"/>
        </w:rPr>
        <w:footnoteReference w:id="964"/>
      </w:r>
      <w:r>
        <w:rPr>
          <w:rFonts w:ascii="Amiri" w:hAnsi="Amiri" w:eastAsia="Amiri" w:cs="Amiri"/>
          <w:color w:val="111111"/>
          <w:sz w:val="28"/>
          <w:sz w:val="28"/>
          <w:szCs w:val="28"/>
          <w:rtl w:val="true"/>
          <w:lang w:bidi="ar-SA"/>
        </w:rPr>
        <w:t xml:space="preserve">عن ابن السكيت </w:t>
      </w:r>
      <w:r>
        <w:rPr>
          <w:rStyle w:val="FootnoteAnchor"/>
          <w:rtl w:val="true"/>
        </w:rPr>
        <w:footnoteReference w:id="965"/>
      </w:r>
      <w:r>
        <w:rPr>
          <w:rFonts w:ascii="Amiri" w:hAnsi="Amiri" w:eastAsia="Amiri" w:cs="Amiri"/>
          <w:color w:val="111111"/>
          <w:sz w:val="28"/>
          <w:sz w:val="28"/>
          <w:szCs w:val="28"/>
          <w:rtl w:val="true"/>
          <w:lang w:bidi="ar-SA"/>
        </w:rPr>
        <w:t>من أن الفقير من له بلغة من العيش ، والمسكين الذي لا شي‌ء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حكي عن ابن عرفة من أن الفقير عند العرب المحتاج ، فأمّا المسكين فالذي قد أذلّه الفقر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مسكنته من جهة الفقر حلّت له الصدقة ، وإذا كان مسكينا قد أذلّه شي‌ء سوى الفقر فلا تحلّ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حكي القول بذلك عن الفراء وثعلب وابن قتيبة </w:t>
      </w:r>
      <w:r>
        <w:rPr>
          <w:rStyle w:val="FootnoteAnchor"/>
          <w:rtl w:val="true"/>
        </w:rPr>
        <w:footnoteReference w:id="966"/>
      </w:r>
      <w:r>
        <w:rPr>
          <w:rFonts w:ascii="Amiri" w:hAnsi="Amiri" w:eastAsia="Amiri" w:cs="Amiri"/>
          <w:color w:val="111111"/>
          <w:sz w:val="28"/>
          <w:sz w:val="28"/>
          <w:szCs w:val="28"/>
          <w:rtl w:val="true"/>
          <w:lang w:bidi="ar-SA"/>
        </w:rPr>
        <w:t xml:space="preserve">وابن دريد وأبي يزيد </w:t>
      </w:r>
      <w:r>
        <w:rPr>
          <w:rStyle w:val="FootnoteAnchor"/>
          <w:rtl w:val="true"/>
        </w:rPr>
        <w:footnoteReference w:id="967"/>
      </w:r>
      <w:r>
        <w:rPr>
          <w:rFonts w:ascii="Amiri" w:hAnsi="Amiri" w:eastAsia="Amiri" w:cs="Amiri"/>
          <w:color w:val="111111"/>
          <w:sz w:val="28"/>
          <w:sz w:val="28"/>
          <w:szCs w:val="28"/>
          <w:rtl w:val="true"/>
          <w:lang w:bidi="ar-SA"/>
        </w:rPr>
        <w:t>وأبي عبيدة وأبي اسحاق والأصمعي ويعقوب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واختاره جماعة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وعزاه في التنقيح والمسالك </w:t>
      </w:r>
      <w:r>
        <w:rPr>
          <w:rStyle w:val="FootnoteAnchor"/>
          <w:rtl w:val="true"/>
        </w:rPr>
        <w:footnoteReference w:id="968"/>
      </w:r>
      <w:r>
        <w:rPr>
          <w:rFonts w:ascii="Amiri" w:hAnsi="Amiri" w:eastAsia="Amiri" w:cs="Amiri"/>
          <w:color w:val="111111"/>
          <w:sz w:val="28"/>
          <w:sz w:val="28"/>
          <w:szCs w:val="28"/>
          <w:rtl w:val="true"/>
          <w:lang w:bidi="ar-SA"/>
        </w:rPr>
        <w:t>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الغنية </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أنّ الفقراء لهم شي‌ء ، والمساكين لا شي‌ء 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على ذلك الأكثر من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عزي ذلك إلى الإسكافي والشيخين </w:t>
      </w:r>
      <w:r>
        <w:rPr>
          <w:rStyle w:val="FootnoteAnchor"/>
          <w:rtl w:val="true"/>
        </w:rPr>
        <w:footnoteReference w:id="970"/>
      </w:r>
      <w:r>
        <w:rPr>
          <w:rFonts w:ascii="Amiri" w:hAnsi="Amiri" w:eastAsia="Amiri" w:cs="Amiri"/>
          <w:color w:val="111111"/>
          <w:sz w:val="28"/>
          <w:sz w:val="28"/>
          <w:szCs w:val="28"/>
          <w:rtl w:val="true"/>
          <w:lang w:bidi="ar-SA"/>
        </w:rPr>
        <w:t xml:space="preserve">والديلمي والعلّامة في عدّة من كتبه حيث فسّر الفقير والمسكين بما حكيناه عن ابن عرفة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محكي الصدوق حيث نصّ في الفقيه </w:t>
      </w:r>
      <w:r>
        <w:rPr>
          <w:rStyle w:val="FootnoteAnchor"/>
          <w:rtl w:val="true"/>
        </w:rPr>
        <w:footnoteReference w:id="972"/>
      </w:r>
      <w:r>
        <w:rPr>
          <w:rFonts w:ascii="Amiri" w:hAnsi="Amiri" w:eastAsia="Amiri" w:cs="Amiri"/>
          <w:color w:val="111111"/>
          <w:sz w:val="28"/>
          <w:sz w:val="28"/>
          <w:szCs w:val="28"/>
          <w:rtl w:val="true"/>
          <w:lang w:bidi="ar-SA"/>
        </w:rPr>
        <w:t>أن الفقراء هم أهل الزمانة والحاجة ، والمساكين أهل الحاجة من غير أهل الزمانة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في المبسوط </w:t>
      </w:r>
      <w:r>
        <w:rPr>
          <w:rStyle w:val="FootnoteAnchor"/>
          <w:rtl w:val="true"/>
        </w:rPr>
        <w:footnoteReference w:id="973"/>
      </w:r>
      <w:r>
        <w:rPr>
          <w:rFonts w:ascii="IRNazanin" w:hAnsi="IRNazanin" w:eastAsia="IRNazanin"/>
          <w:color w:val="111111"/>
          <w:sz w:val="28"/>
          <w:sz w:val="28"/>
          <w:szCs w:val="28"/>
          <w:rtl w:val="true"/>
          <w:lang w:bidi="fa-IR"/>
        </w:rPr>
        <w:t xml:space="preserve">والجمل </w:t>
      </w:r>
      <w:r>
        <w:rPr>
          <w:rStyle w:val="FootnoteAnchor"/>
          <w:rtl w:val="true"/>
        </w:rPr>
        <w:footnoteReference w:id="974"/>
      </w:r>
      <w:r>
        <w:rPr>
          <w:rFonts w:ascii="Amiri" w:hAnsi="Amiri" w:eastAsia="Amiri" w:cs="Amiri"/>
          <w:color w:val="111111"/>
          <w:sz w:val="28"/>
          <w:sz w:val="28"/>
          <w:szCs w:val="28"/>
          <w:rtl w:val="true"/>
          <w:lang w:bidi="ar-SA"/>
        </w:rPr>
        <w:t xml:space="preserve">والقاضي </w:t>
      </w:r>
      <w:r>
        <w:rPr>
          <w:rStyle w:val="FootnoteAnchor"/>
          <w:rtl w:val="true"/>
        </w:rPr>
        <w:footnoteReference w:id="975"/>
      </w:r>
      <w:r>
        <w:rPr>
          <w:rFonts w:ascii="Amiri" w:hAnsi="Amiri" w:eastAsia="Amiri" w:cs="Amiri"/>
          <w:color w:val="111111"/>
          <w:sz w:val="28"/>
          <w:sz w:val="28"/>
          <w:szCs w:val="28"/>
          <w:rtl w:val="true"/>
          <w:lang w:bidi="ar-SA"/>
        </w:rPr>
        <w:t xml:space="preserve">والطبرسي </w:t>
      </w:r>
      <w:r>
        <w:rPr>
          <w:rStyle w:val="FootnoteAnchor"/>
          <w:rtl w:val="true"/>
        </w:rPr>
        <w:footnoteReference w:id="976"/>
      </w:r>
      <w:r>
        <w:rPr>
          <w:rFonts w:ascii="Amiri" w:hAnsi="Amiri" w:eastAsia="Amiri" w:cs="Amiri"/>
          <w:color w:val="111111"/>
          <w:sz w:val="28"/>
          <w:sz w:val="28"/>
          <w:szCs w:val="28"/>
          <w:rtl w:val="true"/>
          <w:lang w:bidi="ar-SA"/>
        </w:rPr>
        <w:t xml:space="preserve">والطوسي </w:t>
      </w:r>
      <w:r>
        <w:rPr>
          <w:rStyle w:val="FootnoteAnchor"/>
          <w:rtl w:val="true"/>
        </w:rPr>
        <w:footnoteReference w:id="977"/>
      </w:r>
      <w:r>
        <w:rPr>
          <w:rFonts w:ascii="Amiri" w:hAnsi="Amiri" w:eastAsia="Amiri" w:cs="Amiri"/>
          <w:color w:val="111111"/>
          <w:sz w:val="28"/>
          <w:sz w:val="28"/>
          <w:szCs w:val="28"/>
          <w:rtl w:val="true"/>
          <w:lang w:bidi="ar-SA"/>
        </w:rPr>
        <w:t xml:space="preserve">والحلي </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الفقير الّذي لا شي‌ء له ، والمسكين الّذي له بلغة من العيش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يظهر من القاموس </w:t>
      </w:r>
      <w:r>
        <w:rPr>
          <w:rStyle w:val="FootnoteAnchor"/>
          <w:rtl w:val="true"/>
        </w:rPr>
        <w:footnoteReference w:id="979"/>
      </w:r>
      <w:r>
        <w:rPr>
          <w:rFonts w:ascii="IRNazanin" w:hAnsi="IRNazanin" w:eastAsia="IRNazanin"/>
          <w:color w:val="111111"/>
          <w:sz w:val="28"/>
          <w:sz w:val="28"/>
          <w:szCs w:val="28"/>
          <w:rtl w:val="true"/>
          <w:lang w:bidi="fa-IR"/>
        </w:rPr>
        <w:t xml:space="preserve">والصحاح </w:t>
      </w:r>
      <w:r>
        <w:rPr>
          <w:rStyle w:val="FootnoteAnchor"/>
          <w:rtl w:val="true"/>
        </w:rPr>
        <w:footnoteReference w:id="980"/>
      </w:r>
      <w:r>
        <w:rPr>
          <w:rFonts w:ascii="Amiri" w:hAnsi="Amiri" w:eastAsia="Amiri" w:cs="Amiri"/>
          <w:color w:val="111111"/>
          <w:sz w:val="28"/>
          <w:sz w:val="28"/>
          <w:szCs w:val="28"/>
          <w:rtl w:val="true"/>
          <w:lang w:bidi="ar-SA"/>
        </w:rPr>
        <w:t>ترجيح لأحد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الأظهر الأوّل لصحيحة محمّد بن مسلم عن أحدهما عليهما‌السلام عن الفقير والمساكين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الفقير الذي لا يسأل ، والمسكين الذي هو أجهد منه الذي يسأل </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تعالى؟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الفقير الذي لا يسأل الناس والمسكين أجهد منه والبائس أجهدهم </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بإسناده عن علي بن إبراهيم أنّه ذكر في تفسيره هذه الثمانية الأصناف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العالم عليه‌السلام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الفقراء هم الذين لا يسألون وعليهم من عيالهم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والمساكين هم أهل الزمانات </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المستفاد منها كون المسكين أسوأ حالا منه فيكون ذكر السؤال في الصحيحة المذكورة مثالا ، وكذا الزمانة </w:t>
      </w:r>
      <w:r>
        <w:rPr>
          <w:rStyle w:val="FootnoteAnchor"/>
          <w:rtl w:val="true"/>
        </w:rPr>
        <w:footnoteReference w:id="984"/>
      </w:r>
      <w:r>
        <w:rPr>
          <w:rFonts w:ascii="Amiri" w:hAnsi="Amiri" w:eastAsia="Amiri" w:cs="Amiri"/>
          <w:color w:val="111111"/>
          <w:sz w:val="28"/>
          <w:sz w:val="28"/>
          <w:szCs w:val="28"/>
          <w:rtl w:val="true"/>
          <w:lang w:bidi="ar-SA"/>
        </w:rPr>
        <w:t>في رواية تفسير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أنّه لا ثمرة يعتدّ بها هنا للخلاف المذكور كما نصّ عليه جماعة في المقام ؛ بناء على ما هو الصواب من عدم وجوب البسط ؛ للإجماع على جواز إعطاء كل بهما ، فإنّ العبرة في المقام بتحقّق الحاجة وانتفاء الغناء الشامل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الخلاف في ذلك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أنّه من يقصر ماله عن مؤنة سنة له ولعياله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التنقيح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المهذب البارع </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محقّقي المذهب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986"/>
      </w:r>
      <w:r>
        <w:rPr>
          <w:rFonts w:ascii="IRNazanin" w:hAnsi="IRNazanin" w:eastAsia="IRNazanin"/>
          <w:color w:val="111111"/>
          <w:sz w:val="28"/>
          <w:sz w:val="28"/>
          <w:szCs w:val="28"/>
          <w:rtl w:val="true"/>
          <w:lang w:bidi="fa-IR"/>
        </w:rPr>
        <w:t xml:space="preserve">والحدائق </w:t>
      </w:r>
      <w:r>
        <w:rPr>
          <w:rStyle w:val="FootnoteAnchor"/>
          <w:rtl w:val="true"/>
        </w:rPr>
        <w:footnoteReference w:id="987"/>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عامّة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القول به عن الحلي </w:t>
      </w:r>
      <w:r>
        <w:rPr>
          <w:rStyle w:val="FootnoteAnchor"/>
          <w:rtl w:val="true"/>
        </w:rPr>
        <w:footnoteReference w:id="988"/>
      </w:r>
      <w:r>
        <w:rPr>
          <w:rFonts w:ascii="IRNazanin" w:hAnsi="IRNazanin" w:eastAsia="IRNazanin"/>
          <w:color w:val="111111"/>
          <w:sz w:val="28"/>
          <w:sz w:val="28"/>
          <w:szCs w:val="28"/>
          <w:rtl w:val="true"/>
          <w:lang w:bidi="fa-IR"/>
        </w:rPr>
        <w:t xml:space="preserve">والمحقق </w:t>
      </w:r>
      <w:r>
        <w:rPr>
          <w:rStyle w:val="FootnoteAnchor"/>
          <w:rtl w:val="true"/>
        </w:rPr>
        <w:footnoteReference w:id="989"/>
      </w:r>
      <w:r>
        <w:rPr>
          <w:rFonts w:ascii="Amiri" w:hAnsi="Amiri" w:eastAsia="Amiri" w:cs="Amiri"/>
          <w:color w:val="111111"/>
          <w:sz w:val="28"/>
          <w:sz w:val="28"/>
          <w:szCs w:val="28"/>
          <w:rtl w:val="true"/>
          <w:lang w:bidi="ar-SA"/>
        </w:rPr>
        <w:t xml:space="preserve">في كتابيه وتلميذه الآبي والعلّامة </w:t>
      </w:r>
      <w:r>
        <w:rPr>
          <w:rStyle w:val="FootnoteAnchor"/>
          <w:rtl w:val="true"/>
        </w:rPr>
        <w:footnoteReference w:id="990"/>
      </w:r>
      <w:r>
        <w:rPr>
          <w:rFonts w:ascii="Amiri" w:hAnsi="Amiri" w:eastAsia="Amiri" w:cs="Amiri"/>
          <w:color w:val="111111"/>
          <w:sz w:val="28"/>
          <w:sz w:val="28"/>
          <w:szCs w:val="28"/>
          <w:rtl w:val="true"/>
          <w:lang w:bidi="ar-SA"/>
        </w:rPr>
        <w:t xml:space="preserve">في عدّة من كتبه ، والشهيدين </w:t>
      </w:r>
      <w:r>
        <w:rPr>
          <w:rStyle w:val="FootnoteAnchor"/>
          <w:rtl w:val="true"/>
        </w:rPr>
        <w:footnoteReference w:id="991"/>
      </w:r>
      <w:r>
        <w:rPr>
          <w:rFonts w:ascii="Amiri" w:hAnsi="Amiri" w:eastAsia="Amiri" w:cs="Amiri"/>
          <w:color w:val="111111"/>
          <w:sz w:val="28"/>
          <w:sz w:val="28"/>
          <w:szCs w:val="28"/>
          <w:rtl w:val="true"/>
          <w:lang w:bidi="ar-SA"/>
        </w:rPr>
        <w:t xml:space="preserve">والسيوري وابن فهد </w:t>
      </w:r>
      <w:r>
        <w:rPr>
          <w:rStyle w:val="FootnoteAnchor"/>
          <w:rtl w:val="true"/>
        </w:rPr>
        <w:footnoteReference w:id="992"/>
      </w:r>
      <w:r>
        <w:rPr>
          <w:rFonts w:ascii="Amiri" w:hAnsi="Amiri" w:eastAsia="Amiri" w:cs="Amiri"/>
          <w:color w:val="111111"/>
          <w:sz w:val="28"/>
          <w:sz w:val="28"/>
          <w:szCs w:val="28"/>
          <w:rtl w:val="true"/>
          <w:lang w:bidi="ar-SA"/>
        </w:rPr>
        <w:t xml:space="preserve">والفاضل الأردبيلي </w:t>
      </w:r>
      <w:r>
        <w:rPr>
          <w:rStyle w:val="FootnoteAnchor"/>
          <w:rtl w:val="true"/>
        </w:rPr>
        <w:footnoteReference w:id="993"/>
      </w:r>
      <w:r>
        <w:rPr>
          <w:rFonts w:ascii="Amiri" w:hAnsi="Amiri" w:eastAsia="Amiri" w:cs="Amiri"/>
          <w:color w:val="111111"/>
          <w:sz w:val="28"/>
          <w:sz w:val="28"/>
          <w:szCs w:val="28"/>
          <w:rtl w:val="true"/>
          <w:lang w:bidi="ar-SA"/>
        </w:rPr>
        <w:t>وغيرهم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وحكاه في التذكرة </w:t>
      </w:r>
      <w:r>
        <w:rPr>
          <w:rStyle w:val="FootnoteAnchor"/>
          <w:rtl w:val="true"/>
        </w:rPr>
        <w:footnoteReference w:id="994"/>
      </w:r>
      <w:r>
        <w:rPr>
          <w:rFonts w:ascii="Amiri" w:hAnsi="Amiri" w:eastAsia="Amiri" w:cs="Amiri"/>
          <w:color w:val="111111"/>
          <w:sz w:val="28"/>
          <w:sz w:val="28"/>
          <w:szCs w:val="28"/>
          <w:rtl w:val="true"/>
          <w:lang w:bidi="ar-SA"/>
        </w:rPr>
        <w:t>وغيرها عن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جماعة من هؤلاء منهم الفاضلان بجواز تناول الزكاة لمن كان له مال يتعيّش به أو ضيعة يستغلها </w:t>
      </w:r>
      <w:r>
        <w:rPr>
          <w:rStyle w:val="FootnoteAnchor"/>
          <w:rtl w:val="true"/>
        </w:rPr>
        <w:footnoteReference w:id="995"/>
      </w:r>
      <w:r>
        <w:rPr>
          <w:rFonts w:ascii="Amiri" w:hAnsi="Amiri" w:eastAsia="Amiri" w:cs="Amiri"/>
          <w:color w:val="111111"/>
          <w:sz w:val="28"/>
          <w:sz w:val="28"/>
          <w:szCs w:val="28"/>
          <w:rtl w:val="true"/>
          <w:lang w:bidi="ar-SA"/>
        </w:rPr>
        <w:t xml:space="preserve">إذا كان بحيث يعجز عن استنماء الكفاية ، وإن كان ذلك المال أو قيمة الضيعة وافيا لمؤنة سنة وزيادة ، فيكون ذلك مستثنى ممّا اعتبر في الحدائق </w:t>
      </w:r>
      <w:r>
        <w:rPr>
          <w:rStyle w:val="FootnoteAnchor"/>
          <w:rtl w:val="true"/>
        </w:rPr>
        <w:footnoteReference w:id="996"/>
      </w:r>
      <w:r>
        <w:rPr>
          <w:rFonts w:ascii="Amiri" w:hAnsi="Amiri" w:eastAsia="Amiri" w:cs="Amiri"/>
          <w:color w:val="111111"/>
          <w:sz w:val="28"/>
          <w:sz w:val="28"/>
          <w:szCs w:val="28"/>
          <w:rtl w:val="true"/>
          <w:lang w:bidi="ar-SA"/>
        </w:rPr>
        <w:t xml:space="preserve">من قصور ماله عن مؤنة سنته كما استثني الدار والخادم والفرش اللائقة بحاله كما سيجي‌ء إن شاء اللّه </w:t>
      </w:r>
      <w:r>
        <w:rPr>
          <w:rStyle w:val="FootnoteAnchor"/>
          <w:rtl w:val="true"/>
        </w:rPr>
        <w:footnoteReference w:id="997"/>
      </w:r>
      <w:r>
        <w:rPr>
          <w:rFonts w:ascii="Amiri" w:hAnsi="Amiri" w:eastAsia="Amiri" w:cs="Amiri"/>
          <w:color w:val="111111"/>
          <w:sz w:val="28"/>
          <w:sz w:val="28"/>
          <w:szCs w:val="28"/>
          <w:rtl w:val="true"/>
          <w:lang w:bidi="ar-SA"/>
        </w:rPr>
        <w:t>لا يبعد أن يكون ذلك مقصود الجميع حيث لا مصرّح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الروضة </w:t>
      </w:r>
      <w:r>
        <w:rPr>
          <w:rStyle w:val="FootnoteAnchor"/>
          <w:rtl w:val="true"/>
        </w:rPr>
        <w:footnoteReference w:id="998"/>
      </w:r>
      <w:r>
        <w:rPr>
          <w:rFonts w:ascii="Amiri" w:hAnsi="Amiri" w:eastAsia="Amiri" w:cs="Amiri"/>
          <w:color w:val="111111"/>
          <w:sz w:val="28"/>
          <w:sz w:val="28"/>
          <w:szCs w:val="28"/>
          <w:rtl w:val="true"/>
          <w:lang w:bidi="ar-SA"/>
        </w:rPr>
        <w:t>حكى الشهرة عليه إلّا أنّه حكى عن القيل اعتبار قيمة أصل الضيعة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يعرف القول به صريحا لأحد من الأصحاب</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يحكى عن فخر الدين ، وليس يثبت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عزا التقييد المذكور في مجمع البرهان </w:t>
      </w:r>
      <w:r>
        <w:rPr>
          <w:rStyle w:val="FootnoteAnchor"/>
          <w:rtl w:val="true"/>
        </w:rPr>
        <w:footnoteReference w:id="999"/>
      </w:r>
      <w:r>
        <w:rPr>
          <w:rFonts w:ascii="Amiri" w:hAnsi="Amiri" w:eastAsia="Amiri" w:cs="Amiri"/>
          <w:color w:val="111111"/>
          <w:sz w:val="28"/>
          <w:sz w:val="28"/>
          <w:szCs w:val="28"/>
          <w:rtl w:val="true"/>
          <w:lang w:bidi="ar-SA"/>
        </w:rPr>
        <w:t xml:space="preserve">إلى صريح الأصحاب إلّا أنّه تأمّل فيه بعد ذكر خبر الفيومي </w:t>
      </w:r>
      <w:r>
        <w:rPr>
          <w:rStyle w:val="FootnoteAnchor"/>
          <w:rtl w:val="true"/>
        </w:rPr>
        <w:footnoteReference w:id="1000"/>
      </w:r>
      <w:r>
        <w:rPr>
          <w:rFonts w:ascii="Amiri" w:hAnsi="Amiri" w:eastAsia="Amiri" w:cs="Amiri"/>
          <w:color w:val="111111"/>
          <w:sz w:val="28"/>
          <w:sz w:val="28"/>
          <w:szCs w:val="28"/>
          <w:rtl w:val="true"/>
          <w:lang w:bidi="ar-SA"/>
        </w:rPr>
        <w:t xml:space="preserve">الدالّ عليه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 لعدم الصراحة والصحّة مع مخالفته للأخبار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الميل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1001"/>
      </w:r>
      <w:r>
        <w:rPr>
          <w:rFonts w:ascii="IRNazanin" w:hAnsi="IRNazanin" w:eastAsia="IRNazanin"/>
          <w:color w:val="111111"/>
          <w:sz w:val="28"/>
          <w:sz w:val="28"/>
          <w:szCs w:val="28"/>
          <w:rtl w:val="true"/>
          <w:lang w:bidi="fa-IR"/>
        </w:rPr>
        <w:t xml:space="preserve">والحدائق </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المشهور مناف لما صرّح به الشيخ والمحقّق والعلّامة من التقييد المذكور إلّا أنّهما اختارا </w:t>
      </w:r>
      <w:r>
        <w:rPr>
          <w:rStyle w:val="FootnoteAnchor"/>
          <w:rtl w:val="true"/>
        </w:rPr>
        <w:footnoteReference w:id="1003"/>
      </w:r>
      <w:r>
        <w:rPr>
          <w:rFonts w:ascii="Amiri" w:hAnsi="Amiri" w:eastAsia="Amiri" w:cs="Amiri"/>
          <w:color w:val="111111"/>
          <w:sz w:val="28"/>
          <w:sz w:val="28"/>
          <w:szCs w:val="28"/>
          <w:rtl w:val="true"/>
          <w:lang w:bidi="ar-SA"/>
        </w:rPr>
        <w:t>التقييد بذلك ونصّا على انّ المعتمد أنّ من كان له مال يتّجر به أو ضيعة يشغلها ولم يكفه الربح جاز له الأخذ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يكلّف الإنفاق من رأس المال ، ولا من ثمن الضيعة ، ومن لم يكن له ذلك اعتبر فيه قصور أمواله عن مؤنة السنة ، فانحلّ </w:t>
      </w:r>
      <w:r>
        <w:rPr>
          <w:rStyle w:val="FootnoteAnchor"/>
          <w:rtl w:val="true"/>
        </w:rPr>
        <w:footnoteReference w:id="1004"/>
      </w:r>
      <w:r>
        <w:rPr>
          <w:rFonts w:ascii="Amiri" w:hAnsi="Amiri" w:eastAsia="Amiri" w:cs="Amiri"/>
          <w:color w:val="111111"/>
          <w:sz w:val="28"/>
          <w:sz w:val="28"/>
          <w:szCs w:val="28"/>
          <w:rtl w:val="true"/>
          <w:lang w:bidi="ar-SA"/>
        </w:rPr>
        <w:t>القول المذكور في بادي الرأي إلى قولين إلّا أنّ الظاهر إرجاع كلام المطلقين إلى التقييد حيث لم يعرف بين الأصحاب عدّهما قولين مع تصريح جماعة منهم بالتقييد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ما حكاه في الروضة </w:t>
      </w:r>
      <w:r>
        <w:rPr>
          <w:rStyle w:val="FootnoteAnchor"/>
          <w:rtl w:val="true"/>
        </w:rPr>
        <w:footnoteReference w:id="1005"/>
      </w:r>
      <w:r>
        <w:rPr>
          <w:rFonts w:ascii="Amiri" w:hAnsi="Amiri" w:eastAsia="Amiri" w:cs="Amiri"/>
          <w:color w:val="111111"/>
          <w:sz w:val="28"/>
          <w:sz w:val="28"/>
          <w:szCs w:val="28"/>
          <w:rtl w:val="true"/>
          <w:lang w:bidi="ar-SA"/>
        </w:rPr>
        <w:t>عن القيل ما عرفت من ميل الفاضل الأردبيلي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فالأقوى هو التقييد بل لا يبقى التأمّل فيه كما ستعرف</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الضابط تمليك </w:t>
      </w:r>
      <w:r>
        <w:rPr>
          <w:rStyle w:val="FootnoteAnchor"/>
          <w:rtl w:val="true"/>
        </w:rPr>
        <w:footnoteReference w:id="1006"/>
      </w:r>
      <w:r>
        <w:rPr>
          <w:rFonts w:ascii="Amiri" w:hAnsi="Amiri" w:eastAsia="Amiri" w:cs="Amiri"/>
          <w:color w:val="111111"/>
          <w:sz w:val="28"/>
          <w:sz w:val="28"/>
          <w:szCs w:val="28"/>
          <w:rtl w:val="true"/>
          <w:lang w:bidi="ar-SA"/>
        </w:rPr>
        <w:t xml:space="preserve">النصاب من الأثمان أو قيمتها فاضلا من سكيه </w:t>
      </w:r>
      <w:r>
        <w:rPr>
          <w:rStyle w:val="FootnoteAnchor"/>
          <w:rtl w:val="true"/>
        </w:rPr>
        <w:footnoteReference w:id="1007"/>
      </w:r>
      <w:r>
        <w:rPr>
          <w:rFonts w:ascii="Amiri" w:hAnsi="Amiri" w:eastAsia="Amiri" w:cs="Amiri"/>
          <w:color w:val="111111"/>
          <w:sz w:val="28"/>
          <w:sz w:val="28"/>
          <w:szCs w:val="28"/>
          <w:rtl w:val="true"/>
          <w:lang w:bidi="ar-SA"/>
        </w:rPr>
        <w:t>وخادمه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في التذكرة </w:t>
      </w:r>
      <w:r>
        <w:rPr>
          <w:rStyle w:val="FootnoteAnchor"/>
          <w:rtl w:val="true"/>
        </w:rPr>
        <w:footnoteReference w:id="1008"/>
      </w:r>
      <w:r>
        <w:rPr>
          <w:rFonts w:ascii="Amiri" w:hAnsi="Amiri" w:eastAsia="Amiri" w:cs="Amiri"/>
          <w:color w:val="111111"/>
          <w:sz w:val="28"/>
          <w:sz w:val="28"/>
          <w:szCs w:val="28"/>
          <w:rtl w:val="true"/>
          <w:lang w:bidi="ar-SA"/>
        </w:rPr>
        <w:t>عن الشيخ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حكاه في المنتهى </w:t>
      </w:r>
      <w:r>
        <w:rPr>
          <w:rStyle w:val="FootnoteAnchor"/>
          <w:rtl w:val="true"/>
        </w:rPr>
        <w:footnoteReference w:id="1009"/>
      </w:r>
      <w:r>
        <w:rPr>
          <w:rFonts w:ascii="IRNazanin" w:hAnsi="IRNazanin" w:eastAsia="IRNazanin"/>
          <w:color w:val="111111"/>
          <w:sz w:val="28"/>
          <w:sz w:val="28"/>
          <w:szCs w:val="28"/>
          <w:rtl w:val="true"/>
          <w:lang w:bidi="fa-IR"/>
        </w:rPr>
        <w:t xml:space="preserve">والمهذب البارع </w:t>
      </w:r>
      <w:r>
        <w:rPr>
          <w:rStyle w:val="FootnoteAnchor"/>
          <w:rtl w:val="true"/>
        </w:rPr>
        <w:footnoteReference w:id="1010"/>
      </w:r>
      <w:r>
        <w:rPr>
          <w:rFonts w:ascii="Amiri" w:hAnsi="Amiri" w:eastAsia="Amiri" w:cs="Amiri"/>
          <w:color w:val="111111"/>
          <w:sz w:val="28"/>
          <w:sz w:val="28"/>
          <w:szCs w:val="28"/>
          <w:rtl w:val="true"/>
          <w:lang w:bidi="ar-SA"/>
        </w:rPr>
        <w:t>عنه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والمحكي في السرائر </w:t>
      </w:r>
      <w:r>
        <w:rPr>
          <w:rStyle w:val="FootnoteAnchor"/>
          <w:rtl w:val="true"/>
        </w:rPr>
        <w:footnoteReference w:id="1011"/>
      </w:r>
      <w:r>
        <w:rPr>
          <w:rFonts w:ascii="IRNazanin" w:hAnsi="IRNazanin" w:eastAsia="IRNazanin"/>
          <w:color w:val="111111"/>
          <w:sz w:val="28"/>
          <w:sz w:val="28"/>
          <w:szCs w:val="28"/>
          <w:rtl w:val="true"/>
          <w:lang w:bidi="fa-IR"/>
        </w:rPr>
        <w:t>عن الخلاف هو القول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نجد منه هناك </w:t>
      </w:r>
      <w:r>
        <w:rPr>
          <w:rStyle w:val="FootnoteAnchor"/>
          <w:rtl w:val="true"/>
        </w:rPr>
        <w:footnoteReference w:id="1012"/>
      </w:r>
      <w:r>
        <w:rPr>
          <w:rFonts w:ascii="Amiri" w:hAnsi="Amiri" w:eastAsia="Amiri" w:cs="Amiri"/>
          <w:color w:val="111111"/>
          <w:sz w:val="28"/>
          <w:sz w:val="28"/>
          <w:szCs w:val="28"/>
          <w:rtl w:val="true"/>
          <w:lang w:bidi="ar-SA"/>
        </w:rPr>
        <w:t>تصريحا وإنّما المحكي عنه التصريح بالوجه الأخير كما يأتي ، وكأنّه الوجه في إسناد القول الأوّل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ذكر في زكاة الفطرة أنها تجب على من ملك نصابا يجب فيه الزكاة أو قيمة 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إشارة إلى النقل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يعزى القول المذكور إلى المفيد والسيد ، وليس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ادّعى السيد في الناصريات </w:t>
      </w:r>
      <w:r>
        <w:rPr>
          <w:rStyle w:val="FootnoteAnchor"/>
          <w:rtl w:val="true"/>
        </w:rPr>
        <w:footnoteReference w:id="1013"/>
      </w:r>
      <w:r>
        <w:rPr>
          <w:rFonts w:ascii="IRNazanin" w:hAnsi="IRNazanin" w:eastAsia="IRNazanin"/>
          <w:color w:val="111111"/>
          <w:sz w:val="28"/>
          <w:sz w:val="28"/>
          <w:szCs w:val="28"/>
          <w:rtl w:val="true"/>
          <w:lang w:bidi="fa-IR"/>
        </w:rPr>
        <w:t>الإجماع على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المقنعة </w:t>
      </w:r>
      <w:r>
        <w:rPr>
          <w:rStyle w:val="FootnoteAnchor"/>
          <w:rtl w:val="true"/>
        </w:rPr>
        <w:footnoteReference w:id="1014"/>
      </w:r>
      <w:r>
        <w:rPr>
          <w:rFonts w:ascii="Amiri" w:hAnsi="Amiri" w:eastAsia="Amiri" w:cs="Amiri"/>
          <w:color w:val="111111"/>
          <w:sz w:val="28"/>
          <w:sz w:val="28"/>
          <w:szCs w:val="28"/>
          <w:rtl w:val="true"/>
          <w:lang w:bidi="ar-SA"/>
        </w:rPr>
        <w:t>أيضا ما هو ظاهر في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واقتصر في التحرير </w:t>
      </w:r>
      <w:r>
        <w:rPr>
          <w:rStyle w:val="FootnoteAnchor"/>
          <w:rtl w:val="true"/>
        </w:rPr>
        <w:footnoteReference w:id="1015"/>
      </w:r>
      <w:r>
        <w:rPr>
          <w:rFonts w:ascii="IRNazanin" w:hAnsi="IRNazanin" w:eastAsia="IRNazanin"/>
          <w:color w:val="111111"/>
          <w:sz w:val="28"/>
          <w:sz w:val="28"/>
          <w:szCs w:val="28"/>
          <w:rtl w:val="true"/>
          <w:lang w:bidi="fa-IR"/>
        </w:rPr>
        <w:t xml:space="preserve">والدروس </w:t>
      </w:r>
      <w:r>
        <w:rPr>
          <w:rStyle w:val="FootnoteAnchor"/>
          <w:rtl w:val="true"/>
        </w:rPr>
        <w:footnoteReference w:id="1016"/>
      </w:r>
      <w:r>
        <w:rPr>
          <w:rFonts w:ascii="Amiri" w:hAnsi="Amiri" w:eastAsia="Amiri" w:cs="Amiri"/>
          <w:color w:val="111111"/>
          <w:sz w:val="28"/>
          <w:sz w:val="28"/>
          <w:szCs w:val="28"/>
          <w:rtl w:val="true"/>
          <w:lang w:bidi="ar-SA"/>
        </w:rPr>
        <w:t>على ذكر القولين المذكورين ، فظاهرهما التأمل في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Style w:val="FootnoteAnchor"/>
          <w:rtl w:val="true"/>
        </w:rPr>
        <w:footnoteReference w:id="1017"/>
      </w:r>
      <w:r>
        <w:rPr>
          <w:rFonts w:ascii="Amiri" w:hAnsi="Amiri" w:eastAsia="Amiri" w:cs="Amiri"/>
          <w:color w:val="111111"/>
          <w:sz w:val="28"/>
          <w:sz w:val="28"/>
          <w:szCs w:val="28"/>
          <w:rtl w:val="true"/>
          <w:lang w:bidi="ar-SA"/>
        </w:rPr>
        <w:t xml:space="preserve">إنّ ظاهر القول المذكور هو اعتبار ذلك من جهة تملك المال ، فلا ينافي المنع من جهة وفاء الاكتساب في أرباب المكاسب ، وإن لم يتملّكن </w:t>
      </w:r>
      <w:r>
        <w:rPr>
          <w:rStyle w:val="FootnoteAnchor"/>
          <w:rtl w:val="true"/>
        </w:rPr>
        <w:footnoteReference w:id="1018"/>
      </w:r>
      <w:r>
        <w:rPr>
          <w:rFonts w:ascii="IRNazanin" w:hAnsi="IRNazanin" w:eastAsia="IRNazanin"/>
          <w:color w:val="111111"/>
          <w:sz w:val="28"/>
          <w:sz w:val="28"/>
          <w:szCs w:val="28"/>
          <w:rtl w:val="true"/>
          <w:lang w:bidi="fa-IR"/>
        </w:rPr>
        <w:t>مقدار النصاب</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إطلاقه عدم حصول الغناء المانع من قبول الزكاة لو كان ملك ما دون النصاب ، وكان كافيا لمؤنة سنة ، فبين القولين المذكورين عموم من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وحكى في الكفاية قولا بأنّه من ملك عشرين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نجد من حكم به ، وعلى فرضه فحمله على ظاهره مقطوع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المناط في عدم استحقاق الزكاة القدرة على كفايته ، وكفاية من يلزمه كفايته على الدوام ، وعزي ذلك إلى الشيخ في المبسوط </w:t>
      </w:r>
      <w:r>
        <w:rPr>
          <w:rStyle w:val="FootnoteAnchor"/>
          <w:rtl w:val="true"/>
        </w:rPr>
        <w:footnoteReference w:id="1019"/>
      </w:r>
      <w:r>
        <w:rPr>
          <w:rFonts w:ascii="Amiri" w:hAnsi="Amiri" w:eastAsia="Amiri" w:cs="Amiri"/>
          <w:color w:val="111111"/>
          <w:sz w:val="28"/>
          <w:sz w:val="28"/>
          <w:szCs w:val="28"/>
          <w:rtl w:val="true"/>
          <w:lang w:bidi="ar-SA"/>
        </w:rPr>
        <w:t xml:space="preserve">، وقد عبّر فيه بالنحو المذكور وقال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مكتفيا بصنعة وكانت صنعته ترد عليه كفايته وكفاية من يلزمه نفقته حرمت عليه ، وإن كانت لا ترد عليه حلّ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الخلاف نحوه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العبارة المذكورة أن يكون قادرا على كفاية مصارفه مدّة عمره سواء كان مالكا لها بالفعل أو كان قادرا على تحصيلها بالاكتساب ، فلا عبرة بما يملكه من كفاية سنة مع انتفاء القدرة بالنسبة إلى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يورد عليه من أنّ ذلك خلاف الضرورة إذ يلزم على ذلك عدم تحقق غنى أصلا ؛ لعدم العلم ببقاء المال أو حصول المنافع ؛ بيّن الاندفاع لابتناء الامور المذكورة على ظاهر الحال ، فالغرض من القدرة على ذلك هو القدرة عليه بحسب مجاري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كانت حرفته أو بضاعته ترد عليه مؤنته سنة مع الشكّ عادة في الاجتزاء به لغيرها من السنين يتّجه القول بتحقق الاستحقاق على 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ضرورة قاضية فيه بالمنع ، وإن كان الحق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فهذا القول متروك بين الأصحاب إلّا أنّه اختاره من المتأخرين صاحب المفاتيح ، وهو بمكان من الضعف بل في إسناده إلى الشيخ بمجرد العبارة المزبورة تأمّل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والفاضلان </w:t>
      </w:r>
      <w:r>
        <w:rPr>
          <w:rStyle w:val="FootnoteAnchor"/>
          <w:rtl w:val="true"/>
        </w:rPr>
        <w:footnoteReference w:id="1020"/>
      </w:r>
      <w:r>
        <w:rPr>
          <w:rFonts w:ascii="Amiri" w:hAnsi="Amiri" w:eastAsia="Amiri" w:cs="Amiri"/>
          <w:color w:val="111111"/>
          <w:sz w:val="28"/>
          <w:sz w:val="28"/>
          <w:szCs w:val="28"/>
          <w:rtl w:val="true"/>
          <w:lang w:bidi="ar-SA"/>
        </w:rPr>
        <w:t>وغيرهما من الأصحاب لم ينسبوا إليه القول المذكور ، بل صرّح العلّامة في جملة من كتبه بإسناد القول الأول إليه ، ولم ينسب القول المذكور إلى أحد من الأصحاب في معظم الكتب المعتمدة المعدّة لذكر المسائل الخلافية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إنّما أشار إليه في المدارك </w:t>
      </w:r>
      <w:r>
        <w:rPr>
          <w:rStyle w:val="FootnoteAnchor"/>
          <w:rtl w:val="true"/>
        </w:rPr>
        <w:footnoteReference w:id="1021"/>
      </w:r>
      <w:r>
        <w:rPr>
          <w:rFonts w:ascii="IRNazanin" w:hAnsi="IRNazanin" w:eastAsia="IRNazanin"/>
          <w:color w:val="111111"/>
          <w:sz w:val="28"/>
          <w:sz w:val="28"/>
          <w:szCs w:val="28"/>
          <w:rtl w:val="true"/>
          <w:lang w:bidi="fa-IR"/>
        </w:rPr>
        <w:t>وما تأخر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ويضعّفه مضافا إلى ذلك أنّه حكى في البيان الاتفاق على أنّه يشترط في الفقير والمسكين أن يقصر مالهما عن مؤنة السنة </w:t>
      </w:r>
      <w:r>
        <w:rPr>
          <w:rStyle w:val="FootnoteAnchor"/>
          <w:rtl w:val="true"/>
        </w:rPr>
        <w:footnoteReference w:id="1022"/>
      </w:r>
      <w:r>
        <w:rPr>
          <w:rFonts w:ascii="Amiri" w:hAnsi="Amiri" w:eastAsia="Amiri" w:cs="Amiri"/>
          <w:color w:val="111111"/>
          <w:sz w:val="28"/>
          <w:sz w:val="28"/>
          <w:szCs w:val="28"/>
          <w:rtl w:val="true"/>
          <w:lang w:bidi="ar-SA"/>
        </w:rPr>
        <w:t xml:space="preserve">كما أشار إليه في المختلف </w:t>
      </w:r>
      <w:r>
        <w:rPr>
          <w:rStyle w:val="FootnoteAnchor"/>
          <w:rtl w:val="true"/>
        </w:rPr>
        <w:footnoteReference w:id="1023"/>
      </w:r>
      <w:r>
        <w:rPr>
          <w:rFonts w:ascii="Amiri" w:hAnsi="Amiri" w:eastAsia="Amiri" w:cs="Amiri"/>
          <w:color w:val="111111"/>
          <w:sz w:val="28"/>
          <w:sz w:val="28"/>
          <w:szCs w:val="28"/>
          <w:rtl w:val="true"/>
          <w:lang w:bidi="ar-SA"/>
        </w:rPr>
        <w:t xml:space="preserve">أو يجعل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متعلقات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يلزمه كفايته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التقييد به لإخراج من لا يجب مؤنته إلّا في وقت كان أجير </w:t>
      </w:r>
      <w:r>
        <w:rPr>
          <w:rStyle w:val="FootnoteAnchor"/>
          <w:rtl w:val="true"/>
        </w:rPr>
        <w:footnoteReference w:id="1024"/>
      </w:r>
      <w:r>
        <w:rPr>
          <w:rFonts w:ascii="Amiri" w:hAnsi="Amiri" w:eastAsia="Amiri" w:cs="Amiri"/>
          <w:color w:val="111111"/>
          <w:sz w:val="28"/>
          <w:sz w:val="28"/>
          <w:szCs w:val="28"/>
          <w:rtl w:val="true"/>
          <w:lang w:bidi="ar-SA"/>
        </w:rPr>
        <w:t>المشترط نفقته في وقت مخصوص أو النفقة المشترط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ذلك غير مقيّد في المقام لجريان الحكم فيه ، وأيّ فرق بين ذلك و </w:t>
      </w:r>
      <w:r>
        <w:rPr>
          <w:rStyle w:val="FootnoteAnchor"/>
          <w:rtl w:val="true"/>
        </w:rPr>
        <w:footnoteReference w:id="1025"/>
      </w:r>
      <w:r>
        <w:rPr>
          <w:rFonts w:ascii="Amiri" w:hAnsi="Amiri" w:eastAsia="Amiri" w:cs="Amiri"/>
          <w:color w:val="111111"/>
          <w:sz w:val="28"/>
          <w:sz w:val="28"/>
          <w:szCs w:val="28"/>
          <w:rtl w:val="true"/>
          <w:lang w:bidi="ar-SA"/>
        </w:rPr>
        <w:t>ما إذا اشترط عليه مدّة عمره؟ وسيأتي الكلام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على الاكتفاء في المنع بمجرد تملّك مؤنة السنة عدّة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المفيد في المقنعة </w:t>
      </w:r>
      <w:r>
        <w:rPr>
          <w:rStyle w:val="FootnoteAnchor"/>
          <w:rtl w:val="true"/>
        </w:rPr>
        <w:footnoteReference w:id="1026"/>
      </w:r>
      <w:r>
        <w:rPr>
          <w:rFonts w:ascii="Amiri" w:hAnsi="Amiri" w:eastAsia="Amiri" w:cs="Amiri"/>
          <w:color w:val="111111"/>
          <w:sz w:val="28"/>
          <w:sz w:val="28"/>
          <w:szCs w:val="28"/>
          <w:rtl w:val="true"/>
          <w:lang w:bidi="ar-SA"/>
        </w:rPr>
        <w:t xml:space="preserve">مرسلا عن يونس بن عمّار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تحرم الزكاة على من عنده قوت السنة </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مؤكدة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وضعفها منجبر بالعمل ؛ مضافا إلى أنّ رواية المفيد لها في المقنعة ظاهرة في كونها من الروايات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بصير ،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يأخذ الزكاة صاحب السبعمائة إذا لم يجد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صاحب السبعمائة يجب عليه الزكاة؟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زكاته صدقة على عياله ولا يأخذها إلّا أن يكون إذا اعتمد على السبعمائة </w:t>
      </w:r>
    </w:p>
    <w:p>
      <w:pPr>
        <w:pStyle w:val="BookText"/>
        <w:rPr/>
      </w:pPr>
      <w:r>
        <w:rPr>
          <w:rFonts w:ascii="Amiri" w:hAnsi="Amiri" w:eastAsia="Amiri" w:cs="Amiri"/>
          <w:color w:val="111111"/>
          <w:sz w:val="28"/>
          <w:sz w:val="28"/>
          <w:szCs w:val="28"/>
          <w:rtl w:val="true"/>
          <w:lang w:bidi="ar-SA"/>
        </w:rPr>
        <w:t xml:space="preserve">أخذها في أقلّ من سنة ، فهذا يأخذها </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دلالة ظاهرة على المنع من أخذ الزكاة مع وفاء السبعمائة بمئونة سنة ، وهي محمولة على ما إذا لم تكن محترفا بها كما هو الظاهر من إطلاقها ؛ إذ لم يعرض فيها الاحتراف بها ، وحملا لإطلاقها على ما سيجي‌ء من المقيّدات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موثقة </w:t>
      </w:r>
      <w:r>
        <w:rPr>
          <w:rStyle w:val="FootnoteAnchor"/>
          <w:rtl w:val="true"/>
        </w:rPr>
        <w:footnoteReference w:id="1029"/>
      </w:r>
      <w:r>
        <w:rPr>
          <w:rFonts w:ascii="Amiri" w:hAnsi="Amiri" w:eastAsia="Amiri" w:cs="Amiri"/>
          <w:color w:val="111111"/>
          <w:sz w:val="28"/>
          <w:sz w:val="28"/>
          <w:szCs w:val="28"/>
          <w:rtl w:val="true"/>
          <w:lang w:bidi="ar-SA"/>
        </w:rPr>
        <w:t xml:space="preserve">سماعة ، عن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تحل الزكاة لصاحب السبعمائة وتحرم على صاحب الخمسين درهما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هذا؟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صاحب السبعمائة له عيال كثير فلو قسّمها بينهم لم تكفه </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قسّمها بينهم لم يكفه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عدم الاكتفاء به لمؤنة سنة ، وظاهره أنّه مع الاكتفاء به لا يحلّ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 عن الباقر عليه‌السلام ، عن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 الصدقة لغني ولا لذي مرة سويّ ولا لمحترف ولا لقوي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هذا؟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له أن يأخذها وهو يقدر على ما يكف نفسه عنها </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ظاهرها دوران الأمر مدار القدرة على ما يكفّ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ظهور الاطلاق في </w:t>
      </w:r>
      <w:r>
        <w:rPr>
          <w:rStyle w:val="FootnoteAnchor"/>
          <w:rtl w:val="true"/>
        </w:rPr>
        <w:footnoteReference w:id="1032"/>
      </w:r>
      <w:r>
        <w:rPr>
          <w:rFonts w:ascii="Amiri" w:hAnsi="Amiri" w:eastAsia="Amiri" w:cs="Amiri"/>
          <w:color w:val="111111"/>
          <w:sz w:val="28"/>
          <w:sz w:val="28"/>
          <w:szCs w:val="28"/>
          <w:rtl w:val="true"/>
          <w:lang w:bidi="ar-SA"/>
        </w:rPr>
        <w:t>مؤنة السنة ، ولا أقل من شمول إطلاقه لذلك</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الصحيح إلى صفوان بن يحيى بن علي بن اسماعيل الدغشي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أبي الحسن عليه‌السلام عن السائل وعنده قوت يوم ، أتحلّ له أن يسأل وإن اعطي شيئا من قبل أن يسأل يحل له أن يقبله؟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يأخذ وعنده قوت شهر ما يكفيه لسنة من الزكاة لأنّها إنّما هي </w:t>
      </w:r>
    </w:p>
    <w:p>
      <w:pPr>
        <w:pStyle w:val="BookText"/>
        <w:rPr/>
      </w:pPr>
      <w:r>
        <w:rPr>
          <w:rFonts w:ascii="Amiri" w:hAnsi="Amiri" w:eastAsia="Amiri" w:cs="Amiri"/>
          <w:color w:val="111111"/>
          <w:sz w:val="28"/>
          <w:sz w:val="28"/>
          <w:szCs w:val="28"/>
          <w:rtl w:val="true"/>
          <w:lang w:bidi="ar-SA"/>
        </w:rPr>
        <w:t xml:space="preserve">من سنة إلى سنة </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الرواية إشعار بأنّ المرعي في الكفاف حال السنة ، ففيها تأييد لما قلناه وإن كان الاحتجاج بها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بما ذكرنا أنّ القدرة الدائمة على المئونة غير معتبرة ، مضافا إلى ضعف ذلك القول في نفسه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يحتج له باندراجه مع انتفاء القدرة كذلك في عنوان الفقير عرفا ؛ لاحتياجه في الجملة ، فيندرج في إطلاق الكتاب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المنع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الروايات المعتضدة بالاحتياط وعمل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الاكتفاء بمجرد ملك النصاب فهو أيضا كسابقه في غاية الضعف ، وإنّما هو من مذاهب العامة مستندا إلى بعض الروايات العامية الغير الدالّة عليه ، وبعض الاعتبارات الواهية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وذهاب الشيخ إليه غير معلوم ، وعلى فرضه فإطباق الأصحاب من بعده على خلافه كاف في دفعه ، بل الرجوع إلى الإطلاق </w:t>
      </w:r>
      <w:r>
        <w:rPr>
          <w:rStyle w:val="FootnoteAnchor"/>
          <w:rtl w:val="true"/>
        </w:rPr>
        <w:footnoteReference w:id="1034"/>
      </w:r>
      <w:r>
        <w:rPr>
          <w:rFonts w:ascii="Amiri" w:hAnsi="Amiri" w:eastAsia="Amiri" w:cs="Amiri"/>
          <w:color w:val="111111"/>
          <w:sz w:val="28"/>
          <w:sz w:val="28"/>
          <w:szCs w:val="28"/>
          <w:rtl w:val="true"/>
          <w:lang w:bidi="ar-SA"/>
        </w:rPr>
        <w:t>كاف في نفيه ؛ إذ ليس معنى الفقير أو المسكين في العرف ما ذكره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عرفت من عدم قيام دليل عليه ، بل دلالة الأخبار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يحتجّ له بصحيحة الفاضلين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 لمن كانت عنده أربعون درهما يحول عليها الحول عنده أن يأخذها وإن أخذها أخذها حراما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بأنّه لا ربط للرواية بما ذهب إليه ؛ إذ ليس الأربعون بنفسه نصابا للنفقة ، فلا بدّ من ترك الرواية أو تأويلها بما تصحّ إرادته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وكأنّها محمولة على صورة انتفاء الحاجة كما يشهد له خبر </w:t>
      </w:r>
      <w:r>
        <w:rPr>
          <w:rStyle w:val="FootnoteAnchor"/>
          <w:rtl w:val="true"/>
        </w:rPr>
        <w:footnoteReference w:id="1035"/>
      </w: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حال عليه الحول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يحتج له أيضا بصحيحة البزنطي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 الزكاة لمن كان محترفا وعنده ما يجب فيه الزكاة أن يأخذ 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أيضا غير دالّة على ما ذكره لاعتبار الاحتراف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على جواز أخذ الزكاة مع قصور النماء و </w:t>
      </w:r>
      <w:r>
        <w:rPr>
          <w:rStyle w:val="FootnoteAnchor"/>
          <w:rtl w:val="true"/>
        </w:rPr>
        <w:footnoteReference w:id="1036"/>
      </w:r>
      <w:r>
        <w:rPr>
          <w:rFonts w:ascii="Amiri" w:hAnsi="Amiri" w:eastAsia="Amiri" w:cs="Amiri"/>
          <w:color w:val="111111"/>
          <w:sz w:val="28"/>
          <w:sz w:val="28"/>
          <w:szCs w:val="28"/>
          <w:rtl w:val="true"/>
          <w:lang w:bidi="ar-SA"/>
        </w:rPr>
        <w:t xml:space="preserve">الغلة الحاصلة من مؤنة السنة وإن كانت البضاعة في نفسها أو قيمة الضيعة وافية بمئونة السنة أو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المعتبرة المستفيضة المعتضدة بعمل الطائفة حيث لا يعرف فيه مخالف صريح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حكي فيه من الخلاف الثابت فهو مجهول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 عن الرجل يكون له ثلاث مائة درهم أو أربعمائة درهم وعيال وهو محترف فلا يصيب نفقته فيها ، أيكسب فيأكلها ولا يأخذ الزكاة أو يأخذ الزكاة؟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بل ينظر إلى فضلها فيقوت بها نفسه ومن وسعه من عياله ، ويأخذ النفقة من الزكاة وينصرف بهذه لا ينفقها </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w:t>
      </w:r>
      <w:r>
        <w:rPr>
          <w:rStyle w:val="FootnoteAnchor"/>
          <w:rtl w:val="true"/>
        </w:rPr>
        <w:footnoteReference w:id="1038"/>
      </w:r>
      <w:r>
        <w:rPr>
          <w:rFonts w:ascii="Amiri" w:hAnsi="Amiri" w:eastAsia="Amiri" w:cs="Amiri"/>
          <w:color w:val="111111"/>
          <w:sz w:val="28"/>
          <w:sz w:val="28"/>
          <w:szCs w:val="28"/>
          <w:rtl w:val="true"/>
          <w:lang w:bidi="ar-SA"/>
        </w:rPr>
        <w:t>الدالّة على أنّ من له دار غلّة فيه لم تكن الغلّة تكفيه لنفسه وعياله في طعامهم وكسوتهم وحاجتهم يحلّ له الأخذ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 المذكورة في الفقيه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يؤيّد ذلك بصدق الفقير عليه ؛ إذ ليس ذلك المال معدّا للإنفاق ، وإنّما يقصد منه الغلة والمنافع الحاصلة ، وهو نظير ملك الدابّة والدار ونحوهما ممّا لا ينافي صدق الفقر ، وإن كانت قيمته وافية بمئونة السنة</w:t>
      </w:r>
      <w:r>
        <w:rPr>
          <w:rFonts w:eastAsia="Amiri" w:cs="Amiri" w:ascii="Amiri" w:hAnsi="Amiri"/>
          <w:color w:val="111111"/>
          <w:sz w:val="28"/>
          <w:szCs w:val="28"/>
          <w:rtl w:val="true"/>
          <w:lang w:bidi="ar-SA"/>
        </w:rPr>
        <w:t xml:space="preserve">. </w:t>
      </w:r>
      <w:bookmarkStart w:id="130" w:name="pg15853_153445"/>
    </w:p>
    <w:p>
      <w:pPr>
        <w:pStyle w:val="BookText"/>
        <w:rPr/>
      </w:pPr>
      <w:bookmarkEnd w:id="130"/>
      <w:r>
        <w:rPr>
          <w:rFonts w:ascii="Amiri" w:hAnsi="Amiri" w:eastAsia="Amiri" w:cs="Amiri"/>
          <w:color w:val="111111"/>
          <w:sz w:val="28"/>
          <w:sz w:val="28"/>
          <w:szCs w:val="28"/>
          <w:rtl w:val="true"/>
          <w:lang w:bidi="ar-SA"/>
        </w:rPr>
        <w:t>ومنه يظهر ضعف ما قد يحتج للوجه الآخر من صدق الغني عليه ؛ لتملّكه مؤنة السنة</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14587131_2142443653"/>
      <w:bookmarkStart w:id="132" w:name="_Toc48"/>
      <w:bookmarkEnd w:id="131"/>
      <w:r>
        <w:rPr>
          <w:rtl w:val="true"/>
        </w:rPr>
        <w:t xml:space="preserve">[ </w:t>
      </w:r>
      <w:r>
        <w:rPr>
          <w:rtl w:val="true"/>
        </w:rPr>
        <w:t xml:space="preserve">تنبيهات </w:t>
      </w:r>
      <w:r>
        <w:rPr>
          <w:rtl w:val="true"/>
        </w:rPr>
        <w:t>]</w:t>
      </w:r>
      <w:bookmarkEnd w:id="132"/>
    </w:p>
    <w:p>
      <w:pPr>
        <w:pStyle w:val="BookText"/>
        <w:rPr/>
      </w:pPr>
      <w:r>
        <w:rPr>
          <w:rFonts w:ascii="Amiri" w:hAnsi="Amiri" w:eastAsia="Amiri" w:cs="Amiri"/>
          <w:color w:val="111111"/>
          <w:sz w:val="28"/>
          <w:sz w:val="28"/>
          <w:szCs w:val="28"/>
          <w:rtl w:val="true"/>
          <w:lang w:bidi="ar-SA"/>
        </w:rPr>
        <w:t>وقد يستند له إلى بعض الإطلاقات ، وهو محمول على صورة الاكتساب به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امور ينبغي الإشارة إليها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الصنعة والكسب إذا وفي كسبه بمئونة سنته حرمت 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الصحاح المستفيضة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الناصريات </w:t>
      </w:r>
      <w:r>
        <w:rPr>
          <w:rStyle w:val="FootnoteAnchor"/>
          <w:rtl w:val="true"/>
        </w:rPr>
        <w:footnoteReference w:id="1040"/>
      </w:r>
      <w:r>
        <w:rPr>
          <w:rFonts w:ascii="IRNazanin" w:hAnsi="IRNazanin" w:eastAsia="IRNazanin"/>
          <w:color w:val="111111"/>
          <w:sz w:val="28"/>
          <w:sz w:val="28"/>
          <w:szCs w:val="28"/>
          <w:rtl w:val="true"/>
          <w:lang w:bidi="fa-IR"/>
        </w:rPr>
        <w:t xml:space="preserve">والخلاف </w:t>
      </w:r>
      <w:r>
        <w:rPr>
          <w:rStyle w:val="FootnoteAnchor"/>
          <w:rtl w:val="true"/>
        </w:rPr>
        <w:footnoteReference w:id="1041"/>
      </w:r>
      <w:r>
        <w:rPr>
          <w:rFonts w:ascii="Amiri" w:hAnsi="Amiri" w:eastAsia="Amiri" w:cs="Amiri"/>
          <w:color w:val="111111"/>
          <w:sz w:val="28"/>
          <w:sz w:val="28"/>
          <w:szCs w:val="28"/>
          <w:rtl w:val="true"/>
          <w:lang w:bidi="ar-SA"/>
        </w:rPr>
        <w:t xml:space="preserve">وظاهر الغنية </w:t>
      </w:r>
      <w:r>
        <w:rPr>
          <w:rStyle w:val="FootnoteAnchor"/>
          <w:rtl w:val="true"/>
        </w:rPr>
        <w:footnoteReference w:id="1042"/>
      </w:r>
      <w:r>
        <w:rPr>
          <w:rFonts w:ascii="Amiri" w:hAnsi="Amiri" w:eastAsia="Amiri" w:cs="Amiri"/>
          <w:color w:val="111111"/>
          <w:sz w:val="28"/>
          <w:sz w:val="28"/>
          <w:szCs w:val="28"/>
          <w:rtl w:val="true"/>
          <w:lang w:bidi="ar-SA"/>
        </w:rPr>
        <w:t>حكاية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تخليص التلخيص أن حرمة الصدقة عليه ممّا لا خلاف فيه إلّا ما حكاه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1043"/>
      </w:r>
      <w:r>
        <w:rPr>
          <w:rFonts w:ascii="Amiri" w:hAnsi="Amiri" w:eastAsia="Amiri" w:cs="Amiri"/>
          <w:color w:val="111111"/>
          <w:sz w:val="28"/>
          <w:sz w:val="28"/>
          <w:szCs w:val="28"/>
          <w:rtl w:val="true"/>
          <w:lang w:bidi="ar-SA"/>
        </w:rPr>
        <w:t>وغيره حكاية الشهرة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الخلاف </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حكي عن بعض أصحابنا جواز دفعها إليه من غير اشتراط لقصور كسبه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على فرض ثبوته بحمل </w:t>
      </w:r>
      <w:r>
        <w:rPr>
          <w:rStyle w:val="FootnoteAnchor"/>
          <w:rtl w:val="true"/>
        </w:rPr>
        <w:footnoteReference w:id="1045"/>
      </w:r>
      <w:r>
        <w:rPr>
          <w:rFonts w:ascii="Amiri" w:hAnsi="Amiri" w:eastAsia="Amiri" w:cs="Amiri"/>
          <w:color w:val="111111"/>
          <w:sz w:val="28"/>
          <w:sz w:val="28"/>
          <w:szCs w:val="28"/>
          <w:rtl w:val="true"/>
          <w:lang w:bidi="ar-SA"/>
        </w:rPr>
        <w:t>عبارته على ظاهرها ضعيف جدا ، والقائل به مجهول ملحوق بالإجماع</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يحتج له بأنّه غير مالك للنصاب ولا مالك لمؤنة سنته فيندرج في الفقير على التفسيرين ، أو يقال أنّه بمنزلة الفقير من جهة الاشتراك في العلة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وضعفه أظهر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الأظهر إدراجه في الغني لقدرته على مؤنة سنة ، فهو مالك لمؤنة السنة قوة ، فالتعميم في حدّ الغناء بحيث يشمل مثل ذلك هو الأولى ، لكن الظاهر من غير واحد من الأخبار حيث عطفه على الغني عدم اندراجه فيه ، فيكون واسطة بين الأمرين ؛ لعدم اندراجه في الفقير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بتعدّد الإطلاق للغني ، فيكون المراد </w:t>
      </w:r>
      <w:r>
        <w:rPr>
          <w:rStyle w:val="FootnoteAnchor"/>
          <w:rtl w:val="true"/>
        </w:rPr>
        <w:footnoteReference w:id="1046"/>
      </w:r>
      <w:r>
        <w:rPr>
          <w:rFonts w:ascii="Amiri" w:hAnsi="Amiri" w:eastAsia="Amiri" w:cs="Amiri"/>
          <w:color w:val="111111"/>
          <w:sz w:val="28"/>
          <w:sz w:val="28"/>
          <w:szCs w:val="28"/>
          <w:rtl w:val="true"/>
          <w:lang w:bidi="ar-SA"/>
        </w:rPr>
        <w:t>في الحديث هو 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قادرا على الصنعة وكانت ملكيّتها حاصلة له أو لم يحتج ذلك المكسب على </w:t>
      </w:r>
      <w:r>
        <w:rPr>
          <w:rStyle w:val="FootnoteAnchor"/>
          <w:rtl w:val="true"/>
        </w:rPr>
        <w:footnoteReference w:id="1047"/>
      </w:r>
      <w:r>
        <w:rPr>
          <w:rFonts w:ascii="Amiri" w:hAnsi="Amiri" w:eastAsia="Amiri" w:cs="Amiri"/>
          <w:color w:val="111111"/>
          <w:sz w:val="28"/>
          <w:sz w:val="28"/>
          <w:szCs w:val="28"/>
          <w:rtl w:val="true"/>
          <w:lang w:bidi="ar-SA"/>
        </w:rPr>
        <w:t>ملكه لكن لم يكن محترفا بها بحيث يعدّ من أرباب ملك الصناعة ففي جواز الدفع إليه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كثير من الأصحاب حيث اعتبروا فيه عدم القدرة على الاكتساب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صحيحة زرارة المتقدمة ، وفي صحيحته الأخرى عن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الصدقة لا تحلّ لمحترف ولا لذي مرة سويّ قوي </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قرب الإسناد بإسناد عن الصادق عليه‌السلام ، عن أبيه ، عن علي عليه‌السلام أنّه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 الصدقة لغني ولا لذي مرة سوى </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ظاهر عطفه على المحترف يعطي المغايرة بينهما فيكون صريحا في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الجواز صدق الفقير عليه لغة وعرفا فيندرج تحت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ومجرد قابليته للاكتساب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يقضى بسلب اسم الفقير عنه على أن كثيرا من الفقراء لهم قدرة على الاكتساب </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ولم تجر الطريقة على منعهم بمجرّد القدرة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يؤيّد ذلك بظاهر الصحيح ، 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يروون عن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الصدقة لا تحل لغني ولا لذي مرّة 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تصلح لغني </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الاقتصار عليه في الحكم مع ضمّ الآخر إليه فيما رواه شاهد على عدم ثبوت الحكم بالنسبة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ومرسلة الصدوق قيل للصادق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يروون عن رسول اللّه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الصدقة لا يحل لغني ولا لذي مرّة 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قال لغني ولم يقل لذي مرة سويّ </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وتكذيبهم في الفقرة الأخيرة وإن لم يدلّ على انتفاء الحكم بالنسبة إليه إلّا أنّ فيه إيماء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التكسّب أن يكون لائقا بحاله ، فلا يكلّف على تكلّف المكاسب الغير اللائقة بحاله على ما نصّ عليه جماعة منهم العلّامة </w:t>
      </w:r>
      <w:r>
        <w:rPr>
          <w:rStyle w:val="FootnoteAnchor"/>
          <w:rtl w:val="true"/>
        </w:rPr>
        <w:footnoteReference w:id="1053"/>
      </w:r>
      <w:r>
        <w:rPr>
          <w:rFonts w:ascii="Amiri" w:hAnsi="Amiri" w:eastAsia="Amiri" w:cs="Amiri"/>
          <w:color w:val="111111"/>
          <w:sz w:val="28"/>
          <w:sz w:val="28"/>
          <w:szCs w:val="28"/>
          <w:rtl w:val="true"/>
          <w:lang w:bidi="ar-SA"/>
        </w:rPr>
        <w:t xml:space="preserve">وولده في الإيضاح </w:t>
      </w:r>
      <w:r>
        <w:rPr>
          <w:rStyle w:val="FootnoteAnchor"/>
          <w:rtl w:val="true"/>
        </w:rPr>
        <w:footnoteReference w:id="1054"/>
      </w:r>
      <w:r>
        <w:rPr>
          <w:rFonts w:ascii="IRNazanin" w:hAnsi="IRNazanin" w:eastAsia="IRNazanin"/>
          <w:color w:val="111111"/>
          <w:sz w:val="28"/>
          <w:sz w:val="28"/>
          <w:szCs w:val="28"/>
          <w:rtl w:val="true"/>
          <w:lang w:bidi="fa-IR"/>
        </w:rPr>
        <w:t xml:space="preserve">وابن فهد </w:t>
      </w:r>
      <w:r>
        <w:rPr>
          <w:rStyle w:val="FootnoteAnchor"/>
          <w:rtl w:val="true"/>
        </w:rPr>
        <w:footnoteReference w:id="1055"/>
      </w:r>
      <w:r>
        <w:rPr>
          <w:rFonts w:ascii="Amiri" w:hAnsi="Amiri" w:eastAsia="Amiri" w:cs="Amiri"/>
          <w:color w:val="111111"/>
          <w:sz w:val="28"/>
          <w:sz w:val="28"/>
          <w:szCs w:val="28"/>
          <w:rtl w:val="true"/>
          <w:lang w:bidi="ar-SA"/>
        </w:rPr>
        <w:t xml:space="preserve">والشهيد الثاني </w:t>
      </w:r>
      <w:r>
        <w:rPr>
          <w:rStyle w:val="FootnoteAnchor"/>
          <w:rtl w:val="true"/>
        </w:rPr>
        <w:footnoteReference w:id="1056"/>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كذلك لمراعاة الشرع في ذلك الجري على مجرى العادات ، ولذا لا يمنع صاحب الدار والخادم وغيرهما كما سيجي‌ء الاشارة إليها ، وإن وفي بقيمتها بمئونة سنة ، وكذا الحال لو لم يكن أصل الاحتراف لا يقاس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Style w:val="FootnoteAnchor"/>
          <w:rtl w:val="true"/>
        </w:rPr>
        <w:footnoteReference w:id="1057"/>
      </w:r>
      <w:r>
        <w:rPr>
          <w:rFonts w:ascii="Amiri" w:hAnsi="Amiri" w:eastAsia="Amiri" w:cs="Amiri"/>
          <w:color w:val="111111"/>
          <w:sz w:val="28"/>
          <w:sz w:val="28"/>
          <w:szCs w:val="28"/>
          <w:rtl w:val="true"/>
          <w:lang w:bidi="ar-SA"/>
        </w:rPr>
        <w:t xml:space="preserve">لعلوّ </w:t>
      </w:r>
      <w:r>
        <w:rPr>
          <w:rStyle w:val="FootnoteAnchor"/>
          <w:rtl w:val="true"/>
        </w:rPr>
        <w:footnoteReference w:id="1058"/>
      </w:r>
      <w:r>
        <w:rPr>
          <w:rFonts w:ascii="IRNazanin" w:hAnsi="IRNazanin" w:eastAsia="IRNazanin"/>
          <w:color w:val="111111"/>
          <w:sz w:val="28"/>
          <w:sz w:val="28"/>
          <w:szCs w:val="28"/>
          <w:rtl w:val="true"/>
          <w:lang w:bidi="fa-IR"/>
        </w:rPr>
        <w:t>شأنه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النهاية </w:t>
      </w:r>
      <w:r>
        <w:rPr>
          <w:rFonts w:eastAsia="Amiri" w:cs="Amiri" w:ascii="Amiri" w:hAnsi="Amiri"/>
          <w:color w:val="111111"/>
          <w:sz w:val="28"/>
          <w:szCs w:val="28"/>
          <w:rtl w:val="true"/>
          <w:lang w:bidi="ar-SA"/>
        </w:rPr>
        <w:t xml:space="preserve">) </w:t>
      </w:r>
      <w:r>
        <w:rPr>
          <w:rStyle w:val="FootnoteAnchor"/>
          <w:rtl w:val="true"/>
        </w:rPr>
        <w:footnoteReference w:id="1059"/>
      </w:r>
      <w:r>
        <w:rPr>
          <w:rFonts w:ascii="Amiri" w:hAnsi="Amiri" w:eastAsia="Amiri" w:cs="Amiri"/>
          <w:color w:val="111111"/>
          <w:sz w:val="28"/>
          <w:sz w:val="28"/>
          <w:szCs w:val="28"/>
          <w:rtl w:val="true"/>
          <w:lang w:bidi="ar-SA"/>
        </w:rPr>
        <w:t xml:space="preserve">ولو منعه اشتغاله بالاكتساب عن تحصيل العلم الواجب عليه عينا بكونه أحكام الدين أو كفاية كتحصيل ملكة الاجتهاد أو فعليّة الاستفراغ ، </w:t>
      </w:r>
    </w:p>
    <w:p>
      <w:pPr>
        <w:pStyle w:val="BookText"/>
        <w:rPr/>
      </w:pPr>
      <w:r>
        <w:rPr>
          <w:rFonts w:ascii="Amiri" w:hAnsi="Amiri" w:eastAsia="Amiri" w:cs="Amiri"/>
          <w:color w:val="111111"/>
          <w:sz w:val="28"/>
          <w:sz w:val="28"/>
          <w:szCs w:val="28"/>
          <w:rtl w:val="true"/>
          <w:lang w:bidi="ar-SA"/>
        </w:rPr>
        <w:t xml:space="preserve">فالذي نصّ عليه غير واحد منهم جواز الأخذ من الزكاة ، فعن المنتهى </w:t>
      </w:r>
      <w:r>
        <w:rPr>
          <w:rStyle w:val="FootnoteAnchor"/>
          <w:rtl w:val="true"/>
        </w:rPr>
        <w:footnoteReference w:id="1060"/>
      </w:r>
      <w:r>
        <w:rPr>
          <w:rFonts w:ascii="Amiri" w:hAnsi="Amiri" w:eastAsia="Amiri" w:cs="Amiri"/>
          <w:color w:val="111111"/>
          <w:sz w:val="28"/>
          <w:sz w:val="28"/>
          <w:szCs w:val="28"/>
          <w:rtl w:val="true"/>
          <w:lang w:bidi="ar-SA"/>
        </w:rPr>
        <w:t xml:space="preserve">والتحرير </w:t>
      </w:r>
      <w:r>
        <w:rPr>
          <w:rStyle w:val="FootnoteAnchor"/>
          <w:rtl w:val="true"/>
        </w:rPr>
        <w:footnoteReference w:id="1061"/>
      </w:r>
      <w:r>
        <w:rPr>
          <w:rFonts w:ascii="IRNazanin" w:hAnsi="IRNazanin" w:eastAsia="IRNazanin"/>
          <w:color w:val="111111"/>
          <w:sz w:val="28"/>
          <w:sz w:val="28"/>
          <w:szCs w:val="28"/>
          <w:rtl w:val="true"/>
          <w:lang w:bidi="fa-IR"/>
        </w:rPr>
        <w:t xml:space="preserve">والدروس </w:t>
      </w:r>
      <w:r>
        <w:rPr>
          <w:rStyle w:val="FootnoteAnchor"/>
          <w:rtl w:val="true"/>
        </w:rPr>
        <w:footnoteReference w:id="1062"/>
      </w:r>
      <w:r>
        <w:rPr>
          <w:rFonts w:ascii="Amiri" w:hAnsi="Amiri" w:eastAsia="Amiri" w:cs="Amiri"/>
          <w:color w:val="111111"/>
          <w:sz w:val="28"/>
          <w:sz w:val="28"/>
          <w:szCs w:val="28"/>
          <w:rtl w:val="true"/>
          <w:lang w:bidi="ar-SA"/>
        </w:rPr>
        <w:t xml:space="preserve">والبيان </w:t>
      </w:r>
      <w:r>
        <w:rPr>
          <w:rStyle w:val="FootnoteAnchor"/>
          <w:rtl w:val="true"/>
        </w:rPr>
        <w:footnoteReference w:id="1063"/>
      </w:r>
      <w:r>
        <w:rPr>
          <w:rFonts w:ascii="Amiri" w:hAnsi="Amiri" w:eastAsia="Amiri" w:cs="Amiri"/>
          <w:color w:val="111111"/>
          <w:sz w:val="28"/>
          <w:sz w:val="28"/>
          <w:szCs w:val="28"/>
          <w:rtl w:val="true"/>
          <w:lang w:bidi="ar-SA"/>
        </w:rPr>
        <w:t>الرجوع بجواز الأخذ مع كون التكسّب مانعا له عن التفقّه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ما في القواعد ونهاية الإحكام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وعلّله في المنتهى </w:t>
      </w:r>
      <w:r>
        <w:rPr>
          <w:rStyle w:val="FootnoteAnchor"/>
          <w:rtl w:val="true"/>
        </w:rPr>
        <w:footnoteReference w:id="1064"/>
      </w:r>
      <w:r>
        <w:rPr>
          <w:rFonts w:ascii="Amiri" w:hAnsi="Amiri" w:eastAsia="Amiri" w:cs="Amiri"/>
          <w:color w:val="111111"/>
          <w:sz w:val="28"/>
          <w:sz w:val="28"/>
          <w:szCs w:val="28"/>
          <w:rtl w:val="true"/>
          <w:lang w:bidi="ar-SA"/>
        </w:rPr>
        <w:t>بأنّه مأمور بالتفقه في الدين إذا كان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واستحسنه في المدارك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والتعليل قاض بجريان الحكم في سائر الواجبات المعارضة للاكتساب كأداء القضاء أو الإتيان بالمنذور ونحوهما ، وكأنّه لذا أطلق الحكم الشهيد الثاني لسائر الواجبات في حواشي القواعد حيث قيل الكسب بالذي لا يشغله عن واجب مضيّق ، ومثّل له بطلب العلم الواجب ولو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الحال في الجميع بأنّه كما أنّ التفقه وغيره ممّا مرّ من الواجبات كذلك تحصيل مؤنته ومؤنة من يجب عليه نفقته من الواجبات عليه ، فلا بدّ إذن من ملاحظة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البيّن أن تحصيل ما فيه قوام البدن مقدّم على غيرها ، وكذا نفقة الزوجة بالنسبة إلى حقوقه معه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نفقة الأقارب وجهان ، على فرض ملاحظة </w:t>
      </w:r>
      <w:r>
        <w:rPr>
          <w:rStyle w:val="FootnoteAnchor"/>
          <w:rtl w:val="true"/>
        </w:rPr>
        <w:footnoteReference w:id="1067"/>
      </w:r>
      <w:r>
        <w:rPr>
          <w:rFonts w:ascii="Amiri" w:hAnsi="Amiri" w:eastAsia="Amiri" w:cs="Amiri"/>
          <w:color w:val="111111"/>
          <w:sz w:val="28"/>
          <w:sz w:val="28"/>
          <w:szCs w:val="28"/>
          <w:rtl w:val="true"/>
          <w:lang w:bidi="ar-SA"/>
        </w:rPr>
        <w:t>ترجيح النفقة وغيره عليها ينبغي القول بسقوط الوجوب ، فلا وجه أيضا للأخذ من الزكاة من جهة المعارضة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فرض تقديم غيره من الواجب على تحصيل النفقة لنفسه وعياله فلا كلام في </w:t>
      </w:r>
    </w:p>
    <w:p>
      <w:pPr>
        <w:pStyle w:val="BookText"/>
        <w:rPr/>
      </w:pPr>
      <w:r>
        <w:rPr>
          <w:rFonts w:ascii="Amiri" w:hAnsi="Amiri" w:eastAsia="Amiri" w:cs="Amiri"/>
          <w:color w:val="111111"/>
          <w:sz w:val="28"/>
          <w:sz w:val="28"/>
          <w:szCs w:val="28"/>
          <w:rtl w:val="true"/>
          <w:lang w:bidi="ar-SA"/>
        </w:rPr>
        <w:t>الجواز ؛ لعدم تمكّنه شرعا من الاكتساب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يجرى الحكم في المعارضة مع المندوب كالاشتغال بشواغل الطاعات والتنوع للعبادات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إليه العلّامة في النهاية </w:t>
      </w:r>
      <w:r>
        <w:rPr>
          <w:rStyle w:val="FootnoteAnchor"/>
          <w:rtl w:val="true"/>
        </w:rPr>
        <w:footnoteReference w:id="1068"/>
      </w:r>
      <w:r>
        <w:rPr>
          <w:rFonts w:ascii="Amiri" w:hAnsi="Amiri" w:eastAsia="Amiri" w:cs="Amiri"/>
          <w:color w:val="111111"/>
          <w:sz w:val="28"/>
          <w:sz w:val="28"/>
          <w:szCs w:val="28"/>
          <w:rtl w:val="true"/>
          <w:lang w:bidi="ar-SA"/>
        </w:rPr>
        <w:t xml:space="preserve">وابن فهد في المهذب </w:t>
      </w:r>
      <w:r>
        <w:rPr>
          <w:rStyle w:val="FootnoteAnchor"/>
          <w:rtl w:val="true"/>
        </w:rPr>
        <w:footnoteReference w:id="1069"/>
      </w:r>
      <w:r>
        <w:rPr>
          <w:rFonts w:ascii="Amiri" w:hAnsi="Amiri" w:eastAsia="Amiri" w:cs="Amiri"/>
          <w:color w:val="111111"/>
          <w:sz w:val="28"/>
          <w:sz w:val="28"/>
          <w:szCs w:val="28"/>
          <w:rtl w:val="true"/>
          <w:lang w:bidi="ar-SA"/>
        </w:rPr>
        <w:t xml:space="preserve">إلّا أنّه أطلق أوّلا في استثناء المشتغل بتحصيل العلوم الشرعيّة ونحوه ما في الروضة </w:t>
      </w:r>
      <w:r>
        <w:rPr>
          <w:rStyle w:val="FootnoteAnchor"/>
          <w:rtl w:val="true"/>
        </w:rPr>
        <w:footnoteReference w:id="1070"/>
      </w:r>
      <w:r>
        <w:rPr>
          <w:rFonts w:ascii="Amiri" w:hAnsi="Amiri" w:eastAsia="Amiri" w:cs="Amiri"/>
          <w:color w:val="111111"/>
          <w:sz w:val="28"/>
          <w:sz w:val="28"/>
          <w:szCs w:val="28"/>
          <w:rtl w:val="true"/>
          <w:lang w:bidi="ar-SA"/>
        </w:rPr>
        <w:t xml:space="preserve">والمسالك </w:t>
      </w:r>
      <w:r>
        <w:rPr>
          <w:rStyle w:val="FootnoteAnchor"/>
          <w:rtl w:val="true"/>
        </w:rPr>
        <w:footnoteReference w:id="1071"/>
      </w:r>
      <w:r>
        <w:rPr>
          <w:rFonts w:ascii="Amiri" w:hAnsi="Amiri" w:eastAsia="Amiri" w:cs="Amiri"/>
          <w:color w:val="111111"/>
          <w:sz w:val="28"/>
          <w:sz w:val="28"/>
          <w:szCs w:val="28"/>
          <w:rtl w:val="true"/>
          <w:lang w:bidi="ar-SA"/>
        </w:rPr>
        <w:t>وغيرهما حيث أطلق اشتغاله من الكسب بطلب علم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يحمل الجميع على إرادة القدر الواجب منها ، ولو على سبيل الكفاية ؛ إذ لا خصوصيّة في ذلك بطلب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وأطلق في البيان </w:t>
      </w:r>
      <w:r>
        <w:rPr>
          <w:rStyle w:val="FootnoteAnchor"/>
          <w:rtl w:val="true"/>
        </w:rPr>
        <w:footnoteReference w:id="1072"/>
      </w:r>
      <w:r>
        <w:rPr>
          <w:rFonts w:ascii="Amiri" w:hAnsi="Amiri" w:eastAsia="Amiri" w:cs="Amiri"/>
          <w:color w:val="111111"/>
          <w:sz w:val="28"/>
          <w:sz w:val="28"/>
          <w:szCs w:val="28"/>
          <w:rtl w:val="true"/>
          <w:lang w:bidi="ar-SA"/>
        </w:rPr>
        <w:t xml:space="preserve">استثناء من يطلب العلم ، فظاهر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 لسائر العلوم إلّا أن حمله على العلم الواجب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ما ذكروه في التعلم بالنسبة إلى التعليم إذا احتاج إليه الناس ؛ إذ هو أيضا من الواجبات ، بل هو أهم من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تجويز الدفع في جميع الصور المفروضة من نصّهم في سبيل اللّه خصوصا بالنسبة إلى التفقه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ذلك من أعظم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جميع العلوم الراجح تحصيلها بحسب الشرع سواء كانت واجبة عينا أو كفاية أو مستحبة من غير فرق بين متعلّمها أو تعليمها أو تصنيفها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ويسهل الاشتغال بتحصيلها للطّلاب ، وكذا الحال بالنسبة إلى الاشتغال بسائر الواجبات والمندوبات ، فالمنع الوارد في كلمات بعض الأصحاب من الدفع إلى من يمنعه </w:t>
      </w:r>
    </w:p>
    <w:p>
      <w:pPr>
        <w:pStyle w:val="BookText"/>
        <w:rPr/>
      </w:pPr>
      <w:r>
        <w:rPr>
          <w:rFonts w:ascii="Amiri" w:hAnsi="Amiri" w:eastAsia="Amiri" w:cs="Amiri"/>
          <w:color w:val="111111"/>
          <w:sz w:val="28"/>
          <w:sz w:val="28"/>
          <w:szCs w:val="28"/>
          <w:rtl w:val="true"/>
          <w:lang w:bidi="ar-SA"/>
        </w:rPr>
        <w:t>الاشتغال بالنوافل من الاكتساب محمول على غير الجهة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وسيجي‌ء الإشارة إلى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عبرة بالقدرة على الاكتساب بغير ما يعدّ اكتسابا في العرف كالاستيهاب ولو خلّي عن المنّة بالمرّة ، وكذا لو كان بالحرامة عليه من سلطان وغيره أو أباح له الأخذ بقدر المئونة أو ما يزيد </w:t>
      </w:r>
      <w:r>
        <w:rPr>
          <w:rStyle w:val="FootnoteAnchor"/>
          <w:rtl w:val="true"/>
        </w:rPr>
        <w:footnoteReference w:id="1073"/>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وهبه من المال ما يكفيه لمؤنة سنة لم يجب عليه القبول ، بل له تركه والأخذ عن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فيما إذا أوصى له فمات الموصي ولم يقبلها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ففي جواز أخذه قبل ردّ الوصيّة وقبوله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استحقّ ما تفي بمئونة السنة على سبيل النذر ففي ارتفاع الفقر به مع عدم امتناع الناذر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بالمنع ما لو نذر الإنفاق عليه وعلى عياله قدر السنة أو ما يزيد عليها ، فيشبه ما لو وجب نفقته عليه بالقرابة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فيه بقاء الفقر إلّا أن يتملكه بالقبض أو النذر على بعض الوجوه ، ولو كان المنذور للجنس مع عدم الانحصار فلا كلام ، وإن انتقل المال بمجرّد تعيين النذر ، وكذا مع الانحصار في وجه قويّ إلّا إذا أراد التشريك وانتقل المال إليهم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عليه تحمّل مؤنته في عقد لازم ملكها ، فمع تمكّنه من القبض لا يجوز الأخذ من الزكاة ، واستحقاق الزوجة على الزوج مانع من الاستحقاق مع تمكّنها من القبض ، فلا إشكال ، ولم تستحق عليه مؤنة السنة دفعه ولم تملك عليه إلّا مؤنة اليوم ؛ إذ ذلك في قوة تملك الجميع حسبما عرفت في المكتسب</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الزوج غير قادر على الإنفاق جاز لها الأخذ قطعا ، وإن تمكن عن القبض من </w:t>
      </w:r>
    </w:p>
    <w:p>
      <w:pPr>
        <w:pStyle w:val="BookText"/>
        <w:rPr/>
      </w:pPr>
      <w:r>
        <w:rPr>
          <w:rFonts w:ascii="Amiri" w:hAnsi="Amiri" w:eastAsia="Amiri" w:cs="Amiri"/>
          <w:color w:val="111111"/>
          <w:sz w:val="28"/>
          <w:sz w:val="28"/>
          <w:szCs w:val="28"/>
          <w:rtl w:val="true"/>
          <w:lang w:bidi="ar-SA"/>
        </w:rPr>
        <w:t>الزكاة ودفعها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لو كان غير قادر على الإنفاق تمام الحول ، وإن قدر عليه بالفعل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ناشزة ففي جواز إعطائها وجهان ؛ من عدم استحقاقها النفقة مع النشوز ، ومن </w:t>
      </w:r>
      <w:r>
        <w:rPr>
          <w:rStyle w:val="FootnoteAnchor"/>
          <w:rtl w:val="true"/>
        </w:rPr>
        <w:footnoteReference w:id="1074"/>
      </w:r>
      <w:r>
        <w:rPr>
          <w:rFonts w:ascii="Amiri" w:hAnsi="Amiri" w:eastAsia="Amiri" w:cs="Amiri"/>
          <w:color w:val="111111"/>
          <w:sz w:val="28"/>
          <w:sz w:val="28"/>
          <w:szCs w:val="28"/>
          <w:rtl w:val="true"/>
          <w:lang w:bidi="ar-SA"/>
        </w:rPr>
        <w:t>إمكان عودها إلى الطاعة فيستحق ، فهي قادرة على تحصيل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في نهاية الإحكام </w:t>
      </w:r>
      <w:r>
        <w:rPr>
          <w:rStyle w:val="FootnoteAnchor"/>
          <w:rtl w:val="true"/>
        </w:rPr>
        <w:footnoteReference w:id="1075"/>
      </w:r>
      <w:r>
        <w:rPr>
          <w:rFonts w:ascii="Amiri" w:hAnsi="Amiri" w:eastAsia="Amiri" w:cs="Amiri"/>
          <w:color w:val="111111"/>
          <w:sz w:val="28"/>
          <w:sz w:val="28"/>
          <w:szCs w:val="28"/>
          <w:rtl w:val="true"/>
          <w:lang w:bidi="ar-SA"/>
        </w:rPr>
        <w:t>بالأوّل ، ثمّ ذكر الأخير على سبيل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الكفاية </w:t>
      </w:r>
      <w:r>
        <w:rPr>
          <w:rStyle w:val="FootnoteAnchor"/>
          <w:rtl w:val="true"/>
        </w:rPr>
        <w:footnoteReference w:id="1076"/>
      </w:r>
      <w:r>
        <w:rPr>
          <w:rFonts w:ascii="Amiri" w:hAnsi="Amiri" w:eastAsia="Amiri" w:cs="Amiri"/>
          <w:color w:val="111111"/>
          <w:sz w:val="28"/>
          <w:sz w:val="28"/>
          <w:szCs w:val="28"/>
          <w:rtl w:val="true"/>
          <w:lang w:bidi="ar-SA"/>
        </w:rPr>
        <w:t>استقرب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القطع به مع بعثه على إقامتها على النشوز أو توقف النهي عن الذكر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تمكنت المرأة من التزويج ووجد الكفو الذي لا مفتضه فيها عرفا في التزويج مع بذله مهر مثلها وتمكنه من الإنفاق عليها ففي إلحاقها بالقادر على الاكتساب وجه ، والأوجه خلافه وإن قلنا هناك بالمنع ؛ إذ لا يعدّ ذلك اكتسابا في العرف</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يعتبر في عياله أن يكونوا ممّن تجب نفقتهم عليه في الشرع من أو ولو بالعارض كالمتعة المشترط عليه الإنفاق أو الأجير المشروط عليه ذلك أو يكتفى فيه بمجرّد العيلولة كيف كانت أو يعتبر فيه العيلولة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العرف وإن لم يجب في الشرع بأن يعاب عليه في ترك العيلولة </w:t>
      </w:r>
      <w:r>
        <w:rPr>
          <w:rFonts w:eastAsia="Amiri" w:cs="Amiri" w:ascii="Amiri" w:hAnsi="Amiri"/>
          <w:color w:val="111111"/>
          <w:sz w:val="28"/>
          <w:szCs w:val="28"/>
          <w:rtl w:val="true"/>
          <w:lang w:bidi="ar-SA"/>
        </w:rPr>
        <w:t xml:space="preserve">) </w:t>
      </w:r>
      <w:r>
        <w:rPr>
          <w:rStyle w:val="FootnoteAnchor"/>
          <w:rtl w:val="true"/>
        </w:rPr>
        <w:footnoteReference w:id="1077"/>
      </w:r>
      <w:r>
        <w:rPr>
          <w:rFonts w:ascii="Amiri" w:hAnsi="Amiri" w:eastAsia="Amiri" w:cs="Amiri"/>
          <w:color w:val="111111"/>
          <w:sz w:val="28"/>
          <w:sz w:val="28"/>
          <w:szCs w:val="28"/>
          <w:rtl w:val="true"/>
          <w:lang w:bidi="ar-SA"/>
        </w:rPr>
        <w:t xml:space="preserve">في العادة كأرحامه المنقطعين دون من ليس عليه في العرف والشرع عيلولتهم؟ وجوه ؛ من أن المتيقّن من الأخبار هو ذلك المقدار ، وقضية الأصل عدم العبرة بغيره ، ومن إطلاق العيال في الأخبار فيعمّ جميع من دخل تحت عيلولته ، ومن أن مراعاة الخادم ودابّة </w:t>
      </w:r>
      <w:r>
        <w:rPr>
          <w:rStyle w:val="FootnoteAnchor"/>
          <w:rtl w:val="true"/>
        </w:rPr>
        <w:footnoteReference w:id="1078"/>
      </w:r>
      <w:r>
        <w:rPr>
          <w:rFonts w:ascii="Amiri" w:hAnsi="Amiri" w:eastAsia="Amiri" w:cs="Amiri"/>
          <w:color w:val="111111"/>
          <w:sz w:val="28"/>
          <w:sz w:val="28"/>
          <w:szCs w:val="28"/>
          <w:rtl w:val="true"/>
          <w:lang w:bidi="ar-SA"/>
        </w:rPr>
        <w:t xml:space="preserve">الركوب ونحوهما إنّما هو للمحافظة على اعتباره بين الناس وعدم الخروج من </w:t>
      </w:r>
    </w:p>
    <w:p>
      <w:pPr>
        <w:pStyle w:val="BookText"/>
        <w:rPr/>
      </w:pPr>
      <w:r>
        <w:rPr>
          <w:rFonts w:ascii="Amiri" w:hAnsi="Amiri" w:eastAsia="Amiri" w:cs="Amiri"/>
          <w:color w:val="111111"/>
          <w:sz w:val="28"/>
          <w:sz w:val="28"/>
          <w:szCs w:val="28"/>
          <w:rtl w:val="true"/>
          <w:lang w:bidi="ar-SA"/>
        </w:rPr>
        <w:t>مجاري العادات الباعث على إعابته بين الناس ، وهو جار في المقام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ونفقة الخادم والدابّة ومن يخدم الدابّة مع الحاجة إليه مندرجة هناك في المصارف قطعا ، وذلك قاض بالفحوى بجريان الحكم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إطلاق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وانصرافها إلى خصوص الواجب غير متّجه ، كيف واندراج غير الواجب في العيال هو الغالب بين الناس ، فلو لم يعتبر ذلك لزم الامتنان إليه في الأخبار ، وخلوّها عن ذلك بالمرّة أقوى شاهد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ضعف اعتبار وجوب الإنفاق في المقام كما ذكره في الروضة </w:t>
      </w:r>
      <w:r>
        <w:rPr>
          <w:rStyle w:val="FootnoteAnchor"/>
          <w:rtl w:val="true"/>
        </w:rPr>
        <w:footnoteReference w:id="1079"/>
      </w:r>
      <w:r>
        <w:rPr>
          <w:rFonts w:ascii="Amiri" w:hAnsi="Amiri" w:eastAsia="Amiri" w:cs="Amiri"/>
          <w:color w:val="111111"/>
          <w:sz w:val="28"/>
          <w:sz w:val="28"/>
          <w:szCs w:val="28"/>
          <w:rtl w:val="true"/>
          <w:lang w:bidi="ar-SA"/>
        </w:rPr>
        <w:t xml:space="preserve">وغيرها على أنّ في الاكتفاء بمجرد وجوب الإنفاق في المقام ولو كان من الأقارب مع صدق اسم العيلولة إشكالا </w:t>
      </w:r>
      <w:r>
        <w:rPr>
          <w:rStyle w:val="FootnoteAnchor"/>
          <w:rtl w:val="true"/>
        </w:rPr>
        <w:footnoteReference w:id="1080"/>
      </w:r>
      <w:r>
        <w:rPr>
          <w:rFonts w:ascii="Amiri" w:hAnsi="Amiri" w:eastAsia="Amiri" w:cs="Amiri"/>
          <w:color w:val="111111"/>
          <w:sz w:val="28"/>
          <w:sz w:val="28"/>
          <w:szCs w:val="28"/>
          <w:rtl w:val="true"/>
          <w:lang w:bidi="ar-SA"/>
        </w:rPr>
        <w:t>كما إذا فرض خروج من يجب الإنفاق عليه من أقاربه عن عيلولته ولو كان قادرا على نفقته ونفقة زوجته من دون زيادة ، فإنّ الظاهر سقوط نفقة الأقارب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وجواز أخذه من الزكاة للدفع إليهم مع عدم وجوب إنفاقه عليهم ، وعدم اندراجه في اسم العيال كما ترى إشكال ، بل المستحق للزكاة حينئذ هو أقاربه خاصّة ، فالمدار إذن على العيلولة كما ذكرنا حتّى أنه لو خرجت زوجته عن عيلولته وأسقطت عنه الإنفاق فهل يعدّ مقدار نفقتها من مصارف سنته؟ وجهان ؛ من وجوب ذلك عليه ، وثبوته في ذمّته يوما فيوما في أيام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وإسقاط الزوجة غير نافع بالنسبة إلى ما عدا نفقة اليوم وما تقدّم عليه ، ومن أنّ المفروض عدم الصرف عليها وخروجها عن عيلولته ، فلا وجه لمراعاة ذلك في مصارفه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قصرت فوائده عن مصارف نفسه وعياله واكتفى بها لمصارف نفسه صحّ له الأخذ من الزكاة سواء صرفها على نفسه أو عياله كما هو قضية الإطلاقات ، وفي ظاهر صحيحة أبي بصير وغيرها دلالة عليه ، لكن ورد في عدّة الأخبار أنّه يعف عنها نفسه </w:t>
      </w:r>
    </w:p>
    <w:p>
      <w:pPr>
        <w:pStyle w:val="BookText"/>
        <w:rPr/>
      </w:pPr>
      <w:r>
        <w:rPr>
          <w:rFonts w:ascii="Amiri" w:hAnsi="Amiri" w:eastAsia="Amiri" w:cs="Amiri"/>
          <w:color w:val="111111"/>
          <w:sz w:val="28"/>
          <w:sz w:val="28"/>
          <w:szCs w:val="28"/>
          <w:rtl w:val="true"/>
          <w:lang w:bidi="ar-SA"/>
        </w:rPr>
        <w:t xml:space="preserve">ويصرفها على عياله ، ففي الصحيح الوارد في المحترف الّذي يفي كسبه بمئونته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إلى فضلها فيقوت بها عن </w:t>
      </w:r>
      <w:r>
        <w:rPr>
          <w:rStyle w:val="FootnoteAnchor"/>
          <w:rtl w:val="true"/>
        </w:rPr>
        <w:footnoteReference w:id="1081"/>
      </w:r>
      <w:r>
        <w:rPr>
          <w:rFonts w:ascii="Amiri" w:hAnsi="Amiri" w:eastAsia="Amiri" w:cs="Amiri"/>
          <w:color w:val="111111"/>
          <w:sz w:val="28"/>
          <w:sz w:val="28"/>
          <w:szCs w:val="28"/>
          <w:rtl w:val="true"/>
          <w:lang w:bidi="ar-SA"/>
        </w:rPr>
        <w:t xml:space="preserve">نفسه من وسعه ذلك عن </w:t>
      </w:r>
      <w:r>
        <w:rPr>
          <w:rStyle w:val="FootnoteAnchor"/>
          <w:rtl w:val="true"/>
        </w:rPr>
        <w:footnoteReference w:id="1082"/>
      </w:r>
      <w:r>
        <w:rPr>
          <w:rFonts w:ascii="Amiri" w:hAnsi="Amiri" w:eastAsia="Amiri" w:cs="Amiri"/>
          <w:color w:val="111111"/>
          <w:sz w:val="28"/>
          <w:sz w:val="28"/>
          <w:szCs w:val="28"/>
          <w:rtl w:val="true"/>
          <w:lang w:bidi="ar-SA"/>
        </w:rPr>
        <w:t xml:space="preserve">عياله ، ويأخذ البقية من الزكاة </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موثقة سماعة المتقدمة الواردة في صاحب السبعمائة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فليعف عنها نفسه وليأخذها لعياله </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فلينظر ما يستفضل منها فليأكل هو ومن يسعه ذلك ليأخذ لمن لم يسعه من عياله </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حملها على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عدة روايات جواز إعطاء زكاته لعياله مع عدم محصوله لمصارفهم ، ففي الصحيح بعد حكمه بجواز أخذ الزكاة لصاحب السبعمائة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صاحب السبعمائة يجب عليه الزكاة؟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زكاته صدقة على عياله </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تحل الزكاة لمن له سبعمائة درهم إذا لم يكن له حرفة ، ويخرج زكاته منها ويشتري منها بالبعض قوتا لعياله ويعطي البقية أصحابه </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في ماله زكاة يلزمه؟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يوسع بها على عياله في طعامهم وشرابهم وكسوتهم ويبقى منها شيئا يناوله غيرهم ، وما أخذ من الزكاة فضّه </w:t>
      </w:r>
      <w:r>
        <w:rPr>
          <w:rStyle w:val="FootnoteAnchor"/>
          <w:rtl w:val="true"/>
        </w:rPr>
        <w:footnoteReference w:id="1088"/>
      </w:r>
      <w:r>
        <w:rPr>
          <w:rFonts w:ascii="Amiri" w:hAnsi="Amiri" w:eastAsia="Amiri" w:cs="Amiri"/>
          <w:color w:val="111111"/>
          <w:sz w:val="28"/>
          <w:sz w:val="28"/>
          <w:szCs w:val="28"/>
          <w:rtl w:val="true"/>
          <w:lang w:bidi="ar-SA"/>
        </w:rPr>
        <w:t xml:space="preserve">على عياله حتى </w:t>
      </w:r>
      <w:r>
        <w:rPr>
          <w:rStyle w:val="FootnoteAnchor"/>
          <w:rtl w:val="true"/>
        </w:rPr>
        <w:footnoteReference w:id="1089"/>
      </w:r>
      <w:r>
        <w:rPr>
          <w:rFonts w:ascii="IRNazanin" w:hAnsi="IRNazanin" w:eastAsia="IRNazanin"/>
          <w:color w:val="111111"/>
          <w:sz w:val="28"/>
          <w:sz w:val="28"/>
          <w:szCs w:val="28"/>
          <w:rtl w:val="true"/>
          <w:lang w:bidi="fa-IR"/>
        </w:rPr>
        <w:t xml:space="preserve">تلحقهم بالناس </w:t>
      </w:r>
      <w:r>
        <w:rPr>
          <w:rFonts w:eastAsia="IRNazanin" w:cs="IRNazanin"/>
          <w:color w:val="111111"/>
          <w:sz w:val="28"/>
          <w:szCs w:val="28"/>
          <w:rtl w:val="true"/>
          <w:lang w:bidi="fa-IR"/>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لرجل خمسمائة درهم وكان عياله كثيرا؟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زكاة ينفقها على عياله يزيد بها في نفقتهم وكسوتهم ، وفي طعام لم يكونوا يطعمونه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الزكاة تحلّ لصاحب الدار والخادم ، ومن كان له خمسمائة درهم بعد أن يكون له عيال ويجعل زكاة الخمسمائة درهم زيادة في نفقة عياله ويوسع عليهم </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موثقة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ألف درهم يعمل بها ، وقد وجبت عليه فيها الزكاة ويكون فضله الذي يكسب بماله كفاف عياله لطعامهم وكسوتهم ، ولا يسعه لإدامهم </w:t>
      </w:r>
      <w:r>
        <w:rPr>
          <w:rStyle w:val="FootnoteAnchor"/>
          <w:rtl w:val="true"/>
        </w:rPr>
        <w:footnoteReference w:id="1092"/>
      </w:r>
      <w:r>
        <w:rPr>
          <w:rFonts w:ascii="Amiri" w:hAnsi="Amiri" w:eastAsia="Amiri" w:cs="Amiri"/>
          <w:color w:val="111111"/>
          <w:sz w:val="28"/>
          <w:sz w:val="28"/>
          <w:szCs w:val="28"/>
          <w:rtl w:val="true"/>
          <w:lang w:bidi="ar-SA"/>
        </w:rPr>
        <w:t xml:space="preserve">وإنّما يقوتهم في الطعام والكسوة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فلينظر إلى زكاة ماله ذلك فليخرج منها شيئا قلّ أو كثر فيعطيه بعض من تحل له الزكاة وليعد بما بقي من الزكاة على عياله ، فليشتر بذلك إدامهم وما يصلحهم لا طعامهم في غير إسراف ولا يأكل هو منه </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هذه الأخبار يفيد جواز الدفع إلى من وجبت عليه نفقته من عياله وغيره ، ولا مانع من حملها على ظاهرها ؛ إذ مع عدم اتساع فوائده لمصارفهم تحلّ لهم الصدقة ، ولا فرق إذن بين دفعه صدقة إليهم أو إلى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دلّ عدة من الأخبار المذكورة على تخصيصها بهم ، وهو محمول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في الوسائل </w:t>
      </w:r>
      <w:r>
        <w:rPr>
          <w:rStyle w:val="FootnoteAnchor"/>
          <w:rtl w:val="true"/>
        </w:rPr>
        <w:footnoteReference w:id="1094"/>
      </w:r>
      <w:r>
        <w:rPr>
          <w:rFonts w:ascii="Amiri" w:hAnsi="Amiri" w:eastAsia="Amiri" w:cs="Amiri"/>
          <w:color w:val="111111"/>
          <w:sz w:val="28"/>
          <w:sz w:val="28"/>
          <w:szCs w:val="28"/>
          <w:rtl w:val="true"/>
          <w:lang w:bidi="ar-SA"/>
        </w:rPr>
        <w:t>حملها على غير واجبي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تحمل على الزكاة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داعي عليهما مع بعدهما عن ظاهر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جواز دفع الزكاة إلى ذي الكسب القاصر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التذكرة </w:t>
      </w:r>
      <w:r>
        <w:rPr>
          <w:rStyle w:val="FootnoteAnchor"/>
          <w:rtl w:val="true"/>
        </w:rPr>
        <w:footnoteReference w:id="1095"/>
      </w:r>
      <w:r>
        <w:rPr>
          <w:rFonts w:ascii="Amiri" w:hAnsi="Amiri" w:eastAsia="Amiri" w:cs="Amiri"/>
          <w:color w:val="111111"/>
          <w:sz w:val="28"/>
          <w:sz w:val="28"/>
          <w:szCs w:val="28"/>
          <w:rtl w:val="true"/>
          <w:lang w:bidi="ar-SA"/>
        </w:rPr>
        <w:t xml:space="preserve">حكاية </w:t>
      </w:r>
      <w:r>
        <w:rPr>
          <w:rStyle w:val="FootnoteAnchor"/>
          <w:rtl w:val="true"/>
        </w:rPr>
        <w:footnoteReference w:id="1096"/>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إلى من ملك ما لا يفي لمؤنة سنته إلّا إذا كان </w:t>
      </w:r>
    </w:p>
    <w:p>
      <w:pPr>
        <w:pStyle w:val="BookText"/>
        <w:rPr/>
      </w:pPr>
      <w:r>
        <w:rPr>
          <w:rFonts w:ascii="Amiri" w:hAnsi="Amiri" w:eastAsia="Amiri" w:cs="Amiri"/>
          <w:color w:val="111111"/>
          <w:sz w:val="28"/>
          <w:sz w:val="28"/>
          <w:szCs w:val="28"/>
          <w:rtl w:val="true"/>
          <w:lang w:bidi="ar-SA"/>
        </w:rPr>
        <w:t>بمقدار النصاب ، فيجي‌ء فيه خلاف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في التذكرة </w:t>
      </w:r>
      <w:r>
        <w:rPr>
          <w:rStyle w:val="FootnoteAnchor"/>
          <w:rtl w:val="true"/>
        </w:rPr>
        <w:footnoteReference w:id="1097"/>
      </w:r>
      <w:r>
        <w:rPr>
          <w:rFonts w:ascii="Amiri" w:hAnsi="Amiri" w:eastAsia="Amiri" w:cs="Amiri"/>
          <w:color w:val="111111"/>
          <w:sz w:val="28"/>
          <w:sz w:val="28"/>
          <w:szCs w:val="28"/>
          <w:rtl w:val="true"/>
          <w:lang w:bidi="ar-SA"/>
        </w:rPr>
        <w:t>منعه من الزكاة حتّى ينفق ما معه ، ثمّ نصّ بأنّ الحق 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يظهر خلاف في جواز دفع الزكاة إلى من ملك مؤنة بعض السنة وإن كان زائدا على مقدار القيمة إلّا أنه </w:t>
      </w:r>
      <w:r>
        <w:rPr>
          <w:rStyle w:val="FootnoteAnchor"/>
          <w:rtl w:val="true"/>
        </w:rPr>
        <w:footnoteReference w:id="1098"/>
      </w:r>
      <w:r>
        <w:rPr>
          <w:rFonts w:ascii="Amiri" w:hAnsi="Amiri" w:eastAsia="Amiri" w:cs="Amiri"/>
          <w:color w:val="111111"/>
          <w:sz w:val="28"/>
          <w:sz w:val="28"/>
          <w:szCs w:val="28"/>
          <w:rtl w:val="true"/>
          <w:lang w:bidi="ar-SA"/>
        </w:rPr>
        <w:t xml:space="preserve">حكى في المنتهى </w:t>
      </w:r>
      <w:r>
        <w:rPr>
          <w:rStyle w:val="FootnoteAnchor"/>
          <w:rtl w:val="true"/>
        </w:rPr>
        <w:footnoteReference w:id="1099"/>
      </w:r>
      <w:r>
        <w:rPr>
          <w:rFonts w:ascii="Amiri" w:hAnsi="Amiri" w:eastAsia="Amiri" w:cs="Amiri"/>
          <w:color w:val="111111"/>
          <w:sz w:val="28"/>
          <w:sz w:val="28"/>
          <w:szCs w:val="28"/>
          <w:rtl w:val="true"/>
          <w:lang w:bidi="ar-SA"/>
        </w:rPr>
        <w:t>قولا بأنه لا تأخذ زائدا على تتمة مؤنة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جدّا لا يعرف القائل به ، ولعلّه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ذو الكسب القاصر فالمعروف بين الأصحاب جواز الدفع إليه كذلك ، وحكى قول بالمنع من أخذه ما يزيد على تمام مؤنة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 بعض أفاضل المتأخرين أنّه لم يظفر بقائله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لم يظفر به السيد العميد كما نصّ عليه في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w:t>
      </w:r>
      <w:r>
        <w:rPr>
          <w:rStyle w:val="FootnoteAnchor"/>
          <w:rtl w:val="true"/>
        </w:rPr>
        <w:footnoteReference w:id="1100"/>
      </w:r>
      <w:r>
        <w:rPr>
          <w:rFonts w:ascii="Amiri" w:hAnsi="Amiri" w:eastAsia="Amiri" w:cs="Amiri"/>
          <w:color w:val="111111"/>
          <w:sz w:val="28"/>
          <w:sz w:val="28"/>
          <w:szCs w:val="28"/>
          <w:rtl w:val="true"/>
          <w:lang w:bidi="ar-SA"/>
        </w:rPr>
        <w:t xml:space="preserve">ذلك في اللمعة </w:t>
      </w:r>
      <w:r>
        <w:rPr>
          <w:rStyle w:val="FootnoteAnchor"/>
          <w:rtl w:val="true"/>
        </w:rPr>
        <w:footnoteReference w:id="1101"/>
      </w:r>
      <w:r>
        <w:rPr>
          <w:rFonts w:ascii="Amiri" w:hAnsi="Amiri" w:eastAsia="Amiri" w:cs="Amiri"/>
          <w:color w:val="111111"/>
          <w:sz w:val="28"/>
          <w:sz w:val="28"/>
          <w:szCs w:val="28"/>
          <w:rtl w:val="true"/>
          <w:lang w:bidi="ar-SA"/>
        </w:rPr>
        <w:t xml:space="preserve">واستحسنه في البيان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الحديث من الإغناء بالصدقة محمول على غير المكتسب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واقتصر في الدروس </w:t>
      </w:r>
      <w:r>
        <w:rPr>
          <w:rStyle w:val="FootnoteAnchor"/>
          <w:rtl w:val="true"/>
        </w:rPr>
        <w:footnoteReference w:id="1103"/>
      </w:r>
      <w:r>
        <w:rPr>
          <w:rStyle w:val="FootnoteAnchor"/>
          <w:rtl w:val="true"/>
        </w:rPr>
        <w:footnoteReference w:id="1104"/>
      </w:r>
      <w:r>
        <w:rPr>
          <w:rFonts w:ascii="Amiri" w:hAnsi="Amiri" w:eastAsia="Amiri" w:cs="Amiri"/>
          <w:color w:val="111111"/>
          <w:sz w:val="28"/>
          <w:sz w:val="28"/>
          <w:szCs w:val="28"/>
          <w:rtl w:val="true"/>
          <w:lang w:bidi="ar-SA"/>
        </w:rPr>
        <w:t xml:space="preserve">من غير إشارة إلى الترجيح ، ولذا عزا إليه في الروضة </w:t>
      </w:r>
      <w:r>
        <w:rPr>
          <w:rStyle w:val="FootnoteAnchor"/>
          <w:rtl w:val="true"/>
        </w:rPr>
        <w:footnoteReference w:id="1105"/>
      </w:r>
      <w:r>
        <w:rPr>
          <w:rFonts w:ascii="Amiri" w:hAnsi="Amiri" w:eastAsia="Amiri" w:cs="Amiri"/>
          <w:color w:val="111111"/>
          <w:sz w:val="28"/>
          <w:sz w:val="28"/>
          <w:szCs w:val="28"/>
          <w:rtl w:val="true"/>
          <w:lang w:bidi="ar-SA"/>
        </w:rPr>
        <w:t>التردّد فيه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والأظهر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اندراجه في الفقير قطعا كما مرّ ، فيكون بمقتضى الآية والروايات كسائر الفقراء ؛ إذ لا تفصيل فيها ، بل ظاهر إطلاقها عدم تقدير الاستحقاق بشي‌ء ، مضافا إلى الإطلاقات الدالّة على جواز إعطاء الفقير ما تفيه ففي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تعطيه من </w:t>
      </w:r>
    </w:p>
    <w:p>
      <w:pPr>
        <w:pStyle w:val="BookText"/>
        <w:rPr/>
      </w:pPr>
      <w:r>
        <w:rPr>
          <w:rFonts w:ascii="Amiri" w:hAnsi="Amiri" w:eastAsia="Amiri" w:cs="Amiri"/>
          <w:color w:val="111111"/>
          <w:sz w:val="28"/>
          <w:sz w:val="28"/>
          <w:szCs w:val="28"/>
          <w:rtl w:val="true"/>
          <w:lang w:bidi="ar-SA"/>
        </w:rPr>
        <w:t xml:space="preserve">الزكاة حتّى تغنيه </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وأعطه لما قدرت أن تغنيه </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أعطه ألف درهم </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يحتج للقول الآخر بالصحيح </w:t>
      </w:r>
      <w:r>
        <w:rPr>
          <w:rStyle w:val="FootnoteAnchor"/>
          <w:rtl w:val="true"/>
        </w:rPr>
        <w:footnoteReference w:id="1109"/>
      </w:r>
      <w:r>
        <w:rPr>
          <w:rFonts w:ascii="Amiri" w:hAnsi="Amiri" w:eastAsia="Amiri" w:cs="Amiri"/>
          <w:color w:val="111111"/>
          <w:sz w:val="28"/>
          <w:sz w:val="28"/>
          <w:szCs w:val="28"/>
          <w:rtl w:val="true"/>
          <w:lang w:bidi="ar-SA"/>
        </w:rPr>
        <w:t xml:space="preserve">الوارد في المحترف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ثلاثمائة وأربعمائة درهم ، فلا يصيب نفقته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ينظر إلى فضلها نفسه ومن وسعه ذلك من عياله ويأخذ البقية من 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والصحاح الدالّة على أنّ اللّه تعالى فرض للفقراء في أموال الأغنياء ما يكتفون به ، ولو علم أنّ ما فرض لهم لا يكفيهم لزادهم ؛ فانّه ظاهر في أن المجعول لهم هو قدر الكفاية دون الزائد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تعليله عدم استحقاق الأزيد بالاكتفاء بالأنقص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وضعفه ظاهر ؛ إذ لا دلالة في الصحيحة على المنع من الأزيد إلّا بمفهوم اللقب ، والمقصود ممّا </w:t>
      </w:r>
      <w:r>
        <w:rPr>
          <w:rStyle w:val="FootnoteAnchor"/>
          <w:rtl w:val="true"/>
        </w:rPr>
        <w:footnoteReference w:id="1110"/>
      </w:r>
      <w:r>
        <w:rPr>
          <w:rFonts w:ascii="Amiri" w:hAnsi="Amiri" w:eastAsia="Amiri" w:cs="Amiri"/>
          <w:color w:val="111111"/>
          <w:sz w:val="28"/>
          <w:sz w:val="28"/>
          <w:szCs w:val="28"/>
          <w:rtl w:val="true"/>
          <w:lang w:bidi="ar-SA"/>
        </w:rPr>
        <w:t>ورد في الصحاح بيان العلّة في وضع الزكاة على المقادير المعلومة ، والمراد أنّها قد وضعت على قدر كفاية الفقراء واتّساعه لمصارفهم ، وإنّما يرد الضيق عليهم من جهة منع المانعين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الغرض منها عدم استحقاق آحاد الفقراء لما يزيد على مؤنتهم ، كيف وقد قام الإجماع ودلّت الأخبار على جواز الإعطاء إلى حدّ الإغناء ، فما قد يقال من أنّ مقتضى ذلك عدم الجواز مطلقا خرج ما خرج بالدليل من إجماع أو غيره ، فبقي محلّ الخلاف كما ترى</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دار السكنى ولا فرس الركوب ولا عبد الخدمة ولا ثياب التجمّل من استحقاق الزكاة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التذكرة </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واضح لمسيس الحاجة إليها ، وصدق الفقر مع وجودها ؛ لاختلاف أحوال الناس في الشرفة والضعة والحاجة إلى الخادم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مضافا إلى ذلك ، الأخبار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الموثق ، عن الزكاة هل تصلح لصاحب الدار والخادم؟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بعد الحكم بالجواز لصاحب الدار والخادم والعبد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الدار والخادم ليستا بمال </w:t>
      </w:r>
      <w:r>
        <w:rPr>
          <w:rFonts w:eastAsia="Amiri" w:cs="Amiri" w:ascii="Amiri" w:hAnsi="Amiri"/>
          <w:color w:val="111111"/>
          <w:sz w:val="28"/>
          <w:szCs w:val="28"/>
          <w:rtl w:val="true"/>
          <w:lang w:bidi="ar-SA"/>
        </w:rPr>
        <w:t xml:space="preserve">» </w:t>
      </w:r>
      <w:r>
        <w:rPr>
          <w:rStyle w:val="FootnoteAnchor"/>
          <w:rtl w:val="true"/>
        </w:rPr>
        <w:footnoteReference w:id="1113"/>
      </w:r>
      <w:r>
        <w:rPr>
          <w:rFonts w:ascii="Amiri" w:hAnsi="Amiri" w:eastAsia="Amiri" w:cs="Amiri"/>
          <w:color w:val="111111"/>
          <w:sz w:val="28"/>
          <w:sz w:val="28"/>
          <w:szCs w:val="28"/>
          <w:rtl w:val="true"/>
          <w:lang w:bidi="ar-SA"/>
        </w:rPr>
        <w:t>يعني به المال الذي يصرفه في مصارفه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علي بن جعفر في كتابه ، عن أخيه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الزكاة أيعطاها من له الدابة؟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له الدار والعبد؟ في المصدر قال </w:t>
      </w:r>
      <w:r>
        <w:rPr>
          <w:rStyle w:val="FootnoteAnchor"/>
          <w:rtl w:val="true"/>
        </w:rPr>
        <w:footnoteReference w:id="111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الدار ليس نعدّها </w:t>
      </w:r>
      <w:r>
        <w:rPr>
          <w:rStyle w:val="FootnoteAnchor"/>
          <w:rtl w:val="true"/>
        </w:rPr>
        <w:footnoteReference w:id="1115"/>
      </w:r>
      <w:r>
        <w:rPr>
          <w:rFonts w:ascii="IRNazanin" w:hAnsi="IRNazanin" w:eastAsia="IRNazanin"/>
          <w:color w:val="111111"/>
          <w:sz w:val="28"/>
          <w:sz w:val="28"/>
          <w:szCs w:val="28"/>
          <w:rtl w:val="true"/>
          <w:lang w:bidi="fa-IR"/>
        </w:rPr>
        <w:t xml:space="preserve">مالا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أن يكون المذكورات لائقا بحاله ، فلو كان زائدا عليه وكانت الزيادة تفي بمئونة سنته لم تحلّ له الصدقة في وجه قوي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 </w:t>
      </w:r>
      <w:r>
        <w:rPr>
          <w:rStyle w:val="FootnoteAnchor"/>
          <w:rtl w:val="true"/>
        </w:rPr>
        <w:footnoteReference w:id="1117"/>
      </w:r>
      <w:r>
        <w:rPr>
          <w:rFonts w:ascii="Amiri" w:hAnsi="Amiri" w:eastAsia="Amiri" w:cs="Amiri"/>
          <w:color w:val="111111"/>
          <w:sz w:val="28"/>
          <w:sz w:val="28"/>
          <w:szCs w:val="28"/>
          <w:rtl w:val="true"/>
          <w:lang w:bidi="ar-SA"/>
        </w:rPr>
        <w:t xml:space="preserve">جزم الشهيد الثاني في المسالك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ظاهر في الروضة </w:t>
      </w:r>
      <w:r>
        <w:rPr>
          <w:rStyle w:val="FootnoteAnchor"/>
          <w:rtl w:val="true"/>
        </w:rPr>
        <w:footnoteReference w:id="1119"/>
      </w:r>
      <w:r>
        <w:rPr>
          <w:rFonts w:ascii="Amiri" w:hAnsi="Amiri" w:eastAsia="Amiri" w:cs="Amiri"/>
          <w:color w:val="111111"/>
          <w:sz w:val="28"/>
          <w:sz w:val="28"/>
          <w:szCs w:val="28"/>
          <w:rtl w:val="true"/>
          <w:lang w:bidi="ar-SA"/>
        </w:rPr>
        <w:t>، وحكى التصريح به عن الشيخ</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التذكرة </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منعه من الزكاة حينئذ إشكالا </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 فيه في الكفاية مع </w:t>
      </w:r>
    </w:p>
    <w:p>
      <w:pPr>
        <w:pStyle w:val="BookText"/>
        <w:rPr/>
      </w:pPr>
      <w:r>
        <w:rPr>
          <w:rFonts w:ascii="Amiri" w:hAnsi="Amiri" w:eastAsia="Amiri" w:cs="Amiri"/>
          <w:color w:val="111111"/>
          <w:sz w:val="28"/>
          <w:sz w:val="28"/>
          <w:szCs w:val="28"/>
          <w:rtl w:val="true"/>
          <w:lang w:bidi="ar-SA"/>
        </w:rPr>
        <w:t>إمكان بيع الزيادة منفردة مع وفاء تتمته بمئونة 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Style w:val="FootnoteAnchor"/>
          <w:rtl w:val="true"/>
        </w:rPr>
        <w:footnoteReference w:id="1122"/>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حاجته تندفع بأقل منها قيمة لم يكلّف بيعها وشراء الأدون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العبد والفرس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جواز أخذ الزكاة معها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واستحسنه في الكفاية عملا بإطلاق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مع بيعها لا يتمكّن من تحصل به لها احتمل سقوط الوجوب ، وكذا لو لم يوجد طالب لشرائها أو وجد بأدنى من ثمن المثل ممّا يوجب الضرر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الدخول فيه المنع ، فإنّ القدر الزائد في المقام بمنزلة ما يملكه من سائر الأموال إذا لم يكن لها طالب أو طلب بدون ثمن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فيما ذكرنا بين إمكان الاكتفاء بالاستيجار للدار والخادم ونحوهما أو لا ؛ أخذا بإطلاق النص ، ولما في ذلك من النقيصة الغير اللائقة بحاله في بعض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بين أن يكون مالكا لمنافع دار أخرى أو لا ، و </w:t>
      </w:r>
      <w:r>
        <w:rPr>
          <w:rStyle w:val="FootnoteAnchor"/>
          <w:rtl w:val="true"/>
        </w:rPr>
        <w:footnoteReference w:id="1123"/>
      </w:r>
      <w:r>
        <w:rPr>
          <w:rFonts w:ascii="Amiri" w:hAnsi="Amiri" w:eastAsia="Amiri" w:cs="Amiri"/>
          <w:color w:val="111111"/>
          <w:sz w:val="28"/>
          <w:sz w:val="28"/>
          <w:szCs w:val="28"/>
          <w:rtl w:val="true"/>
          <w:lang w:bidi="ar-SA"/>
        </w:rPr>
        <w:t>خادم آخر بالاستيجار ونحوه أو لا ؛ أخذا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ولو اكتفى به في المقام لزم الإقدام عليه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 المدّة القصيرة أو الطويلة الوافية بعمره بحسب العادة ، ولو كانت له دور متعدّدة في البلد الواحد أو بلاد عديدة فإن كان يحتاج إلى الجميع بحسب المعتاد جرى الحكم في الجميع ، وكذا بالنسبة إلى الخادم والفرس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ملك ثمن الدار والخادم ونحوهما لا أعيانها بعد ملاحظة أثمانها ، ولا ريب فيه مع عدم قضاء حاجته على النحو المعتاد من دون تلك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أمكن ذلك وكان في التفاوت مقدار مؤنة سنته ، ففيه إشكال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وقضية التحديد المتقدم للغني عدم الجواز سيّما إذا كان مكتفيا بالإجارة قبل تملك الثمن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لو اشترى به المذكورات جرى عليه </w:t>
      </w:r>
      <w:r>
        <w:rPr>
          <w:rStyle w:val="FootnoteAnchor"/>
          <w:rtl w:val="true"/>
        </w:rPr>
        <w:footnoteReference w:id="1124"/>
      </w:r>
      <w:r>
        <w:rPr>
          <w:rFonts w:ascii="Amiri" w:hAnsi="Amiri" w:eastAsia="Amiri" w:cs="Amiri"/>
          <w:color w:val="111111"/>
          <w:sz w:val="28"/>
          <w:sz w:val="28"/>
          <w:szCs w:val="28"/>
          <w:rtl w:val="true"/>
          <w:lang w:bidi="ar-SA"/>
        </w:rPr>
        <w:t>الحكم المتقدم ، ولو لم تكن مريدا لشرائها وكان مكتفيا بالاجارة ونحوها ، فلا ينبغي التأمّل في سقوط مراعاتها ، وإن كان اللائق بحاله تملّك أعيانها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جريانه بالنسبة إلى </w:t>
      </w:r>
      <w:r>
        <w:rPr>
          <w:rStyle w:val="FootnoteAnchor"/>
          <w:rtl w:val="true"/>
        </w:rPr>
        <w:footnoteReference w:id="1125"/>
      </w:r>
      <w:r>
        <w:rPr>
          <w:rFonts w:ascii="Amiri" w:hAnsi="Amiri" w:eastAsia="Amiri" w:cs="Amiri"/>
          <w:color w:val="111111"/>
          <w:sz w:val="28"/>
          <w:sz w:val="28"/>
          <w:szCs w:val="28"/>
          <w:rtl w:val="true"/>
          <w:lang w:bidi="ar-SA"/>
        </w:rPr>
        <w:t xml:space="preserve">أعيانها لو ملكها ، وكان مكتفيا بغيرها ولو مع تحمل النضاضة </w:t>
      </w:r>
      <w:r>
        <w:rPr>
          <w:rStyle w:val="FootnoteAnchor"/>
          <w:rtl w:val="true"/>
        </w:rPr>
        <w:footnoteReference w:id="1126"/>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احتاج إلى خدّام متعددين ودوابّ متعددة لأجل السفر مع وجوبه عليه أو جوازه ففي صحّة استثناء الجميع وجهان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تأمل في البناء عليه مع لزوم السفر بحسب المعتاد بحيث يعاب عليه في تركه أو يكون من لوازمه ؛ لاندراجه إذن في اللوازم المعتادة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الكلام في زيادة المئونة الحاصلة بسبب السفر ، فتأمل</w:t>
      </w:r>
      <w:r>
        <w:rPr>
          <w:rFonts w:eastAsia="Amiri" w:cs="Amiri" w:ascii="Amiri" w:hAnsi="Amiri"/>
          <w:color w:val="111111"/>
          <w:sz w:val="28"/>
          <w:szCs w:val="28"/>
          <w:rtl w:val="true"/>
          <w:lang w:bidi="ar-SA"/>
        </w:rPr>
        <w:t xml:space="preserve">. </w:t>
      </w:r>
      <w:bookmarkStart w:id="133" w:name="pg15853_153460"/>
    </w:p>
    <w:p>
      <w:pPr>
        <w:pStyle w:val="Heading6"/>
        <w:numPr>
          <w:ilvl w:val="5"/>
          <w:numId w:val="1"/>
        </w:numPr>
        <w:rPr/>
      </w:pPr>
      <w:bookmarkStart w:id="134" w:name="__RefHeading___Toc14587133_2142443653"/>
      <w:bookmarkStart w:id="135" w:name="_Toc49"/>
      <w:bookmarkEnd w:id="133"/>
      <w:bookmarkEnd w:id="134"/>
      <w:r>
        <w:rPr>
          <w:rtl w:val="true"/>
        </w:rPr>
        <w:t>تبصرة</w:t>
      </w:r>
      <w:r>
        <w:rPr>
          <w:rtl w:val="true"/>
        </w:rPr>
        <w:t xml:space="preserve">: [ </w:t>
      </w:r>
      <w:r>
        <w:rPr>
          <w:rtl w:val="true"/>
        </w:rPr>
        <w:t xml:space="preserve">في مدّعي الفقر </w:t>
      </w:r>
      <w:r>
        <w:rPr>
          <w:rtl w:val="true"/>
        </w:rPr>
        <w:t>]</w:t>
      </w:r>
      <w:bookmarkEnd w:id="135"/>
    </w:p>
    <w:p>
      <w:pPr>
        <w:pStyle w:val="BookText"/>
        <w:rPr/>
      </w:pPr>
      <w:r>
        <w:rPr>
          <w:rFonts w:ascii="Amiri" w:hAnsi="Amiri" w:eastAsia="Amiri" w:cs="Amiri"/>
          <w:color w:val="111111"/>
          <w:sz w:val="28"/>
          <w:sz w:val="28"/>
          <w:szCs w:val="28"/>
          <w:rtl w:val="true"/>
          <w:lang w:bidi="ar-SA"/>
        </w:rPr>
        <w:t>المعروف من المذهب تصديق مدّعي الفقر في دعواه من غير حاجة إلى إقامة البيّنة أو اليمين سواء كان قويا أو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ظاهر الفاضلين </w:t>
      </w:r>
      <w:r>
        <w:rPr>
          <w:rStyle w:val="FootnoteAnchor"/>
          <w:rtl w:val="true"/>
        </w:rPr>
        <w:footnoteReference w:id="1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موضع وفاق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المعروف من مذهب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أيضا اتفاق الأصحاب ظاهرا على جواز الدفع إلى مدّعي الفقر إذا لم يعلم له أصل مال من غير مطلوبية ولا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مقطوع به في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1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 ، بل ظاهرهم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الاحتجاج عليه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الصحّة في فعل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ادّعى أمرا </w:t>
      </w:r>
      <w:r>
        <w:rPr>
          <w:rStyle w:val="FootnoteAnchor"/>
          <w:rtl w:val="true"/>
        </w:rPr>
        <w:footnoteReference w:id="1130"/>
      </w:r>
      <w:r>
        <w:rPr>
          <w:rFonts w:ascii="Amiri" w:hAnsi="Amiri" w:eastAsia="Amiri" w:cs="Amiri"/>
          <w:color w:val="111111"/>
          <w:sz w:val="28"/>
          <w:sz w:val="28"/>
          <w:szCs w:val="28"/>
          <w:rtl w:val="true"/>
          <w:lang w:bidi="ar-SA"/>
        </w:rPr>
        <w:t>ممكنا من غير معارض ولم يظهر من الخارج خلافه ، فيقبل قوله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الفقر ، فإن الغنى أمر وجودي ، والأصل عدمه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افتقر إلى البينة أو اليمين لزم الحرج والضيق سيّما إذا كان الفقير ممّن يستحيي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الاكتفاء فيه بمجرد اليمين بناء على المداقّة فيه ممّا لا وجه له ، فلا بدّ من الاقتصار على البيّنة ، وفيه من الحرج 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الأخبار عن اعتباره بالمرّة ، ولو كان ذلك معتبرا في الدفع لأشير إليه في الروايات ؛ لعموم البلوى بها وشدة احتياج الناس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الكلينى قدس سرّه بإسناده عن العروضي ، عن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رجل إلى الحسن والحسين عليهما‌السلام وهما جالسان على الصفا ، فسألهما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لا تحلّ إلّا في دين موجع؟ أو غرم مقطع أو فقر مدقع ، ففيك شي‌ء 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فأعطياه ، وقد كان الرجل سأل عبد اللّه بن عمر وعبد الرحمن بن أبي بكر فأعطياه ولم يسألاه عن </w:t>
      </w:r>
      <w:r>
        <w:rPr>
          <w:rStyle w:val="FootnoteAnchor"/>
          <w:rtl w:val="true"/>
        </w:rPr>
        <w:footnoteReference w:id="1131"/>
      </w:r>
      <w:r>
        <w:rPr>
          <w:rFonts w:ascii="Amiri" w:hAnsi="Amiri" w:eastAsia="Amiri" w:cs="Amiri"/>
          <w:color w:val="111111"/>
          <w:sz w:val="28"/>
          <w:sz w:val="28"/>
          <w:szCs w:val="28"/>
          <w:rtl w:val="true"/>
          <w:lang w:bidi="ar-SA"/>
        </w:rPr>
        <w:t xml:space="preserve">شي‌ء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بالهما لم يسألاني عمّا سألني الحسن والحسين عليهما‌السلام وغيرهما </w:t>
      </w:r>
      <w:r>
        <w:rPr>
          <w:rStyle w:val="FootnoteAnchor"/>
          <w:rtl w:val="true"/>
        </w:rPr>
        <w:footnoteReference w:id="1132"/>
      </w:r>
      <w:r>
        <w:rPr>
          <w:rFonts w:ascii="Amiri" w:hAnsi="Amiri" w:eastAsia="Amiri" w:cs="Amiri"/>
          <w:color w:val="111111"/>
          <w:sz w:val="28"/>
          <w:sz w:val="28"/>
          <w:szCs w:val="28"/>
          <w:rtl w:val="true"/>
          <w:lang w:bidi="ar-SA"/>
        </w:rPr>
        <w:t xml:space="preserve">بما قالا؟ فقالا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أنّهما غذيا بالعلم غذاء </w:t>
      </w:r>
      <w:r>
        <w:rPr>
          <w:rFonts w:eastAsia="Amiri" w:cs="Amiri" w:ascii="Amiri" w:hAnsi="Amiri"/>
          <w:color w:val="111111"/>
          <w:sz w:val="28"/>
          <w:szCs w:val="28"/>
          <w:rtl w:val="true"/>
          <w:lang w:bidi="ar-SA"/>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يناقش في الأوّل بأنّ الأصل المذكور إنّما ثبت في أفعاله من عقوده وايقاعاته ونحوها وفي أقواله بالنسبة إلى أقاريره فيما ثبت شاهد عليه 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بأنّ الفقر إنّما يكون عدميّا في بعض المقامات ، وفي كثير من المقامات يتوقف على أمر وجودي ؛ لكثرة مصارفه ووفور عياله حتى لا يفي به ما يقدر على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الثالث بأنّ دعوى الضيق والحرج فيه غير مسموعة ، كيف وهو أمر يظهر للمخالطين له والمعاشرين إيّاه بأدنى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يقال ذلك بالنسبة إلى الغريب الذي لا معرفة لأحد بحاله ، ولا حرج في الامتناع عن الدفع إليه بمجرّد دعواه إن اريد حصول الحرج بالنسبة إلى الدافع في تكليفها باستعلام الحال بالبيّنة ، لإمكان دفعه إلى الغير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اريد لزوم الحرج على القائل ففيه أنّ ذلك من الامور الاتفاقيّة ، وليس الحرج المنفي في الشريعة إلّا بالنسبة إلى الامور العامّة دون الوقائع الاتفاقيّة ؛ لوضوح حصول الحرج بالنسبة إلى الخصوصيات في كثير من المقامات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ويجري ذلك أيضا بالنسبة إلى الدافع لو اتفق انحصار الأمر في القائل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غاية الأمر حينئذ تأخيره للزكاة ، ولا حرج عليه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الرابع بأنّ المذكور في الأخبار دفع الزكاة إلى الفقير ونظرائه ، ومن البيّن أنّ الألفاظ إنّما وضعت للأمور الواقعيّة ، فقضيّة تعلّق الحكم عليها توقّف الدفع على العلم بالموضوع من غير حاجة إلى التنصيص عليه كما مرّ في سائر الموضوعات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كاف في الدلالة على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ورد في الأخبار من التأكيد بوضعها في محلّها وإعطائها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خلّي الحكم عن الدليل مع عموم البلوى به دلّ ذلك على انتفاء الدليل </w:t>
      </w:r>
      <w:r>
        <w:rPr>
          <w:rStyle w:val="FootnoteAnchor"/>
          <w:rtl w:val="true"/>
        </w:rPr>
        <w:footnoteReference w:id="1134"/>
      </w:r>
      <w:r>
        <w:rPr>
          <w:rFonts w:ascii="Amiri" w:hAnsi="Amiri" w:eastAsia="Amiri" w:cs="Amiri"/>
          <w:color w:val="111111"/>
          <w:sz w:val="28"/>
          <w:sz w:val="28"/>
          <w:szCs w:val="28"/>
          <w:rtl w:val="true"/>
          <w:lang w:bidi="ar-SA"/>
        </w:rPr>
        <w:t>بحسب الواقع ، وهو دالّ على انتفاء الحكم ، وإلّا لبيّنه صاحب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الخامس بضعفها بالإرسال مع الغضّ عن سائر رجالها </w:t>
      </w:r>
      <w:r>
        <w:rPr>
          <w:rStyle w:val="FootnoteAnchor"/>
          <w:rtl w:val="true"/>
        </w:rPr>
        <w:footnoteReference w:id="1135"/>
      </w:r>
      <w:r>
        <w:rPr>
          <w:rFonts w:ascii="Amiri" w:hAnsi="Amiri" w:eastAsia="Amiri" w:cs="Amiri"/>
          <w:color w:val="111111"/>
          <w:sz w:val="28"/>
          <w:sz w:val="28"/>
          <w:szCs w:val="28"/>
          <w:rtl w:val="true"/>
          <w:lang w:bidi="ar-SA"/>
        </w:rPr>
        <w:t>، ولا يخلو بعضها عن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الرواية المذكورة كفاية في ذلك بعد انجباره بفتوى الأصحاب ، بل وإجماعهم على ما يظهر حيث لا يعرف فيه مخالف من قدماء الأصحاب ومتأخّريهم ، بل ذكره من ذكره منهم على سبيل القطع من غير إشارة إلى خلاف فيه أو تأمّل في ثبوته سوى أنّه ناقش فيه بعض المتأخرين كصاحبي المدارك والكفاية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ذلك فظاهر المدارك </w:t>
      </w:r>
      <w:r>
        <w:rPr>
          <w:rStyle w:val="FootnoteAnchor"/>
          <w:rtl w:val="true"/>
        </w:rPr>
        <w:footnoteReference w:id="1137"/>
      </w:r>
      <w:r>
        <w:rPr>
          <w:rFonts w:ascii="Amiri" w:hAnsi="Amiri" w:eastAsia="Amiri" w:cs="Amiri"/>
          <w:color w:val="111111"/>
          <w:sz w:val="28"/>
          <w:sz w:val="28"/>
          <w:szCs w:val="28"/>
          <w:rtl w:val="true"/>
          <w:lang w:bidi="ar-SA"/>
        </w:rPr>
        <w:t>القطع بالاكتفاء بدعوى العدل ، وكذا مع الظن الغالب في غيره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الكفاية </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خلافا في الجواز إذا كان المدّعي عدلا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وأنت خبير بأنّه لا مدخل للعدالة في ذلك ؛ لرجوعه إلى ادّعائه لنفسه فإن </w:t>
      </w:r>
      <w:r>
        <w:rPr>
          <w:rStyle w:val="FootnoteAnchor"/>
          <w:rtl w:val="true"/>
        </w:rPr>
        <w:footnoteReference w:id="1139"/>
      </w:r>
      <w:r>
        <w:rPr>
          <w:rFonts w:ascii="Amiri" w:hAnsi="Amiri" w:eastAsia="Amiri" w:cs="Amiri"/>
          <w:color w:val="111111"/>
          <w:sz w:val="28"/>
          <w:sz w:val="28"/>
          <w:szCs w:val="28"/>
          <w:rtl w:val="true"/>
          <w:lang w:bidi="ar-SA"/>
        </w:rPr>
        <w:t xml:space="preserve">قبلت الدعوى مثله قبلت في المقامين ، وإلّا فلا ، والرجوع إلى آية التثبّت كما في الكفاية </w:t>
      </w:r>
      <w:r>
        <w:rPr>
          <w:rStyle w:val="FootnoteAnchor"/>
          <w:rtl w:val="true"/>
        </w:rPr>
        <w:footnoteReference w:id="1140"/>
      </w:r>
      <w:r>
        <w:rPr>
          <w:rFonts w:ascii="Amiri" w:hAnsi="Amiri" w:eastAsia="Amiri" w:cs="Amiri"/>
          <w:color w:val="111111"/>
          <w:sz w:val="28"/>
          <w:sz w:val="28"/>
          <w:szCs w:val="28"/>
          <w:rtl w:val="true"/>
          <w:lang w:bidi="ar-SA"/>
        </w:rPr>
        <w:t xml:space="preserve">أضعف شي‌ء في المقام ؛ إذ ليس القبول هنا من جهة الاختيار </w:t>
      </w:r>
      <w:r>
        <w:rPr>
          <w:rStyle w:val="FootnoteAnchor"/>
          <w:rtl w:val="true"/>
        </w:rPr>
        <w:footnoteReference w:id="1141"/>
      </w:r>
      <w:r>
        <w:rPr>
          <w:rFonts w:ascii="Amiri" w:hAnsi="Amiri" w:eastAsia="Amiri" w:cs="Amiri"/>
          <w:color w:val="111111"/>
          <w:sz w:val="28"/>
          <w:sz w:val="28"/>
          <w:szCs w:val="28"/>
          <w:rtl w:val="true"/>
          <w:lang w:bidi="ar-SA"/>
        </w:rPr>
        <w:t>واندراج مثله في إطلاق البناء بحسب العرف محلّ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سلّم فالظاهر انتفاء القول </w:t>
      </w:r>
      <w:r>
        <w:rPr>
          <w:rStyle w:val="FootnoteAnchor"/>
          <w:rtl w:val="true"/>
        </w:rPr>
        <w:footnoteReference w:id="1142"/>
      </w:r>
      <w:r>
        <w:rPr>
          <w:rFonts w:ascii="Amiri" w:hAnsi="Amiri" w:eastAsia="Amiri" w:cs="Amiri"/>
          <w:color w:val="111111"/>
          <w:sz w:val="28"/>
          <w:sz w:val="28"/>
          <w:szCs w:val="28"/>
          <w:rtl w:val="true"/>
          <w:lang w:bidi="ar-SA"/>
        </w:rPr>
        <w:t>بالفصل بعد الحكم باستحقاق الفاسق للزكاة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الوجوه المتقدّمة ، فإنّه وإن لم يخل كلّ منهما من مناقشة إلّا أنّها بعد انضمام بعضها إلى بعض وضمّ الجميع إلى ما ذكرناه لم يبق تأمّل في الحكم سيّما بعد ملاحظة اكتفاء الشرع بدعوى المؤمن إذا لم يكن هناك ما يعارضه في موارد كثيرة يقف عليها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في ذلك من إهانة المؤمن وإذلاله وأنّه قد يخفى على غيره ، ويتعذّر عليه إقامة البينة ، ويوجب ذلك ذهاب حقّه وعدم ارتفاع حاجته الذي وضع الزكاة لأجله ، فقد ينافي المداقّة في ذلك الحكمة المذكورة المنصوص عليها في عدة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والزائد حينئذ بالحلف ممّا لا دليل عليه ، بل لا دليل على ثبوته لو </w:t>
      </w:r>
      <w:r>
        <w:rPr>
          <w:rStyle w:val="FootnoteAnchor"/>
          <w:rtl w:val="true"/>
        </w:rPr>
        <w:footnoteReference w:id="1143"/>
      </w:r>
      <w:r>
        <w:rPr>
          <w:rFonts w:ascii="Amiri" w:hAnsi="Amiri" w:eastAsia="Amiri" w:cs="Amiri"/>
          <w:color w:val="111111"/>
          <w:sz w:val="28"/>
          <w:sz w:val="28"/>
          <w:szCs w:val="28"/>
          <w:rtl w:val="true"/>
          <w:lang w:bidi="ar-SA"/>
        </w:rPr>
        <w:t>اريد الإثبات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ضعف ما استشكله صاحبا المدارك </w:t>
      </w:r>
      <w:r>
        <w:rPr>
          <w:rStyle w:val="FootnoteAnchor"/>
          <w:rtl w:val="true"/>
        </w:rPr>
        <w:footnoteReference w:id="1144"/>
      </w:r>
      <w:r>
        <w:rPr>
          <w:rFonts w:ascii="Amiri" w:hAnsi="Amiri" w:eastAsia="Amiri" w:cs="Amiri"/>
          <w:color w:val="111111"/>
          <w:sz w:val="28"/>
          <w:sz w:val="28"/>
          <w:szCs w:val="28"/>
          <w:rtl w:val="true"/>
          <w:lang w:bidi="ar-SA"/>
        </w:rPr>
        <w:t xml:space="preserve">والكفاية </w:t>
      </w:r>
      <w:r>
        <w:rPr>
          <w:rStyle w:val="FootnoteAnchor"/>
          <w:rtl w:val="true"/>
        </w:rPr>
        <w:footnoteReference w:id="1145"/>
      </w:r>
      <w:r>
        <w:rPr>
          <w:rFonts w:ascii="Amiri" w:hAnsi="Amiri" w:eastAsia="Amiri" w:cs="Amiri"/>
          <w:color w:val="111111"/>
          <w:sz w:val="28"/>
          <w:sz w:val="28"/>
          <w:szCs w:val="28"/>
          <w:rtl w:val="true"/>
          <w:lang w:bidi="ar-SA"/>
        </w:rPr>
        <w:t xml:space="preserve">في المقام من جهة القطع باعتبار الشرط المذكور وعدم قيام دليل على الاكتفاء فيه بمجرّد الادعاء من نصّ أو إجماع ثابت ، فلا يحصل اليقين بالبراءة إلّا بالعلم أو البيّنة العادلة المنزلة في الشرع منزلة اليقين إلّا أنّه اكتفى في المدارك </w:t>
      </w:r>
      <w:r>
        <w:rPr>
          <w:rStyle w:val="FootnoteAnchor"/>
          <w:rtl w:val="true"/>
        </w:rPr>
        <w:footnoteReference w:id="1146"/>
      </w:r>
      <w:r>
        <w:rPr>
          <w:rFonts w:ascii="Amiri" w:hAnsi="Amiri" w:eastAsia="Amiri" w:cs="Amiri"/>
          <w:color w:val="111111"/>
          <w:sz w:val="28"/>
          <w:sz w:val="28"/>
          <w:szCs w:val="28"/>
          <w:rtl w:val="true"/>
          <w:lang w:bidi="ar-SA"/>
        </w:rPr>
        <w:t>بعدالة المخبر أو الظن الغالب بصدقه كما ذكرنا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واستشكل في الكفاية </w:t>
      </w:r>
      <w:r>
        <w:rPr>
          <w:rStyle w:val="FootnoteAnchor"/>
          <w:rtl w:val="true"/>
        </w:rPr>
        <w:footnoteReference w:id="1147"/>
      </w:r>
      <w:r>
        <w:rPr>
          <w:rFonts w:ascii="Amiri" w:hAnsi="Amiri" w:eastAsia="Amiri" w:cs="Amiri"/>
          <w:color w:val="111111"/>
          <w:sz w:val="28"/>
          <w:sz w:val="28"/>
          <w:szCs w:val="28"/>
          <w:rtl w:val="true"/>
          <w:lang w:bidi="ar-SA"/>
        </w:rPr>
        <w:t>فيهما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فيما ذكرنا بين حالة السابق أو علم غناه لكن ادّعى ذهاب ماله أو ادّعى زيادة عياله أو عجزه عن الاكتساب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الشيخ إلى أنّه لو عرف له مال فادّعى ذهابه أنّه يكلف البيّنة لأن الأصل بقاؤه ، والرواية المتقدّمة لا يفيد الحكم في هذه الصورة إلّا أنّ ظاهر المذهب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عرفت من الوجوه المتقدمة ، فالأظهر ذلك وإن كان مراعاة الاحتياط فيه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عدم الاتهام ، وأما مع اتهامه في المقام فالظاهر جواز الدفع إليه ؛ لعدم وضوح جريان الوجوه المذكورة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الأصل المنع ؛ صونا لأموال الفقراء عن الإتلاف سواء عرف غناه السابق أو لا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إن عرف أوّلا بالفقر احتمل الاكتفاء فيه بالاستصحاب</w:t>
      </w:r>
      <w:r>
        <w:rPr>
          <w:rFonts w:eastAsia="Amiri" w:cs="Amiri" w:ascii="Amiri" w:hAnsi="Amiri"/>
          <w:color w:val="111111"/>
          <w:sz w:val="28"/>
          <w:szCs w:val="28"/>
          <w:rtl w:val="true"/>
          <w:lang w:bidi="ar-SA"/>
        </w:rPr>
        <w:t xml:space="preserve">. </w:t>
      </w:r>
      <w:bookmarkStart w:id="136" w:name="pg15853_153465"/>
    </w:p>
    <w:p>
      <w:pPr>
        <w:pStyle w:val="Heading6"/>
        <w:numPr>
          <w:ilvl w:val="5"/>
          <w:numId w:val="1"/>
        </w:numPr>
        <w:rPr/>
      </w:pPr>
      <w:bookmarkStart w:id="137" w:name="__RefHeading___Toc14587135_2142443653"/>
      <w:bookmarkStart w:id="138" w:name="_Toc50"/>
      <w:bookmarkEnd w:id="136"/>
      <w:bookmarkEnd w:id="137"/>
      <w:r>
        <w:rPr>
          <w:rtl w:val="true"/>
        </w:rPr>
        <w:t>تبصرة</w:t>
      </w:r>
      <w:r>
        <w:rPr>
          <w:rtl w:val="true"/>
        </w:rPr>
        <w:t xml:space="preserve">: [ </w:t>
      </w:r>
      <w:r>
        <w:rPr>
          <w:rtl w:val="true"/>
        </w:rPr>
        <w:t xml:space="preserve">في دفع الزكاة إلى غير المستحقّ </w:t>
      </w:r>
      <w:r>
        <w:rPr>
          <w:rtl w:val="true"/>
        </w:rPr>
        <w:t>]</w:t>
      </w:r>
      <w:bookmarkEnd w:id="138"/>
    </w:p>
    <w:p>
      <w:pPr>
        <w:pStyle w:val="Heading6"/>
        <w:numPr>
          <w:ilvl w:val="5"/>
          <w:numId w:val="1"/>
        </w:numPr>
        <w:rPr/>
      </w:pPr>
      <w:bookmarkStart w:id="139" w:name="__RefHeading___Toc14587137_2142443653"/>
      <w:bookmarkStart w:id="140" w:name="_Toc51"/>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لو دفع الزكاة إلى من ثبت فقره مع اعلامه بكونه زكاة ثمّ تبين غناه ضمنه القابض يستعاد منه مع بقائه ، ومثله أو قيمته مع تلفه بلا خلاف فيه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واضح ؛ لظهور فساد بعض القبض فيضمنه القابض لعدم استحقاقه له وعصيانه بأخذه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علمه بالحال والحكم ، وأمّا لو جهل الحكم فالظاهر أيضا عدم معذوريته في ذلك ؛ إذ أقصاه سقوط العصيان مع الغفلة ونحوها ، وأمّا الضمان فهو من الأحكام الوضعيّة التابعة لحكم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إذا جهل بحاله </w:t>
      </w:r>
      <w:r>
        <w:rPr>
          <w:rStyle w:val="FootnoteAnchor"/>
          <w:rtl w:val="true"/>
        </w:rPr>
        <w:footnoteReference w:id="1148"/>
      </w:r>
      <w:r>
        <w:rPr>
          <w:rFonts w:ascii="Amiri" w:hAnsi="Amiri" w:eastAsia="Amiri" w:cs="Amiri"/>
          <w:color w:val="111111"/>
          <w:sz w:val="28"/>
          <w:sz w:val="28"/>
          <w:szCs w:val="28"/>
          <w:rtl w:val="true"/>
          <w:lang w:bidi="ar-SA"/>
        </w:rPr>
        <w:t>كأن انتقل إليه مال من دون علمه أو كان له مال لا يعلم به ففي ترتّب الضمان على قبضه وجهان ، من أنه الأصل في قبض حق الغير ، ومن كون القبض بإذن الشرع فلا يترتب عليه ضمان ، فغاية الأمر ردّه مع بقائه ، وإن 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دفعه بأنّ إذن الشرع هنا ظاهري مبنيّ على ظاهر الحال ، ولا يسقط به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سقوط العصيان إلّا أنّه لو قامت البينة على أن له المال الموضوع عند زيد مثلا فقبضه بإذن الشرع ثمّ انكشف الخلاف كان ضامنا له ، فكذا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استصحب ملكه بشي‌ء فأتلفه ، ثمّ تبيّن انتقاله إلى غيره من وليّه أو وكيله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الدافع عالما بالحال استقرّ عليه الضمان لو تلف هذا القابض </w:t>
      </w:r>
    </w:p>
    <w:p>
      <w:pPr>
        <w:pStyle w:val="BookText"/>
        <w:rPr/>
      </w:pPr>
      <w:r>
        <w:rPr>
          <w:rFonts w:ascii="Amiri" w:hAnsi="Amiri" w:eastAsia="Amiri" w:cs="Amiri"/>
          <w:color w:val="111111"/>
          <w:sz w:val="28"/>
          <w:sz w:val="28"/>
          <w:szCs w:val="28"/>
          <w:rtl w:val="true"/>
          <w:lang w:bidi="ar-SA"/>
        </w:rPr>
        <w:t>قبل علمه بالحال أو تقصيره في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دفعها إليه من غير إعلام بكونها زكاة ففي المنتهى </w:t>
      </w:r>
      <w:r>
        <w:rPr>
          <w:rStyle w:val="FootnoteAnchor"/>
          <w:rtl w:val="true"/>
        </w:rPr>
        <w:footnoteReference w:id="1149"/>
      </w:r>
      <w:r>
        <w:rPr>
          <w:rFonts w:ascii="Amiri" w:hAnsi="Amiri" w:eastAsia="Amiri" w:cs="Amiri"/>
          <w:color w:val="111111"/>
          <w:sz w:val="28"/>
          <w:sz w:val="28"/>
          <w:szCs w:val="28"/>
          <w:rtl w:val="true"/>
          <w:lang w:bidi="ar-SA"/>
        </w:rPr>
        <w:t>إنّه ليس له الرجوع ؛ نظرا إلى أن دفعه يحتمل الوجوب والتطوّع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واستقرب في التذكرة </w:t>
      </w:r>
      <w:r>
        <w:rPr>
          <w:rStyle w:val="FootnoteAnchor"/>
          <w:rtl w:val="true"/>
        </w:rPr>
        <w:footnoteReference w:id="1150"/>
      </w:r>
      <w:r>
        <w:rPr>
          <w:rFonts w:ascii="Amiri" w:hAnsi="Amiri" w:eastAsia="Amiri" w:cs="Amiri"/>
          <w:color w:val="111111"/>
          <w:sz w:val="28"/>
          <w:sz w:val="28"/>
          <w:szCs w:val="28"/>
          <w:rtl w:val="true"/>
          <w:lang w:bidi="ar-SA"/>
        </w:rPr>
        <w:t>جواز الارتجاع لفساد الدفع ؛ لأنّه أبصر بنيّته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واستجوده في المدارك </w:t>
      </w:r>
      <w:r>
        <w:rPr>
          <w:rStyle w:val="FootnoteAnchor"/>
          <w:rtl w:val="true"/>
        </w:rPr>
        <w:footnoteReference w:id="1151"/>
      </w:r>
      <w:r>
        <w:rPr>
          <w:rFonts w:ascii="Amiri" w:hAnsi="Amiri" w:eastAsia="Amiri" w:cs="Amiri"/>
          <w:color w:val="111111"/>
          <w:sz w:val="28"/>
          <w:sz w:val="28"/>
          <w:szCs w:val="28"/>
          <w:rtl w:val="true"/>
          <w:lang w:bidi="ar-SA"/>
        </w:rPr>
        <w:t>مع بقاء العين وانتفاء القرائن الدالّة على كونه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في الحدائق إلى وجوب إرجاعه مع بقاء العين سواء علم بالحال أو أعلمه المالك ؛ لعدم الاستحقاق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تلفت قبل العلم فلا ضمان ؛ إذ لا دليل على وجوب دفع العوض من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ذات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إمّا أن يتبيّن الحال للمدفوع إليه أو لا يتبيّن إلّا بحسب ادّعاء الدافع بعد دفعه إليه ، وعلى كلّ من الصورتين إما أن تكون العين باقية أو تالفة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مع بقاء العين وعلم المدفوع إليه بالحال فلا كلام في وجوب الردّ ، وأمّا إن كان محض ادّعاء الدافع من دون قيام حجة عليه ففيه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الأصل فيه عدم السماع ؛ لحصول التملّك ظاهرا بالقبض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الفساد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الدافع بعد خروج المال عن يده إقرار في حق الغير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هو الأوجه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ومجرد كونه أعرف بقصده لا يوجب </w:t>
      </w:r>
      <w:r>
        <w:rPr>
          <w:rStyle w:val="FootnoteAnchor"/>
          <w:rtl w:val="true"/>
        </w:rPr>
        <w:footnoteReference w:id="1152"/>
      </w:r>
      <w:r>
        <w:rPr>
          <w:rFonts w:ascii="Amiri" w:hAnsi="Amiri" w:eastAsia="Amiri" w:cs="Amiri"/>
          <w:color w:val="111111"/>
          <w:sz w:val="28"/>
          <w:sz w:val="28"/>
          <w:szCs w:val="28"/>
          <w:rtl w:val="true"/>
          <w:lang w:bidi="ar-SA"/>
        </w:rPr>
        <w:t>الخروج عن القاعدة ، ولذا لا يسمع ذلك في سائر العقود الصادرة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يعلم الحال ما لو توقّف عنده حينئذ بالطريق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تسليطه إلى إتلافه </w:t>
      </w:r>
    </w:p>
    <w:p>
      <w:pPr>
        <w:pStyle w:val="BookText"/>
        <w:rPr/>
      </w:pPr>
      <w:r>
        <w:rPr>
          <w:rFonts w:ascii="Amiri" w:hAnsi="Amiri" w:eastAsia="Amiri" w:cs="Amiri"/>
          <w:color w:val="111111"/>
          <w:sz w:val="28"/>
          <w:sz w:val="28"/>
          <w:szCs w:val="28"/>
          <w:rtl w:val="true"/>
          <w:lang w:bidi="ar-SA"/>
        </w:rPr>
        <w:t>مجانا ، فلا رجوع له عليه كما إذا أعطاه مالا ثمّ ادّعى بعد تلفه أنّه إنّما دفعه لزعم كونه دينا عليه ، فتبين له الخلاف ، فإنّه لا رجوع 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الوجه الأخير عدم وجوب الردّ عليه ، ولو مع علمه بالحال بعد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المال المدفوع إن كان للدافع فلا كلام ظاهر في عدم جواز الرجوع عليه لإتلافه بتسليطه عليه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من مال الغير كما هو المفروض في المقام فلا ، ألا ترى أنّه لو دفع إليه مالا مغصوبا من دون إعلامه بالغصب ، ثم تبيّن الحال للمدفوع إليه بعد إتلافه ضمنه لمالكه وإن كان الرجوع إلى الدافع نظرا إلى غروره ، وهو لا ينافي وجوب ردّه عليه ؛ لظهور كون المتلف من حق الفقراء مثلا ، فلا بدّ من دفعه إلى أمينهم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له رجوعا على ذلك الأمين ، وقد يمتنع عن أداء حقه أو يكون هناك مانع من الدفع كالاعتبار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بوجوب الدفع قوي إلّا أنّه قد يشكل الحال في المقام في رجوعه إلى الدافع ؛ نظرا إلى كون الدافع على وجه مشروع هو مشارك للمدفوع إليه في الجهل سيّما إذا كان دفعه من جهة دعواه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يفصل بين ما إذا كان دفعه لطلبه الزكاة وما إذا دفعه ابتداء فلا رجوع له إلى الدافع في الأوّل ؛ لاستناده إليه بخلاف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أن يكون الدافع إليه هو المالك أو الحاكم أو الوكيل من أحدهما ؛ لاتحاد المناط في الكلّ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وقطع في التذكرة </w:t>
      </w:r>
      <w:r>
        <w:rPr>
          <w:rStyle w:val="FootnoteAnchor"/>
          <w:rtl w:val="true"/>
        </w:rPr>
        <w:footnoteReference w:id="1153"/>
      </w:r>
      <w:r>
        <w:rPr>
          <w:rFonts w:ascii="Amiri" w:hAnsi="Amiri" w:eastAsia="Amiri" w:cs="Amiri"/>
          <w:color w:val="111111"/>
          <w:sz w:val="28"/>
          <w:sz w:val="28"/>
          <w:szCs w:val="28"/>
          <w:rtl w:val="true"/>
          <w:lang w:bidi="ar-SA"/>
        </w:rPr>
        <w:t>أنّه لو كان الدافع الإمام جاز له الاسترداد مع عدم الإعلام مع بقاء العين وتلفه ؛ معلّلا بأنّ الظاهر فيما يعرفه الإمام ويقسمه أن زكّاه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والتعليل كما ترى أخصّ من الدعوى ؛ إذ قد لا يظهر ذلك في بعض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الاتّكال على مجرّد الصدور من دون العلم بالحال أو إعلامه حال الدفع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قضيّة كلامه جريان الحكم في الفقيه ووكيل الحاكم إذا علم المدفوع إليه حين القبض كونه وكيلا عن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يجري الإشكال في كلّ من صورتي بقاء العين وتلفه ، وأمّا إمام الأصل </w:t>
      </w:r>
      <w:r>
        <w:rPr>
          <w:rStyle w:val="FootnoteAnchor"/>
          <w:rtl w:val="true"/>
        </w:rPr>
        <w:footnoteReference w:id="1154"/>
      </w:r>
      <w:r>
        <w:rPr>
          <w:rFonts w:ascii="Amiri" w:hAnsi="Amiri" w:eastAsia="Amiri" w:cs="Amiri"/>
          <w:color w:val="111111"/>
          <w:sz w:val="28"/>
          <w:sz w:val="28"/>
          <w:szCs w:val="28"/>
          <w:rtl w:val="true"/>
          <w:lang w:bidi="ar-SA"/>
        </w:rPr>
        <w:t>فلا إشكال في وجوب الرد مع بقاء العين من جهة العلم الحاصل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تكليف المدفوع إليه ، وأمّا الدافع فإن كان الإمام أو نائبه العام أو الخاص بعد دفع المالك إليه أجزأ عن المالك أو دفع المالك إليه دفع إلى الفقير ونحوه ، ولا يوجب ضمانا على الإمام عليه‌السلام أو نائبه كما هو الحال في سائر تصرفاته من جهة الولاية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المنتهى </w:t>
      </w:r>
      <w:r>
        <w:rPr>
          <w:rStyle w:val="FootnoteAnchor"/>
          <w:rtl w:val="true"/>
        </w:rPr>
        <w:footnoteReference w:id="1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فيه بين العلماء ؛ لأن المالك قد خرج عن العهدة بالدفع إلى الامام أو نائب ، والدافع خرج عن العهدة بالدفع إلى من يظهر منه الفقر ، وإيجاب الإعادة تكليف جديد منفي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يخلو من قرب إلّا أنّ الفتوى به مع عدم النص في المسألة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التأمّل في شي‌ء من المقامين المذكورين ؛ لوضوح ما قرّر من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الدفع إلى الإمام أو نائبه بقصد أداء الزكاة لولايته على الفقراء ، وأمّا إذا كان بعنوان توكيله في الأداء جرى عليه حكم سائر الوكلاء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الدافع المالك فقد اختلف فيه على أقوال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الشيخ وجماعة لأداء الواجب على النحو المشروع ، موافقا لما أمر به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الأمر الإجزاء ، ولزوم الإعادة يحتاج إلى دليل ، ولا دليل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المفيد </w:t>
      </w:r>
      <w:r>
        <w:rPr>
          <w:rStyle w:val="FootnoteAnchor"/>
          <w:rtl w:val="true"/>
        </w:rPr>
        <w:footnoteReference w:id="1157"/>
      </w:r>
      <w:r>
        <w:rPr>
          <w:rFonts w:ascii="Amiri" w:hAnsi="Amiri" w:eastAsia="Amiri" w:cs="Amiri"/>
          <w:color w:val="111111"/>
          <w:sz w:val="28"/>
          <w:sz w:val="28"/>
          <w:szCs w:val="28"/>
          <w:rtl w:val="true"/>
          <w:lang w:bidi="ar-SA"/>
        </w:rPr>
        <w:t xml:space="preserve">والحلي </w:t>
      </w:r>
      <w:r>
        <w:rPr>
          <w:rStyle w:val="FootnoteAnchor"/>
          <w:rtl w:val="true"/>
        </w:rPr>
        <w:footnoteReference w:id="1158"/>
      </w:r>
      <w:r>
        <w:rPr>
          <w:rFonts w:ascii="IRNazanin" w:hAnsi="IRNazanin" w:eastAsia="IRNazanin"/>
          <w:color w:val="111111"/>
          <w:sz w:val="28"/>
          <w:sz w:val="28"/>
          <w:szCs w:val="28"/>
          <w:rtl w:val="true"/>
          <w:lang w:bidi="fa-IR"/>
        </w:rPr>
        <w:t xml:space="preserve">، وبه قطع صاحب الحدائق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أنّ دفع المال إلى غير مستحقه يوجب الضمان ، ولو كان من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المتعلق من الشرع ظاهري يحكم بحصول الامتثال معه ما دام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الأحكام الوضعيّة ، فلا يتفاوت الحال فيه مع العلم والجهل ، ولذا يحكم بالضمان في سائر المواضع ، ولو مع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وخصوص الصحيح عن الحسين بن عثمان ، عمّن ذكره ،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أعطى زكاة ماله رجلا وهو يرى أنه معسر ، فوجده موسرا؟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يجزي عنه </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مرسلة خالية عن الجابر ، فلا حجة فيها ، وأصالة الضمان غير ناهضة على ثبوت الضمان في المقام ، فثبوت ولاية المالك على المال وتسلّطه في الدفع إلى من شاء من الفقراء ، والمفروض عدم وقوع تفريط ، ولا تعدّ منه إذا فعل الولي على المال ما عليه في حفظه وايصاله لم يتعقبه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ما أخذت حتى تؤدي </w:t>
      </w:r>
      <w:r>
        <w:rPr>
          <w:rFonts w:eastAsia="Amiri" w:cs="Amiri" w:ascii="Amiri" w:hAnsi="Amiri"/>
          <w:color w:val="111111"/>
          <w:sz w:val="28"/>
          <w:szCs w:val="28"/>
          <w:rtl w:val="true"/>
          <w:lang w:bidi="ar-SA"/>
        </w:rPr>
        <w:t xml:space="preserve">» </w:t>
      </w:r>
      <w:r>
        <w:rPr>
          <w:rStyle w:val="FootnoteAnchor"/>
          <w:rtl w:val="true"/>
        </w:rPr>
        <w:footnoteReference w:id="1161"/>
      </w:r>
      <w:r>
        <w:rPr>
          <w:rFonts w:ascii="Amiri" w:hAnsi="Amiri" w:eastAsia="Amiri" w:cs="Amiri"/>
          <w:color w:val="111111"/>
          <w:sz w:val="28"/>
          <w:sz w:val="28"/>
          <w:szCs w:val="28"/>
          <w:rtl w:val="true"/>
          <w:lang w:bidi="ar-SA"/>
        </w:rPr>
        <w:t>غير ظاهر الشمول لمثله ، سيّما بعد ظهور كون المالك أمينا بل وليا على المال حسبما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وقع منه تعدّ في المال أو تفريط فيه قضى ذلك بالضمان ، والمفروض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قوّة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الاجتهاد وعدمه ، فلا ضمان عليه على الأول دون الأخير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وحكي عن الفاضلين </w:t>
      </w:r>
      <w:r>
        <w:rPr>
          <w:rStyle w:val="FootnoteAnchor"/>
          <w:rtl w:val="true"/>
        </w:rPr>
        <w:footnoteReference w:id="1162"/>
      </w:r>
      <w:r>
        <w:rPr>
          <w:rFonts w:ascii="Amiri" w:hAnsi="Amiri" w:eastAsia="Amiri" w:cs="Amiri"/>
          <w:color w:val="111111"/>
          <w:sz w:val="28"/>
          <w:sz w:val="28"/>
          <w:szCs w:val="28"/>
          <w:rtl w:val="true"/>
          <w:lang w:bidi="ar-SA"/>
        </w:rPr>
        <w:t xml:space="preserve">؛ لأن المالك أمين فيجب عليه الاستظهار ، ومعه لا ضمان ، وأما مع التسامح فيه ضمن المال مع انتفاء المصادفة ؛ ولصحيحة عبيد بن زرارة ، ورواية زرارة </w:t>
      </w:r>
    </w:p>
    <w:p>
      <w:pPr>
        <w:pStyle w:val="BookText"/>
        <w:rPr/>
      </w:pPr>
      <w:r>
        <w:rPr>
          <w:rFonts w:ascii="Amiri" w:hAnsi="Amiri" w:eastAsia="Amiri" w:cs="Amiri"/>
          <w:color w:val="111111"/>
          <w:sz w:val="28"/>
          <w:sz w:val="28"/>
          <w:szCs w:val="28"/>
          <w:rtl w:val="true"/>
          <w:lang w:bidi="ar-SA"/>
        </w:rPr>
        <w:t>المروية فيه مرسلا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 الوجهين المذكورين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فلما عرفت من جواز الأداء بمحض الادّعاء ، وعدم تقصيره في التكليف دلالة الخبرين على ذلك غير ظاهرة ، بل الظاهر ورودهما في الدفع إلى غير المؤمن مع الاجتهاد فيهما إما متروكان أو موّلان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الدافع إليه وكيل المالك فلا ضمان على الوكيل ؛ لانتفاء ما يوجب ضمانه من التعدي أو التفريط سيّما إذا نصّ المالك بدفعه إلى من ادّعى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شرط عليه الدفع بعد الاختبار فدفعه من دونه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دلّ شاهد الحال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دفعه على غير النحو الذي وكله ، فظهر عدم استحقاق المدفوع إليه ضمنه الوكيل ، بل وكذا لو كان مستحقا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قلنا بجريان الفضولي في دفع الزكاة ونحوها جاز إمضاء المالك حينئذ فيسقط معه الضمان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مع ضمان الوكيل هل يثبت الضمان على الموكّل أيضا؟ وجهان ؛ من عدم وصول الحق إلى مستحقه فلا يبرء ذمة المالك من الدفع ، ومن عدم تفريط المالك في الدفع ؛ إذ يجوز له الدفع إلى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الأشبه بالقواعد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يتقوّى الوجه في عدم ضمان الموكل في صورة عدم ضمان الوكيل أيضا مع ظهور عدم استحقاق المدفوع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إعانة الوكيل بحيث يجوز دفع مال الفقير إليه ، وأما مع انتفاء الأمانة فيه فيضمن المالك حين دفعه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الحال إذن في قبول قوله في الإيصال ، بل ومع العلم بالحال ؛ إذ لا اعتماد عليه في النيّة إلّا إذا تولّاها المالك حسبما مرّ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له الرجوع عليه في الأول ، بل في الأخير أيضا ؛ نظرا إلى فساد التوكيل ، أو لا نظرا </w:t>
      </w:r>
      <w:bookmarkStart w:id="141" w:name="pg15853_153471"/>
    </w:p>
    <w:p>
      <w:pPr>
        <w:pStyle w:val="BookText"/>
        <w:rPr/>
      </w:pPr>
      <w:bookmarkEnd w:id="141"/>
      <w:r>
        <w:rPr>
          <w:rFonts w:ascii="Amiri" w:hAnsi="Amiri" w:eastAsia="Amiri" w:cs="Amiri"/>
          <w:color w:val="111111"/>
          <w:sz w:val="28"/>
          <w:sz w:val="28"/>
          <w:szCs w:val="28"/>
          <w:rtl w:val="true"/>
          <w:lang w:bidi="ar-SA"/>
        </w:rPr>
        <w:t>إلى تسليطه عليه كذلك؟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ويتعيّن الأخير مع جهل الوكيل بفساد التوكيل</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14587139_2142443653"/>
      <w:bookmarkStart w:id="143" w:name="_Toc52"/>
      <w:bookmarkEnd w:id="142"/>
      <w:r>
        <w:rPr>
          <w:rtl w:val="true"/>
        </w:rPr>
        <w:t>فروع</w:t>
      </w:r>
      <w:bookmarkEnd w:id="1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Style w:val="FootnoteAnchor"/>
          <w:rtl w:val="true"/>
        </w:rPr>
        <w:footnoteReference w:id="1163"/>
      </w:r>
      <w:r>
        <w:rPr>
          <w:rFonts w:ascii="Amiri" w:hAnsi="Amiri" w:eastAsia="Amiri" w:cs="Amiri"/>
          <w:color w:val="111111"/>
          <w:sz w:val="28"/>
          <w:sz w:val="28"/>
          <w:szCs w:val="28"/>
          <w:rtl w:val="true"/>
          <w:lang w:bidi="ar-SA"/>
        </w:rPr>
        <w:t>لو كان الدافع هو الحاكم صحّ له الاسترداد من المدفوع إليه بعد ظهور انتفاء استحقاقه مع بقاء العين وتلفها مع ضمانه ، وكذا الحال في المالك لولايته على المال قبل الوصول إلى 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الدافع هو الحاكم بعد قبضه من المالك ولاية على المستحق ، فليس للمالك الاسترجاع بعد عثوره على عدم استحقاقه ؛ إذ لا سلطان له عليه بعد إقباض الحاكم ، فهو بمنزلة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وقطع في التذكرة </w:t>
      </w:r>
      <w:r>
        <w:rPr>
          <w:rStyle w:val="FootnoteAnchor"/>
          <w:rtl w:val="true"/>
        </w:rPr>
        <w:footnoteReference w:id="1164"/>
      </w:r>
      <w:r>
        <w:rPr>
          <w:rFonts w:ascii="Amiri" w:hAnsi="Amiri" w:eastAsia="Amiri" w:cs="Amiri"/>
          <w:color w:val="111111"/>
          <w:sz w:val="28"/>
          <w:sz w:val="28"/>
          <w:szCs w:val="28"/>
          <w:rtl w:val="true"/>
          <w:lang w:bidi="ar-SA"/>
        </w:rPr>
        <w:t>بجواز الرجوع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مع عدم التمكن من الرجوع إلى الحاكم كان حاله كحال غيره من الناس في تولّي الامور الحسبيّة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للفقراء الرجوع عليه إذا ظهروا عليه من غير إذن الحاكم أو المالك إذا كان هو الدافع؟ وجهان أظهرهما العدم ؛ لعدم تعيّنهم للاستحقاق ، بل هم بمنزلة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واستوجه في التذكرة </w:t>
      </w:r>
      <w:r>
        <w:rPr>
          <w:rStyle w:val="FootnoteAnchor"/>
          <w:rtl w:val="true"/>
        </w:rPr>
        <w:footnoteReference w:id="1165"/>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ظهور عدم استحقاق المدفوع إليه من جهة غناه أو لجهة أخرى كالكفر أو عدم الايمان أو الهاشميّة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الأبحاث المتقدّمة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نبّه عليه الشيخ وغيره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يحتمل في المقام الفرق لعدم الطريق إلى معرفة الفرق وتعذر الوقوف على حقيقته </w:t>
      </w:r>
    </w:p>
    <w:p>
      <w:pPr>
        <w:pStyle w:val="BookText"/>
        <w:rPr/>
      </w:pPr>
      <w:r>
        <w:rPr>
          <w:rFonts w:ascii="Amiri" w:hAnsi="Amiri" w:eastAsia="Amiri" w:cs="Amiri"/>
          <w:color w:val="111111"/>
          <w:sz w:val="28"/>
          <w:sz w:val="28"/>
          <w:szCs w:val="28"/>
          <w:rtl w:val="true"/>
          <w:lang w:bidi="ar-SA"/>
        </w:rPr>
        <w:t>إلّا على سبيل الظن ، فكان الخطأ عذرا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غيره فيظهر فيه الحال بعد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ووهنه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كون المدفوع إليه عبدا للمالك ، فإن كان هو الدافع أو وكيله لم يجزه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الدافع إليه الحاكم ، فالظاهر براءة ذمة المالك لبراءتها بالدفع إلى الحاكم ، فإن صحّ استرداد الحاكم منه وإلّا فلا ضمان عليه أيضا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وقطع في التذكرة </w:t>
      </w:r>
      <w:r>
        <w:rPr>
          <w:rStyle w:val="FootnoteAnchor"/>
          <w:rtl w:val="true"/>
        </w:rPr>
        <w:footnoteReference w:id="1166"/>
      </w:r>
      <w:r>
        <w:rPr>
          <w:rFonts w:ascii="Amiri" w:hAnsi="Amiri" w:eastAsia="Amiri" w:cs="Amiri"/>
          <w:color w:val="111111"/>
          <w:sz w:val="28"/>
          <w:sz w:val="28"/>
          <w:szCs w:val="28"/>
          <w:rtl w:val="true"/>
          <w:lang w:bidi="ar-SA"/>
        </w:rPr>
        <w:t xml:space="preserve">بعدم إجزائه عنه ؛ معلّلا بعدم خروج المال عن ملكه ، فجرى مجرى قولها </w:t>
      </w:r>
      <w:r>
        <w:rPr>
          <w:rStyle w:val="FootnoteAnchor"/>
          <w:rtl w:val="true"/>
        </w:rPr>
        <w:footnoteReference w:id="1167"/>
      </w:r>
      <w:r>
        <w:rPr>
          <w:rFonts w:ascii="Amiri" w:hAnsi="Amiri" w:eastAsia="Amiri" w:cs="Amiri"/>
          <w:color w:val="111111"/>
          <w:sz w:val="28"/>
          <w:sz w:val="28"/>
          <w:szCs w:val="28"/>
          <w:rtl w:val="true"/>
          <w:lang w:bidi="ar-SA"/>
        </w:rPr>
        <w:t>من غير تسليم ، وهو إنّما يتمّ في غير دفع المالك</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الحال لو دفعه الحاكم أو وكيله إلى المالك استشارة غير أنّه يشتغل ذمته بالردّ ثانيا على إشكال في بعض صوره يظهر الوجه فيه ممّا مرّ</w:t>
      </w:r>
      <w:r>
        <w:rPr>
          <w:rFonts w:eastAsia="Amiri" w:cs="Amiri" w:ascii="Amiri" w:hAnsi="Amiri"/>
          <w:color w:val="111111"/>
          <w:sz w:val="28"/>
          <w:szCs w:val="28"/>
          <w:rtl w:val="true"/>
          <w:lang w:bidi="ar-SA"/>
        </w:rPr>
        <w:t xml:space="preserve">. </w:t>
      </w:r>
      <w:bookmarkStart w:id="144" w:name="pg15853_153473"/>
    </w:p>
    <w:p>
      <w:pPr>
        <w:pStyle w:val="Heading6"/>
        <w:numPr>
          <w:ilvl w:val="5"/>
          <w:numId w:val="1"/>
        </w:numPr>
        <w:rPr/>
      </w:pPr>
      <w:bookmarkStart w:id="145" w:name="__RefHeading___Toc14587141_2142443653"/>
      <w:bookmarkStart w:id="146" w:name="_Toc53"/>
      <w:bookmarkEnd w:id="144"/>
      <w:bookmarkEnd w:id="145"/>
      <w:r>
        <w:rPr>
          <w:rtl w:val="true"/>
        </w:rPr>
        <w:t>تبصرة</w:t>
      </w:r>
      <w:r>
        <w:rPr>
          <w:rtl w:val="true"/>
        </w:rPr>
        <w:t xml:space="preserve">: [ </w:t>
      </w:r>
      <w:r>
        <w:rPr>
          <w:rtl w:val="true"/>
        </w:rPr>
        <w:t xml:space="preserve">في العاملين على الزكاة </w:t>
      </w:r>
      <w:r>
        <w:rPr>
          <w:rtl w:val="true"/>
        </w:rPr>
        <w:t>]</w:t>
      </w:r>
      <w:bookmarkEnd w:id="146"/>
    </w:p>
    <w:p>
      <w:pPr>
        <w:pStyle w:val="BookText"/>
        <w:rPr/>
      </w:pPr>
      <w:r>
        <w:rPr>
          <w:rFonts w:ascii="Amiri" w:hAnsi="Amiri" w:eastAsia="Amiri" w:cs="Amiri"/>
          <w:color w:val="111111"/>
          <w:sz w:val="28"/>
          <w:sz w:val="28"/>
          <w:szCs w:val="28"/>
          <w:rtl w:val="true"/>
          <w:lang w:bidi="ar-SA"/>
        </w:rPr>
        <w:t xml:space="preserve">الثالث من الأصناف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العاملين على الزكاة ، ولا خلاف عندنا كما نصّ عليه جماعة من علمائنا في استحقاقهم للزكاة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عزاه في التذكرة </w:t>
      </w:r>
      <w:r>
        <w:rPr>
          <w:rStyle w:val="FootnoteAnchor"/>
          <w:rtl w:val="true"/>
        </w:rPr>
        <w:footnoteReference w:id="1168"/>
      </w:r>
      <w:r>
        <w:rPr>
          <w:rFonts w:ascii="IRNazanin" w:hAnsi="IRNazanin" w:eastAsia="IRNazanin"/>
          <w:color w:val="111111"/>
          <w:sz w:val="28"/>
          <w:sz w:val="28"/>
          <w:szCs w:val="28"/>
          <w:rtl w:val="true"/>
          <w:lang w:bidi="fa-IR"/>
        </w:rPr>
        <w:t>إلى علمائنا أجمع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خالف فيه بعض العامة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يعطي أجرة لا زكاة ، والآية </w:t>
      </w:r>
      <w:r>
        <w:rPr>
          <w:rStyle w:val="FootnoteAnchor"/>
          <w:rtl w:val="true"/>
        </w:rPr>
        <w:footnoteReference w:id="1169"/>
      </w:r>
      <w:r>
        <w:rPr>
          <w:rFonts w:ascii="Amiri" w:hAnsi="Amiri" w:eastAsia="Amiri" w:cs="Amiri"/>
          <w:color w:val="111111"/>
          <w:sz w:val="28"/>
          <w:sz w:val="28"/>
          <w:szCs w:val="28"/>
          <w:rtl w:val="true"/>
          <w:lang w:bidi="ar-SA"/>
        </w:rPr>
        <w:t xml:space="preserve">الشريفة ظاهرة الدلالة على خلافه ؛ مضافا إلى إجماع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جماعة من الأجلّة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عليه من الروايات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قضية جعل القول المنقول عن بعض العامة مقابلا لما ذهب إليه الأصحاب كون المدفوع إليه عندنا على جهة الزكاة دون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عليه بعض المتأخرين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يستفاد من ظاهر الآية الشريفة أنّ اللّه سبحانه جعل للعاملين بإزاء عملهم حقّا في الزكاة سواء تصدّوا للعمل شرعا أو أرادوا بذلك إحراز ما جعله اللّه للعامل ، فيكون أخذه للحصّة حينئذ على غير وجه الأجرة أو الجعالة المجعولة من الحاكم ، فلا يستحق على الحاكم شيئا إذا أتى بالعمل على أحد الوجهين المذكورين ، وإنّما يستحقّ الحصّة المجعولة </w:t>
      </w:r>
      <w:r>
        <w:rPr>
          <w:rStyle w:val="FootnoteAnchor"/>
          <w:rtl w:val="true"/>
        </w:rPr>
        <w:footnoteReference w:id="1170"/>
      </w:r>
      <w:r>
        <w:rPr>
          <w:rFonts w:ascii="Amiri" w:hAnsi="Amiri" w:eastAsia="Amiri" w:cs="Amiri"/>
          <w:color w:val="111111"/>
          <w:sz w:val="28"/>
          <w:sz w:val="28"/>
          <w:szCs w:val="28"/>
          <w:rtl w:val="true"/>
          <w:lang w:bidi="ar-SA"/>
        </w:rPr>
        <w:t>من الشرع خاصّة ، فهو نظير ما إذا نظر شيئا فردّ أحد عبده تبرعا أو لأن يستحق ذلك المال المنذور ، فجهة الاستحقاق في المقام مغايرة لجهة الاستحقاق الحاصل من الإجارة ونحوها ، وإن كانت الحكمة في وضعه ملاحظة العمل ، ولذا لا يسقط ذلك بالإسقاط بخلاف الأجرة ونحوها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وكأنّ ذلك مقصود بعض أفاضل المتأخرين حيث ذكر أنّهم يستحقونها أجرة على عملهم ؛ لما عرفت من عدم ذهاب أحد من الأصحاب إليه ، وإنّما هو مذهب لبعض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وليتم الكلام في ذلك برسم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بالمعاملين السعاة في جباية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وعمّه في نهاية الإحكام </w:t>
      </w:r>
      <w:r>
        <w:rPr>
          <w:rStyle w:val="FootnoteAnchor"/>
          <w:rtl w:val="true"/>
        </w:rPr>
        <w:footnoteReference w:id="1171"/>
      </w:r>
      <w:r>
        <w:rPr>
          <w:rFonts w:ascii="Amiri" w:hAnsi="Amiri" w:eastAsia="Amiri" w:cs="Amiri"/>
          <w:color w:val="111111"/>
          <w:sz w:val="28"/>
          <w:sz w:val="28"/>
          <w:szCs w:val="28"/>
          <w:rtl w:val="true"/>
          <w:lang w:bidi="ar-SA"/>
        </w:rPr>
        <w:t xml:space="preserve">للساعي والكاتب والقاسم والحاسب والعريف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كالنقيب للقبيلة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يجمع أرباب الأموال وحافظ المال ، وكلّ من يحتاج إليه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 احتمل في الكيّال والوزّان والعدّاد الأسهام من سهم العاملين ؛ لأنهم سهم ، والمنع لأنّ على المالك توفية الواجب ، فكأنّ العوض عليه في الرد ضميمة أنهم السعاة في تحصيلها بجباية وولاية وكتابة وحفظ وحساب وقسمة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w:t>
      </w:r>
      <w:r>
        <w:rPr>
          <w:rStyle w:val="FootnoteAnchor"/>
          <w:rtl w:val="true"/>
        </w:rPr>
        <w:footnoteReference w:id="1172"/>
      </w:r>
      <w:r>
        <w:rPr>
          <w:rFonts w:ascii="Amiri" w:hAnsi="Amiri" w:eastAsia="Amiri" w:cs="Amiri"/>
          <w:color w:val="111111"/>
          <w:sz w:val="28"/>
          <w:sz w:val="28"/>
          <w:szCs w:val="28"/>
          <w:rtl w:val="true"/>
          <w:lang w:bidi="ar-SA"/>
        </w:rPr>
        <w:t xml:space="preserve">يستفاد منها التعميم لجميع ما </w:t>
      </w:r>
      <w:r>
        <w:rPr>
          <w:rStyle w:val="FootnoteAnchor"/>
          <w:rtl w:val="true"/>
        </w:rPr>
        <w:footnoteReference w:id="1173"/>
      </w:r>
      <w:r>
        <w:rPr>
          <w:rFonts w:ascii="Amiri" w:hAnsi="Amiri" w:eastAsia="Amiri" w:cs="Amiri"/>
          <w:color w:val="111111"/>
          <w:sz w:val="28"/>
          <w:sz w:val="28"/>
          <w:szCs w:val="28"/>
          <w:rtl w:val="true"/>
          <w:lang w:bidi="ar-SA"/>
        </w:rPr>
        <w:t>تلبس بشي‌ء من الأعمال المذكورة وإن استبد 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وفسّره في المدارك </w:t>
      </w:r>
      <w:r>
        <w:rPr>
          <w:rStyle w:val="FootnoteAnchor"/>
          <w:rtl w:val="true"/>
        </w:rPr>
        <w:footnoteReference w:id="1174"/>
      </w:r>
      <w:r>
        <w:rPr>
          <w:rFonts w:ascii="Amiri" w:hAnsi="Amiri" w:eastAsia="Amiri" w:cs="Amiri"/>
          <w:color w:val="111111"/>
          <w:sz w:val="28"/>
          <w:sz w:val="28"/>
          <w:szCs w:val="28"/>
          <w:rtl w:val="true"/>
          <w:lang w:bidi="ar-SA"/>
        </w:rPr>
        <w:t xml:space="preserve">بالساعين في جبايتها وتحصيلها بأخذ وكتابة وحساب وحفظ وقسمة ونحو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أجمع علماؤنا وأكثر العامة على استحقاق هؤلاء نصيبا من الزكاة ، وإن كانوا 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التعميم للجميع صدق العمالة عرفا بفعل أحد الأشياء المذكورة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بأنّه قد يدلّ ظهورها فيمن يكون بيده أمر الصدقات في الأخذ من المالك ، والجباية إلى الحاكم دون سائر الخدّام كما للراعي </w:t>
      </w:r>
      <w:r>
        <w:rPr>
          <w:rStyle w:val="FootnoteAnchor"/>
          <w:rtl w:val="true"/>
        </w:rPr>
        <w:footnoteReference w:id="1175"/>
      </w:r>
      <w:r>
        <w:rPr>
          <w:rFonts w:ascii="IRNazanin" w:hAnsi="IRNazanin" w:eastAsia="IRNazanin"/>
          <w:color w:val="111111"/>
          <w:sz w:val="28"/>
          <w:sz w:val="28"/>
          <w:szCs w:val="28"/>
          <w:rtl w:val="true"/>
          <w:lang w:bidi="fa-IR"/>
        </w:rPr>
        <w:t>، والحارس ونحوهما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عليّ بن إبراهيم ، عن العالم عليه‌السلام أنّهم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السعاة والجباة في أخذها وجمعها </w:t>
      </w:r>
    </w:p>
    <w:p>
      <w:pPr>
        <w:pStyle w:val="BookText"/>
        <w:rPr/>
      </w:pPr>
      <w:r>
        <w:rPr>
          <w:rFonts w:ascii="Amiri" w:hAnsi="Amiri" w:eastAsia="Amiri" w:cs="Amiri"/>
          <w:color w:val="111111"/>
          <w:sz w:val="28"/>
          <w:sz w:val="28"/>
          <w:szCs w:val="28"/>
          <w:rtl w:val="true"/>
          <w:lang w:bidi="ar-SA"/>
        </w:rPr>
        <w:t xml:space="preserve">وحفظها حتى يؤدوها إلى من يقسمها </w:t>
      </w:r>
      <w:r>
        <w:rPr>
          <w:rFonts w:eastAsia="Amiri" w:cs="Amiri" w:ascii="Amiri" w:hAnsi="Amiri"/>
          <w:color w:val="111111"/>
          <w:sz w:val="28"/>
          <w:szCs w:val="28"/>
          <w:rtl w:val="true"/>
          <w:lang w:bidi="ar-SA"/>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وكأنّها ظاهرة في 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دلالة ظاهرة على خروج القاسم ، على أنّ البناء على إطلاق الآية بحملها على مقتضى ظاهر اللفظ على كلّ من له عمل على الصدقات 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تأيّده بفهم الجماعة ، إلّا أن الحكم بالنسبة إلى بعضها محلّ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أن يكون منصوبا من جهة الإمام عليه‌السلام ، فلا يجري ذلك في منصوب الفقيه؟ ظاهر الشيخ ذلك حيث ذهب إلى سقوط حق العمالة في 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إطلاق الآية الشمول بعد ما دلّ من الإطلاقات على جواز نصب الحاكم من يسعى في ذلك ، وتوكيله في القبض ، بل قضية إطلاق الآية استحقاق كلّ من له عمل على الصدقات ولو كان من جهة المالك كما إذا عيّن شخصا لقبض زكاته وإخراجها من أمواله وبسطه على الفقراء إلّا أنّ ظاهرهم خروجه عن العامل حملا له على المنصوب ؛ إذ هو المعروف المتداول في عصر النبي صلى‌اللّه‌عليه‌وآله والإمام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تصدى العامل لذلك من باب الحسب ففي ثبوت الحكم له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ويجريان في تصدّي الفقيه بنفسه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بالاستحقاق بالنسبة إليه غير بعيد ؛ إذ لا ينقص عن منصوب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 في نهاية الإحكام </w:t>
      </w:r>
      <w:r>
        <w:rPr>
          <w:rStyle w:val="FootnoteAnchor"/>
          <w:rtl w:val="true"/>
        </w:rPr>
        <w:footnoteReference w:id="1177"/>
      </w:r>
      <w:r>
        <w:rPr>
          <w:rFonts w:ascii="Amiri" w:hAnsi="Amiri" w:eastAsia="Amiri" w:cs="Amiri"/>
          <w:color w:val="111111"/>
          <w:sz w:val="28"/>
          <w:sz w:val="28"/>
          <w:szCs w:val="28"/>
          <w:rtl w:val="true"/>
          <w:lang w:bidi="ar-SA"/>
        </w:rPr>
        <w:t>بأنّه ليس للإمام عليه‌السلام وللوالي من قبله ولا للقاضي إذا تولّوا أخذها وقسمتها شي‌ء فيها ؛ لعموم ولايتهم ، فهم يأخذون رزقهم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ظاهر في الإمام عليه‌السلام لا من جهة تعليله بل لهاشميّته وعدم اندراجه في إطلاق العامل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غيره فلا يخلو عن خفاء ؛ إذ ارتزاقهم من بيت المال لا يقضي بسقوط حقّهم من ذلك مع إطلاق الآية سيما إذا كان الارتزاق بإزاء غيره من الأعمال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عيّن الحاكم أجرة أو جعالة للعامل من بيت المال </w:t>
      </w:r>
      <w:r>
        <w:rPr>
          <w:rStyle w:val="FootnoteAnchor"/>
          <w:rtl w:val="true"/>
        </w:rPr>
        <w:footnoteReference w:id="1178"/>
      </w:r>
      <w:r>
        <w:rPr>
          <w:rFonts w:ascii="Amiri" w:hAnsi="Amiri" w:eastAsia="Amiri" w:cs="Amiri"/>
          <w:color w:val="111111"/>
          <w:sz w:val="28"/>
          <w:sz w:val="28"/>
          <w:szCs w:val="28"/>
          <w:rtl w:val="true"/>
          <w:lang w:bidi="ar-SA"/>
        </w:rPr>
        <w:t>استحقّ ذلك بعمله سواء كان ذلك من غير الزكاة أو منها ، وسواء كان من غير ما جعله عاملا عليه أو من جملته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فيستحق ما عيّن له وإن قلّ ما حصله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أقل من القدر الذي عيّن له ولا يستحق ما يزيد على ذلك القدر ، فلا سهم له في الزكاة إذا كانت الأجرة معينة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w:t>
      </w:r>
      <w:r>
        <w:rPr>
          <w:rStyle w:val="FootnoteAnchor"/>
          <w:rtl w:val="true"/>
        </w:rPr>
        <w:footnoteReference w:id="1179"/>
      </w:r>
      <w:r>
        <w:rPr>
          <w:rFonts w:ascii="Amiri" w:hAnsi="Amiri" w:eastAsia="Amiri" w:cs="Amiri"/>
          <w:color w:val="111111"/>
          <w:sz w:val="28"/>
          <w:sz w:val="28"/>
          <w:szCs w:val="28"/>
          <w:rtl w:val="true"/>
          <w:lang w:bidi="ar-SA"/>
        </w:rPr>
        <w:t xml:space="preserve">نصّ عليه جماعة من الأصحاب ، ويشكل الحال بإطلاق الآية مع اندراجه في اسم العامل قطعا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ينصرف إلى غيره ، فإنّ المتبادر منه كون استحقاق الحصة بإزاء عمله حتى لا يكون سعيه خاليا عن المنفعة الدنيوية ، فإذا فرض استحقاق ذلك عليه بالعوض لم يستحق شيئا ، ولا أقل من الشك ، فيرجع فيه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لو استأجره متبرّع على الفعل المذكور بإذن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فلو أسقط الأجرة لم يستحق السهم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أقدم حينئذ على الفعل مجانا لم يستحق الأجرة فيثبت </w:t>
      </w:r>
      <w:r>
        <w:rPr>
          <w:rStyle w:val="FootnoteAnchor"/>
          <w:rtl w:val="true"/>
        </w:rPr>
        <w:footnoteReference w:id="1180"/>
      </w:r>
      <w:r>
        <w:rPr>
          <w:rFonts w:ascii="Amiri" w:hAnsi="Amiri" w:eastAsia="Amiri" w:cs="Amiri"/>
          <w:color w:val="111111"/>
          <w:sz w:val="28"/>
          <w:sz w:val="28"/>
          <w:szCs w:val="28"/>
          <w:rtl w:val="true"/>
          <w:lang w:bidi="ar-SA"/>
        </w:rPr>
        <w:t>سهم العامل على وجه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يقال بأنّ ذلك من مقوّمات النصب ، فلا يكون فعله عن إذن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w:t>
      </w:r>
      <w:r>
        <w:rPr>
          <w:rStyle w:val="FootnoteAnchor"/>
          <w:rtl w:val="true"/>
        </w:rPr>
        <w:footnoteReference w:id="1181"/>
      </w:r>
      <w:r>
        <w:rPr>
          <w:rFonts w:ascii="Amiri" w:hAnsi="Amiri" w:eastAsia="Amiri" w:cs="Amiri"/>
          <w:color w:val="111111"/>
          <w:sz w:val="28"/>
          <w:sz w:val="28"/>
          <w:szCs w:val="28"/>
          <w:rtl w:val="true"/>
          <w:lang w:bidi="ar-SA"/>
        </w:rPr>
        <w:t>وإن رأى الإمام أن يجعل له أجرة من بيت المال لم يستحق شيئا من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إطلاقه يعمّ ما لو كان فعله بإزاء الأجرة المقرّرة أو لا ، ففيه إذن ما عرفت</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لو جعل له جعالة ممّا يحصله من الزكاة كان استحقاقه ذلك بجعل الحاكم ولم </w:t>
      </w:r>
    </w:p>
    <w:p>
      <w:pPr>
        <w:pStyle w:val="BookText"/>
        <w:rPr/>
      </w:pPr>
      <w:r>
        <w:rPr>
          <w:rFonts w:ascii="Amiri" w:hAnsi="Amiri" w:eastAsia="Amiri" w:cs="Amiri"/>
          <w:color w:val="111111"/>
          <w:sz w:val="28"/>
          <w:sz w:val="28"/>
          <w:szCs w:val="28"/>
          <w:rtl w:val="true"/>
          <w:lang w:bidi="ar-SA"/>
        </w:rPr>
        <w:t>يكن من سهم العامل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عليه بعض الفروع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أمره الحاكم بالعمل فإن تبيّن أنّ مقصوده من الأجر الفعل بالأجرة أو تبين خلافه فلا إشكال ، وإن لم يتبين الحال فهل يستحق الأجرة على الحاكم يدفعها إليه ممّا شاء من أموال بيت المال ، فلا يثبت له سهم العمالة أو أنّه لا يستحق أجرة على ذلك ، وإنّما يثبت له سهم العمالة بمقتضى جعل الشرع أو أنّه إن دفع إليه الحاكم سهم العامل فلا أجرة له ، وإلّا يثبت الأجرة لاحترام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 في نهاية الإحكام </w:t>
      </w:r>
      <w:r>
        <w:rPr>
          <w:rStyle w:val="FootnoteAnchor"/>
          <w:rtl w:val="true"/>
        </w:rPr>
        <w:footnoteReference w:id="1182"/>
      </w:r>
      <w:r>
        <w:rPr>
          <w:rFonts w:ascii="Amiri" w:hAnsi="Amiri" w:eastAsia="Amiri" w:cs="Amiri"/>
          <w:color w:val="111111"/>
          <w:sz w:val="28"/>
          <w:sz w:val="28"/>
          <w:szCs w:val="28"/>
          <w:rtl w:val="true"/>
          <w:lang w:bidi="ar-SA"/>
        </w:rPr>
        <w:t xml:space="preserve">بعد حكمه بأنّه إن شاء الحاكم بعثه من غير تسميته على أنّه لو تلفت الصدقة في يده من غير تفريط فلا ضمان عليه ، و </w:t>
      </w:r>
      <w:r>
        <w:rPr>
          <w:rStyle w:val="FootnoteAnchor"/>
          <w:rtl w:val="true"/>
        </w:rPr>
        <w:footnoteReference w:id="1183"/>
      </w:r>
      <w:r>
        <w:rPr>
          <w:rFonts w:ascii="Amiri" w:hAnsi="Amiri" w:eastAsia="Amiri" w:cs="Amiri"/>
          <w:color w:val="111111"/>
          <w:sz w:val="28"/>
          <w:sz w:val="28"/>
          <w:szCs w:val="28"/>
          <w:rtl w:val="true"/>
          <w:lang w:bidi="ar-SA"/>
        </w:rPr>
        <w:t>يستحق أجرة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يعطي اختيار الوجه الأخير من استحقاقه أحد الأمرين من السهم والأجرة ، فإذا تعذر الأول تعين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 عن ظاهر القواعد صونا لخلوّ عمل المسلم عن العوض بالمرّة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على القول بعدم </w:t>
      </w:r>
      <w:r>
        <w:rPr>
          <w:rStyle w:val="FootnoteAnchor"/>
          <w:rtl w:val="true"/>
        </w:rPr>
        <w:footnoteReference w:id="1184"/>
      </w:r>
      <w:r>
        <w:rPr>
          <w:rFonts w:ascii="Amiri" w:hAnsi="Amiri" w:eastAsia="Amiri" w:cs="Amiri"/>
          <w:color w:val="111111"/>
          <w:sz w:val="28"/>
          <w:sz w:val="28"/>
          <w:szCs w:val="28"/>
          <w:rtl w:val="true"/>
          <w:lang w:bidi="ar-SA"/>
        </w:rPr>
        <w:t xml:space="preserve">وجوب بسط الزكاة على الأصناف كما 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يأتي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للحاكم الخيار في دفع حصّة العامل على نحو خياره في الصرف على سائر المصارف؟ وجهان ؛ من أنّ ظاهر الآية هو الاستحقاق ، غاية الأمر دلالة الأدلّة على عدم وجوب الصرف إلى كلّ من المذكورات بالنسبة إلى غير العامل ، وأما العامل فيبقى على الأصل من أنها إنّما وردت في الجميع على نحو واحد ، فبعد حملها على بيان المصرف لا يبقى فيها 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أوفق بظاهر الآية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ذكرناه إنّما هو من جهة استحقاقه سهم العمالة ، أما من جهة الاستيجار أو قضاء الأمر باستحقاق العوض فقد مرّ القول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ذكر للعامل 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أمينا بأن يكون بالغا عاقلا مسلما مؤمنا عدلا ، فلا يصحّ عمالة من لا يجتمع فيه الصفات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ذكروه ، وهو إنّما يتم إذا فسّر العامل بالساعي في أخذ الصدقات وجبايتها إلى الامام كما هو المعروف في استعماله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مرّت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مع التعميم لسائر الأعمال المتعلقة </w:t>
      </w:r>
      <w:r>
        <w:rPr>
          <w:rStyle w:val="FootnoteAnchor"/>
          <w:rtl w:val="true"/>
        </w:rPr>
        <w:footnoteReference w:id="1185"/>
      </w:r>
      <w:r>
        <w:rPr>
          <w:rFonts w:ascii="Amiri" w:hAnsi="Amiri" w:eastAsia="Amiri" w:cs="Amiri"/>
          <w:color w:val="111111"/>
          <w:sz w:val="28"/>
          <w:sz w:val="28"/>
          <w:szCs w:val="28"/>
          <w:rtl w:val="true"/>
          <w:lang w:bidi="ar-SA"/>
        </w:rPr>
        <w:t>بالصدقات كما هو ظاهر الجماعة فلا يتمّ الإطلاق المذكور ؛ لظهور أن بعض الأعمال ممّا لا يتوقف على الاعتماد على العامل كالكتابة وجميع أرباب الأموال إذا كانوا معلومين ونحو ذلك من الأعمال الظاهرة ، فينبغي إذن تخصيصه بما إذا كان عاملا على ما يؤتمن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 نصّ عليه في الشرائع </w:t>
      </w:r>
      <w:r>
        <w:rPr>
          <w:rStyle w:val="FootnoteAnchor"/>
          <w:rtl w:val="true"/>
        </w:rPr>
        <w:footnoteReference w:id="1186"/>
      </w:r>
      <w:r>
        <w:rPr>
          <w:rFonts w:ascii="Amiri" w:hAnsi="Amiri" w:eastAsia="Amiri" w:cs="Amiri"/>
          <w:color w:val="111111"/>
          <w:sz w:val="28"/>
          <w:sz w:val="28"/>
          <w:szCs w:val="28"/>
          <w:rtl w:val="true"/>
          <w:lang w:bidi="ar-SA"/>
        </w:rPr>
        <w:t>والمراد به التفقه فيما يتوليه من العمل كمعرفة قدر الواجب وصفته ونحوهما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لو تمّ فإنّما يتمّ مع تخصيص العامل بما مرّ وأما مع تعميمه لسائر الأعمال فلا بدّ من تقييده بما يتوقف العلم بأدائها على العلم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به مطلق المعرفة بالحكم ولو على سبيل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في المدارك </w:t>
      </w:r>
      <w:r>
        <w:rPr>
          <w:rStyle w:val="FootnoteAnchor"/>
          <w:rtl w:val="true"/>
        </w:rPr>
        <w:footnoteReference w:id="1187"/>
      </w:r>
      <w:r>
        <w:rPr>
          <w:rFonts w:ascii="IRNazanin" w:hAnsi="IRNazanin" w:eastAsia="IRNazanin"/>
          <w:color w:val="111111"/>
          <w:sz w:val="28"/>
          <w:sz w:val="28"/>
          <w:szCs w:val="28"/>
          <w:rtl w:val="true"/>
          <w:lang w:bidi="fa-IR"/>
        </w:rPr>
        <w:t xml:space="preserve">عن ظاهر المعتبر </w:t>
      </w:r>
      <w:r>
        <w:rPr>
          <w:rStyle w:val="FootnoteAnchor"/>
          <w:rtl w:val="true"/>
        </w:rPr>
        <w:footnoteReference w:id="1188"/>
      </w:r>
      <w:r>
        <w:rPr>
          <w:rFonts w:ascii="Amiri" w:hAnsi="Amiri" w:eastAsia="Amiri" w:cs="Amiri"/>
          <w:color w:val="111111"/>
          <w:sz w:val="28"/>
          <w:sz w:val="28"/>
          <w:szCs w:val="28"/>
          <w:rtl w:val="true"/>
          <w:lang w:bidi="ar-SA"/>
        </w:rPr>
        <w:t xml:space="preserve">الميل إلى عدم اعتباره ، والاكتفاء فيه بسؤال العلماء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واستحسنه في البيان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يقال بعدم اشتراط العمالة بها وإن كان من مكمّلاتها ؛ إذ ذاك </w:t>
      </w:r>
      <w:r>
        <w:rPr>
          <w:rStyle w:val="FootnoteAnchor"/>
          <w:rtl w:val="true"/>
        </w:rPr>
        <w:footnoteReference w:id="1190"/>
      </w:r>
      <w:r>
        <w:rPr>
          <w:rFonts w:ascii="Amiri" w:hAnsi="Amiri" w:eastAsia="Amiri" w:cs="Amiri"/>
          <w:color w:val="111111"/>
          <w:sz w:val="28"/>
          <w:sz w:val="28"/>
          <w:szCs w:val="28"/>
          <w:rtl w:val="true"/>
          <w:lang w:bidi="ar-SA"/>
        </w:rPr>
        <w:t>وظيفة المالك وإنّما عليه أن يأخذ ما يدفعه المالك إليه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توقف العمل عليه كما إذا امتنع المالك وأراد إجباره عليه تمّ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w:t>
      </w:r>
      <w:r>
        <w:rPr>
          <w:rStyle w:val="FootnoteAnchor"/>
          <w:rtl w:val="true"/>
        </w:rPr>
        <w:footnoteReference w:id="1191"/>
      </w:r>
      <w:r>
        <w:rPr>
          <w:rFonts w:ascii="Amiri" w:hAnsi="Amiri" w:eastAsia="Amiri" w:cs="Amiri"/>
          <w:color w:val="111111"/>
          <w:sz w:val="28"/>
          <w:sz w:val="28"/>
          <w:szCs w:val="28"/>
          <w:rtl w:val="true"/>
          <w:lang w:bidi="ar-SA"/>
        </w:rPr>
        <w:t>، وعلّل بأنّ العامل يستحق نصيبا من الزكاة ، والعبد لا يملك شيئا حتى يدفع إليه ، ومولاه لم يعمل شيئا حتّى يستحق حقّ العمالة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عمل العبد كعمل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وقوّى في المعتبر </w:t>
      </w:r>
      <w:r>
        <w:rPr>
          <w:rStyle w:val="FootnoteAnchor"/>
          <w:rtl w:val="true"/>
        </w:rPr>
        <w:footnoteReference w:id="1192"/>
      </w:r>
      <w:r>
        <w:rPr>
          <w:rFonts w:ascii="Amiri" w:hAnsi="Amiri" w:eastAsia="Amiri" w:cs="Amiri"/>
          <w:color w:val="111111"/>
          <w:sz w:val="28"/>
          <w:sz w:val="28"/>
          <w:szCs w:val="28"/>
          <w:rtl w:val="true"/>
          <w:lang w:bidi="ar-SA"/>
        </w:rPr>
        <w:t>عدم اعتبارها معلّلا بحصول الغرض بفعله وإن العمالة نوع إجارة والعبد صالح له مع إذن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1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المحقّق في المعتبر </w:t>
      </w:r>
      <w:r>
        <w:rPr>
          <w:rStyle w:val="FootnoteAnchor"/>
          <w:rtl w:val="true"/>
        </w:rPr>
        <w:footnoteReference w:id="1194"/>
      </w:r>
      <w:r>
        <w:rPr>
          <w:rFonts w:ascii="Amiri" w:hAnsi="Amiri" w:eastAsia="Amiri" w:cs="Amiri"/>
          <w:color w:val="111111"/>
          <w:sz w:val="28"/>
          <w:sz w:val="28"/>
          <w:szCs w:val="28"/>
          <w:rtl w:val="true"/>
          <w:lang w:bidi="ar-SA"/>
        </w:rPr>
        <w:t>الميل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وتردد فيه في الشرائع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لاشتراط الحريّة في أصل العمالة ؛ إذ لا مانع من تولّي العبد لها مع استجماعه لسائر الشرائط وإذن المولى له في ذلك ، أما استحقاقه للمال فإن كان استعماله على سبيل الاستيجار ونحوه فلا ينبغي التأمل فيه أيضا لكون العبد قابلا له بعد إذن السيد ، فتكون الأجرة ملكا لسيده كما لو استأجر على سائر الأعمال وإن كان نحو العمالة الصرفة من دون حصول الاستيجار وما بمنزلته فيشكل الحال في استحقاقه سهم العمالة ؛ لأن العبد في نفسه غير قابل للتملك واستحقاق المولى له ممّا لا دليل عليه ، فإن ذلك حقّ جعل للعامل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ذلك من قبيل الأجرة المستحقة المالك </w:t>
      </w:r>
      <w:r>
        <w:rPr>
          <w:rStyle w:val="FootnoteAnchor"/>
          <w:rtl w:val="true"/>
        </w:rPr>
        <w:footnoteReference w:id="1196"/>
      </w:r>
      <w:r>
        <w:rPr>
          <w:rFonts w:ascii="Amiri" w:hAnsi="Amiri" w:eastAsia="Amiri" w:cs="Amiri"/>
          <w:color w:val="111111"/>
          <w:sz w:val="28"/>
          <w:sz w:val="28"/>
          <w:szCs w:val="28"/>
          <w:rtl w:val="true"/>
          <w:lang w:bidi="ar-SA"/>
        </w:rPr>
        <w:t>، فالقول باستحقاق المولى له مشكل جدا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بالنسبة إلى العبد القنّ ، وأما المبعّض فالظاهر استحقاقه على حسب حريته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المكاتب فلا مانع من استحقاقه ولصحّة تملكه سواء كان مشروطا أو مطلقا أدّى من مال الكتابة شيئا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هاشميا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الشرائع </w:t>
      </w:r>
      <w:r>
        <w:rPr>
          <w:rStyle w:val="FootnoteAnchor"/>
          <w:rtl w:val="true"/>
        </w:rPr>
        <w:footnoteReference w:id="1197"/>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ضعيف لو أريد اشتراطه في أصل العمالة ، وإن اريد اشتراطه في استحقاق المال فإن دفع إليه من بيت المال على سبيل الاستيجار فلا يظهر ما يقضي فيه بالمنع ، وإن كان المدفوع إليه من مال الزكاة ؛ إذ لا يحرم عليهم الأخذ من الزكاة إذا دفع إليهم على سبيل المعاوضة ، ولذا يجوز شراء أموالهم بمال الزكاة ، وكذا استيجارهم على سائر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لو عيّن لهم على سبيل الجعالة سهم ممّا يحبونه من الزكاة في وجه قوي ؛ لما عرفت من تملكهم له حينئذ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استحقاقهم حينئذ على نحو استحقاق الزكاة ، والصحيحة الآتية لا دلالة فيها على المنع من الجهة المذكورة وإن اريد دفعه إليه من سهم العمال على نحو استحقاق الزكاة فلا تأمّل في المنع لما دلّ باطلاقه على الحرمة </w:t>
      </w:r>
      <w:r>
        <w:rPr>
          <w:rStyle w:val="FootnoteAnchor"/>
          <w:rtl w:val="true"/>
        </w:rPr>
        <w:footnoteReference w:id="1198"/>
      </w:r>
      <w:r>
        <w:rPr>
          <w:rFonts w:ascii="Amiri" w:hAnsi="Amiri" w:eastAsia="Amiri" w:cs="Amiri"/>
          <w:color w:val="111111"/>
          <w:sz w:val="28"/>
          <w:sz w:val="28"/>
          <w:szCs w:val="28"/>
          <w:rtl w:val="true"/>
          <w:lang w:bidi="ar-SA"/>
        </w:rPr>
        <w:t>الصدقات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خصوص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من بني هاشم أتوا رسول اللّه صلى‌اللّه‌عليه‌وآله ، فسألوه أن يستعملهم على صدقات المواشي </w:t>
      </w:r>
      <w:r>
        <w:rPr>
          <w:rStyle w:val="FootnoteAnchor"/>
          <w:rtl w:val="true"/>
        </w:rPr>
        <w:footnoteReference w:id="1199"/>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لنا هذا السهم الذي جعله اللّه عزوجل للعاملين عليها فنحن أولى به ، فقال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عبد المطلب إنّ الصدقة لا تحل لي ولا لكم </w:t>
      </w:r>
      <w:r>
        <w:rPr>
          <w:rFonts w:eastAsia="Amiri" w:cs="Amiri" w:ascii="Amiri" w:hAnsi="Amiri"/>
          <w:color w:val="111111"/>
          <w:sz w:val="28"/>
          <w:szCs w:val="28"/>
          <w:rtl w:val="true"/>
          <w:lang w:bidi="ar-SA"/>
        </w:rPr>
        <w:t xml:space="preserve">.. » </w:t>
      </w:r>
      <w:r>
        <w:rPr>
          <w:rStyle w:val="FootnoteAnchor"/>
          <w:rtl w:val="true"/>
        </w:rPr>
        <w:footnoteReference w:id="1200"/>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حكاه الشيخ في المبسوط </w:t>
      </w:r>
      <w:r>
        <w:rPr>
          <w:rStyle w:val="FootnoteAnchor"/>
          <w:rtl w:val="true"/>
        </w:rPr>
        <w:footnoteReference w:id="1201"/>
      </w:r>
      <w:r>
        <w:rPr>
          <w:rFonts w:ascii="Amiri" w:hAnsi="Amiri" w:eastAsia="Amiri" w:cs="Amiri"/>
          <w:color w:val="111111"/>
          <w:sz w:val="28"/>
          <w:sz w:val="28"/>
          <w:szCs w:val="28"/>
          <w:rtl w:val="true"/>
          <w:lang w:bidi="ar-SA"/>
        </w:rPr>
        <w:t>عن قوم من جواز كون العامل هاشميا لأنّه يأخذ على وجه الأجرة فكان كسائر الإجارات ضعيف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العلّامة </w:t>
      </w:r>
      <w:r>
        <w:rPr>
          <w:rStyle w:val="FootnoteAnchor"/>
          <w:rtl w:val="true"/>
        </w:rPr>
        <w:footnoteReference w:id="1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المحكيّ عنهم من العامة ؛ إذ لا أعرف قولا لعلمائنا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إليه التعليل المذكور ؛ إذ ذلك من مذاهبهم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عاملا على صدقات غير قبيله وأمّا لو جعل عاملا على صدقات قبيله فلا وجه للمنع ، وكذا الحال مع حلية الصدقة عليهم لقصور الخمس</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نبّه عليهما في المدارك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 xml:space="preserve">. </w:t>
      </w:r>
      <w:bookmarkStart w:id="147" w:name="pg15853_153482"/>
    </w:p>
    <w:p>
      <w:pPr>
        <w:pStyle w:val="Heading6"/>
        <w:numPr>
          <w:ilvl w:val="5"/>
          <w:numId w:val="1"/>
        </w:numPr>
        <w:rPr/>
      </w:pPr>
      <w:bookmarkStart w:id="148" w:name="__RefHeading___Toc14587143_2142443653"/>
      <w:bookmarkStart w:id="149" w:name="_Toc54"/>
      <w:bookmarkEnd w:id="147"/>
      <w:bookmarkEnd w:id="148"/>
      <w:r>
        <w:rPr>
          <w:rtl w:val="true"/>
        </w:rPr>
        <w:t xml:space="preserve">تبصرة </w:t>
      </w:r>
      <w:r>
        <w:rPr>
          <w:rtl w:val="true"/>
        </w:rPr>
        <w:t xml:space="preserve">[ </w:t>
      </w:r>
      <w:r>
        <w:rPr>
          <w:rtl w:val="true"/>
        </w:rPr>
        <w:t xml:space="preserve">في المؤلّفة قلوبهم </w:t>
      </w:r>
      <w:r>
        <w:rPr>
          <w:rtl w:val="true"/>
        </w:rPr>
        <w:t>]</w:t>
      </w:r>
      <w:bookmarkEnd w:id="149"/>
    </w:p>
    <w:p>
      <w:pPr>
        <w:pStyle w:val="BookText"/>
        <w:rPr/>
      </w:pPr>
      <w:r>
        <w:rPr>
          <w:rFonts w:ascii="Amiri" w:hAnsi="Amiri" w:eastAsia="Amiri" w:cs="Amiri"/>
          <w:color w:val="111111"/>
          <w:sz w:val="28"/>
          <w:sz w:val="28"/>
          <w:szCs w:val="28"/>
          <w:rtl w:val="true"/>
          <w:lang w:bidi="ar-SA"/>
        </w:rPr>
        <w:t xml:space="preserve">الرابع من الأصناف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المؤلّفة قلوبهم ، والكلام فيه في الموضوع والحكم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فقد اختلف فيه كلمة الأصحاب ، ولهم في تفسير المؤلفة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جماعة من تفسيره بالكفار الذين يستمالون للجهاد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Style w:val="FootnoteAnchor"/>
          <w:rtl w:val="true"/>
        </w:rPr>
        <w:footnoteReference w:id="1204"/>
      </w:r>
      <w:r>
        <w:rPr>
          <w:rFonts w:ascii="Amiri" w:hAnsi="Amiri" w:eastAsia="Amiri" w:cs="Amiri"/>
          <w:color w:val="111111"/>
          <w:sz w:val="28"/>
          <w:sz w:val="28"/>
          <w:szCs w:val="28"/>
          <w:rtl w:val="true"/>
          <w:lang w:bidi="ar-SA"/>
        </w:rPr>
        <w:t xml:space="preserve">بعد تفسيرها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نعرف مؤلفة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الكركي </w:t>
      </w:r>
      <w:r>
        <w:rPr>
          <w:rStyle w:val="FootnoteAnchor"/>
          <w:rtl w:val="true"/>
        </w:rPr>
        <w:footnoteReference w:id="1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اختصاصهم بذلك هو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1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المبسوط </w:t>
      </w:r>
      <w:r>
        <w:rPr>
          <w:rStyle w:val="FootnoteAnchor"/>
          <w:rtl w:val="true"/>
        </w:rPr>
        <w:footnoteReference w:id="1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قلوبهم عندنا هم الكفّار الذين يستمالون بشي‌ء من مال الصدقات إلى الإسلام ، ويتألفون يستعان بهم على قتال أهل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أصحابنا مؤلفة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 ذلك في الخلاف ، وحكى إجماع الفرقة عليه إلّا أنّه لم يذكر الاستمالة إلى الإسلام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وبمعناه ما حكى الاقتصار والمصباح من أنهم قوم من الكفّار لهم ميل في الإسلام يستعان بهم على قتال أهل الحرب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وتبعه الطوسي </w:t>
      </w:r>
      <w:r>
        <w:rPr>
          <w:rStyle w:val="FootnoteAnchor"/>
          <w:rtl w:val="true"/>
        </w:rPr>
        <w:footnoteReference w:id="1208"/>
      </w:r>
      <w:r>
        <w:rPr>
          <w:rFonts w:ascii="Amiri" w:hAnsi="Amiri" w:eastAsia="Amiri" w:cs="Amiri"/>
          <w:color w:val="111111"/>
          <w:sz w:val="28"/>
          <w:sz w:val="28"/>
          <w:szCs w:val="28"/>
          <w:rtl w:val="true"/>
          <w:lang w:bidi="ar-SA"/>
        </w:rPr>
        <w:t xml:space="preserve">والعلّامة </w:t>
      </w:r>
      <w:r>
        <w:rPr>
          <w:rStyle w:val="FootnoteAnchor"/>
          <w:rtl w:val="true"/>
        </w:rPr>
        <w:footnoteReference w:id="1209"/>
      </w:r>
      <w:r>
        <w:rPr>
          <w:rFonts w:ascii="Amiri" w:hAnsi="Amiri" w:eastAsia="Amiri" w:cs="Amiri"/>
          <w:color w:val="111111"/>
          <w:sz w:val="28"/>
          <w:sz w:val="28"/>
          <w:szCs w:val="28"/>
          <w:rtl w:val="true"/>
          <w:lang w:bidi="ar-SA"/>
        </w:rPr>
        <w:t>في بعض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العلّامة في النهاية </w:t>
      </w:r>
      <w:r>
        <w:rPr>
          <w:rStyle w:val="FootnoteAnchor"/>
          <w:rtl w:val="true"/>
        </w:rPr>
        <w:footnoteReference w:id="1210"/>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عند علمائنا الكفّار خاصة الذين يستمالون إلى الإسلام بشي‌ء من الصدقات أو يتألفون ليستعان بهم على قتال أهل الشرك ولا يعرف علماؤنا مؤلفة أهل الإسلام ، فعمّمه لكلّ من الصورتين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حكى </w:t>
      </w:r>
      <w:r>
        <w:rPr>
          <w:rStyle w:val="FootnoteAnchor"/>
          <w:rtl w:val="true"/>
        </w:rPr>
        <w:footnoteReference w:id="1211"/>
      </w:r>
      <w:r>
        <w:rPr>
          <w:rFonts w:ascii="Amiri" w:hAnsi="Amiri" w:eastAsia="Amiri" w:cs="Amiri"/>
          <w:color w:val="111111"/>
          <w:sz w:val="28"/>
          <w:sz w:val="28"/>
          <w:szCs w:val="28"/>
          <w:rtl w:val="true"/>
          <w:lang w:bidi="ar-SA"/>
        </w:rPr>
        <w:t>الإسكافي من أن المؤلفة قلوبهم من أظهر الدين بلسانه وأعان المسلمين وإمامهم بيده وكان معهم إلا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أنّهم صنف من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المفيد </w:t>
      </w:r>
      <w:r>
        <w:rPr>
          <w:rStyle w:val="FootnoteAnchor"/>
          <w:rtl w:val="true"/>
        </w:rPr>
        <w:footnoteReference w:id="1212"/>
      </w:r>
      <w:r>
        <w:rPr>
          <w:rFonts w:ascii="Amiri" w:hAnsi="Amiri" w:eastAsia="Amiri" w:cs="Amiri"/>
          <w:color w:val="111111"/>
          <w:sz w:val="28"/>
          <w:sz w:val="28"/>
          <w:szCs w:val="28"/>
          <w:rtl w:val="true"/>
          <w:lang w:bidi="ar-SA"/>
        </w:rPr>
        <w:t xml:space="preserve">من أنهم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مسلمون ومشركون ، فيكون مفسّرا عندهم بالأعم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وعزاه في التذكرة </w:t>
      </w:r>
      <w:r>
        <w:rPr>
          <w:rStyle w:val="FootnoteAnchor"/>
          <w:rtl w:val="true"/>
        </w:rPr>
        <w:footnoteReference w:id="1213"/>
      </w:r>
      <w:r>
        <w:rPr>
          <w:rFonts w:ascii="Amiri" w:hAnsi="Amiri" w:eastAsia="Amiri" w:cs="Amiri"/>
          <w:color w:val="111111"/>
          <w:sz w:val="28"/>
          <w:sz w:val="28"/>
          <w:szCs w:val="28"/>
          <w:rtl w:val="true"/>
          <w:lang w:bidi="ar-SA"/>
        </w:rPr>
        <w:t xml:space="preserve">إلى الشافعي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الفاضل الجزائري بعد نقله 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وجه جمع بين الأخبار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المحقق في المعتبر </w:t>
      </w:r>
      <w:r>
        <w:rPr>
          <w:rStyle w:val="FootnoteAnchor"/>
          <w:rtl w:val="true"/>
        </w:rPr>
        <w:footnoteReference w:id="1214"/>
      </w:r>
      <w:r>
        <w:rPr>
          <w:rFonts w:ascii="Amiri" w:hAnsi="Amiri" w:eastAsia="Amiri" w:cs="Amiri"/>
          <w:color w:val="111111"/>
          <w:sz w:val="28"/>
          <w:sz w:val="28"/>
          <w:szCs w:val="28"/>
          <w:rtl w:val="true"/>
          <w:lang w:bidi="ar-SA"/>
        </w:rPr>
        <w:t xml:space="preserve">عن الشافعي تقسيم المؤلفة أوّلا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مسلمين ومشركين ، ثمّ </w:t>
      </w:r>
      <w:r>
        <w:rPr>
          <w:rStyle w:val="FootnoteAnchor"/>
          <w:rtl w:val="true"/>
        </w:rPr>
        <w:footnoteReference w:id="1215"/>
      </w:r>
      <w:r>
        <w:rPr>
          <w:rFonts w:ascii="Amiri" w:hAnsi="Amiri" w:eastAsia="Amiri" w:cs="Amiri"/>
          <w:color w:val="111111"/>
          <w:sz w:val="28"/>
          <w:sz w:val="28"/>
          <w:szCs w:val="28"/>
          <w:rtl w:val="true"/>
          <w:lang w:bidi="ar-SA"/>
        </w:rPr>
        <w:t xml:space="preserve">قسّم الثاني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منهم له شوكة يخاف منهم فإن أعطوا كفّوا شرّهم وكف غيرهم معهم ، والآخر جماعة منهم لهم ميل إلى الإسلام ، فيعطون من سهم المصالح لتقوى نيّتهم في الإسلام ويميلون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الأول إلى أربعة أقسام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لهم نظراء فإذا أعطوا رغب نظراؤهم في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في نياتهم ضعف ، فيعطون لتقوى نياتهم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الأعراب في أطراف بلاد الإسلام وبإزائهم قوم من أهل الشرك إذا اعطوا رغب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بإزائهم آخرون من أهل الصدقات ، فإذا اعطوا جبوها يراجع المصدر </w:t>
      </w:r>
      <w:r>
        <w:rPr>
          <w:rStyle w:val="FootnoteAnchor"/>
          <w:rtl w:val="true"/>
        </w:rPr>
        <w:footnoteReference w:id="1216"/>
      </w:r>
      <w:r>
        <w:rPr>
          <w:rFonts w:ascii="IRNazanin" w:hAnsi="IRNazanin" w:eastAsia="IRNazanin"/>
          <w:color w:val="111111"/>
          <w:sz w:val="28"/>
          <w:sz w:val="28"/>
          <w:szCs w:val="28"/>
          <w:rtl w:val="true"/>
          <w:lang w:bidi="fa-IR"/>
        </w:rPr>
        <w:t>منهم راغبوا عن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1217"/>
      </w:r>
      <w:r>
        <w:rPr>
          <w:rFonts w:ascii="Amiri" w:hAnsi="Amiri" w:eastAsia="Amiri" w:cs="Amiri"/>
          <w:color w:val="111111"/>
          <w:sz w:val="28"/>
          <w:sz w:val="28"/>
          <w:szCs w:val="28"/>
          <w:rtl w:val="true"/>
          <w:lang w:bidi="ar-SA"/>
        </w:rPr>
        <w:t xml:space="preserve">بعد حكاية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أرى بهذا التفصيل بأسا ؛ فإن ذلك مصلحة ، ونظر المصلحة موكول إلى الامام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w:t>
      </w:r>
      <w:r>
        <w:rPr>
          <w:rStyle w:val="FootnoteAnchor"/>
          <w:rtl w:val="true"/>
        </w:rPr>
        <w:footnoteReference w:id="1218"/>
      </w:r>
      <w:r>
        <w:rPr>
          <w:rFonts w:ascii="Amiri" w:hAnsi="Amiri" w:eastAsia="Amiri" w:cs="Amiri"/>
          <w:color w:val="111111"/>
          <w:sz w:val="28"/>
          <w:sz w:val="28"/>
          <w:szCs w:val="28"/>
          <w:rtl w:val="true"/>
          <w:lang w:bidi="ar-SA"/>
        </w:rPr>
        <w:t xml:space="preserve">إن التفصيل المذكور لم يذكره أصحابنا غير أنه لا يمتنع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للإمام أن يتألف هؤلاء القوم ويعطيهم إن شاء من سهم المؤلفة ، وإن شاء من سهم المصالح ؛ لأن هذا من فرائض الإمام عليه‌السلام ، وفعله حجّة ، وليس يتعلّق علينا في ذلك حكم اليوم وفرضنا تجويز ذلك ، والشك فيه عدم القطع بأحد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في حواشي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التألف متحقق في الجميع إلّا أنّ المؤلفة قلوبهم زمن النبي صلى‌اللّه‌عليه‌وآله الذين كانوا يعطيهم من الزكاة وغيرها زيادة على غيرهم ما كانوا كفّارا ظاهرا بل ، مسلمين ضعيفي العقائد إشرافا في قومهم كأبي سفيان والأقرع بن حابس وعيينة </w:t>
      </w:r>
      <w:r>
        <w:rPr>
          <w:rStyle w:val="FootnoteAnchor"/>
          <w:rtl w:val="true"/>
        </w:rPr>
        <w:footnoteReference w:id="1219"/>
      </w:r>
      <w:r>
        <w:rPr>
          <w:rFonts w:ascii="Amiri" w:hAnsi="Amiri" w:eastAsia="Amiri" w:cs="Amiri"/>
          <w:color w:val="111111"/>
          <w:sz w:val="28"/>
          <w:sz w:val="28"/>
          <w:szCs w:val="28"/>
          <w:rtl w:val="true"/>
          <w:lang w:bidi="ar-SA"/>
        </w:rPr>
        <w:t>بن حصين ونظرائهم ، وهم معلومون مضبطون بالعدد بين علماء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أحسن ابن الجنيد </w:t>
      </w:r>
      <w:r>
        <w:rPr>
          <w:rStyle w:val="FootnoteAnchor"/>
          <w:rtl w:val="true"/>
        </w:rPr>
        <w:footnoteReference w:id="1220"/>
      </w:r>
      <w:r>
        <w:rPr>
          <w:rFonts w:ascii="Amiri" w:hAnsi="Amiri" w:eastAsia="Amiri" w:cs="Amiri"/>
          <w:color w:val="111111"/>
          <w:sz w:val="28"/>
          <w:sz w:val="28"/>
          <w:szCs w:val="28"/>
          <w:rtl w:val="true"/>
          <w:lang w:bidi="ar-SA"/>
        </w:rPr>
        <w:t xml:space="preserve">حيث عرفهم بأنّهم من أظهر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فجميع من ذكر من الأقسام يجوز إعطاؤهم من الزكاة ؛ لأنّ مرجعهم إلى سبيل اللّه وإلى العمالة ، وإنّما الكلام في استحقاقهم من خصوص سهم المؤلفة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يتقوّى في النظر أن المؤلفة أقسام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الذين يتألفون ليستعان بهم في جهاد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الذين يستمالون إلى الإسلام بدفع المال ممن يرجى في شأنهم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عزا في نهاية الإحكام </w:t>
      </w:r>
      <w:r>
        <w:rPr>
          <w:rStyle w:val="FootnoteAnchor"/>
          <w:rtl w:val="true"/>
        </w:rPr>
        <w:footnoteReference w:id="1221"/>
      </w:r>
      <w:r>
        <w:rPr>
          <w:rFonts w:ascii="Amiri" w:hAnsi="Amiri" w:eastAsia="Amiri" w:cs="Amiri"/>
          <w:color w:val="111111"/>
          <w:sz w:val="28"/>
          <w:sz w:val="28"/>
          <w:szCs w:val="28"/>
          <w:rtl w:val="true"/>
          <w:lang w:bidi="ar-SA"/>
        </w:rPr>
        <w:t>تفسير المؤلفة بالصنفين المذكورين إلى أصحابنا مؤذنا بالاتفاق عليه كما مرّت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يظهر كلمة الإسلام وليس على كمال الاطمئنان والتثبّت في الدين ويكون ضعيفا في الدين ، فيعطي من الزكاة ليستوفر رغبته في الإسلام ويتقوّى نيته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جريان حكم المؤلّفة في الجميع ظاهر إطلاق الآية الشريفة المؤيّدة بالنسبة إلى الأوّل بما عرفت من إجماع الخلاف ، وظهور عبارة المبسوط </w:t>
      </w:r>
      <w:r>
        <w:rPr>
          <w:rStyle w:val="FootnoteAnchor"/>
          <w:rtl w:val="true"/>
        </w:rPr>
        <w:footnoteReference w:id="1222"/>
      </w:r>
      <w:r>
        <w:rPr>
          <w:rFonts w:ascii="Amiri" w:hAnsi="Amiri" w:eastAsia="Amiri" w:cs="Amiri"/>
          <w:color w:val="111111"/>
          <w:sz w:val="28"/>
          <w:sz w:val="28"/>
          <w:szCs w:val="28"/>
          <w:rtl w:val="true"/>
          <w:lang w:bidi="ar-SA"/>
        </w:rPr>
        <w:t xml:space="preserve">في الإجماع أيضا عليه ، وكذا في نهاية الإحكام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الشهرة المحكيّة عليه المعتضدة بفتوى الجماعة </w:t>
      </w:r>
      <w:r>
        <w:rPr>
          <w:rStyle w:val="FootnoteAnchor"/>
          <w:rtl w:val="true"/>
        </w:rPr>
        <w:footnoteReference w:id="1224"/>
      </w:r>
      <w:r>
        <w:rPr>
          <w:rFonts w:ascii="Amiri" w:hAnsi="Amiri" w:eastAsia="Amiri" w:cs="Amiri"/>
          <w:color w:val="111111"/>
          <w:sz w:val="28"/>
          <w:sz w:val="28"/>
          <w:szCs w:val="28"/>
          <w:rtl w:val="true"/>
          <w:lang w:bidi="ar-SA"/>
        </w:rPr>
        <w:t xml:space="preserve">بالنسبة إلى الثاني ما في نهاية الإحكام </w:t>
      </w:r>
      <w:r>
        <w:rPr>
          <w:rStyle w:val="FootnoteAnchor"/>
          <w:rtl w:val="true"/>
        </w:rPr>
        <w:footnoteReference w:id="1225"/>
      </w:r>
      <w:r>
        <w:rPr>
          <w:rFonts w:ascii="Amiri" w:hAnsi="Amiri" w:eastAsia="Amiri" w:cs="Amiri"/>
          <w:color w:val="111111"/>
          <w:sz w:val="28"/>
          <w:sz w:val="28"/>
          <w:szCs w:val="28"/>
          <w:rtl w:val="true"/>
          <w:lang w:bidi="ar-SA"/>
        </w:rPr>
        <w:t xml:space="preserve">من ظاهر الإجماع ، مضافا إلى غير واحد من الأخبار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رواية زرارة ، عن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المؤلفة قلوبهم قوم وحّدوا اللّه وخلعوا عبادة من دون اللّه ولم تدخل المعرفة قلوبهم ، إنّ محمّدا رسول اللّه صلى‌اللّه‌عليه‌وآله وكأنّ رسول اللّه صلى‌اللّه‌عليه‌وآله يتألفهم ويعرفهم ويعلمهم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رواه علي بن إبراهيم في تفسيره عن الصادق عليه‌السلام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عنه في التهذيب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رسول اللّه صلى‌اللّه‌عليه‌وآله يتألفهم ويعرفهم ويعلمهم كيما يعرفوا فجعل لهم نصيبا في الصدقات لكي يعرفوا ويرغبوا </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Style w:val="FootnoteAnchor"/>
          <w:rtl w:val="true"/>
        </w:rPr>
        <w:footnoteReference w:id="1227"/>
      </w:r>
      <w:r>
        <w:rPr>
          <w:rFonts w:ascii="Amiri" w:hAnsi="Amiri" w:eastAsia="Amiri" w:cs="Amiri"/>
          <w:color w:val="111111"/>
          <w:sz w:val="28"/>
          <w:sz w:val="28"/>
          <w:szCs w:val="28"/>
          <w:rtl w:val="true"/>
          <w:lang w:bidi="ar-SA"/>
        </w:rPr>
        <w:t xml:space="preserve">مرسلة موسى بن بكير عن الباقر عليه‌السلام ما كانت المؤلفة قلوبهم قطّ أكثر منهم اليوم وهم قوم وحّدوا اللّه تعالى وخرجوا من الشرك ولم تدخل معرفة محمد صلى‌اللّه‌عليه‌وآله قلوبهم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هذه الأخبار عدم إقرارهم بالنبوة ، فهم حينئذ كفّار يراد بإعطاء الزكاة عليهم ميلهم إلى الإسلام ورغبتهم فيه ، كأنّ اعتبار اقرارهم بالتوحيد من جهة استكشاف قربهم إلى دين الحق فيسهل اشتمالهم إلى الإقرار بالركن الآخر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الاقتصار على ظواهر هذه الأخبار ، فيعتبر في المؤلفة المذكورين الإقرار بالتوحيد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الثالث بعد الإطلاق المذكور خصوص صحيحة زرارة ، عن الباقر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وَالْمُؤَلَّفَةِ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قوم وحّدوا اللّه عزوجل وخلعوا عبادة من يعبد من دون اللّه شهدوا </w:t>
      </w:r>
      <w:r>
        <w:rPr>
          <w:rStyle w:val="FootnoteAnchor"/>
          <w:rtl w:val="true"/>
        </w:rPr>
        <w:footnoteReference w:id="1229"/>
      </w:r>
      <w:r>
        <w:rPr>
          <w:rFonts w:ascii="Amiri" w:hAnsi="Amiri" w:eastAsia="Amiri" w:cs="Amiri"/>
          <w:color w:val="111111"/>
          <w:sz w:val="28"/>
          <w:sz w:val="28"/>
          <w:szCs w:val="28"/>
          <w:rtl w:val="true"/>
          <w:lang w:bidi="ar-SA"/>
        </w:rPr>
        <w:t xml:space="preserve">أن لا إله إلّا اللّه وأنّ محمدا رسول اللّه صلى‌اللّه‌عليه‌وآله ، وهم في ذلك شكاك في بعض ما جاء محمد صلى‌اللّه‌عليه‌وآله ، فأمر اللّه عزوجل نبيه صلى‌اللّه‌عليه‌وآله أن يتألّفهم بالمال وإعطائه </w:t>
      </w:r>
      <w:r>
        <w:rPr>
          <w:rStyle w:val="FootnoteAnchor"/>
          <w:rtl w:val="true"/>
        </w:rPr>
        <w:footnoteReference w:id="1230"/>
      </w:r>
      <w:r>
        <w:rPr>
          <w:rFonts w:ascii="Amiri" w:hAnsi="Amiri" w:eastAsia="Amiri" w:cs="Amiri"/>
          <w:color w:val="111111"/>
          <w:sz w:val="28"/>
          <w:sz w:val="28"/>
          <w:szCs w:val="28"/>
          <w:rtl w:val="true"/>
          <w:lang w:bidi="ar-SA"/>
        </w:rPr>
        <w:t xml:space="preserve">لكي يحسن إسلامهم ويثبتوا على دينهم الذي دخلوا فيه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كما ترى واضحة الدلالة على ذلك ، وليست صريحة في الحصر في تلك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دلالة غيرها على ثبوت الصنفين الآخرين ، فما في الحدائق من الاقتصار على مدلول هذه الرواية ودعواه دلالة الخبرين المتقدمين وغيرهما على ذلك أيضا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وقد عرفت ظهور دلالة الخبرين المذكورين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ليس في هذه الأخبار صراحة على خروج الصنف الأول عن المؤلّفة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فيها ظهور في ذلك ، وهو لا يقاوم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الحدائق تفريعا على ما استفاده </w:t>
      </w:r>
    </w:p>
    <w:p>
      <w:pPr>
        <w:pStyle w:val="BookText"/>
        <w:rPr/>
      </w:pPr>
      <w:r>
        <w:rPr>
          <w:rFonts w:ascii="Amiri" w:hAnsi="Amiri" w:eastAsia="Amiri" w:cs="Amiri"/>
          <w:color w:val="111111"/>
          <w:sz w:val="28"/>
          <w:sz w:val="28"/>
          <w:szCs w:val="28"/>
          <w:rtl w:val="true"/>
          <w:lang w:bidi="ar-SA"/>
        </w:rPr>
        <w:t xml:space="preserve">من الأخبار ، فالتأليف إنّما هو لأجل البقاء على الدين والثبات عليه لا كما زعموا رضي‌اللّه‌عنهم من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كفارا كانوا أو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يتألفون بهذا السهم لأجل الجهاد ، ليس </w:t>
      </w:r>
      <w:r>
        <w:rPr>
          <w:rStyle w:val="FootnoteAnchor"/>
          <w:rtl w:val="true"/>
        </w:rPr>
        <w:footnoteReference w:id="1232"/>
      </w:r>
      <w:r>
        <w:rPr>
          <w:rFonts w:ascii="Amiri" w:hAnsi="Amiri" w:eastAsia="Amiri" w:cs="Amiri"/>
          <w:color w:val="111111"/>
          <w:sz w:val="28"/>
          <w:sz w:val="28"/>
          <w:szCs w:val="28"/>
          <w:rtl w:val="true"/>
          <w:lang w:bidi="ar-SA"/>
        </w:rPr>
        <w:t>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فلا خلاف بين الأمة في ثبوت سهم للمؤلفة كما هو نصّ الآية الشريفة إلّا أنّ هناك كلاما في سقوطه بعد النبي صلى‌اللّه‌عليه‌وآله في ثبوته </w:t>
      </w:r>
      <w:r>
        <w:rPr>
          <w:rStyle w:val="FootnoteAnchor"/>
          <w:rtl w:val="true"/>
        </w:rPr>
        <w:footnoteReference w:id="1233"/>
      </w:r>
      <w:r>
        <w:rPr>
          <w:rFonts w:ascii="Amiri" w:hAnsi="Amiri" w:eastAsia="Amiri" w:cs="Amiri"/>
          <w:color w:val="111111"/>
          <w:sz w:val="28"/>
          <w:sz w:val="28"/>
          <w:szCs w:val="28"/>
          <w:rtl w:val="true"/>
          <w:lang w:bidi="ar-SA"/>
        </w:rPr>
        <w:t xml:space="preserve">، فعن الصدوق في الفقيه </w:t>
      </w:r>
      <w:r>
        <w:rPr>
          <w:rStyle w:val="FootnoteAnchor"/>
          <w:rtl w:val="true"/>
        </w:rPr>
        <w:footnoteReference w:id="1234"/>
      </w:r>
      <w:r>
        <w:rPr>
          <w:rFonts w:ascii="Amiri" w:hAnsi="Amiri" w:eastAsia="Amiri" w:cs="Amiri"/>
          <w:color w:val="111111"/>
          <w:sz w:val="28"/>
          <w:sz w:val="28"/>
          <w:szCs w:val="28"/>
          <w:rtl w:val="true"/>
          <w:lang w:bidi="ar-SA"/>
        </w:rPr>
        <w:t>القطع بالسقوط كما هو مختار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بأن اللّه سبحانه أعزّ الدين ، فلا حاجة إلى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بين الأصحاب عدم سقوطه وبه نصّ الفاضلان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w:t>
      </w:r>
      <w:r>
        <w:rPr>
          <w:rStyle w:val="FootnoteAnchor"/>
          <w:rtl w:val="true"/>
        </w:rPr>
        <w:footnoteReference w:id="1235"/>
      </w:r>
      <w:r>
        <w:rPr>
          <w:rFonts w:ascii="Amiri" w:hAnsi="Amiri" w:eastAsia="Amiri" w:cs="Amiri"/>
          <w:color w:val="111111"/>
          <w:sz w:val="28"/>
          <w:sz w:val="28"/>
          <w:szCs w:val="28"/>
          <w:rtl w:val="true"/>
          <w:lang w:bidi="ar-SA"/>
        </w:rPr>
        <w:t>وحكمهم باق عند علمائنا ، وهو مؤذن بالإجماع عليه مع عدم ظهور النسخ ، بل ظهور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التعليل المتقدم هو دعوى المسقط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حصول موضوع للتأليف لا حصول النسخ للحكم ؛ إذ لم يرد ذلك لا من طريق العامّة ولا الخاصّة ، فلا نزاع إذن في الحكم والموضوع ، إنّما يرجع فيه إلى العادة وحصول الحاجة ، فيدور الأمر مدار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w:t>
      </w:r>
      <w:r>
        <w:rPr>
          <w:rStyle w:val="FootnoteAnchor"/>
          <w:rtl w:val="true"/>
        </w:rPr>
        <w:footnoteReference w:id="1236"/>
      </w:r>
      <w:r>
        <w:rPr>
          <w:rFonts w:ascii="Amiri" w:hAnsi="Amiri" w:eastAsia="Amiri" w:cs="Amiri"/>
          <w:color w:val="111111"/>
          <w:sz w:val="28"/>
          <w:sz w:val="28"/>
          <w:szCs w:val="28"/>
          <w:rtl w:val="true"/>
          <w:lang w:bidi="ar-SA"/>
        </w:rPr>
        <w:t xml:space="preserve">أنه يسقط في زمن غيبة الإمام عليه‌السلام خاصّة إذا دهم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يخاف منه عليهم ، فيجب الجهاد فيحتاج </w:t>
      </w:r>
      <w:r>
        <w:rPr>
          <w:rStyle w:val="FootnoteAnchor"/>
          <w:rtl w:val="true"/>
        </w:rPr>
        <w:footnoteReference w:id="1237"/>
      </w:r>
      <w:r>
        <w:rPr>
          <w:rFonts w:ascii="Amiri" w:hAnsi="Amiri" w:eastAsia="Amiri" w:cs="Amiri"/>
          <w:color w:val="111111"/>
          <w:sz w:val="28"/>
          <w:sz w:val="28"/>
          <w:szCs w:val="28"/>
          <w:rtl w:val="true"/>
          <w:lang w:bidi="ar-SA"/>
        </w:rPr>
        <w:t>إلى التأليف ، فيجوز الصرف إليهم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وبمعناه ما في نهاية الإحكام </w:t>
      </w:r>
      <w:r>
        <w:rPr>
          <w:rStyle w:val="FootnoteAnchor"/>
          <w:rtl w:val="true"/>
        </w:rPr>
        <w:footnoteReference w:id="1238"/>
      </w:r>
      <w:r>
        <w:rPr>
          <w:rFonts w:ascii="Amiri" w:hAnsi="Amiri" w:eastAsia="Amiri" w:cs="Amiri"/>
          <w:color w:val="111111"/>
          <w:sz w:val="28"/>
          <w:sz w:val="28"/>
          <w:szCs w:val="28"/>
          <w:rtl w:val="true"/>
          <w:lang w:bidi="ar-SA"/>
        </w:rPr>
        <w:t>حيث ذكر أن قول الشيخ جيّد ، لكن لو فرضت الحاجة إلى المؤلفة بأن ينزل بالمسلمين نازلة واحتاجوا إلى الاستعانة بالكفار ، فالأولى عندي جواز صرف السهم إليهم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1239"/>
      </w:r>
      <w:r>
        <w:rPr>
          <w:rFonts w:ascii="Amiri" w:hAnsi="Amiri" w:eastAsia="Amiri" w:cs="Amiri"/>
          <w:color w:val="111111"/>
          <w:sz w:val="28"/>
          <w:sz w:val="28"/>
          <w:szCs w:val="28"/>
          <w:rtl w:val="true"/>
          <w:lang w:bidi="ar-SA"/>
        </w:rPr>
        <w:t xml:space="preserve">بعد حكاية عبارة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قوة هذا القول تمسّكا بظاهر التنزيل السالم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يتقوى في النظر أنّ التألف إن كان لأجل الجهاد فهو ممّا يتوقّف على ثبوت الجهاد في عصر الغيبة حسبما ذكره العلّامة ، فإذا حصل الباعث على مشروعيته كالفرض المذكور في كلامه أو غيره جرى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خصّ فيه بالجهاد المطلوب من جهة الدعاء إلى الإسلام لزم القول بسقوطه حينئذ على الإطلاق إلّا أنّ ظاهر إطلاق الأصحاب خلافه ، وإن كان لأجل التثبّت على الإسلام وكمال الإيمان أو لترغيبه في ذلك وميله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فقضيّة الإطلاق جريانه في الغيبة أيضا ؛ لإمكان حصوله حينئذ وقيام الحكمة المشرعة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الأدلّة ما يقضي بالمنع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من وظائف الإمام عليه‌السلام أو نائبه الخاص حال حضوره </w:t>
      </w:r>
      <w:r>
        <w:rPr>
          <w:rStyle w:val="FootnoteAnchor"/>
          <w:rtl w:val="true"/>
        </w:rPr>
        <w:footnoteReference w:id="1240"/>
      </w:r>
      <w:r>
        <w:rPr>
          <w:rFonts w:ascii="Amiri" w:hAnsi="Amiri" w:eastAsia="Amiri" w:cs="Amiri"/>
          <w:color w:val="111111"/>
          <w:sz w:val="28"/>
          <w:sz w:val="28"/>
          <w:szCs w:val="28"/>
          <w:rtl w:val="true"/>
          <w:lang w:bidi="ar-SA"/>
        </w:rPr>
        <w:t>، فقيام غيره مقامه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ويدفعه أنّ الفقيه ينوب منابه في ساير الأحكام ، فكذا في ذلك على أنّ إطلاق الآية قاض فيه بالجواز ، غاية الأمر أن يكون من وظائف الإمام في حال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روى الطبرسي مرسلا عن أبي جعفر عليه‌السلام ثبوت سهم المؤلّفة بعد النّبيّ صلى‌اللّه‌عليه‌وآله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شرطه أن يكون هناك إمام عادل يتألفهم به على ذلك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لإرسالها تقصر عن إفادة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فالمسألة مشكلة جدا ؛ إذ ليس في الأخبار المعتبرة دلالة على شي‌ء من الوجهين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الحال أنّ مثل هذه الأفعال إنّما يصدر عن الحكّام ، واحتمال اختصاصه بالإمام عليه‌السلام ليس ببعيد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ورد في عدّة من الروايات المتقدمة أنّ اللّه أمر نبيه بذلك ، مضافا إلى المرسلة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إطلاق الآية الشريفة في المقام أو ثبت إطلاق نيابة الفقيه عن الإمام عليه‌السلام بحيث يشمل مثل هذه الأفعال صحّ القول بعدم السقوط وإلّا اتّجه الحكم بالسقوط ؛ لعدم وضوح دليل على كونه إذن من المصارف ، فلا يحصل اليقين بالفراغ بالصرف إليه ، مضافا إلى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الحدائق </w:t>
      </w:r>
      <w:r>
        <w:rPr>
          <w:rStyle w:val="FootnoteAnchor"/>
          <w:rtl w:val="true"/>
        </w:rPr>
        <w:footnoteReference w:id="1242"/>
      </w:r>
      <w:r>
        <w:rPr>
          <w:rFonts w:ascii="Amiri" w:hAnsi="Amiri" w:eastAsia="Amiri" w:cs="Amiri"/>
          <w:color w:val="111111"/>
          <w:sz w:val="28"/>
          <w:sz w:val="28"/>
          <w:szCs w:val="28"/>
          <w:rtl w:val="true"/>
          <w:lang w:bidi="ar-SA"/>
        </w:rPr>
        <w:t>من القطع بسقوطه في زمن الغيبة مستندا إلى الأخبار المتقدمة مؤيّدة بالمرسلة المذكورة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Style w:val="FootnoteAnchor"/>
          <w:rtl w:val="true"/>
        </w:rPr>
        <w:footnoteReference w:id="1243"/>
      </w:r>
      <w:r>
        <w:rPr>
          <w:rFonts w:ascii="Amiri" w:hAnsi="Amiri" w:eastAsia="Amiri" w:cs="Amiri"/>
          <w:color w:val="111111"/>
          <w:sz w:val="28"/>
          <w:sz w:val="28"/>
          <w:szCs w:val="28"/>
          <w:rtl w:val="true"/>
          <w:lang w:bidi="ar-SA"/>
        </w:rPr>
        <w:t>كما ترى لا دلالة فيها على السقوط في زمن الغيبة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أيضا بسقوطه في زمن ظهورهم عليهم‌السلام وعدم بسط أيديهم معلّلا بأنّ التأليف مختص بهم وأيديهم حينئذ قاصرة من إقامة الحدود الشرعيّة </w:t>
      </w:r>
      <w:r>
        <w:rPr>
          <w:rStyle w:val="FootnoteAnchor"/>
          <w:rtl w:val="true"/>
        </w:rPr>
        <w:footnoteReference w:id="1244"/>
      </w:r>
      <w:r>
        <w:rPr>
          <w:rFonts w:ascii="Amiri" w:hAnsi="Amiri" w:eastAsia="Amiri" w:cs="Amiri"/>
          <w:color w:val="111111"/>
          <w:sz w:val="28"/>
          <w:sz w:val="28"/>
          <w:szCs w:val="28"/>
          <w:rtl w:val="true"/>
          <w:lang w:bidi="ar-SA"/>
        </w:rPr>
        <w:t>وتنفيذ الأحكام لغلبة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كما ترى</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في مرسلة موسى بن بكر </w:t>
      </w:r>
      <w:r>
        <w:rPr>
          <w:rStyle w:val="FootnoteAnchor"/>
          <w:rtl w:val="true"/>
        </w:rPr>
        <w:footnoteReference w:id="1245"/>
      </w:r>
      <w:r>
        <w:rPr>
          <w:rFonts w:ascii="Amiri" w:hAnsi="Amiri" w:eastAsia="Amiri" w:cs="Amiri"/>
          <w:color w:val="111111"/>
          <w:sz w:val="28"/>
          <w:sz w:val="28"/>
          <w:szCs w:val="28"/>
          <w:rtl w:val="true"/>
          <w:lang w:bidi="ar-SA"/>
        </w:rPr>
        <w:t>أكثرية المؤلفة قلوبهم في عصره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زرارة عنه عليه‌السلام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المؤلفة قلوبهم لم يكونوا قطّ أكثر منهم اليوم </w:t>
      </w:r>
      <w:r>
        <w:rPr>
          <w:rFonts w:eastAsia="Amiri" w:cs="Amiri" w:ascii="Amiri" w:hAnsi="Amiri"/>
          <w:color w:val="111111"/>
          <w:sz w:val="28"/>
          <w:szCs w:val="28"/>
          <w:rtl w:val="true"/>
          <w:lang w:bidi="ar-SA"/>
        </w:rPr>
        <w:t xml:space="preserve">» </w:t>
      </w:r>
      <w:r>
        <w:rPr>
          <w:rStyle w:val="FootnoteAnchor"/>
          <w:rtl w:val="true"/>
        </w:rPr>
        <w:footnoteReference w:id="1246"/>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 xml:space="preserve">. </w:t>
      </w:r>
      <w:bookmarkStart w:id="150" w:name="pg15853_153490"/>
    </w:p>
    <w:p>
      <w:pPr>
        <w:pStyle w:val="Heading6"/>
        <w:numPr>
          <w:ilvl w:val="5"/>
          <w:numId w:val="1"/>
        </w:numPr>
        <w:rPr/>
      </w:pPr>
      <w:bookmarkStart w:id="151" w:name="__RefHeading___Toc14587145_2142443653"/>
      <w:bookmarkStart w:id="152" w:name="_Toc55"/>
      <w:bookmarkEnd w:id="150"/>
      <w:bookmarkEnd w:id="151"/>
      <w:r>
        <w:rPr>
          <w:rtl w:val="true"/>
        </w:rPr>
        <w:t>تبصرة</w:t>
      </w:r>
      <w:r>
        <w:rPr>
          <w:rtl w:val="true"/>
        </w:rPr>
        <w:t xml:space="preserve">: [ </w:t>
      </w:r>
      <w:r>
        <w:rPr>
          <w:rtl w:val="true"/>
        </w:rPr>
        <w:t xml:space="preserve">في الرقاب </w:t>
      </w:r>
      <w:r>
        <w:rPr>
          <w:rtl w:val="true"/>
        </w:rPr>
        <w:t>]</w:t>
      </w:r>
      <w:bookmarkEnd w:id="152"/>
    </w:p>
    <w:p>
      <w:pPr>
        <w:pStyle w:val="Heading6"/>
        <w:numPr>
          <w:ilvl w:val="5"/>
          <w:numId w:val="1"/>
        </w:numPr>
        <w:rPr/>
      </w:pPr>
      <w:bookmarkStart w:id="153" w:name="__RefHeading___Toc14587147_2142443653"/>
      <w:bookmarkStart w:id="154" w:name="_Toc56"/>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 xml:space="preserve">الخامس من الأصناف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الرقاب ، والمراد بهم على ما ذكروه في المقام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المكاتبون مع قصور كسبهم عن أداء مال الكتابة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المبسوط </w:t>
      </w:r>
      <w:r>
        <w:rPr>
          <w:rStyle w:val="FootnoteAnchor"/>
          <w:rtl w:val="true"/>
        </w:rPr>
        <w:footnoteReference w:id="1247"/>
      </w:r>
      <w:r>
        <w:rPr>
          <w:rFonts w:ascii="Amiri" w:hAnsi="Amiri" w:eastAsia="Amiri" w:cs="Amiri"/>
          <w:color w:val="111111"/>
          <w:sz w:val="28"/>
          <w:sz w:val="28"/>
          <w:szCs w:val="28"/>
          <w:rtl w:val="true"/>
          <w:lang w:bidi="ar-SA"/>
        </w:rPr>
        <w:t xml:space="preserve">والغنية </w:t>
      </w:r>
      <w:r>
        <w:rPr>
          <w:rStyle w:val="FootnoteAnchor"/>
          <w:rtl w:val="true"/>
        </w:rPr>
        <w:footnoteReference w:id="1248"/>
      </w:r>
      <w:r>
        <w:rPr>
          <w:rFonts w:ascii="IRNazanin" w:hAnsi="IRNazanin" w:eastAsia="IRNazanin"/>
          <w:color w:val="111111"/>
          <w:sz w:val="28"/>
          <w:sz w:val="28"/>
          <w:szCs w:val="28"/>
          <w:rtl w:val="true"/>
          <w:lang w:bidi="fa-IR"/>
        </w:rPr>
        <w:t xml:space="preserve">والسرائر </w:t>
      </w:r>
      <w:r>
        <w:rPr>
          <w:rStyle w:val="FootnoteAnchor"/>
          <w:rtl w:val="true"/>
        </w:rPr>
        <w:footnoteReference w:id="1249"/>
      </w:r>
      <w:r>
        <w:rPr>
          <w:rFonts w:ascii="Amiri" w:hAnsi="Amiri" w:eastAsia="Amiri" w:cs="Amiri"/>
          <w:color w:val="111111"/>
          <w:sz w:val="28"/>
          <w:sz w:val="28"/>
          <w:szCs w:val="28"/>
          <w:rtl w:val="true"/>
          <w:lang w:bidi="ar-SA"/>
        </w:rPr>
        <w:t>أنه لا خلاف لأحد منّا ولا من العامة في استحقاق هؤلاء سهم الرقاب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بعد اطلاق الاية ما رواه الصدوق مرسلا ، والشيخ مسندا ، عن أبي إسحاق السبيعي ، عن بعض أصحابنا ، عن الصادق عليه‌السلام أنّه سئل عن مكاتب عجز عن مكاتبته وقد أدّى بعضها؟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يؤدي عنه من مال الصدقة ، إنّ اللّه تعالى يقول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الرِّقابِ </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وقصور إسنادها منجبر بالعمل ، وفرض أدائه لبعض مال الكتابة لا خصوصية </w:t>
      </w:r>
      <w:r>
        <w:rPr>
          <w:rStyle w:val="FootnoteAnchor"/>
          <w:rtl w:val="true"/>
        </w:rPr>
        <w:footnoteReference w:id="1252"/>
      </w:r>
      <w:r>
        <w:rPr>
          <w:rFonts w:ascii="Amiri" w:hAnsi="Amiri" w:eastAsia="Amiri" w:cs="Amiri"/>
          <w:color w:val="111111"/>
          <w:sz w:val="28"/>
          <w:sz w:val="28"/>
          <w:szCs w:val="28"/>
          <w:rtl w:val="true"/>
          <w:lang w:bidi="ar-SA"/>
        </w:rPr>
        <w:t>له في المقام كما هو ظاهر الحال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ظاهر التعليل في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إطلاق الأصحاب وبنائهم على العموم مع إطلاق ما عرفت من الإجماعات المحكيّة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العبيد تحت الشدّة ، على المعروف من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السيد </w:t>
      </w:r>
      <w:r>
        <w:rPr>
          <w:rStyle w:val="FootnoteAnchor"/>
          <w:rtl w:val="true"/>
        </w:rPr>
        <w:footnoteReference w:id="1253"/>
      </w:r>
      <w:r>
        <w:rPr>
          <w:rFonts w:ascii="Amiri" w:hAnsi="Amiri" w:eastAsia="Amiri" w:cs="Amiri"/>
          <w:color w:val="111111"/>
          <w:sz w:val="28"/>
          <w:sz w:val="28"/>
          <w:szCs w:val="28"/>
          <w:rtl w:val="true"/>
          <w:lang w:bidi="ar-SA"/>
        </w:rPr>
        <w:t xml:space="preserve">والشيخ </w:t>
      </w:r>
      <w:r>
        <w:rPr>
          <w:rStyle w:val="FootnoteAnchor"/>
          <w:rtl w:val="true"/>
        </w:rPr>
        <w:footnoteReference w:id="1254"/>
      </w:r>
      <w:r>
        <w:rPr>
          <w:rFonts w:ascii="Amiri" w:hAnsi="Amiri" w:eastAsia="Amiri" w:cs="Amiri"/>
          <w:color w:val="111111"/>
          <w:sz w:val="28"/>
          <w:sz w:val="28"/>
          <w:szCs w:val="28"/>
          <w:rtl w:val="true"/>
          <w:lang w:bidi="ar-SA"/>
        </w:rPr>
        <w:t xml:space="preserve">وابن زهرة </w:t>
      </w:r>
      <w:r>
        <w:rPr>
          <w:rStyle w:val="FootnoteAnchor"/>
          <w:rtl w:val="true"/>
        </w:rPr>
        <w:footnoteReference w:id="1255"/>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w:t>
      </w:r>
      <w:r>
        <w:rPr>
          <w:rStyle w:val="FootnoteAnchor"/>
          <w:rtl w:val="true"/>
        </w:rPr>
        <w:footnoteReference w:id="1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المشهور عند علمائنا أنّ المراد بالرقاب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المكاتبون والعبيد تحت الشدة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وشرطنا في الثاني الضر والشدة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قد يومي إلى الإجماع على الشرط الظاهر في الإجماع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يشعر باجماعنا مع </w:t>
      </w:r>
      <w:r>
        <w:rPr>
          <w:rStyle w:val="FootnoteAnchor"/>
          <w:rtl w:val="true"/>
        </w:rPr>
        <w:footnoteReference w:id="1257"/>
      </w:r>
      <w:r>
        <w:rPr>
          <w:rFonts w:ascii="Amiri" w:hAnsi="Amiri" w:eastAsia="Amiri" w:cs="Amiri"/>
          <w:color w:val="111111"/>
          <w:sz w:val="28"/>
          <w:sz w:val="28"/>
          <w:szCs w:val="28"/>
          <w:rtl w:val="true"/>
          <w:lang w:bidi="ar-SA"/>
        </w:rPr>
        <w:t xml:space="preserve">الحكم أيضا ما في المبسوط </w:t>
      </w:r>
      <w:r>
        <w:rPr>
          <w:rStyle w:val="FootnoteAnchor"/>
          <w:rtl w:val="true"/>
        </w:rPr>
        <w:footnoteReference w:id="1258"/>
      </w:r>
      <w:r>
        <w:rPr>
          <w:rFonts w:ascii="Amiri" w:hAnsi="Amiri" w:eastAsia="Amiri" w:cs="Amiri"/>
          <w:color w:val="111111"/>
          <w:sz w:val="28"/>
          <w:sz w:val="28"/>
          <w:szCs w:val="28"/>
          <w:rtl w:val="true"/>
          <w:lang w:bidi="ar-SA"/>
        </w:rPr>
        <w:t xml:space="preserve">والتحرير </w:t>
      </w:r>
      <w:r>
        <w:rPr>
          <w:rStyle w:val="FootnoteAnchor"/>
          <w:rtl w:val="true"/>
        </w:rPr>
        <w:footnoteReference w:id="1259"/>
      </w:r>
      <w:r>
        <w:rPr>
          <w:rFonts w:ascii="IRNazanin" w:hAnsi="IRNazanin" w:eastAsia="IRNazanin"/>
          <w:color w:val="111111"/>
          <w:sz w:val="28"/>
          <w:sz w:val="28"/>
          <w:szCs w:val="28"/>
          <w:rtl w:val="true"/>
          <w:lang w:bidi="fa-IR"/>
        </w:rPr>
        <w:t xml:space="preserve">والسرائر </w:t>
      </w:r>
      <w:r>
        <w:rPr>
          <w:rStyle w:val="FootnoteAnchor"/>
          <w:rtl w:val="true"/>
        </w:rPr>
        <w:footnoteReference w:id="1260"/>
      </w:r>
      <w:r>
        <w:rPr>
          <w:rFonts w:ascii="IRNazanin" w:hAnsi="IRNazanin" w:eastAsia="IRNazanin"/>
          <w:color w:val="111111"/>
          <w:sz w:val="28"/>
          <w:sz w:val="28"/>
          <w:szCs w:val="28"/>
          <w:rtl w:val="true"/>
          <w:lang w:bidi="fa-IR"/>
        </w:rPr>
        <w:t xml:space="preserve">والمنتهى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1262"/>
      </w:r>
      <w:r>
        <w:rPr>
          <w:rFonts w:ascii="Amiri" w:hAnsi="Amiri" w:eastAsia="Amiri" w:cs="Amiri"/>
          <w:color w:val="111111"/>
          <w:sz w:val="28"/>
          <w:sz w:val="28"/>
          <w:szCs w:val="28"/>
          <w:rtl w:val="true"/>
          <w:lang w:bidi="ar-SA"/>
        </w:rPr>
        <w:t>أن جواز الدفع من هذا السهم إلى المكاتبين والعبيد إذا كانوا في جبر وشدّة قول علمائنا وأكثر العامة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بعد ذلك وإطلاق الكتاب رواية عمرو ،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عمرو بن أبي بصير على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عليه‌السلام ، عن الرجل يجتمع عنده من الزكاة الخمسمائة والستّ مائة يشتري بها نسمة ويعتقها؟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يظلم قوما آخرين 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مكث مليّا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أن يكون عبدا مسلما في ضرورة فيشتريه ويعتقه </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المماليك إذا لم يكون في شدة مع عدم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المعتبر </w:t>
      </w:r>
      <w:r>
        <w:rPr>
          <w:rStyle w:val="FootnoteAnchor"/>
          <w:rtl w:val="true"/>
        </w:rPr>
        <w:footnoteReference w:id="1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فقهاء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w:t>
      </w:r>
      <w:r>
        <w:rPr>
          <w:rStyle w:val="FootnoteAnchor"/>
          <w:rtl w:val="true"/>
        </w:rPr>
        <w:footnoteReference w:id="1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فقهاؤنا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وظاهرهما حكاية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في الجملة عدّة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 عن رجل أخرج زكاة ماله ألف درهم فلم يجد لها موضعا يدفع ذلك إليه ، فنظر إلى مملوك يباع </w:t>
      </w:r>
      <w:r>
        <w:rPr>
          <w:rStyle w:val="FootnoteAnchor"/>
          <w:rtl w:val="true"/>
        </w:rPr>
        <w:footnoteReference w:id="1266"/>
      </w:r>
      <w:r>
        <w:rPr>
          <w:rFonts w:ascii="Amiri" w:hAnsi="Amiri" w:eastAsia="Amiri" w:cs="Amiri"/>
          <w:color w:val="111111"/>
          <w:sz w:val="28"/>
          <w:sz w:val="28"/>
          <w:szCs w:val="28"/>
          <w:rtl w:val="true"/>
          <w:lang w:bidi="ar-SA"/>
        </w:rPr>
        <w:t xml:space="preserve">فاشتراه بتلك الألف التي أخرجها من ، زكاته فأعتقه ، هل يجوز له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 بأس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لما أعتق وصار حرّا اتّجر واحترف فأصاب مالا ثمّ مات وليس له وارث ، فمن يرثه إذا لم يكن وارث؟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يرثه الفقراء والمؤمنون الذين يرثون الزكاة لا أنّه إنّما اشترى بمالهم </w:t>
      </w:r>
      <w:r>
        <w:rPr>
          <w:rFonts w:eastAsia="Amiri" w:cs="Amiri" w:ascii="Amiri" w:hAnsi="Amiri"/>
          <w:color w:val="111111"/>
          <w:sz w:val="28"/>
          <w:szCs w:val="28"/>
          <w:rtl w:val="true"/>
          <w:lang w:bidi="ar-SA"/>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يعرف هذا الأمر الذي نحن عليه اشتريه من الزكاة فأعتقه؟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اشتره فأعتقه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هو مات وترك مالا؟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ميراثه لأهل الزكاة ؛ لأنّه اشترى بسهمهم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بمالهم </w:t>
      </w:r>
      <w:r>
        <w:rPr>
          <w:rFonts w:eastAsia="Amiri" w:cs="Amiri" w:ascii="Amiri" w:hAnsi="Amiri"/>
          <w:color w:val="111111"/>
          <w:sz w:val="28"/>
          <w:szCs w:val="28"/>
          <w:rtl w:val="true"/>
          <w:lang w:bidi="ar-SA"/>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الفقيه والحلي </w:t>
      </w:r>
      <w:r>
        <w:rPr>
          <w:rStyle w:val="FootnoteAnchor"/>
          <w:rtl w:val="true"/>
        </w:rPr>
        <w:footnoteReference w:id="1269"/>
      </w:r>
      <w:r>
        <w:rPr>
          <w:rFonts w:ascii="Amiri" w:hAnsi="Amiri" w:eastAsia="Amiri" w:cs="Amiri"/>
          <w:color w:val="111111"/>
          <w:sz w:val="28"/>
          <w:sz w:val="28"/>
          <w:szCs w:val="28"/>
          <w:rtl w:val="true"/>
          <w:lang w:bidi="ar-SA"/>
        </w:rPr>
        <w:t>عدم اشتراط الضرورة وعدم المستحق في الشراء من الزكاة وعتقه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واختاره العلّامة في القواعد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وقوّاه ولده في الإيضاح </w:t>
      </w:r>
      <w:r>
        <w:rPr>
          <w:rStyle w:val="FootnoteAnchor"/>
          <w:rtl w:val="true"/>
        </w:rPr>
        <w:footnoteReference w:id="1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واستجوده في المدارك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وعزاه بعضهم إلى جماعة من متأخري المتأخرين ؛ أخذا بإطلاق الآية ، وظاهر الصحيحة المذكورة ، وخصوص القوي من </w:t>
      </w:r>
      <w:r>
        <w:rPr>
          <w:rStyle w:val="FootnoteAnchor"/>
          <w:rtl w:val="true"/>
        </w:rPr>
        <w:footnoteReference w:id="1273"/>
      </w:r>
      <w:r>
        <w:rPr>
          <w:rFonts w:ascii="Amiri" w:hAnsi="Amiri" w:eastAsia="Amiri" w:cs="Amiri"/>
          <w:color w:val="111111"/>
          <w:sz w:val="28"/>
          <w:sz w:val="28"/>
          <w:szCs w:val="28"/>
          <w:rtl w:val="true"/>
          <w:lang w:bidi="ar-SA"/>
        </w:rPr>
        <w:t xml:space="preserve">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سأله بعض أصحابنا ، عن رجل اشترى أباه من الزكاة زكاة ماله؟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اشترى خير رقبة ، ولا بأس بذلك </w:t>
      </w:r>
      <w:r>
        <w:rPr>
          <w:rFonts w:eastAsia="Amiri" w:cs="Amiri" w:ascii="Amiri" w:hAnsi="Amiri"/>
          <w:color w:val="111111"/>
          <w:sz w:val="28"/>
          <w:szCs w:val="28"/>
          <w:rtl w:val="true"/>
          <w:lang w:bidi="ar-SA"/>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عليها بأن هذه الروايات مخالفة للمشهور ، بل ظاهر ما حكي من الإجماع والرواية المتقدمة الدالّة على عدم جواز صرفها في العتق إلّا في العبيد تحت الشدة المعتضدة بعمل الجماعة ، وظاهر الإجماع مضافا إلى أنّ اليقين بالشغل قاض بتحصيل اليقين بالفراغ ، وهو غير حاصل حينئذ ، فلذا اقتصر الأكثر على الأمور الثلاثة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أيضا في المقام بأنّه لا دلالة في الأخبار المذكورة إلّا على جواز صرف الزكاة في ذلك وأما كون ذلك من سهم 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 بل لا دلالة في الخبرين المتقدمين الواردين في العبيد تحت الشدة وفي العتق مع إعواز المستحق على كون الصرف من سهم الرقاب </w:t>
      </w:r>
      <w:r>
        <w:rPr>
          <w:rFonts w:eastAsia="Amiri" w:cs="Amiri" w:ascii="Amiri" w:hAnsi="Amiri"/>
          <w:color w:val="111111"/>
          <w:sz w:val="28"/>
          <w:szCs w:val="28"/>
          <w:rtl w:val="true"/>
          <w:lang w:bidi="ar-SA"/>
        </w:rPr>
        <w:t xml:space="preserve">)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استشكل في الحدائق </w:t>
      </w:r>
      <w:r>
        <w:rPr>
          <w:rStyle w:val="FootnoteAnchor"/>
          <w:rtl w:val="true"/>
        </w:rPr>
        <w:footnoteReference w:id="1276"/>
      </w:r>
      <w:r>
        <w:rPr>
          <w:rStyle w:val="FootnoteAnchor"/>
          <w:rtl w:val="true"/>
        </w:rPr>
        <w:footnoteReference w:id="1277"/>
      </w:r>
      <w:r>
        <w:rPr>
          <w:rFonts w:ascii="Amiri" w:hAnsi="Amiri" w:eastAsia="Amiri" w:cs="Amiri"/>
          <w:color w:val="111111"/>
          <w:sz w:val="28"/>
          <w:sz w:val="28"/>
          <w:szCs w:val="28"/>
          <w:rtl w:val="true"/>
          <w:lang w:bidi="ar-SA"/>
        </w:rPr>
        <w:t>تلك الصورتين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بذلك على الأكثر حيث احتجّوا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نازع صاحب المدارك </w:t>
      </w:r>
      <w:r>
        <w:rPr>
          <w:rStyle w:val="FootnoteAnchor"/>
          <w:rtl w:val="true"/>
        </w:rPr>
        <w:footnoteReference w:id="1278"/>
      </w:r>
      <w:r>
        <w:rPr>
          <w:rFonts w:ascii="Amiri" w:hAnsi="Amiri" w:eastAsia="Amiri" w:cs="Amiri"/>
          <w:color w:val="111111"/>
          <w:sz w:val="28"/>
          <w:sz w:val="28"/>
          <w:szCs w:val="28"/>
          <w:rtl w:val="true"/>
          <w:lang w:bidi="ar-SA"/>
        </w:rPr>
        <w:t xml:space="preserve">حيث استند على تلك الروايتين وغيرهما في جواز الصرف من سهم الرقاب في المقامين وغيرهما بأنّه لا خصوصيّة في الصورتين </w:t>
      </w:r>
      <w:r>
        <w:rPr>
          <w:rStyle w:val="FootnoteAnchor"/>
          <w:rtl w:val="true"/>
        </w:rPr>
        <w:footnoteReference w:id="1279"/>
      </w:r>
      <w:r>
        <w:rPr>
          <w:rFonts w:ascii="Amiri" w:hAnsi="Amiri" w:eastAsia="Amiri" w:cs="Amiri"/>
          <w:color w:val="111111"/>
          <w:sz w:val="28"/>
          <w:sz w:val="28"/>
          <w:szCs w:val="28"/>
          <w:rtl w:val="true"/>
          <w:lang w:bidi="ar-SA"/>
        </w:rPr>
        <w:t xml:space="preserve">المذكورتين بل الأخبار الواردة فيهما وفي غيرهما على نهج سواء ، فإن بنى على أن المستفاد منهما الصرف </w:t>
      </w:r>
    </w:p>
    <w:p>
      <w:pPr>
        <w:pStyle w:val="BookText"/>
        <w:rPr/>
      </w:pPr>
      <w:r>
        <w:rPr>
          <w:rFonts w:ascii="Amiri" w:hAnsi="Amiri" w:eastAsia="Amiri" w:cs="Amiri"/>
          <w:color w:val="111111"/>
          <w:sz w:val="28"/>
          <w:sz w:val="28"/>
          <w:szCs w:val="28"/>
          <w:rtl w:val="true"/>
          <w:lang w:bidi="ar-SA"/>
        </w:rPr>
        <w:t>من سهم الرقاب فلا بدّ من القول بالجواز في الجميع ، وإلّا فلا بدّ من المنع منه في الكلّ ، فلا وجه للتفصيل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لم يجعل ذلك من سهم </w:t>
      </w:r>
      <w:r>
        <w:rPr>
          <w:rStyle w:val="FootnoteAnchor"/>
          <w:rtl w:val="true"/>
        </w:rPr>
        <w:footnoteReference w:id="1280"/>
      </w:r>
      <w:r>
        <w:rPr>
          <w:rFonts w:ascii="Amiri" w:hAnsi="Amiri" w:eastAsia="Amiri" w:cs="Amiri"/>
          <w:color w:val="111111"/>
          <w:sz w:val="28"/>
          <w:sz w:val="28"/>
          <w:szCs w:val="28"/>
          <w:rtl w:val="true"/>
          <w:lang w:bidi="ar-SA"/>
        </w:rPr>
        <w:t xml:space="preserve">الرقاب بالنسبة إلى الجميع ، واختار في المقام حمل الأخبار الأربعة المتقدمة على كون الشراء من مطلق الزكاة من غير أن يكون من سهم مخصوص ، وذكر أن هذا وإن كان خارجا من </w:t>
      </w:r>
      <w:r>
        <w:rPr>
          <w:rStyle w:val="FootnoteAnchor"/>
          <w:rtl w:val="true"/>
        </w:rPr>
        <w:footnoteReference w:id="1281"/>
      </w:r>
      <w:r>
        <w:rPr>
          <w:rFonts w:ascii="Amiri" w:hAnsi="Amiri" w:eastAsia="Amiri" w:cs="Amiri"/>
          <w:color w:val="111111"/>
          <w:sz w:val="28"/>
          <w:sz w:val="28"/>
          <w:szCs w:val="28"/>
          <w:rtl w:val="true"/>
          <w:lang w:bidi="ar-SA"/>
        </w:rPr>
        <w:t xml:space="preserve">الأصناف المذكورة في الآية إلّا أنّها قد وقعت رخصة به في الجملة ، وقال </w:t>
      </w:r>
      <w:r>
        <w:rPr>
          <w:rStyle w:val="FootnoteAnchor"/>
          <w:rtl w:val="true"/>
        </w:rPr>
        <w:footnoteReference w:id="1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الأخبار ظاهر الدلالة عليه ، وليست من أخبار ما نحن فيه في شي‌ء ؛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فتكون هذه الأخبار خارجة مخرج الرخصة في العتق من الزكاة ؛ لعدم دخول ذلك تحت شي‌ء من الأصناف الثمانية المندرجة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أيّد ما ذكره بما في رواية أبي بصير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يظلم قوما آخرين </w:t>
      </w:r>
      <w:r>
        <w:rPr>
          <w:rFonts w:eastAsia="Amiri" w:cs="Amiri" w:ascii="Amiri" w:hAnsi="Amiri"/>
          <w:color w:val="111111"/>
          <w:sz w:val="28"/>
          <w:szCs w:val="28"/>
          <w:rtl w:val="true"/>
          <w:lang w:bidi="ar-SA"/>
        </w:rPr>
        <w:t xml:space="preserve">» </w:t>
      </w:r>
      <w:r>
        <w:rPr>
          <w:rStyle w:val="FootnoteAnchor"/>
          <w:rtl w:val="true"/>
        </w:rPr>
        <w:footnoteReference w:id="1283"/>
      </w:r>
      <w:r>
        <w:rPr>
          <w:rFonts w:ascii="Amiri" w:hAnsi="Amiri" w:eastAsia="Amiri" w:cs="Amiri"/>
          <w:color w:val="111111"/>
          <w:sz w:val="28"/>
          <w:sz w:val="28"/>
          <w:szCs w:val="28"/>
          <w:rtl w:val="true"/>
          <w:lang w:bidi="ar-SA"/>
        </w:rPr>
        <w:t>انتهى ؛ إذ لو كان العتق من سهم الرقاب لم يتعقل هناك ظلم على غيرهم من الأصناف ؛ لعدم وجوب البسط عندنا اتفاقا نصّا وفتوى ، وبما ورد في عدّة من تلك الأخبار في ميراث العبد المذكور من أنه يرثه الفقراء المؤمنون الذين يرثون الزكاة معلّلا بأنّه اشترى بمالهم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الظلم والميراث إنّما يترتب على ما إذا وقع الشراء من أصل الزكاة الّتي مصرفها الفقراء وغيرهم من الأصناف ، وحينئذ فيجب حمل تلك الأخبار الأربعة على كون الشراء من أصل الزكاة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ظواهر تلك الأخبار مختلفة في الجملة قال </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 بينها ممكن إمّا بإبقاء تلك الأخبار على إطلاقها وحمل رواية أبي بصير على الكراهة أو تقييد إطلاق تلك الأخبار </w:t>
      </w:r>
    </w:p>
    <w:p>
      <w:pPr>
        <w:pStyle w:val="BookText"/>
        <w:rPr/>
      </w:pPr>
      <w:r>
        <w:rPr>
          <w:rFonts w:ascii="Amiri" w:hAnsi="Amiri" w:eastAsia="Amiri" w:cs="Amiri"/>
          <w:color w:val="111111"/>
          <w:sz w:val="28"/>
          <w:sz w:val="28"/>
          <w:szCs w:val="28"/>
          <w:rtl w:val="true"/>
          <w:lang w:bidi="ar-SA"/>
        </w:rPr>
        <w:t>بها أو تخصيص المنع بما إذا اشترى بمطلق الزكاة كما هو ظاهر خبر أبي بصير ، وحمل غيره على ما إذا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الوجه الأخير مخالف لما نصّ عليه من كون الأخبار المذكورة واردة على نحو واحد ، وقد أورد ذلك على من أراد التفريق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 أنّ ما اختاره في المقام مع مخالفته لظاهر الآية الشريفة والروايات المستفيضة الدالّة على حصر مصارف الزكاة في الثمانية ، وظاهر فتاوى علمائنا الأجلّة أنّه غير ظاهر من الأخبار المذكورة ، غاية الأمر إجمالها في ذلك إن لم نقل بظهورها في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Style w:val="FootnoteAnchor"/>
          <w:rtl w:val="true"/>
        </w:rPr>
        <w:footnoteReference w:id="1285"/>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يظلم قوما آخرين حقوقهم </w:t>
      </w:r>
      <w:r>
        <w:rPr>
          <w:rFonts w:eastAsia="Amiri" w:cs="Amiri" w:ascii="Amiri" w:hAnsi="Amiri"/>
          <w:color w:val="111111"/>
          <w:sz w:val="28"/>
          <w:szCs w:val="28"/>
          <w:rtl w:val="true"/>
          <w:lang w:bidi="ar-SA"/>
        </w:rPr>
        <w:t xml:space="preserve">» </w:t>
      </w:r>
      <w:r>
        <w:rPr>
          <w:rStyle w:val="FootnoteAnchor"/>
          <w:rtl w:val="true"/>
        </w:rPr>
        <w:footnoteReference w:id="1286"/>
      </w:r>
      <w:r>
        <w:rPr>
          <w:rFonts w:ascii="Amiri" w:hAnsi="Amiri" w:eastAsia="Amiri" w:cs="Amiri"/>
          <w:color w:val="111111"/>
          <w:sz w:val="28"/>
          <w:sz w:val="28"/>
          <w:szCs w:val="28"/>
          <w:rtl w:val="true"/>
          <w:lang w:bidi="ar-SA"/>
        </w:rPr>
        <w:t>يفيد خلاف ما ذكره ؛ فإنّه يومي إلى أنّ الصرف في ذلك من أحد مصارف الزكاة وأن له حقا فيها إلّا أنّ صرف جميعه أو معظمه فيه يوجب الظلم على آخرين ممّن له استحقاق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مع الغضّ عن ذلك لو حملت الرواية على الكراهة فالأمر ظاهر ، ولا تأييد فيها حينئذ لما ذكره وإن حملت على المنع ، فغاية الأمر دلالتها على عدم جواز صرف تمام </w:t>
      </w:r>
      <w:r>
        <w:rPr>
          <w:rStyle w:val="FootnoteAnchor"/>
          <w:rtl w:val="true"/>
        </w:rPr>
        <w:footnoteReference w:id="1287"/>
      </w:r>
      <w:r>
        <w:rPr>
          <w:rFonts w:ascii="Amiri" w:hAnsi="Amiri" w:eastAsia="Amiri" w:cs="Amiri"/>
          <w:color w:val="111111"/>
          <w:sz w:val="28"/>
          <w:sz w:val="28"/>
          <w:szCs w:val="28"/>
          <w:rtl w:val="true"/>
          <w:lang w:bidi="ar-SA"/>
        </w:rPr>
        <w:t>الزكاة في العتق ؛ لحصول الظلم على آخرين ، وأي منافاة لذلك مع القول بعدم وجوب البسط؟</w:t>
      </w:r>
    </w:p>
    <w:p>
      <w:pPr>
        <w:pStyle w:val="BookText"/>
        <w:rPr/>
      </w:pPr>
      <w:r>
        <w:rPr>
          <w:rFonts w:ascii="Amiri" w:hAnsi="Amiri" w:eastAsia="Amiri" w:cs="Amiri"/>
          <w:color w:val="111111"/>
          <w:sz w:val="28"/>
          <w:sz w:val="28"/>
          <w:szCs w:val="28"/>
          <w:rtl w:val="true"/>
          <w:lang w:bidi="ar-SA"/>
        </w:rPr>
        <w:t>ألا ترى أنّه لا يجوز صرف تمام الزكاة غالبا إلى العامل مع كونهم أحد مصارف الزكاة وعدم لزوم البسط؟ فلا إشارة في ذلك إلى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التعليل المذكور ؛ إذ لا مانع من تعليل كون ميراثه للفقراء بكونهم مستحقين للمال الذي اشترى به في الجملة ، وإن لم تكن جهة صرفه مختصة بهم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أنهم هم الأصل في وضع </w:t>
      </w:r>
      <w:r>
        <w:rPr>
          <w:rStyle w:val="FootnoteAnchor"/>
          <w:rtl w:val="true"/>
        </w:rPr>
        <w:footnoteReference w:id="1288"/>
      </w:r>
      <w:r>
        <w:rPr>
          <w:rFonts w:ascii="Amiri" w:hAnsi="Amiri" w:eastAsia="Amiri" w:cs="Amiri"/>
          <w:color w:val="111111"/>
          <w:sz w:val="28"/>
          <w:sz w:val="28"/>
          <w:szCs w:val="28"/>
          <w:rtl w:val="true"/>
          <w:lang w:bidi="ar-SA"/>
        </w:rPr>
        <w:t>الزكاة كما يستفاد من الأخبار الواردة الكثيرة في ذلك ، وهو كاف في صحّة التعليل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ولو غضّ عن ذلك كلّه لم يتمّ التعليل على ما ذكره أيضا ؛ إذ ليس المال المصروف في ذلك مختصا بالفقراء ، فغاية الأمر أن يكون مشتركا بين المصارف ، ومعه لا يتم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الصرف من خصوص حصّة الفقراء غير ظاهر من الرواية المذكورة وغيرها من الأخبار ، ولا موافق للاعتبار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غير مفروض في كلامه حسبما حكيناه ، وكون الصرف من سهم الرقاب لا يمنع من صحّة التعليل المذكور حسبما بينّاه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يقال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الروايات ليست صريحة في كون العتق من سهم الرقاب فيحتمل اندراجه فيها وفي سهم </w:t>
      </w:r>
      <w:r>
        <w:rPr>
          <w:rStyle w:val="FootnoteAnchor"/>
          <w:rtl w:val="true"/>
        </w:rPr>
        <w:footnoteReference w:id="1289"/>
      </w:r>
      <w:r>
        <w:rPr>
          <w:rFonts w:ascii="Amiri" w:hAnsi="Amiri" w:eastAsia="Amiri" w:cs="Amiri"/>
          <w:color w:val="111111"/>
          <w:sz w:val="28"/>
          <w:sz w:val="28"/>
          <w:szCs w:val="28"/>
          <w:rtl w:val="true"/>
          <w:lang w:bidi="ar-SA"/>
        </w:rPr>
        <w:t xml:space="preserve">سبيل اللّه ، ولا ثمرة يعتدّ بها في ذلك إلّا أنّ الظاهر من المقام بعد العمل بإطلاق تلك الروايات اندراجه في سهم الرقاب ؛ إذ ظاهر الآية شمولها لذلك ، فبعد الحكم بجواز صرف الزكاة فيه ينبغي الحكم باندراجه فيها ، بل وفي قوله عليه‌السلام في الرواية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خير رقبة </w:t>
      </w:r>
      <w:r>
        <w:rPr>
          <w:rFonts w:eastAsia="Amiri" w:cs="Amiri" w:ascii="Amiri" w:hAnsi="Amiri"/>
          <w:color w:val="111111"/>
          <w:sz w:val="28"/>
          <w:szCs w:val="28"/>
          <w:rtl w:val="true"/>
          <w:lang w:bidi="ar-SA"/>
        </w:rPr>
        <w:t xml:space="preserve">» </w:t>
      </w:r>
      <w:r>
        <w:rPr>
          <w:rStyle w:val="FootnoteAnchor"/>
          <w:rtl w:val="true"/>
        </w:rPr>
        <w:footnoteReference w:id="1290"/>
      </w:r>
      <w:r>
        <w:rPr>
          <w:rFonts w:ascii="Amiri" w:hAnsi="Amiri" w:eastAsia="Amiri" w:cs="Amiri"/>
          <w:color w:val="111111"/>
          <w:sz w:val="28"/>
          <w:sz w:val="28"/>
          <w:szCs w:val="28"/>
          <w:rtl w:val="true"/>
          <w:lang w:bidi="ar-SA"/>
        </w:rPr>
        <w:t>إشارة إلى ذلك</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أصل المسألة ، فإنّ الأخبار فيها كما عرفت متعارضة ، وقضية رواية أبي بصير عدم جواز صرفها في الرقاب إلّا إذا كانت تحت شدة ، ومقتضى الموثقة المتقدمة جواز صرفها فيها مع إعواز المستحق وإن لم تكن تحت شدّة ، ومقتضى إطلاق المعتبرين الآخرين جواز صرفها في ذلك مع انتفاء الأمرين ، والشهرة بين الأصحاب بل ظاهر الإجماع المحكي يعاضد الأول ، وظاهر الآية الشريفة يؤيد </w:t>
      </w:r>
      <w:r>
        <w:rPr>
          <w:rStyle w:val="FootnoteAnchor"/>
          <w:rtl w:val="true"/>
        </w:rPr>
        <w:footnoteReference w:id="1291"/>
      </w:r>
      <w:r>
        <w:rPr>
          <w:rFonts w:ascii="Amiri" w:hAnsi="Amiri" w:eastAsia="Amiri" w:cs="Amiri"/>
          <w:color w:val="111111"/>
          <w:sz w:val="28"/>
          <w:sz w:val="28"/>
          <w:szCs w:val="28"/>
          <w:rtl w:val="true"/>
          <w:lang w:bidi="ar-SA"/>
        </w:rPr>
        <w:t xml:space="preserve">الثاني ، وبملاحظة ذلك يشكل الحكم </w:t>
      </w:r>
      <w:r>
        <w:rPr>
          <w:rStyle w:val="FootnoteAnchor"/>
          <w:rtl w:val="true"/>
        </w:rPr>
        <w:footnoteReference w:id="1292"/>
      </w:r>
      <w:r>
        <w:rPr>
          <w:rFonts w:ascii="Amiri" w:hAnsi="Amiri" w:eastAsia="Amiri" w:cs="Amiri"/>
          <w:color w:val="111111"/>
          <w:sz w:val="28"/>
          <w:sz w:val="28"/>
          <w:szCs w:val="28"/>
          <w:rtl w:val="true"/>
          <w:lang w:bidi="ar-SA"/>
        </w:rPr>
        <w:t xml:space="preserve">في المقام ، وقضية حمل المطلق على المقيد هو حمل الأخبار و </w:t>
      </w:r>
      <w:r>
        <w:rPr>
          <w:rStyle w:val="FootnoteAnchor"/>
          <w:rtl w:val="true"/>
        </w:rPr>
        <w:footnoteReference w:id="1293"/>
      </w:r>
      <w:r>
        <w:rPr>
          <w:rFonts w:ascii="Amiri" w:hAnsi="Amiri" w:eastAsia="Amiri" w:cs="Amiri"/>
          <w:color w:val="111111"/>
          <w:sz w:val="28"/>
          <w:sz w:val="28"/>
          <w:szCs w:val="28"/>
          <w:rtl w:val="true"/>
          <w:lang w:bidi="ar-SA"/>
        </w:rPr>
        <w:t>هو حمل إطلاق الروايتين الأخيرتين على الصورتين المتقدمتين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أورد في المقام من أنّ الموثقة لا دلالة فيها على المنع مع </w:t>
      </w:r>
      <w:r>
        <w:rPr>
          <w:rStyle w:val="FootnoteAnchor"/>
          <w:rtl w:val="true"/>
        </w:rPr>
        <w:footnoteReference w:id="1294"/>
      </w:r>
      <w:r>
        <w:rPr>
          <w:rFonts w:ascii="Amiri" w:hAnsi="Amiri" w:eastAsia="Amiri" w:cs="Amiri"/>
          <w:color w:val="111111"/>
          <w:sz w:val="28"/>
          <w:sz w:val="28"/>
          <w:szCs w:val="28"/>
          <w:rtl w:val="true"/>
          <w:lang w:bidi="ar-SA"/>
        </w:rPr>
        <w:t>عدم الإعواز فلا وجه لجعلها مقيدا للإطلاق بيّن الاندفاع ؛ إذ ليس المراد كونها بنفسها مقيّدا للإطلاق ، بل المقصود أنها بانضمام الرواية الأخرى كافية في ذلك ، فإنّ المستفاد منها بعد حمل المطلق منها على المقيّد الجواز في الصورتين المذكورتين ، والمنع فيما سواها ، فيقيّد بذلك الخبران الآخران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ارادة التقييد بعيد عن سياق الخبرين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فالمسألة مشكلة جدا ، وقضية اليقين بالفراغ هو المتّبع من غير الصورتين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يتقوّى القول المشهور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روى علي بن ابراهيم في التفسير </w:t>
      </w:r>
      <w:r>
        <w:rPr>
          <w:rStyle w:val="FootnoteAnchor"/>
          <w:rtl w:val="true"/>
        </w:rPr>
        <w:footnoteReference w:id="1295"/>
      </w:r>
      <w:r>
        <w:rPr>
          <w:rFonts w:ascii="Amiri" w:hAnsi="Amiri" w:eastAsia="Amiri" w:cs="Amiri"/>
          <w:color w:val="111111"/>
          <w:sz w:val="28"/>
          <w:sz w:val="28"/>
          <w:szCs w:val="28"/>
          <w:rtl w:val="true"/>
          <w:lang w:bidi="ar-SA"/>
        </w:rPr>
        <w:t xml:space="preserve">، مرسلا عن العالم عليه‌السلام في تفسير الرقاب أنّهم قوم لزمتهم كفارات في قتل الخطأ </w:t>
      </w:r>
      <w:r>
        <w:rPr>
          <w:rStyle w:val="FootnoteAnchor"/>
          <w:rtl w:val="true"/>
        </w:rPr>
        <w:footnoteReference w:id="1296"/>
      </w:r>
      <w:r>
        <w:rPr>
          <w:rFonts w:ascii="Amiri" w:hAnsi="Amiri" w:eastAsia="Amiri" w:cs="Amiri"/>
          <w:color w:val="111111"/>
          <w:sz w:val="28"/>
          <w:sz w:val="28"/>
          <w:szCs w:val="28"/>
          <w:rtl w:val="true"/>
          <w:lang w:bidi="ar-SA"/>
        </w:rPr>
        <w:t xml:space="preserve">في الظهار وفي الأيمان وفي قتل الصيد في الحرم ، وليس عندهم ما يكفرون وهم مؤمنون ، فجعل اللّه لهم سهما في الصدقات ليكفر عنهم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المبسوط </w:t>
      </w:r>
      <w:r>
        <w:rPr>
          <w:rStyle w:val="FootnoteAnchor"/>
          <w:rtl w:val="true"/>
        </w:rPr>
        <w:footnoteReference w:id="1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أنّ من وجب عليه عتق رقبة في كفّارة ولا يقدر على ذلك جاز أن يعتق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كما ترى خاصّة بكفارة العتق إلّا أنّها عامة لسائر ما يلزم فيها للعتق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أنسب بظاهر الآية ، والرواية الأولى شاملة لغيرها من الكفارات أيضا إلّا أن ظاهرها الاختصاص بالكفارات الأربع المذكورة إلّا أن يحمل ذلك على المثال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 فهي بعيدة عن ظاهر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وجوّز في المعتبر </w:t>
      </w:r>
      <w:r>
        <w:rPr>
          <w:rStyle w:val="FootnoteAnchor"/>
          <w:rtl w:val="true"/>
        </w:rPr>
        <w:footnoteReference w:id="1300"/>
      </w:r>
      <w:r>
        <w:rPr>
          <w:rFonts w:ascii="Amiri" w:hAnsi="Amiri" w:eastAsia="Amiri" w:cs="Amiri"/>
          <w:color w:val="111111"/>
          <w:sz w:val="28"/>
          <w:sz w:val="28"/>
          <w:szCs w:val="28"/>
          <w:rtl w:val="true"/>
          <w:lang w:bidi="ar-SA"/>
        </w:rPr>
        <w:t>إعطاءهم من سهم الغارمين ؛ لأنّ القصد بذلك إبراء ذمة المكفر عما في عهدته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واستجوده في المدارك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معنى الغرم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المبسوط </w:t>
      </w:r>
      <w:r>
        <w:rPr>
          <w:rStyle w:val="FootnoteAnchor"/>
          <w:rtl w:val="true"/>
        </w:rPr>
        <w:footnoteReference w:id="1301"/>
      </w:r>
      <w:r>
        <w:rPr>
          <w:rFonts w:ascii="Amiri" w:hAnsi="Amiri" w:eastAsia="Amiri" w:cs="Amiri"/>
          <w:color w:val="111111"/>
          <w:sz w:val="28"/>
          <w:sz w:val="28"/>
          <w:szCs w:val="28"/>
          <w:rtl w:val="true"/>
          <w:lang w:bidi="ar-SA"/>
        </w:rPr>
        <w:t xml:space="preserve">بعد ذكر المرسلة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عندي أن يعطى ثمن الرقبة لكونه فقيرا فيشتري هو ويعتق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وقطع في الحدائق </w:t>
      </w:r>
      <w:r>
        <w:rPr>
          <w:rStyle w:val="FootnoteAnchor"/>
          <w:rtl w:val="true"/>
        </w:rPr>
        <w:footnoteReference w:id="1302"/>
      </w:r>
      <w:r>
        <w:rPr>
          <w:rFonts w:ascii="Amiri" w:hAnsi="Amiri" w:eastAsia="Amiri" w:cs="Amiri"/>
          <w:color w:val="111111"/>
          <w:sz w:val="28"/>
          <w:sz w:val="28"/>
          <w:szCs w:val="28"/>
          <w:rtl w:val="true"/>
          <w:lang w:bidi="ar-SA"/>
        </w:rPr>
        <w:t xml:space="preserve">بالأخذ بظاهر مرسلة علي 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شعري أي مانع من العمل بالخبر المذكور مع صراحتها في تفسير الآية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أن يراد بالرقاب في الآية فكّ الرقاب وتخليصها من رقّ العبودية أو من حقوق لزمتها بأحد هذه المذكورات في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الرواية المذكورة مع ضعفها متروكة عند معظم الأصحاب ، ومع ذلك فما اشتملت عليه بعيد عن ظاهر الآية الشريفة كمال البعد سيّما إذا كانت الكفّارة ما عدا العتق ، وامّا بالنسبة إليه فهو وإن كان مشمولا لإطلاق الآية من حيث كونه عتقا إمّا من جهة وقوعه عن المنكر وبراءة ذمّته </w:t>
      </w:r>
      <w:r>
        <w:rPr>
          <w:rStyle w:val="FootnoteAnchor"/>
          <w:rtl w:val="true"/>
        </w:rPr>
        <w:footnoteReference w:id="1303"/>
      </w:r>
      <w:r>
        <w:rPr>
          <w:rFonts w:ascii="Amiri" w:hAnsi="Amiri" w:eastAsia="Amiri" w:cs="Amiri"/>
          <w:color w:val="111111"/>
          <w:sz w:val="28"/>
          <w:sz w:val="28"/>
          <w:szCs w:val="28"/>
          <w:rtl w:val="true"/>
          <w:lang w:bidi="ar-SA"/>
        </w:rPr>
        <w:t>به فلا ، وأمّا ما ذكره الشيخ من إعطائه ثمن الرقبة لكونه فقيرا فإن كان ذلك لفرض الفقر فيه فلا كلام ، وإن أثبت له الفقر من جهة عجزه عن أداء الكفارة وإن كان قادرا على مؤنة نفسه وعياله كما هو قضيّة إطلاق كلامه في المقام ، ففيه ما لا يخفى ؛ إذ ليس أداء الكفّارة من جهة المئونة ليكون العجز عنه باعثا على حصول الفقر ، فإعطاؤه حينئذ من سهم الفقراء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إعطاؤه من سهم الغارمين ؛ لعدم صدق اسمه عليه بحسب الحقيقة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وكونه بمنزلته في الحكم يحتاج إلى قيام الدليل عليه</w:t>
      </w:r>
      <w:r>
        <w:rPr>
          <w:rFonts w:eastAsia="Amiri" w:cs="Amiri" w:ascii="Amiri" w:hAnsi="Amiri"/>
          <w:color w:val="111111"/>
          <w:sz w:val="28"/>
          <w:szCs w:val="28"/>
          <w:rtl w:val="true"/>
          <w:lang w:bidi="ar-SA"/>
        </w:rPr>
        <w:t xml:space="preserve">. </w:t>
      </w:r>
      <w:bookmarkStart w:id="155" w:name="pg15853_153499"/>
    </w:p>
    <w:p>
      <w:pPr>
        <w:pStyle w:val="BookText"/>
        <w:rPr/>
      </w:pPr>
      <w:bookmarkEnd w:id="155"/>
      <w:r>
        <w:rPr>
          <w:rFonts w:ascii="Amiri" w:hAnsi="Amiri" w:eastAsia="Amiri" w:cs="Amiri"/>
          <w:color w:val="111111"/>
          <w:sz w:val="28"/>
          <w:sz w:val="28"/>
          <w:szCs w:val="28"/>
          <w:rtl w:val="true"/>
          <w:lang w:bidi="ar-SA"/>
        </w:rPr>
        <w:t>كيف ولو كان كذلك لزم أن يندرج فيه كلّ من كلّف بتكليف يتوقّف على صرف المال إذا لم يكن قادرا عليه ، وهم لا يقولون به</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14587149_2142443653"/>
      <w:bookmarkStart w:id="157" w:name="_Toc57"/>
      <w:bookmarkEnd w:id="156"/>
      <w:r>
        <w:rPr>
          <w:rtl w:val="true"/>
        </w:rPr>
        <w:t xml:space="preserve">[ </w:t>
      </w:r>
      <w:r>
        <w:rPr>
          <w:rtl w:val="true"/>
        </w:rPr>
        <w:t xml:space="preserve">تنبيهات </w:t>
      </w:r>
      <w:r>
        <w:rPr>
          <w:rtl w:val="true"/>
        </w:rPr>
        <w:t>]</w:t>
      </w:r>
      <w:bookmarkEnd w:id="157"/>
    </w:p>
    <w:p>
      <w:pPr>
        <w:pStyle w:val="BookText"/>
        <w:rPr/>
      </w:pPr>
      <w:r>
        <w:rPr>
          <w:rFonts w:ascii="Amiri" w:hAnsi="Amiri" w:eastAsia="Amiri" w:cs="Amiri"/>
          <w:color w:val="111111"/>
          <w:sz w:val="28"/>
          <w:sz w:val="28"/>
          <w:szCs w:val="28"/>
          <w:rtl w:val="true"/>
          <w:lang w:bidi="ar-SA"/>
        </w:rPr>
        <w:t xml:space="preserve">نعم ، يمكن إدراجه في سهم سبيل اللّه بناء على شموله لسائر القربات كما يأتي وهاهنا أمور ينبغي الإشارة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يعتبر في المكاتب أن يكون عاجزا عن أداء مال الكتابة أو يدفع إليه مع القدرة على الاكتساب إذا لم يكن عنده ما يفي به في الحال؟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ظاهر الأصحاب القول بالثاني ، ونصّ في نهاية الإحكام </w:t>
      </w:r>
      <w:r>
        <w:rPr>
          <w:rStyle w:val="FootnoteAnchor"/>
          <w:rtl w:val="true"/>
        </w:rPr>
        <w:footnoteReference w:id="1304"/>
      </w:r>
      <w:r>
        <w:rPr>
          <w:rFonts w:ascii="IRNazanin" w:hAnsi="IRNazanin" w:eastAsia="IRNazanin"/>
          <w:color w:val="111111"/>
          <w:sz w:val="28"/>
          <w:sz w:val="28"/>
          <w:szCs w:val="28"/>
          <w:rtl w:val="true"/>
          <w:lang w:bidi="fa-IR"/>
        </w:rPr>
        <w:t>بالجواز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ظاهر الشرائع </w:t>
      </w:r>
      <w:r>
        <w:rPr>
          <w:rStyle w:val="FootnoteAnchor"/>
          <w:rtl w:val="true"/>
        </w:rPr>
        <w:footnoteReference w:id="1305"/>
      </w:r>
      <w:r>
        <w:rPr>
          <w:rFonts w:ascii="Amiri" w:hAnsi="Amiri" w:eastAsia="Amiri" w:cs="Amiri"/>
          <w:color w:val="111111"/>
          <w:sz w:val="28"/>
          <w:sz w:val="28"/>
          <w:szCs w:val="28"/>
          <w:rtl w:val="true"/>
          <w:lang w:bidi="ar-SA"/>
        </w:rPr>
        <w:t xml:space="preserve">وصريح المدارك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الشهيدين في الروضة </w:t>
      </w:r>
      <w:r>
        <w:rPr>
          <w:rStyle w:val="FootnoteAnchor"/>
          <w:rtl w:val="true"/>
        </w:rPr>
        <w:footnoteReference w:id="1307"/>
      </w:r>
      <w:r>
        <w:rPr>
          <w:rFonts w:ascii="Amiri" w:hAnsi="Amiri" w:eastAsia="Amiri" w:cs="Amiri"/>
          <w:color w:val="111111"/>
          <w:sz w:val="28"/>
          <w:sz w:val="28"/>
          <w:szCs w:val="28"/>
          <w:rtl w:val="true"/>
          <w:lang w:bidi="ar-SA"/>
        </w:rPr>
        <w:t xml:space="preserve">والبيان </w:t>
      </w:r>
      <w:r>
        <w:rPr>
          <w:rStyle w:val="FootnoteAnchor"/>
          <w:rtl w:val="true"/>
        </w:rPr>
        <w:footnoteReference w:id="1308"/>
      </w:r>
      <w:r>
        <w:rPr>
          <w:rStyle w:val="FootnoteAnchor"/>
          <w:rtl w:val="true"/>
        </w:rPr>
        <w:footnoteReference w:id="1309"/>
      </w:r>
      <w:r>
        <w:rPr>
          <w:rFonts w:ascii="Amiri" w:hAnsi="Amiri" w:eastAsia="Amiri" w:cs="Amiri"/>
          <w:color w:val="111111"/>
          <w:sz w:val="28"/>
          <w:sz w:val="28"/>
          <w:szCs w:val="28"/>
          <w:rtl w:val="true"/>
          <w:lang w:bidi="ar-SA"/>
        </w:rPr>
        <w:t>اعتبار قصور كسبه عن أداء مال الكتابة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واختاره صاحب الحدائق </w:t>
      </w:r>
      <w:r>
        <w:rPr>
          <w:rStyle w:val="FootnoteAnchor"/>
          <w:rtl w:val="true"/>
        </w:rPr>
        <w:footnoteReference w:id="1310"/>
      </w:r>
      <w:r>
        <w:rPr>
          <w:rFonts w:ascii="Amiri" w:hAnsi="Amiri" w:eastAsia="Amiri" w:cs="Amiri"/>
          <w:color w:val="111111"/>
          <w:sz w:val="28"/>
          <w:sz w:val="28"/>
          <w:szCs w:val="28"/>
          <w:rtl w:val="true"/>
          <w:lang w:bidi="ar-SA"/>
        </w:rPr>
        <w:t>أخذا بظاهر الرواية المتقدمة ؛ لورودها في خصوص العاجز عن الأداء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ظاهر الصدوق </w:t>
      </w:r>
      <w:r>
        <w:rPr>
          <w:rStyle w:val="FootnoteAnchor"/>
          <w:rtl w:val="true"/>
        </w:rPr>
        <w:footnoteReference w:id="1311"/>
      </w:r>
      <w:r>
        <w:rPr>
          <w:rFonts w:ascii="Amiri" w:hAnsi="Amiri" w:eastAsia="Amiri" w:cs="Amiri"/>
          <w:color w:val="111111"/>
          <w:sz w:val="28"/>
          <w:sz w:val="28"/>
          <w:szCs w:val="28"/>
          <w:rtl w:val="true"/>
          <w:lang w:bidi="ar-SA"/>
        </w:rPr>
        <w:t>حيث اعتبر فيه العجز عن الأداء</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للأول إطلاق الآية ، وورود الخبر في خصوص العاجز لا يقتضي تخصيص الحكم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وكون الزكاة إنّما شرعت لسدّ ودفع </w:t>
      </w:r>
      <w:r>
        <w:rPr>
          <w:rStyle w:val="FootnoteAnchor"/>
          <w:rtl w:val="true"/>
        </w:rPr>
        <w:footnoteReference w:id="1312"/>
      </w:r>
      <w:r>
        <w:rPr>
          <w:rFonts w:ascii="Amiri" w:hAnsi="Amiri" w:eastAsia="Amiri" w:cs="Amiri"/>
          <w:color w:val="111111"/>
          <w:sz w:val="28"/>
          <w:sz w:val="28"/>
          <w:szCs w:val="28"/>
          <w:rtl w:val="true"/>
          <w:lang w:bidi="ar-SA"/>
        </w:rPr>
        <w:t xml:space="preserve">الحاجة لا نسلّم انّه بالنسبة إلى جميع المصارف حتى فيما نحن فيه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صرفه في فكّ الرقبة ، ولا يفرق فيه بين الحاجة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يجب احتمال جواز الدفع مع قدرة العبد على مال الكتابة كما هو ظاهر الروضة </w:t>
      </w:r>
      <w:r>
        <w:rPr>
          <w:rStyle w:val="FootnoteAnchor"/>
          <w:rtl w:val="true"/>
        </w:rPr>
        <w:footnoteReference w:id="1313"/>
      </w:r>
      <w:r>
        <w:rPr>
          <w:rFonts w:ascii="Amiri" w:hAnsi="Amiri" w:eastAsia="Amiri" w:cs="Amiri"/>
          <w:color w:val="111111"/>
          <w:sz w:val="28"/>
          <w:sz w:val="28"/>
          <w:szCs w:val="28"/>
          <w:rtl w:val="true"/>
          <w:lang w:bidi="ar-SA"/>
        </w:rPr>
        <w:t>في بحث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أوجب على المولى الدفع من الزكاة إن وجبت عليه استنادا إلى ظاهر الآية الشريفة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من سهم الرقاب إن أوجبنا البسط ولم يفرق فيه بين قدرة العبد وعدمها ، وتملكه للوفاء وعدمه إلّا أنّ البناء على الإطلاق المذكور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واعتبر في السرائر </w:t>
      </w:r>
      <w:r>
        <w:rPr>
          <w:rStyle w:val="FootnoteAnchor"/>
          <w:rtl w:val="true"/>
        </w:rPr>
        <w:footnoteReference w:id="1314"/>
      </w:r>
      <w:r>
        <w:rPr>
          <w:rFonts w:ascii="Amiri" w:hAnsi="Amiri" w:eastAsia="Amiri" w:cs="Amiri"/>
          <w:color w:val="111111"/>
          <w:sz w:val="28"/>
          <w:sz w:val="28"/>
          <w:szCs w:val="28"/>
          <w:rtl w:val="true"/>
          <w:lang w:bidi="ar-SA"/>
        </w:rPr>
        <w:t>في وجوب دفعها إليه مع إطلاق الكتابة العجز عن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فالمسألة لا يخلو عن شوب الإشكال ، وإن كان القول بجواز الدفع إليه مع عدم تملكه للوفاء بالأداء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كما يجوز الدفع من الأجنبي يجوز الدفع من المولى ، وقد عرفت القول بوجوبه عليه مع وجوب الزكاة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بعيد ، والآية الشريفة محمولة على الحطّ من مال الكتابة كما دلّت عليه عدّة من الروايات الواردة في تفسيرها ، ومنها الصحيح ، وحملها حينئذ على الندب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يجوز الدفع إلى العبد يجوز الدفع إلى مولاه في فكّه ، وظاهر الرواية المتقدمة هو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فلو كان الدافع هو الولي </w:t>
      </w:r>
      <w:r>
        <w:rPr>
          <w:rStyle w:val="FootnoteAnchor"/>
          <w:rtl w:val="true"/>
        </w:rPr>
        <w:footnoteReference w:id="1315"/>
      </w:r>
      <w:r>
        <w:rPr>
          <w:rFonts w:ascii="Amiri" w:hAnsi="Amiri" w:eastAsia="Amiri" w:cs="Amiri"/>
          <w:color w:val="111111"/>
          <w:sz w:val="28"/>
          <w:sz w:val="28"/>
          <w:szCs w:val="28"/>
          <w:rtl w:val="true"/>
          <w:lang w:bidi="ar-SA"/>
        </w:rPr>
        <w:t>تولّى النية في الدفع ، وقبضه لنفسه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يجب على الحاكم فكّه مع عجزه؟ ظاهر الرواية المذكورة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الحلي </w:t>
      </w:r>
      <w:r>
        <w:rPr>
          <w:rStyle w:val="FootnoteAnchor"/>
          <w:rtl w:val="true"/>
        </w:rPr>
        <w:footnoteReference w:id="1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المطلق العاجز عن الأداء يجب على المولى إعطاؤه من الزكاة إن كان عليه زكاة ، وإلّا كان على الإمام أن يفكّه من سهم الرقاب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واستحسنه في التذكرة </w:t>
      </w:r>
      <w:r>
        <w:rPr>
          <w:rStyle w:val="FootnoteAnchor"/>
          <w:rtl w:val="true"/>
        </w:rPr>
        <w:footnoteReference w:id="1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ذلك الوجوب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الكلام في الأوّل ، ولا دليل على الثاني سوى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والاستناد إليها مع ضعفها في الإسناد إليها وعدم جابر لها في المقام وعدم صراحتها في المدّعى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دفعه إلى المكاتب وصرفه في أداء مال الكتابة وتحرّر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المدارك إنه وقع موقعه إجماعا ، وأما لو دفعه إليه فأبراه سيّده أو دفع عنه متبرّع فهل يجب ارتجاع المال عنه أو لا؟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والأوّل مختار المحقق </w:t>
      </w:r>
      <w:r>
        <w:rPr>
          <w:rStyle w:val="FootnoteAnchor"/>
          <w:rtl w:val="true"/>
        </w:rPr>
        <w:footnoteReference w:id="1318"/>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أنه إذا دفعه إليه ليصرفه على مال الكتابة ارتجع بالمخالفة لأنّ للمالك الخيرة في صرف الزكاة في الأصناف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واستجوده في المدارك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مختار الشيخ </w:t>
      </w:r>
      <w:r>
        <w:rPr>
          <w:rStyle w:val="FootnoteAnchor"/>
          <w:rtl w:val="true"/>
        </w:rPr>
        <w:footnoteReference w:id="1320"/>
      </w:r>
      <w:r>
        <w:rPr>
          <w:rFonts w:ascii="Amiri" w:hAnsi="Amiri" w:eastAsia="Amiri" w:cs="Amiri"/>
          <w:color w:val="111111"/>
          <w:sz w:val="28"/>
          <w:sz w:val="28"/>
          <w:szCs w:val="28"/>
          <w:rtl w:val="true"/>
          <w:lang w:bidi="ar-SA"/>
        </w:rPr>
        <w:t>معلّلا بأنّه ملكه بالقبض فكان له التصرف فيه كيف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ومبنى المسألة على أن الكاتب </w:t>
      </w:r>
      <w:r>
        <w:rPr>
          <w:rStyle w:val="FootnoteAnchor"/>
          <w:rtl w:val="true"/>
        </w:rPr>
        <w:footnoteReference w:id="1321"/>
      </w:r>
      <w:r>
        <w:rPr>
          <w:rFonts w:ascii="Amiri" w:hAnsi="Amiri" w:eastAsia="Amiri" w:cs="Amiri"/>
          <w:color w:val="111111"/>
          <w:sz w:val="28"/>
          <w:sz w:val="28"/>
          <w:szCs w:val="28"/>
          <w:rtl w:val="true"/>
          <w:lang w:bidi="ar-SA"/>
        </w:rPr>
        <w:t xml:space="preserve">هل يملك ما يدفع إليه من الزكاة مطلقا أو لا؟ فعلى الأوّل لا يرتجع مع عدم صرفها في ذلك ، وعلى الثاني يرتجع فيه </w:t>
      </w:r>
      <w:r>
        <w:rPr>
          <w:rStyle w:val="FootnoteAnchor"/>
          <w:rtl w:val="true"/>
        </w:rPr>
        <w:footnoteReference w:id="1322"/>
      </w:r>
      <w:r>
        <w:rPr>
          <w:rFonts w:ascii="Amiri" w:hAnsi="Amiri" w:eastAsia="Amiri" w:cs="Amiri"/>
          <w:color w:val="111111"/>
          <w:sz w:val="28"/>
          <w:sz w:val="28"/>
          <w:szCs w:val="28"/>
          <w:rtl w:val="true"/>
          <w:lang w:bidi="ar-SA"/>
        </w:rPr>
        <w:t>وذلك سواء قلنا بعدم دخوله في ملكه أصلا أو قلنا بملكه لها على جهة مخصوصة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الأوّل مخالف للأصل ، ولا يساعده ظاهر الآية الشريفة وغيرها ، فتعيّن البناء على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دفعها المكاتب المشروط إلى سيّده ثمّ عجز عن الباقي في ساير النجوم واسترق ، فعن الشيخ وغيره القطع بعدم جواز الارتجاع منه ؛ إذ المالك مأمور بالدفع إلى المكاتب ليصرفه في أداء مال الكتابة ، وقد حصل ذلك ، فهو قاض بالإجزاء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في التذكرة </w:t>
      </w:r>
      <w:r>
        <w:rPr>
          <w:rStyle w:val="FootnoteAnchor"/>
          <w:rtl w:val="true"/>
        </w:rPr>
        <w:footnoteReference w:id="1323"/>
      </w:r>
      <w:r>
        <w:rPr>
          <w:rFonts w:ascii="Amiri" w:hAnsi="Amiri" w:eastAsia="Amiri" w:cs="Amiri"/>
          <w:color w:val="111111"/>
          <w:sz w:val="28"/>
          <w:sz w:val="28"/>
          <w:szCs w:val="28"/>
          <w:rtl w:val="true"/>
          <w:lang w:bidi="ar-SA"/>
        </w:rPr>
        <w:t>وجها للشافعيّة بجواز ارتجاعه ؛ نظرا إلى أنّ القصد تحصيل العتق ، فإذا لم يحصل وجب الاسترجاع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ذلك عن قوّة ؛ إذ ظاهر الآية الشريفة والرواية المذكورة هو صرفها في الفكّ ، فمع عدم حصوله لا يكون مصروفا في مصرفه ، فيتعيّن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اشترى به العبد اعتبر الإعتاق بعد الشراء ، فلا ينعتق بمحض الاشتراء ؛ ضرورة أن العتق يتوقف على صيغة خاصّة أو أسباب معروفة ليس ذلك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يشتري أباه أو غيره ؛ إذ ليس الشراء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يعزى إلى ظاهر البعض أنّه لو نوى العتق حين الشراء حصل العتق وإلا احتيج إلى الإعتاق ،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نيّة اخراج الزكاة يقارن بها حين الشراء أو دفع الثمن أو العتق أو يتخيّر بين الجميع أو اثنين منها؟ وجوه ، ومع مقارنتها للعتق فالظاهر أنّه يراعى فيه حصول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تلف قبل حصول العتق من غير تفريط لم يكن عليه شي‌ء ؛ إذ لا يزيد </w:t>
      </w:r>
      <w:r>
        <w:rPr>
          <w:rStyle w:val="FootnoteAnchor"/>
          <w:rtl w:val="true"/>
        </w:rPr>
        <w:footnoteReference w:id="1324"/>
      </w:r>
      <w:r>
        <w:rPr>
          <w:rFonts w:ascii="Amiri" w:hAnsi="Amiri" w:eastAsia="Amiri" w:cs="Amiri"/>
          <w:color w:val="111111"/>
          <w:sz w:val="28"/>
          <w:sz w:val="28"/>
          <w:szCs w:val="28"/>
          <w:rtl w:val="true"/>
          <w:lang w:bidi="ar-SA"/>
        </w:rPr>
        <w:t>ذلك على تلفه قبل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المعتق من الزكاة إذا مات ولا وارث له هل يكون ميراثه للإمام عليه‌السلام أو أنه يرثه أرباب الزكاة؟ المشهور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وأسنده في المعتبر إلى علمائنا مؤذنا بالإجماع عليه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1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المشهور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وحكي عن بعض القدماء القول بالأول ، وفي الحدائق </w:t>
      </w:r>
      <w:r>
        <w:rPr>
          <w:rStyle w:val="FootnoteAnchor"/>
          <w:rtl w:val="true"/>
        </w:rPr>
        <w:footnoteReference w:id="1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مجهول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وحكي عن العلّامة </w:t>
      </w:r>
      <w:r>
        <w:rPr>
          <w:rStyle w:val="FootnoteAnchor"/>
          <w:rtl w:val="true"/>
        </w:rPr>
        <w:footnoteReference w:id="1327"/>
      </w:r>
      <w:r>
        <w:rPr>
          <w:rFonts w:ascii="Amiri" w:hAnsi="Amiri" w:eastAsia="Amiri" w:cs="Amiri"/>
          <w:color w:val="111111"/>
          <w:sz w:val="28"/>
          <w:sz w:val="28"/>
          <w:szCs w:val="28"/>
          <w:rtl w:val="true"/>
          <w:lang w:bidi="ar-SA"/>
        </w:rPr>
        <w:t xml:space="preserve">في غير واحد من كتبه اختيار ذلك ، وتوقّف العلّامة في المختلف </w:t>
      </w:r>
      <w:r>
        <w:rPr>
          <w:rStyle w:val="FootnoteAnchor"/>
          <w:rtl w:val="true"/>
        </w:rPr>
        <w:footnoteReference w:id="1328"/>
      </w:r>
      <w:r>
        <w:rPr>
          <w:rFonts w:ascii="Amiri" w:hAnsi="Amiri" w:eastAsia="Amiri" w:cs="Amiri"/>
          <w:color w:val="111111"/>
          <w:sz w:val="28"/>
          <w:sz w:val="28"/>
          <w:szCs w:val="28"/>
          <w:rtl w:val="true"/>
          <w:lang w:bidi="ar-SA"/>
        </w:rPr>
        <w:t xml:space="preserve">، واختار في الحدائق </w:t>
      </w:r>
      <w:r>
        <w:rPr>
          <w:rStyle w:val="FootnoteAnchor"/>
          <w:rtl w:val="true"/>
        </w:rPr>
        <w:footnoteReference w:id="1329"/>
      </w:r>
      <w:r>
        <w:rPr>
          <w:rFonts w:ascii="Amiri" w:hAnsi="Amiri" w:eastAsia="Amiri" w:cs="Amiri"/>
          <w:color w:val="111111"/>
          <w:sz w:val="28"/>
          <w:sz w:val="28"/>
          <w:szCs w:val="28"/>
          <w:rtl w:val="true"/>
          <w:lang w:bidi="ar-SA"/>
        </w:rPr>
        <w:t>ميراثه لأرباب الزكاة ، لكن فرعه على ما مرّ من اختياره كون الشراء من أصل الزكاة وجعله مصرفا تاسعا وراء المصارف الثمانية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البناء على كونه من سهم الرقاب فقد قطع بكونه سائبة ، وميراثه للإمام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والأظهر هو القول الأول ؛ للموثقة المتقدمة المنجبرة بالعمل ، وظاهر الإجماع المحكي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المعتبر </w:t>
      </w:r>
      <w:r>
        <w:rPr>
          <w:rStyle w:val="FootnoteAnchor"/>
          <w:rtl w:val="true"/>
        </w:rPr>
        <w:footnoteReference w:id="1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خالية عن المعارض ، وإطباق المحققين على العمل بها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الحدائق </w:t>
      </w:r>
      <w:r>
        <w:rPr>
          <w:rStyle w:val="FootnoteAnchor"/>
          <w:rtl w:val="true"/>
        </w:rPr>
        <w:footnoteReference w:id="1331"/>
      </w:r>
      <w:r>
        <w:rPr>
          <w:rFonts w:ascii="Amiri" w:hAnsi="Amiri" w:eastAsia="Amiri" w:cs="Amiri"/>
          <w:color w:val="111111"/>
          <w:sz w:val="28"/>
          <w:sz w:val="28"/>
          <w:szCs w:val="28"/>
          <w:rtl w:val="true"/>
          <w:lang w:bidi="ar-SA"/>
        </w:rPr>
        <w:t xml:space="preserve">من الاستشكال في المقام بأنّه إذا كان الشراء من سهم الرقاب لم يكن للفقراء استحقاق فيه لكونه من أحد الأصناف الثمانية التي اشتملت عليها الآية ، فكيف يصحّ القول بكون ميراثه للفقراء ؛ لأجل أنه اشترى بمالهم ، وأي مال للفقراء في سهم الرقاب حتّى يكون الشراء بمالهم؟ مدفوع بما تقدّمت الإشارة إليه من </w:t>
      </w:r>
      <w:r>
        <w:rPr>
          <w:rStyle w:val="FootnoteAnchor"/>
          <w:rtl w:val="true"/>
        </w:rPr>
        <w:footnoteReference w:id="1332"/>
      </w:r>
      <w:r>
        <w:rPr>
          <w:rFonts w:ascii="Amiri" w:hAnsi="Amiri" w:eastAsia="Amiri" w:cs="Amiri"/>
          <w:color w:val="111111"/>
          <w:sz w:val="28"/>
          <w:sz w:val="28"/>
          <w:szCs w:val="28"/>
          <w:rtl w:val="true"/>
          <w:lang w:bidi="ar-SA"/>
        </w:rPr>
        <w:t>أنّه لا شكّ في استحقاق الفقراء في المال المشترى منه ، وإن لم يكن استحقاقهم على سبيل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صحّ القول بكون الفقراء شركاء في أموال الأغنياء كما نطقت به الأخبار المأثورة عن أئمة الهدى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فأيّ مانع من القول بكون ميراثه للفقراء من جهة شرائه بما يستحقونه؟ وكون سهم الرقاب سهما مستقلا لا يمنع منه ؛ اذ لا يقضي ذلك برفع استحقاق الفقراء في ذلك المال قبل الشراء حسبما ذكرنا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فقصد صرفه في الرقاب لا يوجب اختصاصه بها قبل الصرف كما يظهر من الحدائق حيث جعله لذلك مختصا بها ، ونفى من أجله استحقاق الفقراء فيها ، وجعل صرفها من دون قصد جهة من الجهات جائزا أو أثبت فيها باستحقاق </w:t>
      </w:r>
      <w:r>
        <w:rPr>
          <w:rStyle w:val="FootnoteAnchor"/>
          <w:rtl w:val="true"/>
        </w:rPr>
        <w:footnoteReference w:id="1333"/>
      </w:r>
      <w:r>
        <w:rPr>
          <w:rFonts w:ascii="IRNazanin" w:hAnsi="IRNazanin" w:eastAsia="IRNazanin"/>
          <w:color w:val="111111"/>
          <w:sz w:val="28"/>
          <w:sz w:val="28"/>
          <w:szCs w:val="28"/>
          <w:rtl w:val="true"/>
          <w:lang w:bidi="fa-IR"/>
        </w:rPr>
        <w:t>الفقراء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كما ترى استناد إلى مجرّد الاعتبار من دون قيام شاهد عليه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انه رحمه‌اللّه لأزال يناقش الفقهاء </w:t>
      </w:r>
      <w:r>
        <w:rPr>
          <w:rStyle w:val="FootnoteAnchor"/>
          <w:rtl w:val="true"/>
        </w:rPr>
        <w:footnoteReference w:id="1334"/>
      </w:r>
      <w:r>
        <w:rPr>
          <w:rFonts w:ascii="Amiri" w:hAnsi="Amiri" w:eastAsia="Amiri" w:cs="Amiri"/>
          <w:color w:val="111111"/>
          <w:sz w:val="28"/>
          <w:sz w:val="28"/>
          <w:szCs w:val="28"/>
          <w:rtl w:val="true"/>
          <w:lang w:bidi="ar-SA"/>
        </w:rPr>
        <w:t>في أحكام ظاهرة مستفادة من النصوص معتضدة بفهم الأصحاب ؛ نظرا إلى جموده على ظاهر الألفاظ ، وتراه ينفرد في بعض المقامات بأحكام لا دلالة عليها في النصوص من جملتها ما في المقام ، مع ما عرفت من مخالفته لظاهر الكتاب والأخبار الماثورة عن العترة الأطياب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يختص ميراثه بالفقراء والمساكين أو يعم ساير أصناف الزكاة؟ ظاهر عبارة المقنعة هو الأوّل ، وهو الظاهر من الموثقة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جماعة من الأصحاب حيث عبّروا بكونه لأرباب الزكاة ربّما يعمّ ساير الأصناف ، وهو قضية ما مرّ حكاية الشهرة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1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كلام الأكثرين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في المختلف </w:t>
      </w:r>
      <w:r>
        <w:rPr>
          <w:rStyle w:val="FootnoteAnchor"/>
          <w:rtl w:val="true"/>
        </w:rPr>
        <w:footnoteReference w:id="1336"/>
      </w:r>
      <w:r>
        <w:rPr>
          <w:rFonts w:ascii="Amiri" w:hAnsi="Amiri" w:eastAsia="Amiri" w:cs="Amiri"/>
          <w:color w:val="111111"/>
          <w:sz w:val="28"/>
          <w:sz w:val="28"/>
          <w:szCs w:val="28"/>
          <w:rtl w:val="true"/>
          <w:lang w:bidi="ar-SA"/>
        </w:rPr>
        <w:t xml:space="preserve">ونزّل عليه عبارة المفيد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مراده ليس تخصيص الفقراء والمساكين ، بل أرباب الزكاة أجمع ؛ لأنّ التعليل يعطيه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ظاهر صحيحة العلل المتقدمة الحاكمة بكون ميراثه لأهل الزكاة ، معلّلا بأنّه اشترى بمالهم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واستظهر في الحدائق </w:t>
      </w:r>
      <w:r>
        <w:rPr>
          <w:rStyle w:val="FootnoteAnchor"/>
          <w:rtl w:val="true"/>
        </w:rPr>
        <w:footnoteReference w:id="1337"/>
      </w:r>
      <w:r>
        <w:rPr>
          <w:rFonts w:ascii="Amiri" w:hAnsi="Amiri" w:eastAsia="Amiri" w:cs="Amiri"/>
          <w:color w:val="111111"/>
          <w:sz w:val="28"/>
          <w:sz w:val="28"/>
          <w:szCs w:val="28"/>
          <w:rtl w:val="true"/>
          <w:lang w:bidi="ar-SA"/>
        </w:rPr>
        <w:t xml:space="preserve">التفصيل في المقام بناء على ما عرفت حكايته عنه من تعيين الجهة </w:t>
      </w:r>
    </w:p>
    <w:p>
      <w:pPr>
        <w:pStyle w:val="BookText"/>
        <w:rPr/>
      </w:pPr>
      <w:r>
        <w:rPr>
          <w:rFonts w:ascii="Amiri" w:hAnsi="Amiri" w:eastAsia="Amiri" w:cs="Amiri"/>
          <w:color w:val="111111"/>
          <w:sz w:val="28"/>
          <w:sz w:val="28"/>
          <w:szCs w:val="28"/>
          <w:rtl w:val="true"/>
          <w:lang w:bidi="ar-SA"/>
        </w:rPr>
        <w:t xml:space="preserve">بالنيّة ، فجعل الأظهر في الجمع بين الخبرين المذكورين في أنّ الموثقة المذكورة إنّما دلّت على أنّ المال المشترى </w:t>
      </w:r>
      <w:r>
        <w:rPr>
          <w:rStyle w:val="FootnoteAnchor"/>
          <w:rtl w:val="true"/>
        </w:rPr>
        <w:footnoteReference w:id="1338"/>
      </w:r>
      <w:r>
        <w:rPr>
          <w:rFonts w:ascii="Amiri" w:hAnsi="Amiri" w:eastAsia="Amiri" w:cs="Amiri"/>
          <w:color w:val="111111"/>
          <w:sz w:val="28"/>
          <w:sz w:val="28"/>
          <w:szCs w:val="28"/>
          <w:rtl w:val="true"/>
          <w:lang w:bidi="ar-SA"/>
        </w:rPr>
        <w:t xml:space="preserve">إنّما هو من سهم الفقراء خاصّة ،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صدر الخبر أن صاحب الزكاة قد خصّ هذه الألف درهم التي أخرجها بالفقراء ؛ لأنّها أحد الأصناف ، ولمّا لم يجدهم اشترى بها المذكور وأعتقه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 الإمام عليه‌السلام عن </w:t>
      </w:r>
      <w:r>
        <w:rPr>
          <w:rStyle w:val="FootnoteAnchor"/>
          <w:rtl w:val="true"/>
        </w:rPr>
        <w:footnoteReference w:id="1339"/>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ينطبق عجز الخبر بلا تمحّل ولا إشكال </w:t>
      </w:r>
      <w:r>
        <w:rPr>
          <w:rStyle w:val="FootnoteAnchor"/>
          <w:rtl w:val="true"/>
        </w:rPr>
        <w:footnoteReference w:id="1340"/>
      </w:r>
      <w:r>
        <w:rPr>
          <w:rFonts w:ascii="Amiri" w:hAnsi="Amiri" w:eastAsia="Amiri" w:cs="Amiri"/>
          <w:color w:val="111111"/>
          <w:sz w:val="28"/>
          <w:sz w:val="28"/>
          <w:szCs w:val="28"/>
          <w:rtl w:val="true"/>
          <w:lang w:bidi="ar-SA"/>
        </w:rPr>
        <w:t xml:space="preserve">، فيصح تعليل كون ميراثه للفقراء بأنّه اشترى من مالهم ، والصحيحة المذكورة تحمل على وقوع الشراء بالمال المشترك من غير قصد تخصيصه بصنف من الأصناف ، فيكون ميراثه لجميع أرباب الزكاة ؛ لأنّه اشترى بمالهم ، قال </w:t>
      </w:r>
      <w:r>
        <w:rPr>
          <w:rStyle w:val="FootnoteAnchor"/>
          <w:rtl w:val="true"/>
        </w:rPr>
        <w:footnoteReference w:id="1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والفارق بين المقامين هو قصد المشتري ونيته ولا بعد في ذلك ؛ فإنّ العبادات بل الأفعال كملا تابعة للمقاصد والنيات صحّة وبطلانا وثوابا وعقابا وتعددا واتّحادا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لو قصد صرف زكاته كملا في سبيل اللّه الذي هو عبارة عن جميع الطاعات والقربات ، ثمّ اشترى عبده وأعتقه فإنّه لا إشكال في كونه سائبة وأنّ ميراثه للإمام عليه‌السلام؟</w:t>
      </w:r>
    </w:p>
    <w:p>
      <w:pPr>
        <w:pStyle w:val="BookText"/>
        <w:rPr/>
      </w:pPr>
      <w:r>
        <w:rPr>
          <w:rFonts w:ascii="Amiri" w:hAnsi="Amiri" w:eastAsia="Amiri" w:cs="Amiri"/>
          <w:color w:val="111111"/>
          <w:sz w:val="28"/>
          <w:sz w:val="28"/>
          <w:szCs w:val="28"/>
          <w:rtl w:val="true"/>
          <w:lang w:bidi="ar-SA"/>
        </w:rPr>
        <w:t>ثمّ إنه نفى الريب عن قوة الوجه المذكور ، وجعله جامعا بين الأخبار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مبنيّ على أصل فاسد مخالف للأصل ، ولا شاهد عليه من الشرع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الخبرين بذلك مجرّد احتمال ، ولا شاهد في المقام على اختصاص الدافع زكاته في الخبر الأوّل بالفقراء ، وتعميمه في الثاني للكلّ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قد استفاد ذلك من التعليل المذكور ، وهو من أضعف الشواهد ؛ لما عرفت من صحّة انتساب المال إليهم من جهة أنّهم هم العمدة في وضع الزكاة كما دلّت عليه الأخبار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فحمل أرباب الزكاة في الصحيحة وكلام الجماعة على خصوص الفقراء والمساكين غير بعيد على أنّ المعارضة بين الخبرين من قبيل العموم المطلق ، فينبغي حمل </w:t>
      </w:r>
    </w:p>
    <w:p>
      <w:pPr>
        <w:pStyle w:val="BookText"/>
        <w:rPr/>
      </w:pPr>
      <w:r>
        <w:rPr>
          <w:rFonts w:ascii="Amiri" w:hAnsi="Amiri" w:eastAsia="Amiri" w:cs="Amiri"/>
          <w:color w:val="111111"/>
          <w:sz w:val="28"/>
          <w:sz w:val="28"/>
          <w:szCs w:val="28"/>
          <w:rtl w:val="true"/>
          <w:lang w:bidi="ar-SA"/>
        </w:rPr>
        <w:t>المطلق على المقيّد كما يقتضيه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الميراث إنّما ينتقل إلى الوارث لموت المورّث ، ولا يتّجه القول بتملك الميراث إلا بالنسبة إلى الفقراء والمساكين ؛ إذ السهام الأربعة الأخيرة في الآية إنّما وضعت مصرفا للزكاة ، ولا يستقرّ ملك أربابها عليها مطلقا ، وكذلك سهم المؤلّفة والعاملين لوكولها إلى نظر الامام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استحقاق العامل ذلك من جهة الإجارة أو الجعالة فلا يصح صرفه إذن في العتق ؛ لتملكه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رضاه به فالظاهر خروجه عن محلّ الكلام ؛ لأنّ المعتق حينئذ هو العامل بالنسبة إلى حصّة دون المالك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فالمسألة مشكلة وإن كان القول باختصاصه بالفقراء أو </w:t>
      </w:r>
      <w:r>
        <w:rPr>
          <w:rStyle w:val="FootnoteAnchor"/>
          <w:rtl w:val="true"/>
        </w:rPr>
        <w:footnoteReference w:id="1342"/>
      </w:r>
      <w:r>
        <w:rPr>
          <w:rFonts w:ascii="Amiri" w:hAnsi="Amiri" w:eastAsia="Amiri" w:cs="Amiri"/>
          <w:color w:val="111111"/>
          <w:sz w:val="28"/>
          <w:sz w:val="28"/>
          <w:szCs w:val="28"/>
          <w:rtl w:val="true"/>
          <w:lang w:bidi="ar-SA"/>
        </w:rPr>
        <w:t>المساكين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إنّما يكون مملوكا للنصف فلا مانع من تخصيصه بالبعض على حسب ما مرّ في الزكاة ؛ لتعسّر البسط على الكل ، بل تعذّره ، وتخصيص فقراء البلد أو القرية لا 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القول بتعميمه لسائر الأصناف فهل يجب البسط عليهم على حسب نسبة الميراث أو يكون على حسب قسمة الزكاة؟ استشكل فيه في الحدائق </w:t>
      </w:r>
      <w:r>
        <w:rPr>
          <w:rStyle w:val="FootnoteAnchor"/>
          <w:rtl w:val="true"/>
        </w:rPr>
        <w:footnoteReference w:id="1343"/>
      </w:r>
      <w:r>
        <w:rPr>
          <w:rFonts w:ascii="Amiri" w:hAnsi="Amiri" w:eastAsia="Amiri" w:cs="Amiri"/>
          <w:color w:val="111111"/>
          <w:sz w:val="28"/>
          <w:sz w:val="28"/>
          <w:szCs w:val="28"/>
          <w:rtl w:val="true"/>
          <w:lang w:bidi="ar-SA"/>
        </w:rPr>
        <w:t xml:space="preserve">من جهة كونه فرعا على الزكاة ، فيجري </w:t>
      </w:r>
      <w:r>
        <w:rPr>
          <w:rStyle w:val="FootnoteAnchor"/>
          <w:rtl w:val="true"/>
        </w:rPr>
        <w:footnoteReference w:id="1344"/>
      </w:r>
      <w:r>
        <w:rPr>
          <w:rFonts w:ascii="Amiri" w:hAnsi="Amiri" w:eastAsia="Amiri" w:cs="Amiri"/>
          <w:color w:val="111111"/>
          <w:sz w:val="28"/>
          <w:sz w:val="28"/>
          <w:szCs w:val="28"/>
          <w:rtl w:val="true"/>
          <w:lang w:bidi="ar-SA"/>
        </w:rPr>
        <w:t xml:space="preserve">حكمها ، ومن أن الأصل في الشركة وجوب التقسيط بين الشركاء خرج الزكاة لقيام الدليل وبقي ما عداه على حكم الأصل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عندي محل تأمل وإشكال وإن كان للاحتمال الأخير نوع رجحان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بأنّ القول بتملك الأصناف الثمانية على حسب تملك المواريث غير ظاهر في المقام ؛ إذ لا يتعيّن هناك مالك في غير واحد منها كما في سهم الرقاب بالنسبة إلى بعض صوره وسهم سبيل اللّه</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كثير منها إنّما وضعت مصرفا لذلك ، فعلى القول برجوع ميراثه إلى الكلّ ينبغي القول بكونه على نحو استحقاق الزكاة لبعد الانتقال إليهم على سبيل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يبعد جعلها بمنزلة الزكاة في عدم وجوب البسط ، فتأمل</w:t>
      </w:r>
      <w:r>
        <w:rPr>
          <w:rFonts w:eastAsia="Amiri" w:cs="Amiri" w:ascii="Amiri" w:hAnsi="Amiri"/>
          <w:color w:val="111111"/>
          <w:sz w:val="28"/>
          <w:szCs w:val="28"/>
          <w:rtl w:val="true"/>
          <w:lang w:bidi="ar-SA"/>
        </w:rPr>
        <w:t xml:space="preserve">. </w:t>
      </w:r>
      <w:bookmarkStart w:id="158" w:name="pg15853_153508"/>
    </w:p>
    <w:p>
      <w:pPr>
        <w:pStyle w:val="Heading6"/>
        <w:numPr>
          <w:ilvl w:val="5"/>
          <w:numId w:val="1"/>
        </w:numPr>
        <w:rPr/>
      </w:pPr>
      <w:bookmarkStart w:id="159" w:name="__RefHeading___Toc14587151_2142443653"/>
      <w:bookmarkStart w:id="160" w:name="_Toc58"/>
      <w:bookmarkEnd w:id="158"/>
      <w:bookmarkEnd w:id="159"/>
      <w:r>
        <w:rPr>
          <w:rtl w:val="true"/>
        </w:rPr>
        <w:t>تبصرة</w:t>
      </w:r>
      <w:r>
        <w:rPr>
          <w:rtl w:val="true"/>
        </w:rPr>
        <w:t xml:space="preserve">: [ </w:t>
      </w:r>
      <w:r>
        <w:rPr>
          <w:rtl w:val="true"/>
        </w:rPr>
        <w:t xml:space="preserve">في الغارمين </w:t>
      </w:r>
      <w:r>
        <w:rPr>
          <w:rtl w:val="true"/>
        </w:rPr>
        <w:t>]</w:t>
      </w:r>
      <w:bookmarkEnd w:id="160"/>
    </w:p>
    <w:p>
      <w:pPr>
        <w:pStyle w:val="BookText"/>
        <w:rPr/>
      </w:pPr>
      <w:r>
        <w:rPr>
          <w:rFonts w:ascii="Amiri" w:hAnsi="Amiri" w:eastAsia="Amiri" w:cs="Amiri"/>
          <w:color w:val="111111"/>
          <w:sz w:val="28"/>
          <w:sz w:val="28"/>
          <w:szCs w:val="28"/>
          <w:rtl w:val="true"/>
          <w:lang w:bidi="ar-SA"/>
        </w:rPr>
        <w:t xml:space="preserve">السادس من الأصناف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الغارمين ، وهو في الجملة ممّا دلّ عليه الكتاب والسنة والإجماع ، فلا كلام في أصل الحكم ، وإنّما يقع البحث هنا في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أن يكون الدين في غير معصية ، فلو كان في المعصية منع من سهم الغارمين بإجماعنا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في الخلاف </w:t>
      </w:r>
      <w:r>
        <w:rPr>
          <w:rStyle w:val="FootnoteAnchor"/>
          <w:rtl w:val="true"/>
        </w:rPr>
        <w:footnoteReference w:id="1345"/>
      </w:r>
      <w:r>
        <w:rPr>
          <w:rFonts w:ascii="Amiri" w:hAnsi="Amiri" w:eastAsia="Amiri" w:cs="Amiri"/>
          <w:color w:val="111111"/>
          <w:sz w:val="28"/>
          <w:sz w:val="28"/>
          <w:szCs w:val="28"/>
          <w:rtl w:val="true"/>
          <w:lang w:bidi="ar-SA"/>
        </w:rPr>
        <w:t xml:space="preserve">والغنية </w:t>
      </w:r>
      <w:r>
        <w:rPr>
          <w:rStyle w:val="FootnoteAnchor"/>
          <w:rtl w:val="true"/>
        </w:rPr>
        <w:footnoteReference w:id="1346"/>
      </w:r>
      <w:r>
        <w:rPr>
          <w:rFonts w:ascii="IRNazanin" w:hAnsi="IRNazanin" w:eastAsia="IRNazanin"/>
          <w:color w:val="111111"/>
          <w:sz w:val="28"/>
          <w:sz w:val="28"/>
          <w:szCs w:val="28"/>
          <w:rtl w:val="true"/>
          <w:lang w:bidi="fa-IR"/>
        </w:rPr>
        <w:t xml:space="preserve">والمنتهى </w:t>
      </w:r>
      <w:r>
        <w:rPr>
          <w:rStyle w:val="FootnoteAnchor"/>
          <w:rtl w:val="true"/>
        </w:rPr>
        <w:footnoteReference w:id="1347"/>
      </w:r>
      <w:r>
        <w:rPr>
          <w:rFonts w:ascii="Amiri" w:hAnsi="Amiri" w:eastAsia="Amiri" w:cs="Amiri"/>
          <w:color w:val="111111"/>
          <w:sz w:val="28"/>
          <w:sz w:val="28"/>
          <w:szCs w:val="28"/>
          <w:rtl w:val="true"/>
          <w:lang w:bidi="ar-SA"/>
        </w:rPr>
        <w:t xml:space="preserve">والتذكرة </w:t>
      </w:r>
      <w:r>
        <w:rPr>
          <w:rStyle w:val="FootnoteAnchor"/>
          <w:rtl w:val="true"/>
        </w:rPr>
        <w:footnoteReference w:id="1348"/>
      </w:r>
      <w:r>
        <w:rPr>
          <w:rStyle w:val="FootnoteAnchor"/>
          <w:rtl w:val="true"/>
        </w:rPr>
        <w:footnoteReference w:id="1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وعزاه في الحدائق </w:t>
      </w:r>
      <w:r>
        <w:rPr>
          <w:rStyle w:val="FootnoteAnchor"/>
          <w:rtl w:val="true"/>
        </w:rPr>
        <w:footnoteReference w:id="1350"/>
      </w:r>
      <w:r>
        <w:rPr>
          <w:rFonts w:ascii="Amiri" w:hAnsi="Amiri" w:eastAsia="Amiri" w:cs="Amiri"/>
          <w:color w:val="111111"/>
          <w:sz w:val="28"/>
          <w:sz w:val="28"/>
          <w:szCs w:val="28"/>
          <w:rtl w:val="true"/>
          <w:lang w:bidi="ar-SA"/>
        </w:rPr>
        <w:t xml:space="preserve">إلى الأصحاب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خلاف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 المحقق </w:t>
      </w:r>
      <w:r>
        <w:rPr>
          <w:rStyle w:val="FootnoteAnchor"/>
          <w:rtl w:val="true"/>
        </w:rPr>
        <w:footnoteReference w:id="1351"/>
      </w:r>
      <w:r>
        <w:rPr>
          <w:rFonts w:ascii="Amiri" w:hAnsi="Amiri" w:eastAsia="Amiri" w:cs="Amiri"/>
          <w:color w:val="111111"/>
          <w:sz w:val="28"/>
          <w:sz w:val="28"/>
          <w:szCs w:val="28"/>
          <w:rtl w:val="true"/>
          <w:lang w:bidi="ar-SA"/>
        </w:rPr>
        <w:t xml:space="preserve">جواز الدفع إليه مع التوبة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أعطى من سهم الغارمين لم أمنع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واستحسنه في المدارك </w:t>
      </w:r>
      <w:r>
        <w:rPr>
          <w:rStyle w:val="FootnoteAnchor"/>
          <w:rtl w:val="true"/>
        </w:rPr>
        <w:footnoteReference w:id="1352"/>
      </w:r>
      <w:r>
        <w:rPr>
          <w:rFonts w:ascii="Amiri" w:hAnsi="Amiri" w:eastAsia="Amiri" w:cs="Amiri"/>
          <w:color w:val="111111"/>
          <w:sz w:val="28"/>
          <w:sz w:val="28"/>
          <w:szCs w:val="28"/>
          <w:rtl w:val="true"/>
          <w:lang w:bidi="ar-SA"/>
        </w:rPr>
        <w:t xml:space="preserve">، واقتفاه في ذلك صاحب الذخيرة </w:t>
      </w:r>
      <w:r>
        <w:rPr>
          <w:rStyle w:val="FootnoteAnchor"/>
          <w:rtl w:val="true"/>
        </w:rPr>
        <w:footnoteReference w:id="1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عليه بعد الإجماعات المحكيّة المعتضدة بفتوى المعظم الروايات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ينتظر بقدر ما ينتهي خبره إلى الامام عليه‌السلام فيقضي عنه ما عليه من الدين من سهم الغارمين إذا كان أنفقه في طاعة اللّه عزوجل ، فإن كان أنفقه في معصية اللّه فلا شي‌ء على </w:t>
      </w:r>
    </w:p>
    <w:p>
      <w:pPr>
        <w:pStyle w:val="BookText"/>
        <w:rPr/>
      </w:pPr>
      <w:r>
        <w:rPr>
          <w:rFonts w:ascii="Amiri" w:hAnsi="Amiri" w:eastAsia="Amiri" w:cs="Amiri"/>
          <w:color w:val="111111"/>
          <w:sz w:val="28"/>
          <w:sz w:val="28"/>
          <w:szCs w:val="28"/>
          <w:rtl w:val="true"/>
          <w:lang w:bidi="ar-SA"/>
        </w:rPr>
        <w:t xml:space="preserve">الإمام عليه‌السلام له </w:t>
      </w:r>
      <w:r>
        <w:rPr>
          <w:rFonts w:eastAsia="Amiri" w:cs="Amiri" w:ascii="Amiri" w:hAnsi="Amiri"/>
          <w:color w:val="111111"/>
          <w:sz w:val="28"/>
          <w:szCs w:val="28"/>
          <w:rtl w:val="true"/>
          <w:lang w:bidi="ar-SA"/>
        </w:rPr>
        <w:t xml:space="preserve">»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صباح بن سبابة ، 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مؤمن أو مسلم مات وترك دينا لم يكن في فساد وإسراف فعلى الإمام أن يقضيه ، فإن لم يقضه فعليه إثم ذلك ، إنّ اللّه تبارك وتعالى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الصَّدَقاتُ </w:t>
      </w:r>
      <w:r>
        <w:rPr>
          <w:rStyle w:val="FootnoteAnchor"/>
          <w:rtl w:val="true"/>
        </w:rPr>
        <w:footnoteReference w:id="135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rtl w:val="true"/>
          <w:lang w:bidi="ar-SA"/>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قرب الإسناد بإسناده إلى الصادق عليه‌السلام ، عن أبيه عليه‌السلام أنّ عليّا عليه‌السلام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يعطى المستدينون من الصدقة والزكاة ، ومنهم كله ما بلغ إذا استدانوا في غير إسراف </w:t>
      </w:r>
      <w:r>
        <w:rPr>
          <w:rFonts w:eastAsia="Amiri" w:cs="Amiri" w:ascii="Amiri" w:hAnsi="Amiri"/>
          <w:color w:val="111111"/>
          <w:sz w:val="28"/>
          <w:szCs w:val="28"/>
          <w:rtl w:val="true"/>
          <w:lang w:bidi="ar-SA"/>
        </w:rPr>
        <w:t xml:space="preserve">»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المستطرفات </w:t>
      </w:r>
      <w:r>
        <w:rPr>
          <w:rStyle w:val="FootnoteAnchor"/>
          <w:rtl w:val="true"/>
        </w:rPr>
        <w:footnoteReference w:id="1358"/>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يعطين من سهم الغارمين الذين ينادون بنداء الجاهلية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نداء الجاهليّة؟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لبني فلان فيقع بينهما القتل والدماء ، فلا تؤدّوا ذلك من سهم الغارمين ، ولا الذين يغرمون من مهور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أعلمه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الذين لا يبالون </w:t>
      </w:r>
      <w:r>
        <w:rPr>
          <w:rStyle w:val="FootnoteAnchor"/>
          <w:rtl w:val="true"/>
        </w:rPr>
        <w:footnoteReference w:id="1359"/>
      </w:r>
      <w:r>
        <w:rPr>
          <w:rFonts w:ascii="Amiri" w:hAnsi="Amiri" w:eastAsia="Amiri" w:cs="Amiri"/>
          <w:color w:val="111111"/>
          <w:sz w:val="28"/>
          <w:sz w:val="28"/>
          <w:szCs w:val="28"/>
          <w:rtl w:val="true"/>
          <w:lang w:bidi="ar-SA"/>
        </w:rPr>
        <w:t xml:space="preserve">ما صنعوا في أموال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علي بن إبراهيم ، عن العالم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الغارمين قوم قد وقعت عليهم ديون أنفقوها في طاعة اللّه من غير إسراف ، فيجب على الإمام عليه‌السلام أن يقتضي فيهم ويكفهم من مال الصدقات </w:t>
      </w:r>
      <w:r>
        <w:rPr>
          <w:rFonts w:eastAsia="Amiri" w:cs="Amiri" w:ascii="Amiri" w:hAnsi="Amiri"/>
          <w:color w:val="111111"/>
          <w:sz w:val="28"/>
          <w:szCs w:val="28"/>
          <w:rtl w:val="true"/>
          <w:lang w:bidi="ar-SA"/>
        </w:rPr>
        <w:t xml:space="preserve">»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الاعتبار ؛ فإنّ الزكاة إنّما شرعيّة إرفاقا ، وهو لا يناسب المعصية ، وإنّ فيه إغراء بالقبيح ، وفي منعها ردعا عنه ، فبذلك كلّه يقيّد إطلاق الآية والروايات المستفيضة المطلقة الدالة على جواز أداء الدين من الزكاة من غير تقييد بذلك ، وهي حجة القول بالجواز </w:t>
      </w:r>
    </w:p>
    <w:p>
      <w:pPr>
        <w:pStyle w:val="BookText"/>
        <w:rPr/>
      </w:pPr>
      <w:r>
        <w:rPr>
          <w:rFonts w:ascii="Amiri" w:hAnsi="Amiri" w:eastAsia="Amiri" w:cs="Amiri"/>
          <w:color w:val="111111"/>
          <w:sz w:val="28"/>
          <w:sz w:val="28"/>
          <w:szCs w:val="28"/>
          <w:rtl w:val="true"/>
          <w:lang w:bidi="ar-SA"/>
        </w:rPr>
        <w:t>استضعافا لتلك الروايات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من تأمّل فيه من المتأخرين غفل عن حكم أكثر الأخبار المذكورة ، وإلّا فهي حجّة كافية بنفسها فضلا عن تأيّدها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جهل الحال في المصرف فالذي يقتضيه اصالة صحة فعل المسلم ، وظاهر إطلاق الآية والأخبار الكثيرة الجواز حيث إنّ حملها على خصوص صورة العلم بالمصرف من البعيد ؛ لوضوح أن الاطلاع على خصوصيّات المصارف مستبعد في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اختلاف الأفعال باختلاف المقصود ، فقد يتراءى مباحا أو مندوبا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معصية بحسب ما قصده ، ففيه شهادة واضحة على عدم تعليق الحكم به كما هو مختار جماعة كثيرين منهم الشيخ في ظاهر المبسوط </w:t>
      </w:r>
      <w:r>
        <w:rPr>
          <w:rStyle w:val="FootnoteAnchor"/>
          <w:rtl w:val="true"/>
        </w:rPr>
        <w:footnoteReference w:id="1361"/>
      </w:r>
      <w:r>
        <w:rPr>
          <w:rFonts w:ascii="Amiri" w:hAnsi="Amiri" w:eastAsia="Amiri" w:cs="Amiri"/>
          <w:color w:val="111111"/>
          <w:sz w:val="28"/>
          <w:sz w:val="28"/>
          <w:szCs w:val="28"/>
          <w:rtl w:val="true"/>
          <w:lang w:bidi="ar-SA"/>
        </w:rPr>
        <w:t xml:space="preserve">والحلي </w:t>
      </w:r>
      <w:r>
        <w:rPr>
          <w:rStyle w:val="FootnoteAnchor"/>
          <w:rtl w:val="true"/>
        </w:rPr>
        <w:footnoteReference w:id="1362"/>
      </w:r>
      <w:r>
        <w:rPr>
          <w:rFonts w:ascii="Amiri" w:hAnsi="Amiri" w:eastAsia="Amiri" w:cs="Amiri"/>
          <w:color w:val="111111"/>
          <w:sz w:val="28"/>
          <w:sz w:val="28"/>
          <w:szCs w:val="28"/>
          <w:rtl w:val="true"/>
          <w:lang w:bidi="ar-SA"/>
        </w:rPr>
        <w:t xml:space="preserve">والآبي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وعزاه في التذكرة </w:t>
      </w:r>
      <w:r>
        <w:rPr>
          <w:rStyle w:val="FootnoteAnchor"/>
          <w:rtl w:val="true"/>
        </w:rPr>
        <w:footnoteReference w:id="1364"/>
      </w:r>
      <w:r>
        <w:rPr>
          <w:rFonts w:ascii="Amiri" w:hAnsi="Amiri" w:eastAsia="Amiri" w:cs="Amiri"/>
          <w:color w:val="111111"/>
          <w:sz w:val="28"/>
          <w:sz w:val="28"/>
          <w:szCs w:val="28"/>
          <w:rtl w:val="true"/>
          <w:lang w:bidi="ar-SA"/>
        </w:rPr>
        <w:t>إلى الأكثر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الأظهر لما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الشيخ في النهاية القول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يظهر من الدروس </w:t>
      </w:r>
      <w:r>
        <w:rPr>
          <w:rStyle w:val="FootnoteAnchor"/>
          <w:rtl w:val="true"/>
        </w:rPr>
        <w:footnoteReference w:id="1365"/>
      </w:r>
      <w:r>
        <w:rPr>
          <w:rFonts w:ascii="Amiri" w:hAnsi="Amiri" w:eastAsia="Amiri" w:cs="Amiri"/>
          <w:color w:val="111111"/>
          <w:sz w:val="28"/>
          <w:sz w:val="28"/>
          <w:szCs w:val="28"/>
          <w:rtl w:val="true"/>
          <w:lang w:bidi="ar-SA"/>
        </w:rPr>
        <w:t xml:space="preserve">واللمعة </w:t>
      </w:r>
      <w:r>
        <w:rPr>
          <w:rStyle w:val="FootnoteAnchor"/>
          <w:rtl w:val="true"/>
        </w:rPr>
        <w:footnoteReference w:id="1366"/>
      </w:r>
      <w:r>
        <w:rPr>
          <w:rFonts w:ascii="Amiri" w:hAnsi="Amiri" w:eastAsia="Amiri" w:cs="Amiri"/>
          <w:color w:val="111111"/>
          <w:sz w:val="28"/>
          <w:sz w:val="28"/>
          <w:szCs w:val="28"/>
          <w:rtl w:val="true"/>
          <w:lang w:bidi="ar-SA"/>
        </w:rPr>
        <w:t>الميل إليه حيث اسنده إلى الرواية ساكتا عليه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أنّ الجهل بالشرط يقتضي بالجهل بالمشروط ، فلا يحصل معه العلم بالفراغ ، ولما في ذيل خبر صباح بن سيابة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لهذا الرجل الّذي هو </w:t>
      </w:r>
      <w:r>
        <w:rPr>
          <w:rStyle w:val="FootnoteAnchor"/>
          <w:rtl w:val="true"/>
        </w:rPr>
        <w:footnoteReference w:id="1367"/>
      </w:r>
      <w:r>
        <w:rPr>
          <w:rFonts w:ascii="Amiri" w:hAnsi="Amiri" w:eastAsia="Amiri" w:cs="Amiri"/>
          <w:color w:val="111111"/>
          <w:sz w:val="28"/>
          <w:sz w:val="28"/>
          <w:szCs w:val="28"/>
          <w:rtl w:val="true"/>
          <w:lang w:bidi="ar-SA"/>
        </w:rPr>
        <w:t xml:space="preserve">لا يعلم فيما أنفقه في </w:t>
      </w:r>
    </w:p>
    <w:p>
      <w:pPr>
        <w:pStyle w:val="BookText"/>
        <w:rPr/>
      </w:pPr>
      <w:r>
        <w:rPr>
          <w:rFonts w:ascii="Amiri" w:hAnsi="Amiri" w:eastAsia="Amiri" w:cs="Amiri"/>
          <w:color w:val="111111"/>
          <w:sz w:val="28"/>
          <w:sz w:val="28"/>
          <w:szCs w:val="28"/>
          <w:rtl w:val="true"/>
          <w:lang w:bidi="ar-SA"/>
        </w:rPr>
        <w:t xml:space="preserve">طاعة اللّه عزوجل أم في معصيته؟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يسعى له في ماله ويؤدها ما عليه وهو صاغر </w:t>
      </w:r>
      <w:r>
        <w:rPr>
          <w:rFonts w:eastAsia="Amiri" w:cs="Amiri" w:ascii="Amiri" w:hAnsi="Amiri"/>
          <w:color w:val="111111"/>
          <w:sz w:val="28"/>
          <w:szCs w:val="28"/>
          <w:rtl w:val="true"/>
          <w:lang w:bidi="ar-SA"/>
        </w:rPr>
        <w:t xml:space="preserve">»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الأوّل ظاهر مما عرفت ، والرواية ضعيفة ، وهي مع عدم نهوضها حجّة في نفسها غير مقاومة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فيها من الضعف في الدلالة ؛ لاحتمال بيانه الحكم بالنسبة إلى المستدين إذا صرفه في المعصية ولم يعلم به دافع الزكاة ، فحكم عليه‌السلام بعد استحقاقه 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الرواية عليه غير بعيد عن ظاهرها كما لا يخفى على المتأمل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وحملها بعض المتأخرين على من يعلم منه الأقدام على المعاصي وعدم التحرّز عن الفسوق ففي حقّه لا يحمل تصرفاته على الصحّة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الحمل المذكور مذهبا للحامل كما هو الظاهر كان ما ذكره تفصيلا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الدين مصروفا في المعصية قد يكون من جهة صرف عين المال المستدان في المعصية سواء كان ذلك هو المقصود حال الاستدانة أو وقع صرفه في ذلك على سبيل الاتفاق ، وقد يكون من جهة حصول الدين بالمعصية كما إذا لزمه الدية ابتداء في جناية العمد أو أنّه زنى بالمرأة قهرا أو مع حصول الشبهة في جانب المرأة أو أتلف مالا لغيره على سبيل الغصب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يجتمع فيه الجهتان كما إذا صرف المال المغصوب في الجهة المحرّمة لذاتها ؛ لصرفه إذن في المعصية وحصول </w:t>
      </w:r>
      <w:r>
        <w:rPr>
          <w:rStyle w:val="FootnoteAnchor"/>
          <w:rtl w:val="true"/>
        </w:rPr>
        <w:footnoteReference w:id="1369"/>
      </w:r>
      <w:r>
        <w:rPr>
          <w:rFonts w:ascii="Amiri" w:hAnsi="Amiri" w:eastAsia="Amiri" w:cs="Amiri"/>
          <w:color w:val="111111"/>
          <w:sz w:val="28"/>
          <w:sz w:val="28"/>
          <w:szCs w:val="28"/>
          <w:rtl w:val="true"/>
          <w:lang w:bidi="ar-SA"/>
        </w:rPr>
        <w:t>اشتغال الذمّة فيه بالإتلاف المحرّم عليه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يعتبر أن يكون الدين المذكور في الوجه الأخير مصروفا في المعصية بلا واسطة أو يعمّ ما إذا كان صرفه فيه مع الواسطة؟ كما إذا صرف الدين في المعصية ثمّ استدان لقضاء ذلك الدين وهكذا فإنّ الدين الثاني وما بعده إنّما صرف في اداء الواجب إلّا أنّ ثبوت أصل الدين عليه إنّما كان لأجل المعصية ؛ وجهان ، البناء على الثاني لا يخلو عن 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هل يراد به خصوص الوجهين المذكورين أو يعمّ ما إذا كان أصل الصرف معصية وإن كان المصروف فيه طاعة في نفسه؟ كما إذا صرف المال في وجه مباح مع مطالبة الديان وعدم قدرته على الوفاء من غيره ، فإنّه مع تعيّن الصرف في قضاء الدين يحرم عليه الصرف المذكور ، فالصرف حرام وإن كان المصروف فيه مباحا في نفسه ؛ وجهان أظهرهما الأوّل ؛ لانصراف الإطلاق إليه وعدم ظهور الثاني منه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الغارمين صنفان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استدانوا لمصالح أنفسهم من طاعة كحج وزيارة ، أو مباح كأكل ولبس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استدانوا لمصلحة غيرهم كأن تحمل حالة لإطفاء نائرة الحرب ودفع الفساد بين الناس ، أو يدفع الدية كذلك ، أو يتحمل غرامة متلف كذلك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فالكلام هنا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فيقتصر في مستحقه الفقر بإجماعنا كما في الخلاف </w:t>
      </w:r>
      <w:r>
        <w:rPr>
          <w:rStyle w:val="FootnoteAnchor"/>
          <w:rtl w:val="true"/>
        </w:rPr>
        <w:footnoteReference w:id="1370"/>
      </w:r>
      <w:r>
        <w:rPr>
          <w:rFonts w:ascii="Amiri" w:hAnsi="Amiri" w:eastAsia="Amiri" w:cs="Amiri"/>
          <w:color w:val="111111"/>
          <w:sz w:val="28"/>
          <w:sz w:val="28"/>
          <w:szCs w:val="28"/>
          <w:rtl w:val="true"/>
          <w:lang w:bidi="ar-SA"/>
        </w:rPr>
        <w:t xml:space="preserve">والغنية وظاهر التذكرة </w:t>
      </w:r>
      <w:r>
        <w:rPr>
          <w:rStyle w:val="FootnoteAnchor"/>
          <w:rtl w:val="true"/>
        </w:rPr>
        <w:footnoteReference w:id="1371"/>
      </w:r>
      <w:r>
        <w:rPr>
          <w:rFonts w:ascii="Amiri" w:hAnsi="Amiri" w:eastAsia="Amiri" w:cs="Amiri"/>
          <w:color w:val="111111"/>
          <w:sz w:val="28"/>
          <w:sz w:val="28"/>
          <w:szCs w:val="28"/>
          <w:rtl w:val="true"/>
          <w:lang w:bidi="ar-SA"/>
        </w:rPr>
        <w:t xml:space="preserve">، وباجماع أهل العلم كافة كما في المبسوط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مضافا إلى ذلك أنّ الزكاة إنّما شرعت لسدّ الخلّة ودفع الحاجة ، وما ورد في الأخبار من عدم حلّ الصدقة للغني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 الأوّل بالمنع من كون وضع الزكاة لسد الخلّة بالنسبة إلى جميع مصارفها ، كيف ويجوز دفعها إلى الغارمين والمؤلفة مع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فغاية الأمر اعتبار عدم المكنة من الأداء ، وهو لا يستلزم الفقر ؛ إذ قد يكون صناعة وافية بنفقته من غير زيادة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غنيّا مع عدم قدرته على وفاء الدين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منها كأنّه خصوص سهم الفقراء والمساكين ؛ إذ لا يعتبر الفقر في </w:t>
      </w:r>
    </w:p>
    <w:p>
      <w:pPr>
        <w:pStyle w:val="BookText"/>
        <w:rPr/>
      </w:pPr>
      <w:r>
        <w:rPr>
          <w:rFonts w:ascii="Amiri" w:hAnsi="Amiri" w:eastAsia="Amiri" w:cs="Amiri"/>
          <w:color w:val="111111"/>
          <w:sz w:val="28"/>
          <w:sz w:val="28"/>
          <w:szCs w:val="28"/>
          <w:rtl w:val="true"/>
          <w:lang w:bidi="ar-SA"/>
        </w:rPr>
        <w:t>كثير من السهام الأخر ، والإجماعات المنقولة موهونة بتصريح جمع من الأصحاب بالاكتفاء بعدم القدرة على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ذلك هو المقصود فيما نقل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فظاهر المقابلة في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إطلاقها وإطلاق ساير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الفقر في المقام بل يكفي </w:t>
      </w:r>
      <w:r>
        <w:rPr>
          <w:rStyle w:val="FootnoteAnchor"/>
          <w:rtl w:val="true"/>
        </w:rPr>
        <w:footnoteReference w:id="1373"/>
      </w:r>
      <w:r>
        <w:rPr>
          <w:rFonts w:ascii="Amiri" w:hAnsi="Amiri" w:eastAsia="Amiri" w:cs="Amiri"/>
          <w:color w:val="111111"/>
          <w:sz w:val="28"/>
          <w:sz w:val="28"/>
          <w:szCs w:val="28"/>
          <w:rtl w:val="true"/>
          <w:lang w:bidi="ar-SA"/>
        </w:rPr>
        <w:t xml:space="preserve">فيه عدم القدرة على الوفاء سواء كان فقيرا أو لا ، بل لو قيل بالاكتفاء فيه بالفقر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أحد الأمرين كافيا في الاستحقاق حيث إنّ بينهما عموما من وجه في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وجها ؛ أخذا بإطلاق الأدلة كتابا وسنة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المتقدمة لا دلالة فيها على عدم جواز دفعها إلى الفقير من سهم الغارمين إذا كان قادرا على أداء الدين ، بل قضية إطلاقها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استظهار خروج الغني القادر على ذلك كما هو معلوم من الإجماع المعلوم </w:t>
      </w:r>
      <w:r>
        <w:rPr>
          <w:rStyle w:val="FootnoteAnchor"/>
          <w:rtl w:val="true"/>
        </w:rPr>
        <w:footnoteReference w:id="1374"/>
      </w:r>
      <w:r>
        <w:rPr>
          <w:rFonts w:ascii="Amiri" w:hAnsi="Amiri" w:eastAsia="Amiri" w:cs="Amiri"/>
          <w:color w:val="111111"/>
          <w:sz w:val="28"/>
          <w:sz w:val="28"/>
          <w:szCs w:val="28"/>
          <w:rtl w:val="true"/>
          <w:lang w:bidi="ar-SA"/>
        </w:rPr>
        <w:t>والمنقول ، وأمّا غيره فلا إشارة في تلك الأخبار إلى المنع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العجيب مبالغة صاحب الحدائق </w:t>
      </w:r>
      <w:r>
        <w:rPr>
          <w:rStyle w:val="FootnoteAnchor"/>
          <w:rtl w:val="true"/>
        </w:rPr>
        <w:footnoteReference w:id="1375"/>
      </w:r>
      <w:r>
        <w:rPr>
          <w:rFonts w:ascii="Amiri" w:hAnsi="Amiri" w:eastAsia="Amiri" w:cs="Amiri"/>
          <w:color w:val="111111"/>
          <w:sz w:val="28"/>
          <w:sz w:val="28"/>
          <w:szCs w:val="28"/>
          <w:rtl w:val="true"/>
          <w:lang w:bidi="ar-SA"/>
        </w:rPr>
        <w:t xml:space="preserve">في اعتبار خصوص عدم القدرة على 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مدّعيا ظهوره من أخبار الباب ، بل ادّعى صراحة رواية أبي نجار </w:t>
      </w:r>
      <w:r>
        <w:rPr>
          <w:rStyle w:val="FootnoteAnchor"/>
          <w:rtl w:val="true"/>
        </w:rPr>
        <w:footnoteReference w:id="1376"/>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مضى شطر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خبير بأنّ شيئا منها </w:t>
      </w:r>
      <w:r>
        <w:rPr>
          <w:rStyle w:val="FootnoteAnchor"/>
          <w:rtl w:val="true"/>
        </w:rPr>
        <w:footnoteReference w:id="1377"/>
      </w:r>
      <w:r>
        <w:rPr>
          <w:rFonts w:ascii="Amiri" w:hAnsi="Amiri" w:eastAsia="Amiri" w:cs="Amiri"/>
          <w:color w:val="111111"/>
          <w:sz w:val="28"/>
          <w:sz w:val="28"/>
          <w:szCs w:val="28"/>
          <w:rtl w:val="true"/>
          <w:lang w:bidi="ar-SA"/>
        </w:rPr>
        <w:t>من الأخبار المذكورة ولا إشارة فيها إلى ذلك فضلا عن الدلالة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الحال في رواية أبي نجار ؛ فإنّها إنّما وردت في خصوص العسر ، ومن المقرّر أنّ خصوصية المورد لا يدلّ على اختصاص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يظهر قوة ما استقربه العلامة في النهاية </w:t>
      </w:r>
      <w:r>
        <w:rPr>
          <w:rStyle w:val="FootnoteAnchor"/>
          <w:rtl w:val="true"/>
        </w:rPr>
        <w:footnoteReference w:id="1378"/>
      </w:r>
      <w:r>
        <w:rPr>
          <w:rFonts w:ascii="Amiri" w:hAnsi="Amiri" w:eastAsia="Amiri" w:cs="Amiri"/>
          <w:color w:val="111111"/>
          <w:sz w:val="28"/>
          <w:sz w:val="28"/>
          <w:szCs w:val="28"/>
          <w:rtl w:val="true"/>
          <w:lang w:bidi="ar-SA"/>
        </w:rPr>
        <w:t xml:space="preserve">ونفى عنه البعد في المدارك </w:t>
      </w:r>
      <w:r>
        <w:rPr>
          <w:rStyle w:val="FootnoteAnchor"/>
          <w:rtl w:val="true"/>
        </w:rPr>
        <w:footnoteReference w:id="1379"/>
      </w:r>
      <w:r>
        <w:rPr>
          <w:rFonts w:ascii="Amiri" w:hAnsi="Amiri" w:eastAsia="Amiri" w:cs="Amiri"/>
          <w:color w:val="111111"/>
          <w:sz w:val="28"/>
          <w:sz w:val="28"/>
          <w:szCs w:val="28"/>
          <w:rtl w:val="true"/>
          <w:lang w:bidi="ar-SA"/>
        </w:rPr>
        <w:t>من جواز دفعها إلى المديون إذا كان عنده ما يفي بدينه لكن لو دفعه يصير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عرفت من قضاء الإطلاقات به مع عدم ظهور خلافه من ساير الأدلّة ، و </w:t>
      </w:r>
      <w:r>
        <w:rPr>
          <w:rStyle w:val="FootnoteAnchor"/>
          <w:rtl w:val="true"/>
        </w:rPr>
        <w:footnoteReference w:id="1380"/>
      </w:r>
      <w:r>
        <w:rPr>
          <w:rFonts w:ascii="Amiri" w:hAnsi="Amiri" w:eastAsia="Amiri" w:cs="Amiri"/>
          <w:color w:val="111111"/>
          <w:sz w:val="28"/>
          <w:sz w:val="28"/>
          <w:szCs w:val="28"/>
          <w:rtl w:val="true"/>
          <w:lang w:bidi="ar-SA"/>
        </w:rPr>
        <w:t xml:space="preserve">دعوى دلالة الأخبار على خلافه قد </w:t>
      </w:r>
      <w:r>
        <w:rPr>
          <w:rStyle w:val="FootnoteAnchor"/>
          <w:rtl w:val="true"/>
        </w:rPr>
        <w:footnoteReference w:id="1381"/>
      </w:r>
      <w:r>
        <w:rPr>
          <w:rFonts w:ascii="Amiri" w:hAnsi="Amiri" w:eastAsia="Amiri" w:cs="Amiri"/>
          <w:color w:val="111111"/>
          <w:sz w:val="28"/>
          <w:sz w:val="28"/>
          <w:szCs w:val="28"/>
          <w:rtl w:val="true"/>
          <w:lang w:bidi="ar-SA"/>
        </w:rPr>
        <w:t>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ما علّله به في المدارك </w:t>
      </w:r>
      <w:r>
        <w:rPr>
          <w:rStyle w:val="FootnoteAnchor"/>
          <w:rtl w:val="true"/>
        </w:rPr>
        <w:footnoteReference w:id="1382"/>
      </w:r>
      <w:r>
        <w:rPr>
          <w:rFonts w:ascii="Amiri" w:hAnsi="Amiri" w:eastAsia="Amiri" w:cs="Amiri"/>
          <w:color w:val="111111"/>
          <w:sz w:val="28"/>
          <w:sz w:val="28"/>
          <w:szCs w:val="28"/>
          <w:rtl w:val="true"/>
          <w:lang w:bidi="ar-SA"/>
        </w:rPr>
        <w:t>من عدم صدق التمكن من الأداء عرفا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 ولا يستثنى في الدين إلّا نفقة اليوم والليلة ، وكذا ما علّله في نهاية من انتفاء الفائدة في منعه من سهم الغارم وتكليفه بالدفع في الدين ، ثمّ أخذه من جهة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ذلك تقريب في اندراجه تحت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ولو كان قادرا على أداء الدين بالاكتساب على التدريج فاحتمل فيه في نهاية الإحكام </w:t>
      </w:r>
      <w:r>
        <w:rPr>
          <w:rStyle w:val="FootnoteAnchor"/>
          <w:rtl w:val="true"/>
        </w:rPr>
        <w:footnoteReference w:id="1383"/>
      </w:r>
      <w:r>
        <w:rPr>
          <w:rFonts w:ascii="Amiri" w:hAnsi="Amiri" w:eastAsia="Amiri" w:cs="Amiri"/>
          <w:color w:val="111111"/>
          <w:sz w:val="28"/>
          <w:sz w:val="28"/>
          <w:szCs w:val="28"/>
          <w:rtl w:val="true"/>
          <w:lang w:bidi="ar-SA"/>
        </w:rPr>
        <w:t>جواز الدفع والمنع ؛ نظرا إلى أنّ حاجة الغارم حاصلة بالفعل لثبوت الدين في ذمته والمفروض عدم قدرته على الوفاء بالفعل ، وإلى أنّ القدرة على الكسب بمنزلة القدرة على المال على نحو ما اعتبر في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المنع لقوّة الوجه الأخير وعدم ظهور اندراجه تحت الإطلاقات ، وقضاء اليقين بالشغل اليقين بالفراغ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 ولو جاز ذلك لجرى بالنسبة إلى ما إذا استحق ما لا يفي بذلك على قبيل </w:t>
      </w:r>
      <w:r>
        <w:rPr>
          <w:rStyle w:val="FootnoteAnchor"/>
          <w:rtl w:val="true"/>
        </w:rPr>
        <w:footnoteReference w:id="1384"/>
      </w:r>
      <w:r>
        <w:rPr>
          <w:rFonts w:ascii="Amiri" w:hAnsi="Amiri" w:eastAsia="Amiri" w:cs="Amiri"/>
          <w:color w:val="111111"/>
          <w:sz w:val="28"/>
          <w:sz w:val="28"/>
          <w:szCs w:val="28"/>
          <w:rtl w:val="true"/>
          <w:lang w:bidi="ar-SA"/>
        </w:rPr>
        <w:t>التأجيل إذا استحق عليه في الحال ، ولم يكن له بالفعل ما بقي بذلك</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صحّ ذلك لزم جواز إعطاء الزكاة لكثير من التجار إذا حلّ ما عليهم قبل أن يحلّ </w:t>
      </w:r>
    </w:p>
    <w:p>
      <w:pPr>
        <w:pStyle w:val="BookText"/>
        <w:rPr/>
      </w:pPr>
      <w:r>
        <w:rPr>
          <w:rFonts w:ascii="IRNazanin" w:hAnsi="IRNazanin" w:eastAsia="IRNazanin"/>
          <w:color w:val="111111"/>
          <w:sz w:val="28"/>
          <w:sz w:val="28"/>
          <w:szCs w:val="28"/>
          <w:rtl w:val="true"/>
          <w:lang w:bidi="fa-IR"/>
        </w:rPr>
        <w:t xml:space="preserve">الأجل </w:t>
      </w:r>
      <w:r>
        <w:rPr>
          <w:rStyle w:val="FootnoteAnchor"/>
          <w:rtl w:val="true"/>
        </w:rPr>
        <w:footnoteReference w:id="1385"/>
      </w:r>
      <w:r>
        <w:rPr>
          <w:rFonts w:ascii="Amiri" w:hAnsi="Amiri" w:eastAsia="Amiri" w:cs="Amiri"/>
          <w:color w:val="111111"/>
          <w:sz w:val="28"/>
          <w:sz w:val="28"/>
          <w:szCs w:val="28"/>
          <w:rtl w:val="true"/>
          <w:lang w:bidi="ar-SA"/>
        </w:rPr>
        <w:t xml:space="preserve">فيما لهم من الأموال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ربّما يقال بالجواز إذا كان ما يفضل من مؤنته في غاية القلّة بحيث لا يصدق معه اسم المكنة من الأداء ؛ نظرا إلى طول المدّة ، وكذا لو كان الأجل بعيدا جدا من </w:t>
      </w:r>
      <w:r>
        <w:rPr>
          <w:rStyle w:val="FootnoteAnchor"/>
          <w:rtl w:val="true"/>
        </w:rPr>
        <w:footnoteReference w:id="1386"/>
      </w:r>
      <w:r>
        <w:rPr>
          <w:rFonts w:ascii="IRNazanin" w:hAnsi="IRNazanin" w:eastAsia="IRNazanin"/>
          <w:color w:val="111111"/>
          <w:sz w:val="28"/>
          <w:sz w:val="28"/>
          <w:szCs w:val="28"/>
          <w:rtl w:val="true"/>
          <w:lang w:bidi="fa-IR"/>
        </w:rPr>
        <w:t>المؤجل على وجه ، فتأمّل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قادرا على الصنعة ولم يكن من أهل الصنائع </w:t>
      </w:r>
      <w:r>
        <w:rPr>
          <w:rStyle w:val="FootnoteAnchor"/>
          <w:rtl w:val="true"/>
        </w:rPr>
        <w:footnoteReference w:id="1387"/>
      </w:r>
      <w:r>
        <w:rPr>
          <w:rFonts w:ascii="Amiri" w:hAnsi="Amiri" w:eastAsia="Amiri" w:cs="Amiri"/>
          <w:color w:val="111111"/>
          <w:sz w:val="28"/>
          <w:sz w:val="28"/>
          <w:szCs w:val="28"/>
          <w:rtl w:val="true"/>
          <w:lang w:bidi="ar-SA"/>
        </w:rPr>
        <w:t xml:space="preserve">ففي </w:t>
      </w:r>
      <w:r>
        <w:rPr>
          <w:rStyle w:val="FootnoteAnchor"/>
          <w:rtl w:val="true"/>
        </w:rPr>
        <w:footnoteReference w:id="1388"/>
      </w:r>
      <w:r>
        <w:rPr>
          <w:rFonts w:ascii="Amiri" w:hAnsi="Amiri" w:eastAsia="Amiri" w:cs="Amiri"/>
          <w:color w:val="111111"/>
          <w:sz w:val="28"/>
          <w:sz w:val="28"/>
          <w:szCs w:val="28"/>
          <w:rtl w:val="true"/>
          <w:lang w:bidi="ar-SA"/>
        </w:rPr>
        <w:t xml:space="preserve">جواز الدفع إليه الوجهان الماضيان </w:t>
      </w:r>
      <w:r>
        <w:rPr>
          <w:rStyle w:val="FootnoteAnchor"/>
          <w:rtl w:val="true"/>
        </w:rPr>
        <w:footnoteReference w:id="1389"/>
      </w:r>
      <w:r>
        <w:rPr>
          <w:rFonts w:ascii="Amiri" w:hAnsi="Amiri" w:eastAsia="Amiri" w:cs="Amiri"/>
          <w:color w:val="111111"/>
          <w:sz w:val="28"/>
          <w:sz w:val="28"/>
          <w:szCs w:val="28"/>
          <w:rtl w:val="true"/>
          <w:lang w:bidi="ar-SA"/>
        </w:rPr>
        <w:t>في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اعتبار عدم القدرة على الأداء يعطي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قادرا على الاستيهاب أو كان </w:t>
      </w:r>
      <w:r>
        <w:rPr>
          <w:rStyle w:val="FootnoteAnchor"/>
          <w:rtl w:val="true"/>
        </w:rPr>
        <w:footnoteReference w:id="1390"/>
      </w:r>
      <w:r>
        <w:rPr>
          <w:rFonts w:ascii="Amiri" w:hAnsi="Amiri" w:eastAsia="Amiri" w:cs="Amiri"/>
          <w:color w:val="111111"/>
          <w:sz w:val="28"/>
          <w:sz w:val="28"/>
          <w:szCs w:val="28"/>
          <w:rtl w:val="true"/>
          <w:lang w:bidi="ar-SA"/>
        </w:rPr>
        <w:t xml:space="preserve">يتوقع الانتقال إليه بالميراث فلا ينبغي التأمل في الجواز فيما إذا </w:t>
      </w:r>
      <w:r>
        <w:rPr>
          <w:rFonts w:eastAsia="Amiri" w:cs="Amiri" w:ascii="Amiri" w:hAnsi="Amiri"/>
          <w:color w:val="111111"/>
          <w:sz w:val="28"/>
          <w:szCs w:val="28"/>
          <w:rtl w:val="true"/>
          <w:lang w:bidi="ar-SA"/>
        </w:rPr>
        <w:t xml:space="preserve">[ ... ]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 xml:space="preserve">. </w:t>
      </w:r>
      <w:bookmarkStart w:id="161" w:name="pg15853_153516"/>
    </w:p>
    <w:p>
      <w:pPr>
        <w:pStyle w:val="Heading3"/>
        <w:numPr>
          <w:ilvl w:val="2"/>
          <w:numId w:val="1"/>
        </w:numPr>
        <w:rPr/>
      </w:pPr>
      <w:bookmarkStart w:id="162" w:name="__RefHeading___Toc14587153_2142443653"/>
      <w:bookmarkStart w:id="163" w:name="_Toc59"/>
      <w:bookmarkEnd w:id="161"/>
      <w:bookmarkEnd w:id="162"/>
      <w:r>
        <w:rPr>
          <w:rtl w:val="true"/>
        </w:rPr>
        <w:t>الباب الثالث</w:t>
      </w:r>
      <w:r>
        <w:rPr>
          <w:rtl w:val="true"/>
        </w:rPr>
        <w:t xml:space="preserve">: </w:t>
      </w:r>
      <w:r>
        <w:rPr>
          <w:rtl w:val="true"/>
        </w:rPr>
        <w:t>في زكاة الفطرة</w:t>
      </w:r>
      <w:bookmarkEnd w:id="163"/>
    </w:p>
    <w:p>
      <w:pPr>
        <w:pStyle w:val="Heading4"/>
        <w:numPr>
          <w:ilvl w:val="3"/>
          <w:numId w:val="1"/>
        </w:numPr>
        <w:rPr/>
      </w:pPr>
      <w:bookmarkStart w:id="164" w:name="__RefHeading___Toc14587155_2142443653"/>
      <w:bookmarkStart w:id="165" w:name="_Toc60"/>
      <w:bookmarkEnd w:id="164"/>
      <w:r>
        <w:rPr>
          <w:rtl w:val="true"/>
        </w:rPr>
        <w:t>اشارة</w:t>
      </w:r>
      <w:bookmarkEnd w:id="165"/>
    </w:p>
    <w:p>
      <w:pPr>
        <w:pStyle w:val="BookText"/>
        <w:rPr/>
      </w:pPr>
      <w:r>
        <w:rPr>
          <w:rFonts w:ascii="IRNazanin" w:hAnsi="IRNazanin" w:eastAsia="IRNazanin"/>
          <w:color w:val="111111"/>
          <w:sz w:val="28"/>
          <w:sz w:val="28"/>
          <w:szCs w:val="28"/>
          <w:rtl w:val="true"/>
          <w:lang w:bidi="fa-IR"/>
        </w:rPr>
        <w:t xml:space="preserve">الباب </w:t>
      </w:r>
      <w:r>
        <w:rPr>
          <w:rStyle w:val="FootnoteAnchor"/>
          <w:rtl w:val="true"/>
        </w:rPr>
        <w:footnoteReference w:id="1392"/>
      </w:r>
      <w:r>
        <w:rPr>
          <w:rFonts w:ascii="IRNazanin" w:hAnsi="IRNazanin" w:eastAsia="IRNazanin"/>
          <w:color w:val="111111"/>
          <w:sz w:val="28"/>
          <w:sz w:val="28"/>
          <w:szCs w:val="28"/>
          <w:rtl w:val="true"/>
          <w:lang w:bidi="fa-IR"/>
        </w:rPr>
        <w:t>الثالث</w:t>
      </w:r>
    </w:p>
    <w:p>
      <w:pPr>
        <w:pStyle w:val="BookText"/>
        <w:rPr/>
      </w:pPr>
      <w:r>
        <w:rPr>
          <w:rFonts w:ascii="Amiri" w:hAnsi="Amiri" w:eastAsia="Amiri" w:cs="Amiri"/>
          <w:color w:val="111111"/>
          <w:sz w:val="28"/>
          <w:sz w:val="28"/>
          <w:szCs w:val="28"/>
          <w:rtl w:val="true"/>
          <w:lang w:bidi="ar-SA"/>
        </w:rPr>
        <w:t>في زكاة الفطرة</w:t>
      </w:r>
    </w:p>
    <w:p>
      <w:pPr>
        <w:pStyle w:val="BookText"/>
        <w:rPr/>
      </w:pPr>
      <w:r>
        <w:rPr>
          <w:rFonts w:ascii="Amiri" w:hAnsi="Amiri" w:eastAsia="Amiri" w:cs="Amiri"/>
          <w:color w:val="111111"/>
          <w:sz w:val="28"/>
          <w:sz w:val="28"/>
          <w:szCs w:val="28"/>
          <w:rtl w:val="true"/>
          <w:lang w:bidi="ar-SA"/>
        </w:rPr>
        <w:t xml:space="preserve">وهي إمّا من الفطرة بمعنى الخلقة ، ويراد بها البدن فيكون في </w:t>
      </w:r>
      <w:r>
        <w:rPr>
          <w:rStyle w:val="FootnoteAnchor"/>
          <w:rtl w:val="true"/>
        </w:rPr>
        <w:footnoteReference w:id="1393"/>
      </w:r>
      <w:r>
        <w:rPr>
          <w:rFonts w:ascii="Amiri" w:hAnsi="Amiri" w:eastAsia="Amiri" w:cs="Amiri"/>
          <w:color w:val="111111"/>
          <w:sz w:val="28"/>
          <w:sz w:val="28"/>
          <w:szCs w:val="28"/>
          <w:rtl w:val="true"/>
          <w:lang w:bidi="ar-SA"/>
        </w:rPr>
        <w:t>مقابلة زكاة المال حيث إنّها يعطي عن الأشخاص أو أنّها تعطى محافظة البدن وسلامتها عن التلف كما عن زكاة المال يوجب حفظ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 عليه النص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بمعنى الإسلام كما في الآية الشريفة ، فيراد بها زكاة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إسنادها إليه لأجل الاهتمام بها وشمول التكليف بها لمعظم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بمعنى الفطر من الصوم حيث إنّها تعطى في يوم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فوجوبها في الجملة ممّا دلّ عليه الكتاب والسنة والإجماع ، بل هي من الضروريات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شرائطها وتعيين الأجناس التي يخرج منها ومقدارها وبيان وقت وجوبها وإخراجها ، وما يتعلّق بها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فلنفصّل القول فيها في فصول </w:t>
      </w:r>
      <w:r>
        <w:rPr>
          <w:rFonts w:eastAsia="Amiri" w:cs="Amiri" w:ascii="Amiri" w:hAnsi="Amiri"/>
          <w:color w:val="111111"/>
          <w:sz w:val="28"/>
          <w:szCs w:val="28"/>
          <w:rtl w:val="true"/>
          <w:lang w:bidi="ar-SA"/>
        </w:rPr>
        <w:t xml:space="preserve">: </w:t>
      </w:r>
      <w:bookmarkStart w:id="166" w:name="pg15853_153517"/>
    </w:p>
    <w:p>
      <w:pPr>
        <w:pStyle w:val="Heading4"/>
        <w:numPr>
          <w:ilvl w:val="3"/>
          <w:numId w:val="1"/>
        </w:numPr>
        <w:rPr/>
      </w:pPr>
      <w:bookmarkStart w:id="167" w:name="__RefHeading___Toc14587157_2142443653"/>
      <w:bookmarkStart w:id="168" w:name="_Toc61"/>
      <w:bookmarkEnd w:id="166"/>
      <w:bookmarkEnd w:id="167"/>
      <w:r>
        <w:rPr>
          <w:rtl w:val="true"/>
        </w:rPr>
        <w:t>الفصل الأول</w:t>
      </w:r>
      <w:r>
        <w:rPr>
          <w:rtl w:val="true"/>
        </w:rPr>
        <w:t xml:space="preserve">: </w:t>
      </w:r>
      <w:r>
        <w:rPr>
          <w:rtl w:val="true"/>
        </w:rPr>
        <w:t>في بيان شرائط وجوبها</w:t>
      </w:r>
      <w:bookmarkEnd w:id="168"/>
    </w:p>
    <w:p>
      <w:pPr>
        <w:pStyle w:val="Heading5"/>
        <w:numPr>
          <w:ilvl w:val="4"/>
          <w:numId w:val="1"/>
        </w:numPr>
        <w:rPr/>
      </w:pPr>
      <w:bookmarkStart w:id="169" w:name="__RefHeading___Toc14587159_2142443653"/>
      <w:bookmarkStart w:id="170" w:name="_Toc62"/>
      <w:bookmarkEnd w:id="169"/>
      <w:r>
        <w:rPr>
          <w:rtl w:val="true"/>
        </w:rPr>
        <w:t>تبصرة</w:t>
      </w:r>
      <w:r>
        <w:rPr>
          <w:rtl w:val="true"/>
        </w:rPr>
        <w:t xml:space="preserve">: [ </w:t>
      </w:r>
      <w:r>
        <w:rPr>
          <w:rtl w:val="true"/>
        </w:rPr>
        <w:t xml:space="preserve">في اشتراط التكليف </w:t>
      </w:r>
      <w:r>
        <w:rPr>
          <w:rtl w:val="true"/>
        </w:rPr>
        <w:t>]</w:t>
      </w:r>
      <w:bookmarkEnd w:id="170"/>
    </w:p>
    <w:p>
      <w:pPr>
        <w:pStyle w:val="BookText"/>
        <w:rPr/>
      </w:pPr>
      <w:r>
        <w:rPr>
          <w:rFonts w:ascii="Amiri" w:hAnsi="Amiri" w:eastAsia="Amiri" w:cs="Amiri"/>
          <w:color w:val="111111"/>
          <w:sz w:val="28"/>
          <w:sz w:val="28"/>
          <w:szCs w:val="28"/>
          <w:rtl w:val="true"/>
          <w:lang w:bidi="ar-SA"/>
        </w:rPr>
        <w:t>يشترط وجوبها بالتكليف ، فلا يجب على الصبيّ والمجنون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الفاضلان في المعتبر والمنتهى </w:t>
      </w:r>
      <w:r>
        <w:rPr>
          <w:rStyle w:val="FootnoteAnchor"/>
          <w:rtl w:val="true"/>
        </w:rPr>
        <w:footnoteReference w:id="1394"/>
      </w:r>
      <w:r>
        <w:rPr>
          <w:rFonts w:ascii="Amiri" w:hAnsi="Amiri" w:eastAsia="Amiri" w:cs="Amiri"/>
          <w:color w:val="111111"/>
          <w:sz w:val="28"/>
          <w:sz w:val="28"/>
          <w:szCs w:val="28"/>
          <w:rtl w:val="true"/>
          <w:lang w:bidi="ar-SA"/>
        </w:rPr>
        <w:t xml:space="preserve">وتحرير الأحكام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بعد ذلك في غير المكلّف لا يتعلّق به خطاب الشرع ، وتكليف الولي بذلك ممّا لا دليل عليه ، فهو منفي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وخصوص الصحيح الوارد في الصبي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الوصيّ يزكّى زكاة الفطرة عن اليتامى إذا كان لهم مال ،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زكاة على اليتيم </w:t>
      </w:r>
      <w:r>
        <w:rPr>
          <w:rFonts w:eastAsia="Amiri" w:cs="Amiri" w:ascii="Amiri" w:hAnsi="Amiri"/>
          <w:color w:val="111111"/>
          <w:sz w:val="28"/>
          <w:szCs w:val="28"/>
          <w:rtl w:val="true"/>
          <w:lang w:bidi="ar-SA"/>
        </w:rPr>
        <w:t xml:space="preserve">»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بعض الإطلاقات الدالّة على أنّ الزكاة إنّما تجب إذا وجبت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دلالة أيضا على عدم وجوبها على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لا تجب عليهما بالنسبة إلى أنفسهما فكذا بالنسبة إلى من يدخل في عيلولتهما </w:t>
      </w:r>
      <w:r>
        <w:rPr>
          <w:rStyle w:val="FootnoteAnchor"/>
          <w:rtl w:val="true"/>
        </w:rPr>
        <w:footnoteReference w:id="1397"/>
      </w:r>
      <w:r>
        <w:rPr>
          <w:rFonts w:ascii="Amiri" w:hAnsi="Amiri" w:eastAsia="Amiri" w:cs="Amiri"/>
          <w:color w:val="111111"/>
          <w:sz w:val="28"/>
          <w:sz w:val="28"/>
          <w:szCs w:val="28"/>
          <w:rtl w:val="true"/>
          <w:lang w:bidi="ar-SA"/>
        </w:rPr>
        <w:t>فلا زكاة عليهما من جهة الملوك</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 المكاتبة الصحيحة عن المملوك يموت مولاه وهو عنه غائب في بلد آخر وفي يده </w:t>
      </w:r>
    </w:p>
    <w:p>
      <w:pPr>
        <w:pStyle w:val="BookText"/>
        <w:rPr/>
      </w:pPr>
      <w:r>
        <w:rPr>
          <w:rFonts w:ascii="Amiri" w:hAnsi="Amiri" w:eastAsia="Amiri" w:cs="Amiri"/>
          <w:color w:val="111111"/>
          <w:sz w:val="28"/>
          <w:sz w:val="28"/>
          <w:szCs w:val="28"/>
          <w:rtl w:val="true"/>
          <w:lang w:bidi="ar-SA"/>
        </w:rPr>
        <w:t xml:space="preserve">مال لمولاه وينحصر الفطرة ، أيزكّي عن نفسه من مال مولاه وقد صار لليتامى؟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w:t>
      </w:r>
      <w:r>
        <w:rPr>
          <w:rStyle w:val="FootnoteAnchor"/>
          <w:rtl w:val="true"/>
        </w:rPr>
        <w:footnoteReference w:id="1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هذه الرواية أنّ الساقط عن اليتيم فطرته خاصّة لا فطرة غلامه ، وإنّ للملوك التصرف في مال اليتيم على هذا الوجه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الحكمين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البيّن أنّ الخروج عن مقتضى القواعد المعلومة بمجرّد ورود رواية متروكة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تحمل على ما إذا كان موت مولاه بعد هلال العيد ، فيثبت الزكاة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فتولي العبد لإخراجه من قبل نفسه غير موافق للقواعد إلّا أن يحمل ذلك على صورة الضرورة لعدم إمكان الرجوع إلى من يتولّى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ألحقوا الإغماء بالجنون لاشتراكه معه في ارتفاع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1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مقطوع به في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 في المقام إجماع فلا كلام ، وإلّا فالحكم المذكور لا يخلو من إشكال ؛ إذ لو كان مجرد ذلك كافيا في السقوط لزم القول بسقوطه عن السكران والنائم والناسي والغافل والممنوع ؛ لارتفاع التكليف عن الكلّ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قلنا بأنّ العبرة في ذلك بحال الوجوب لا حال الأداء ، وأمّا إن اعتبرنا ذلك في المقام فلا إشكال في الجميع ؛ لسقوطها من الكل ، وسيأتي الكلام فيه إن شاء اللّه</w:t>
      </w:r>
      <w:r>
        <w:rPr>
          <w:rFonts w:eastAsia="Amiri" w:cs="Amiri" w:ascii="Amiri" w:hAnsi="Amiri"/>
          <w:color w:val="111111"/>
          <w:sz w:val="28"/>
          <w:szCs w:val="28"/>
          <w:rtl w:val="true"/>
          <w:lang w:bidi="ar-SA"/>
        </w:rPr>
        <w:t xml:space="preserve">. </w:t>
      </w:r>
      <w:bookmarkStart w:id="171" w:name="pg15853_153519"/>
    </w:p>
    <w:p>
      <w:pPr>
        <w:pStyle w:val="Heading5"/>
        <w:numPr>
          <w:ilvl w:val="4"/>
          <w:numId w:val="1"/>
        </w:numPr>
        <w:rPr/>
      </w:pPr>
      <w:bookmarkStart w:id="172" w:name="__RefHeading___Toc14587161_2142443653"/>
      <w:bookmarkStart w:id="173" w:name="_Toc63"/>
      <w:bookmarkEnd w:id="171"/>
      <w:bookmarkEnd w:id="172"/>
      <w:r>
        <w:rPr>
          <w:rtl w:val="true"/>
        </w:rPr>
        <w:t>تبصرة</w:t>
      </w:r>
      <w:r>
        <w:rPr>
          <w:rtl w:val="true"/>
        </w:rPr>
        <w:t xml:space="preserve">: [ </w:t>
      </w:r>
      <w:r>
        <w:rPr>
          <w:rtl w:val="true"/>
        </w:rPr>
        <w:t xml:space="preserve">في اشتراط الحرية </w:t>
      </w:r>
      <w:r>
        <w:rPr>
          <w:rtl w:val="true"/>
        </w:rPr>
        <w:t>]</w:t>
      </w:r>
      <w:bookmarkEnd w:id="173"/>
    </w:p>
    <w:p>
      <w:pPr>
        <w:pStyle w:val="BookText"/>
        <w:rPr/>
      </w:pPr>
      <w:r>
        <w:rPr>
          <w:rFonts w:ascii="Amiri" w:hAnsi="Amiri" w:eastAsia="Amiri" w:cs="Amiri"/>
          <w:color w:val="111111"/>
          <w:sz w:val="28"/>
          <w:sz w:val="28"/>
          <w:szCs w:val="28"/>
          <w:rtl w:val="true"/>
          <w:lang w:bidi="ar-SA"/>
        </w:rPr>
        <w:t>ويشترط فيه الحرية ؛ فلا زكاة فطرة على المملوك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جماعة منهم الشيخ في الخلاف </w:t>
      </w:r>
      <w:r>
        <w:rPr>
          <w:rStyle w:val="FootnoteAnchor"/>
          <w:rtl w:val="true"/>
        </w:rPr>
        <w:footnoteReference w:id="1401"/>
      </w:r>
      <w:r>
        <w:rPr>
          <w:rFonts w:ascii="Amiri" w:hAnsi="Amiri" w:eastAsia="Amiri" w:cs="Amiri"/>
          <w:color w:val="111111"/>
          <w:sz w:val="28"/>
          <w:sz w:val="28"/>
          <w:szCs w:val="28"/>
          <w:rtl w:val="true"/>
          <w:lang w:bidi="ar-SA"/>
        </w:rPr>
        <w:t xml:space="preserve">والحلي في السرائر </w:t>
      </w:r>
      <w:r>
        <w:rPr>
          <w:rStyle w:val="FootnoteAnchor"/>
          <w:rtl w:val="true"/>
        </w:rPr>
        <w:footnoteReference w:id="1402"/>
      </w:r>
      <w:r>
        <w:rPr>
          <w:rFonts w:ascii="Amiri" w:hAnsi="Amiri" w:eastAsia="Amiri" w:cs="Amiri"/>
          <w:color w:val="111111"/>
          <w:sz w:val="28"/>
          <w:sz w:val="28"/>
          <w:szCs w:val="28"/>
          <w:rtl w:val="true"/>
          <w:lang w:bidi="ar-SA"/>
        </w:rPr>
        <w:t xml:space="preserve">والعلّامة في منتهى المطلب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1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مجمع عليه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1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ظاهرهم الاتفاق على ذلك لا أعلم فيه مخالفا سوى الصدوق في المكاتب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على القول بنفي الملك عنه مطلقا ظاهر ، وعلى القول بملكه فيدلّ عليه بعد ما عرفت من الإجماع ما دلّ على أن زكاة المملوك على سيّده من غير تفصيل ، فإنّه ظاهر جدا في عدم وجوب الزكاة عليه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عموم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مال المملوك شي‌ء </w:t>
      </w:r>
      <w:r>
        <w:rPr>
          <w:rFonts w:eastAsia="Amiri" w:cs="Amiri" w:ascii="Amiri" w:hAnsi="Amiri"/>
          <w:color w:val="111111"/>
          <w:sz w:val="28"/>
          <w:szCs w:val="28"/>
          <w:rtl w:val="true"/>
          <w:lang w:bidi="ar-SA"/>
        </w:rPr>
        <w:t xml:space="preserve">»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بيده مال عليه </w:t>
      </w:r>
      <w:r>
        <w:rPr>
          <w:rStyle w:val="FootnoteAnchor"/>
          <w:rtl w:val="true"/>
        </w:rPr>
        <w:footnoteReference w:id="1407"/>
      </w:r>
      <w:r>
        <w:rPr>
          <w:rFonts w:ascii="Amiri" w:hAnsi="Amiri" w:eastAsia="Amiri" w:cs="Amiri"/>
          <w:color w:val="111111"/>
          <w:sz w:val="28"/>
          <w:sz w:val="28"/>
          <w:szCs w:val="28"/>
          <w:rtl w:val="true"/>
          <w:lang w:bidi="ar-SA"/>
        </w:rPr>
        <w:t xml:space="preserve">زكاة؟ قال </w:t>
      </w:r>
      <w:r>
        <w:rPr>
          <w:rStyle w:val="FootnoteAnchor"/>
          <w:rtl w:val="true"/>
        </w:rPr>
        <w:footnoteReference w:id="140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سيّده؟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لأنّه لم يصل إلى سيّده ، وليس هو المملوك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استند إليهما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 الأوّل بظهوره في صورة العيلولة ، مضافا إلى ما سيجي‌ء بيانه من سقوط الوجوب عن المولى مع انتفاء العيلولة كما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بظهورهما في زكاة المال جدّا بل صراحة الأخير فيه ، ولذا علّله بعدم وصول المال إلى سيّده ، ونفى الزكاة فيه عن السيد والعبد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الاحتجاج عليه بما رواه في المقنعة عن عبد الرحمن بن الحجاج ، عن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الفطرة على كلّ من تجب عليه الزكاة </w:t>
      </w:r>
      <w:r>
        <w:rPr>
          <w:rFonts w:eastAsia="Amiri" w:cs="Amiri" w:ascii="Amiri" w:hAnsi="Amiri"/>
          <w:color w:val="111111"/>
          <w:sz w:val="28"/>
          <w:szCs w:val="28"/>
          <w:rtl w:val="true"/>
          <w:lang w:bidi="ar-SA"/>
        </w:rPr>
        <w:t xml:space="preserve">» </w:t>
      </w:r>
      <w:r>
        <w:rPr>
          <w:rStyle w:val="FootnoteAnchor"/>
          <w:rtl w:val="true"/>
        </w:rPr>
        <w:footnoteReference w:id="1411"/>
      </w:r>
      <w:r>
        <w:rPr>
          <w:rFonts w:ascii="Amiri" w:hAnsi="Amiri" w:eastAsia="Amiri" w:cs="Amiri"/>
          <w:color w:val="111111"/>
          <w:sz w:val="28"/>
          <w:sz w:val="28"/>
          <w:szCs w:val="28"/>
          <w:rtl w:val="true"/>
          <w:lang w:bidi="ar-SA"/>
        </w:rPr>
        <w:t>فإن ظاهره يشير إلى أن من ليس أهلا لأنّ تجب عليه الزكاة لا تجب الفطرة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عدم وجوب زكاة المال على العبد ، وضعف الإسناد ينجبر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فالحكم المذكور في الجملة ممّا لا كلام فيه ،</w:t>
      </w:r>
    </w:p>
    <w:p>
      <w:pPr>
        <w:pStyle w:val="BookText"/>
        <w:rPr/>
      </w:pPr>
      <w:r>
        <w:rPr>
          <w:rFonts w:ascii="Amiri" w:hAnsi="Amiri" w:eastAsia="Amiri" w:cs="Amiri"/>
          <w:color w:val="111111"/>
          <w:sz w:val="28"/>
          <w:sz w:val="28"/>
          <w:szCs w:val="28"/>
          <w:rtl w:val="true"/>
          <w:lang w:bidi="ar-SA"/>
        </w:rPr>
        <w:t xml:space="preserve">وإنّما الكلام هنا في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في الحكم المذكور بين القن ، والمدبر ، وأم الولد ، والمكاتب المشروط والمطلق الذي لم يتحرّر منه شي‌ء ، وإن كان الأخيران قابلان </w:t>
      </w:r>
      <w:r>
        <w:rPr>
          <w:rStyle w:val="FootnoteAnchor"/>
          <w:rtl w:val="true"/>
        </w:rPr>
        <w:footnoteReference w:id="1412"/>
      </w:r>
      <w:r>
        <w:rPr>
          <w:rFonts w:ascii="Amiri" w:hAnsi="Amiri" w:eastAsia="Amiri" w:cs="Amiri"/>
          <w:color w:val="111111"/>
          <w:sz w:val="28"/>
          <w:sz w:val="28"/>
          <w:szCs w:val="28"/>
          <w:rtl w:val="true"/>
          <w:lang w:bidi="ar-SA"/>
        </w:rPr>
        <w:t>للتملك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1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ظاهرهم الاتفاق على ذلك ولا أعلم فيه مخالفا سوى الصدوق في 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في المكاتب بقسميه المذكورين سقوط الزكاة عنه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1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مذهب الأصحاب لا أعلم فيه مخالفا سوى الصدوق في الفقيه </w:t>
      </w:r>
      <w:r>
        <w:rPr>
          <w:rStyle w:val="FootnoteAnchor"/>
          <w:rtl w:val="true"/>
        </w:rPr>
        <w:footnoteReference w:id="1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واستجوده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w:t>
      </w:r>
      <w:r>
        <w:rPr>
          <w:rStyle w:val="FootnoteAnchor"/>
          <w:rtl w:val="true"/>
        </w:rPr>
        <w:footnoteReference w:id="1416"/>
      </w:r>
      <w:r>
        <w:rPr>
          <w:rFonts w:ascii="Amiri" w:hAnsi="Amiri" w:eastAsia="Amiri" w:cs="Amiri"/>
          <w:color w:val="111111"/>
          <w:sz w:val="28"/>
          <w:sz w:val="28"/>
          <w:szCs w:val="28"/>
          <w:rtl w:val="true"/>
          <w:lang w:bidi="ar-SA"/>
        </w:rPr>
        <w:t xml:space="preserve">أفتى في الحدائق </w:t>
      </w:r>
      <w:r>
        <w:rPr>
          <w:rStyle w:val="FootnoteAnchor"/>
          <w:rtl w:val="true"/>
        </w:rPr>
        <w:footnoteReference w:id="1417"/>
      </w:r>
      <w:r>
        <w:rPr>
          <w:rFonts w:ascii="Amiri" w:hAnsi="Amiri" w:eastAsia="Amiri" w:cs="Amiri"/>
          <w:color w:val="111111"/>
          <w:sz w:val="28"/>
          <w:sz w:val="28"/>
          <w:szCs w:val="28"/>
          <w:rtl w:val="true"/>
          <w:lang w:bidi="ar-SA"/>
        </w:rPr>
        <w:t xml:space="preserve">، وحجّتهم على ذلك صحيحة عليّ بن جعفر أنّه سأل أخاه موسى عليه‌السلام عن المكاتب ، هل عليه فطرة شهر رمضان أو على من كاتبه وتجوز </w:t>
      </w:r>
    </w:p>
    <w:p>
      <w:pPr>
        <w:pStyle w:val="BookText"/>
        <w:rPr/>
      </w:pPr>
      <w:r>
        <w:rPr>
          <w:rFonts w:ascii="Amiri" w:hAnsi="Amiri" w:eastAsia="Amiri" w:cs="Amiri"/>
          <w:color w:val="111111"/>
          <w:sz w:val="28"/>
          <w:sz w:val="28"/>
          <w:szCs w:val="28"/>
          <w:rtl w:val="true"/>
          <w:lang w:bidi="ar-SA"/>
        </w:rPr>
        <w:t xml:space="preserve">شهادته؟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الفطرة عليه ولا تجوز شهادته </w:t>
      </w:r>
      <w:r>
        <w:rPr>
          <w:rFonts w:eastAsia="Amiri" w:cs="Amiri" w:ascii="Amiri" w:hAnsi="Amiri"/>
          <w:color w:val="111111"/>
          <w:sz w:val="28"/>
          <w:szCs w:val="28"/>
          <w:rtl w:val="true"/>
          <w:lang w:bidi="ar-SA"/>
        </w:rPr>
        <w:t xml:space="preserve">» </w:t>
      </w:r>
      <w:r>
        <w:rPr>
          <w:rStyle w:val="FootnoteAnchor"/>
          <w:rtl w:val="true"/>
        </w:rPr>
        <w:footnoteReference w:id="1418"/>
      </w: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على الإنكار </w:t>
      </w:r>
      <w:r>
        <w:rPr>
          <w:rStyle w:val="FootnoteAnchor"/>
          <w:rtl w:val="true"/>
        </w:rPr>
        <w:footnoteReference w:id="1419"/>
      </w:r>
      <w:r>
        <w:rPr>
          <w:rFonts w:ascii="Amiri" w:hAnsi="Amiri" w:eastAsia="Amiri" w:cs="Amiri"/>
          <w:color w:val="111111"/>
          <w:sz w:val="28"/>
          <w:sz w:val="28"/>
          <w:szCs w:val="28"/>
          <w:rtl w:val="true"/>
          <w:lang w:bidi="ar-SA"/>
        </w:rPr>
        <w:t xml:space="preserve">لا على الاختيار ، يريد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يجب عليه الفطرة ولا تجوز شهادته؟ </w:t>
      </w:r>
      <w:r>
        <w:rPr>
          <w:rFonts w:eastAsia="Amiri" w:cs="Amiri" w:ascii="Amiri" w:hAnsi="Amiri"/>
          <w:color w:val="111111"/>
          <w:sz w:val="28"/>
          <w:szCs w:val="28"/>
          <w:rtl w:val="true"/>
          <w:lang w:bidi="ar-SA"/>
        </w:rPr>
        <w:t xml:space="preserve">» </w:t>
      </w:r>
      <w:r>
        <w:rPr>
          <w:rStyle w:val="FootnoteAnchor"/>
          <w:rtl w:val="true"/>
        </w:rPr>
        <w:footnoteReference w:id="1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شهادته جائزة كما أنّ الفطرة عليه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الرواية إرادة الإخبار ، وحملها على الإنكار بعيد جدا ؛ إذ المفروض وقوع السؤال عن الأمرين ، وليس في السؤال حكاية القول بعدم جواز شهادته وثبوت الفطرة عليه حتى يقابل ذلك بالإنكار ، وحينئذ فما تضمّنه متروك في المقامين سيّما الأخير ؛ للاتفاق على قبول شهادة العبد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فبملاحظة ما قرّر ظهر ضعف الاسناد </w:t>
      </w:r>
      <w:r>
        <w:rPr>
          <w:rStyle w:val="FootnoteAnchor"/>
          <w:rtl w:val="true"/>
        </w:rPr>
        <w:footnoteReference w:id="1421"/>
      </w:r>
      <w:r>
        <w:rPr>
          <w:rFonts w:ascii="Amiri" w:hAnsi="Amiri" w:eastAsia="Amiri" w:cs="Amiri"/>
          <w:color w:val="111111"/>
          <w:sz w:val="28"/>
          <w:sz w:val="28"/>
          <w:szCs w:val="28"/>
          <w:rtl w:val="true"/>
          <w:lang w:bidi="ar-SA"/>
        </w:rPr>
        <w:t xml:space="preserve">إلى الرواية ، مضافا إلى معارضتها بالمرفوعة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يؤدي الرجل زكاة الفطرة عن مكاتبة ورقيق وامرأته </w:t>
      </w:r>
      <w:r>
        <w:rPr>
          <w:rStyle w:val="FootnoteAnchor"/>
          <w:rtl w:val="true"/>
        </w:rPr>
        <w:footnoteReference w:id="1422"/>
      </w:r>
      <w:r>
        <w:rPr>
          <w:rFonts w:ascii="Amiri" w:hAnsi="Amiri" w:eastAsia="Amiri" w:cs="Amiri"/>
          <w:color w:val="111111"/>
          <w:sz w:val="28"/>
          <w:sz w:val="28"/>
          <w:szCs w:val="28"/>
          <w:rtl w:val="true"/>
          <w:lang w:bidi="ar-SA"/>
        </w:rPr>
        <w:t xml:space="preserve">وعبده النصراني والمجوسي وما أغلق عليه بابه </w:t>
      </w:r>
      <w:r>
        <w:rPr>
          <w:rFonts w:eastAsia="Amiri" w:cs="Amiri" w:ascii="Amiri" w:hAnsi="Amiri"/>
          <w:color w:val="111111"/>
          <w:sz w:val="28"/>
          <w:szCs w:val="28"/>
          <w:rtl w:val="true"/>
          <w:lang w:bidi="ar-SA"/>
        </w:rPr>
        <w:t xml:space="preserve">» </w:t>
      </w:r>
      <w:r>
        <w:rPr>
          <w:rStyle w:val="FootnoteAnchor"/>
          <w:rtl w:val="true"/>
        </w:rPr>
        <w:footnoteReference w:id="1423"/>
      </w:r>
      <w:r>
        <w:rPr>
          <w:rFonts w:ascii="Amiri" w:hAnsi="Amiri" w:eastAsia="Amiri" w:cs="Amiri"/>
          <w:color w:val="111111"/>
          <w:sz w:val="28"/>
          <w:sz w:val="28"/>
          <w:szCs w:val="28"/>
          <w:rtl w:val="true"/>
          <w:lang w:bidi="ar-SA"/>
        </w:rPr>
        <w:t>فإنّ قضية ثبوتها على مولاه سقوطها عنه إلّا أن في دلالتها ضعفا ؛ لاستظهار ورودها فيما إذا اندرج في العيال ، ولا كلام إذن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المكاتب إن اندرج في عيال مولاه كانت فطرته عليه من غير إشكال ، فيسقط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اندرج في عيال الغير كانت الفطرة على ذلك الغير ، وإن صرف على نفسه من ماله بإذن المولى أو بغير إذنه لم يثبت فطرته على مولاه ؛ لخروجه عن عيلولته ؛ إذ أن له </w:t>
      </w:r>
      <w:r>
        <w:rPr>
          <w:rStyle w:val="FootnoteAnchor"/>
          <w:rtl w:val="true"/>
        </w:rPr>
        <w:footnoteReference w:id="1424"/>
      </w:r>
      <w:r>
        <w:rPr>
          <w:rFonts w:ascii="IRNazanin" w:hAnsi="IRNazanin" w:eastAsia="IRNazanin"/>
          <w:color w:val="111111"/>
          <w:sz w:val="28"/>
          <w:sz w:val="28"/>
          <w:szCs w:val="28"/>
          <w:rtl w:val="true"/>
          <w:lang w:bidi="fa-IR"/>
        </w:rPr>
        <w:t>الصرف على بعض الوجوه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قوّة القول بسقوط نفقة العبد القنّ مع خروجه عن عيلولة المولى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والاحتجاج </w:t>
      </w:r>
      <w:r>
        <w:rPr>
          <w:rStyle w:val="FootnoteAnchor"/>
          <w:rtl w:val="true"/>
        </w:rPr>
        <w:footnoteReference w:id="1425"/>
      </w:r>
      <w:r>
        <w:rPr>
          <w:rFonts w:ascii="Amiri" w:hAnsi="Amiri" w:eastAsia="Amiri" w:cs="Amiri"/>
          <w:color w:val="111111"/>
          <w:sz w:val="28"/>
          <w:sz w:val="28"/>
          <w:szCs w:val="28"/>
          <w:rtl w:val="true"/>
          <w:lang w:bidi="ar-SA"/>
        </w:rPr>
        <w:t xml:space="preserve">بالخبر المذكور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اتفق لغير واحد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متّجه ، بقي </w:t>
      </w:r>
      <w:r>
        <w:rPr>
          <w:rStyle w:val="FootnoteAnchor"/>
          <w:rtl w:val="true"/>
        </w:rPr>
        <w:footnoteReference w:id="1426"/>
      </w:r>
      <w:r>
        <w:rPr>
          <w:rFonts w:ascii="Amiri" w:hAnsi="Amiri" w:eastAsia="Amiri" w:cs="Amiri"/>
          <w:color w:val="111111"/>
          <w:sz w:val="28"/>
          <w:sz w:val="28"/>
          <w:szCs w:val="28"/>
          <w:rtl w:val="true"/>
          <w:lang w:bidi="ar-SA"/>
        </w:rPr>
        <w:t>الصحيحة المذكورة خالية عن المعارض إلّا أنّها موهونة بإعراض الأكثر عنها ، لكنّها مؤيّدة بإطلاق ما دلّ على وجوب الزكاة الفطرة لشمول غير واحد منها آحاد المكلّفين خرج عنها المملوك الغير المكاتب ؛ لما عرفت ، فتبقى غيره تحت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عرفت من ظهور رواية المقنعة في عدم وجوب الفطرة على من لا يجب عليه الزكاة الشامل للمقام ؛ لما مرّ من عدم وجوب الزكاة المال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مقيّدة لتلك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 الإسناد منجبر بالعمل والأصل ، وبذلك يظهر قوة القول المشهور ، غير أنّ المسألة غير خالية عن شوب </w:t>
      </w:r>
      <w:r>
        <w:rPr>
          <w:rStyle w:val="FootnoteAnchor"/>
          <w:rtl w:val="true"/>
        </w:rPr>
        <w:footnoteReference w:id="1427"/>
      </w: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تحرر من المكاتب المطلق شي‌ء وإن </w:t>
      </w:r>
      <w:r>
        <w:rPr>
          <w:rStyle w:val="FootnoteAnchor"/>
          <w:rtl w:val="true"/>
        </w:rPr>
        <w:footnoteReference w:id="1428"/>
      </w:r>
      <w:r>
        <w:rPr>
          <w:rFonts w:ascii="Amiri" w:hAnsi="Amiri" w:eastAsia="Amiri" w:cs="Amiri"/>
          <w:color w:val="111111"/>
          <w:sz w:val="28"/>
          <w:sz w:val="28"/>
          <w:szCs w:val="28"/>
          <w:rtl w:val="true"/>
          <w:lang w:bidi="ar-SA"/>
        </w:rPr>
        <w:t xml:space="preserve">كان في عيلولة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مولاه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فالفطرة عليه ، وإلّا كانت فطرته عليه وعلى مولاه بالنسبة ، على المعروف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وأسنده في الحدائق </w:t>
      </w:r>
      <w:r>
        <w:rPr>
          <w:rStyle w:val="FootnoteAnchor"/>
          <w:rtl w:val="true"/>
        </w:rPr>
        <w:footnoteReference w:id="1429"/>
      </w:r>
      <w:r>
        <w:rPr>
          <w:rFonts w:ascii="Amiri" w:hAnsi="Amiri" w:eastAsia="Amiri" w:cs="Amiri"/>
          <w:color w:val="111111"/>
          <w:sz w:val="28"/>
          <w:sz w:val="28"/>
          <w:szCs w:val="28"/>
          <w:rtl w:val="true"/>
          <w:lang w:bidi="ar-SA"/>
        </w:rPr>
        <w:t>إلى ظاهر الأصحاب مؤذنا بإطباقهم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ذلك بأنّ النصيب المملوك يجب نفقته على المالك ، فتكون فطرته لازمة عليه ، ونصيبه الحر لا يتعلّق بالسيّد بل يكون واجبة عليه ، أخذا بالإطلاق كما إذا ملك بجزئه الحر ما تجب فيه الزكاة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بابتناء ما علّل به وجوب فطرته بحسب حصته المملوكة على مولاه على تبعية وجوب الفطرة على وجوب النفقة ، وليس كذلك كما سيأتي ، وبحسب جزئه الحر على نفسه على شمول الإطلاق له ، وهو محلّ تأمّل ؛ لانصراف الإطلاقات إلى الأفراد الشائعة دون </w:t>
      </w:r>
    </w:p>
    <w:p>
      <w:pPr>
        <w:pStyle w:val="BookText"/>
        <w:rPr/>
      </w:pPr>
      <w:r>
        <w:rPr>
          <w:rFonts w:ascii="Amiri" w:hAnsi="Amiri" w:eastAsia="Amiri" w:cs="Amiri"/>
          <w:color w:val="111111"/>
          <w:sz w:val="28"/>
          <w:sz w:val="28"/>
          <w:szCs w:val="28"/>
          <w:rtl w:val="true"/>
          <w:lang w:bidi="ar-SA"/>
        </w:rPr>
        <w:t>الفروض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دفعه بأن ندرة وجود الفرد المفروض لا يقضي بعدم شمول الإطلاق له مع صدق المطلق عليه بعد وجوده ؛ إذ ليس كلّ ندرة باعثا على عدم شمول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القول باعتبار العيلولة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الفطرة ينبغي تقييد الحكم في المقام بما إذا أنفق عليه المولى بالنسبة وإن كان في صدق العيلولة </w:t>
      </w:r>
      <w:r>
        <w:rPr>
          <w:rFonts w:eastAsia="Amiri" w:cs="Amiri" w:ascii="Amiri" w:hAnsi="Amiri"/>
          <w:color w:val="111111"/>
          <w:sz w:val="28"/>
          <w:szCs w:val="28"/>
          <w:rtl w:val="true"/>
          <w:lang w:bidi="ar-SA"/>
        </w:rPr>
        <w:t xml:space="preserve">) </w:t>
      </w:r>
      <w:r>
        <w:rPr>
          <w:rStyle w:val="FootnoteAnchor"/>
          <w:rtl w:val="true"/>
        </w:rPr>
        <w:footnoteReference w:id="1430"/>
      </w:r>
      <w:r>
        <w:rPr>
          <w:rFonts w:ascii="Amiri" w:hAnsi="Amiri" w:eastAsia="Amiri" w:cs="Amiri"/>
          <w:color w:val="111111"/>
          <w:sz w:val="28"/>
          <w:sz w:val="28"/>
          <w:szCs w:val="28"/>
          <w:rtl w:val="true"/>
          <w:lang w:bidi="ar-SA"/>
        </w:rPr>
        <w:t>حينئذ عليه إشكال إلّا أن الأظهر الاكتفاء به كما يظهر من ملاحظة الحال في العبد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يظهر من التتبع عن إجراء حكم الحرّ والمملوك بالنسبة إلى المبعّض في كثير من المقامات كما يظهر من ملاحظة المواريث والحدود والديات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قررنا يظهر ضعف ما حكى عن الشيخ من سقوط فطرته عن نفسه وعن المولى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لما عرفت من عدم صدق الحرّ عليه ولا المملوك لخروج المجموع عنهما فلا يندرج في شي‌ء منهما ليثبت له أحد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ولا فرق فيما ذكرناه بين المكاتب وساير صور المبعّض </w:t>
      </w:r>
      <w:r>
        <w:rPr>
          <w:rStyle w:val="FootnoteAnchor"/>
          <w:rtl w:val="true"/>
        </w:rPr>
        <w:footnoteReference w:id="1431"/>
      </w:r>
      <w:r>
        <w:rPr>
          <w:rFonts w:ascii="Amiri" w:hAnsi="Amiri" w:eastAsia="Amiri" w:cs="Amiri"/>
          <w:color w:val="111111"/>
          <w:sz w:val="28"/>
          <w:sz w:val="28"/>
          <w:szCs w:val="28"/>
          <w:rtl w:val="true"/>
          <w:lang w:bidi="ar-SA"/>
        </w:rPr>
        <w:t>لاشتراك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على قول الصدوق من وجوب الزكاة على المكاتب يثبت الفرق ، وليس لأجل التبعّض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تجب على العبد فطرة نفسه كذا لا تجب عليه الفطرة عن زوجته أو مملوكته وإن قلنا بملكه ؛ لما عرفت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وصرّح في منتهى المطلب </w:t>
      </w:r>
      <w:r>
        <w:rPr>
          <w:rStyle w:val="FootnoteAnchor"/>
          <w:rtl w:val="true"/>
        </w:rPr>
        <w:footnoteReference w:id="1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يقتضيه المذهب وجوب فطرة مملوك المملوك على مولاه لأنّه المالك في الحقيقة والعبد مالك بمعنى اساغة </w:t>
      </w:r>
      <w:r>
        <w:rPr>
          <w:rStyle w:val="FootnoteAnchor"/>
          <w:rtl w:val="true"/>
        </w:rPr>
        <w:footnoteReference w:id="1433"/>
      </w:r>
      <w:r>
        <w:rPr>
          <w:rFonts w:ascii="Amiri" w:hAnsi="Amiri" w:eastAsia="Amiri" w:cs="Amiri"/>
          <w:color w:val="111111"/>
          <w:sz w:val="28"/>
          <w:sz w:val="28"/>
          <w:szCs w:val="28"/>
          <w:rtl w:val="true"/>
          <w:lang w:bidi="ar-SA"/>
        </w:rPr>
        <w:t>التصرف ، ولأن ملكه ناقص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ونصّ في التذكرة </w:t>
      </w:r>
      <w:r>
        <w:rPr>
          <w:rStyle w:val="FootnoteAnchor"/>
          <w:rtl w:val="true"/>
        </w:rPr>
        <w:footnoteReference w:id="1434"/>
      </w:r>
      <w:r>
        <w:rPr>
          <w:rFonts w:ascii="Amiri" w:hAnsi="Amiri" w:eastAsia="Amiri" w:cs="Amiri"/>
          <w:color w:val="111111"/>
          <w:sz w:val="28"/>
          <w:sz w:val="28"/>
          <w:szCs w:val="28"/>
          <w:rtl w:val="true"/>
          <w:lang w:bidi="ar-SA"/>
        </w:rPr>
        <w:t>على أنه لا يجب عليه إخراج الزكاة عن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في البيان </w:t>
      </w:r>
      <w:r>
        <w:rPr>
          <w:rStyle w:val="FootnoteAnchor"/>
          <w:rtl w:val="true"/>
        </w:rPr>
        <w:footnoteReference w:id="1435"/>
      </w:r>
      <w:r>
        <w:rPr>
          <w:rFonts w:ascii="Amiri" w:hAnsi="Amiri" w:eastAsia="Amiri" w:cs="Amiri"/>
          <w:color w:val="111111"/>
          <w:sz w:val="28"/>
          <w:sz w:val="28"/>
          <w:szCs w:val="28"/>
          <w:rtl w:val="true"/>
          <w:lang w:bidi="ar-SA"/>
        </w:rPr>
        <w:t>احتمال عدم وجوب زكاة مملوكه عليه ، ولا على مولاه ؛ لمانع المملوكية في الأول وانتفاء الملكيّة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وجوب فطرتهما على المولى على العيلولة ، ومع عدمها فعلى القول بعدم ملك العبد لا كلام ، وأمّا على القول بملك العبد وثبوت العيلولة بالنسبة إليه ففيه الإشكال المتقدم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فيه أيضا حسبما عرفت عدم الوجوب ، فلا يجب على المولى لانتفاء العيلولة ، ولا على العبد لانتفاء شرط التكليف</w:t>
      </w:r>
      <w:r>
        <w:rPr>
          <w:rFonts w:eastAsia="Amiri" w:cs="Amiri" w:ascii="Amiri" w:hAnsi="Amiri"/>
          <w:color w:val="111111"/>
          <w:sz w:val="28"/>
          <w:szCs w:val="28"/>
          <w:rtl w:val="true"/>
          <w:lang w:bidi="ar-SA"/>
        </w:rPr>
        <w:t xml:space="preserve">. </w:t>
      </w:r>
      <w:bookmarkStart w:id="174" w:name="pg15853_153525"/>
    </w:p>
    <w:p>
      <w:pPr>
        <w:pStyle w:val="Heading5"/>
        <w:numPr>
          <w:ilvl w:val="4"/>
          <w:numId w:val="1"/>
        </w:numPr>
        <w:rPr/>
      </w:pPr>
      <w:bookmarkStart w:id="175" w:name="__RefHeading___Toc14587163_2142443653"/>
      <w:bookmarkStart w:id="176" w:name="_Toc64"/>
      <w:bookmarkEnd w:id="174"/>
      <w:bookmarkEnd w:id="175"/>
      <w:r>
        <w:rPr>
          <w:rtl w:val="true"/>
        </w:rPr>
        <w:t>تبصرة</w:t>
      </w:r>
      <w:r>
        <w:rPr>
          <w:rtl w:val="true"/>
        </w:rPr>
        <w:t xml:space="preserve">: [ </w:t>
      </w:r>
      <w:r>
        <w:rPr>
          <w:rtl w:val="true"/>
        </w:rPr>
        <w:t xml:space="preserve">في اشتراط الغنى </w:t>
      </w:r>
      <w:r>
        <w:rPr>
          <w:rtl w:val="true"/>
        </w:rPr>
        <w:t>]</w:t>
      </w:r>
      <w:bookmarkEnd w:id="176"/>
    </w:p>
    <w:p>
      <w:pPr>
        <w:pStyle w:val="BookText"/>
        <w:rPr/>
      </w:pPr>
      <w:r>
        <w:rPr>
          <w:rFonts w:ascii="Amiri" w:hAnsi="Amiri" w:eastAsia="Amiri" w:cs="Amiri"/>
          <w:color w:val="111111"/>
          <w:sz w:val="28"/>
          <w:sz w:val="28"/>
          <w:szCs w:val="28"/>
          <w:rtl w:val="true"/>
          <w:lang w:bidi="ar-SA"/>
        </w:rPr>
        <w:t>ومن شرائط وجوبها أن يكون الدافع غنيّا وهو من يملك مؤنة نفسه وعياله فعلا أو قوة حسبما مرّ تفصيل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الكلام في المرام في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الوجوب بالغناء ، فالمعروف من مذهب الأصحاب اعتباره فيه وعليه عامة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الفاضلين في المعتبر </w:t>
      </w:r>
      <w:r>
        <w:rPr>
          <w:rStyle w:val="FootnoteAnchor"/>
          <w:rtl w:val="true"/>
        </w:rPr>
        <w:footnoteReference w:id="1436"/>
      </w:r>
      <w:r>
        <w:rPr>
          <w:rFonts w:ascii="IRNazanin" w:hAnsi="IRNazanin" w:eastAsia="IRNazanin"/>
          <w:color w:val="111111"/>
          <w:sz w:val="28"/>
          <w:sz w:val="28"/>
          <w:szCs w:val="28"/>
          <w:rtl w:val="true"/>
          <w:lang w:bidi="fa-IR"/>
        </w:rPr>
        <w:t xml:space="preserve">والمنتهى </w:t>
      </w:r>
      <w:r>
        <w:rPr>
          <w:rStyle w:val="FootnoteAnchor"/>
          <w:rtl w:val="true"/>
        </w:rPr>
        <w:footnoteReference w:id="1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مذهب علمائنا أجمع عدا الإسكافي ، فانّه قال بوجوبها على من فضل من مؤنته ومؤنة عياله ليومه وليلته 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وعزاه في الخلاف </w:t>
      </w:r>
      <w:r>
        <w:rPr>
          <w:rStyle w:val="FootnoteAnchor"/>
          <w:rtl w:val="true"/>
        </w:rPr>
        <w:footnoteReference w:id="1438"/>
      </w:r>
      <w:r>
        <w:rPr>
          <w:rFonts w:ascii="Amiri" w:hAnsi="Amiri" w:eastAsia="Amiri" w:cs="Amiri"/>
          <w:color w:val="111111"/>
          <w:sz w:val="28"/>
          <w:sz w:val="28"/>
          <w:szCs w:val="28"/>
          <w:rtl w:val="true"/>
          <w:lang w:bidi="ar-SA"/>
        </w:rPr>
        <w:t>إلى كثير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أريد بذلك وجوب فطرة نفسه عليه حينئذ أو وجوب الفطرة عليه في الجملة لا وجوبها عليه بمجرّد ذلك مطلقا ، والأظهر الأوّل للمعتبرة المستفيضة الدالّة عليه المعتضدة بالأصل وعمل الأصحاب ، ففي صحيحة الحلبي عن الصادق عليه‌السلام أنّه سئل عن رجل يأخذ من الزكاة عليه </w:t>
      </w:r>
      <w:r>
        <w:rPr>
          <w:rStyle w:val="FootnoteAnchor"/>
          <w:rtl w:val="true"/>
        </w:rPr>
        <w:footnoteReference w:id="1439"/>
      </w:r>
      <w:r>
        <w:rPr>
          <w:rFonts w:ascii="Amiri" w:hAnsi="Amiri" w:eastAsia="Amiri" w:cs="Amiri"/>
          <w:color w:val="111111"/>
          <w:sz w:val="28"/>
          <w:sz w:val="28"/>
          <w:szCs w:val="28"/>
          <w:rtl w:val="true"/>
          <w:lang w:bidi="ar-SA"/>
        </w:rPr>
        <w:t xml:space="preserve">صدقة والفطرة؟ قال </w:t>
      </w:r>
      <w:r>
        <w:rPr>
          <w:rStyle w:val="FootnoteAnchor"/>
          <w:rtl w:val="true"/>
        </w:rPr>
        <w:footnoteReference w:id="144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معناه الموثق كالصحيح وخبران آخران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Style w:val="FootnoteAnchor"/>
          <w:rtl w:val="true"/>
        </w:rPr>
        <w:footnoteReference w:id="1441"/>
      </w:r>
      <w:r>
        <w:rPr>
          <w:rFonts w:ascii="Amiri" w:hAnsi="Amiri" w:eastAsia="Amiri" w:cs="Amiri"/>
          <w:color w:val="111111"/>
          <w:sz w:val="28"/>
          <w:sz w:val="28"/>
          <w:szCs w:val="28"/>
          <w:rtl w:val="true"/>
          <w:lang w:bidi="ar-SA"/>
        </w:rPr>
        <w:t xml:space="preserve">الرجل المحتاج صدقة الفطرة؟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فطرة </w:t>
      </w:r>
      <w:r>
        <w:rPr>
          <w:rFonts w:eastAsia="Amiri" w:cs="Amiri" w:ascii="Amiri" w:hAnsi="Amiri"/>
          <w:color w:val="111111"/>
          <w:sz w:val="28"/>
          <w:szCs w:val="28"/>
          <w:rtl w:val="true"/>
          <w:lang w:bidi="ar-SA"/>
        </w:rPr>
        <w:t xml:space="preserve">»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ما في الصحيح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وقويّة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تحل الفطرة؟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لا يجد ، ومن حلّت له لم تحل عليه ، ومن حلّت عليه لم تحل له </w:t>
      </w:r>
      <w:r>
        <w:rPr>
          <w:rFonts w:eastAsia="Amiri" w:cs="Amiri" w:ascii="Amiri" w:hAnsi="Amiri"/>
          <w:color w:val="111111"/>
          <w:sz w:val="28"/>
          <w:szCs w:val="28"/>
          <w:rtl w:val="true"/>
          <w:lang w:bidi="ar-SA"/>
        </w:rPr>
        <w:t xml:space="preserve">»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المفيد في المقنعة </w:t>
      </w:r>
      <w:r>
        <w:rPr>
          <w:rStyle w:val="FootnoteAnchor"/>
          <w:rtl w:val="true"/>
        </w:rPr>
        <w:footnoteReference w:id="1444"/>
      </w:r>
      <w:r>
        <w:rPr>
          <w:rFonts w:ascii="Amiri" w:hAnsi="Amiri" w:eastAsia="Amiri" w:cs="Amiri"/>
          <w:color w:val="111111"/>
          <w:sz w:val="28"/>
          <w:sz w:val="28"/>
          <w:szCs w:val="28"/>
          <w:rtl w:val="true"/>
          <w:lang w:bidi="ar-SA"/>
        </w:rPr>
        <w:t xml:space="preserve">عن يونس بن عمار ،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w:t>
      </w:r>
      <w:r>
        <w:rPr>
          <w:rStyle w:val="FootnoteAnchor"/>
          <w:rtl w:val="true"/>
        </w:rPr>
        <w:footnoteReference w:id="1445"/>
      </w:r>
      <w:r>
        <w:rPr>
          <w:rFonts w:ascii="Amiri" w:hAnsi="Amiri" w:eastAsia="Amiri" w:cs="Amiri"/>
          <w:color w:val="111111"/>
          <w:sz w:val="28"/>
          <w:sz w:val="28"/>
          <w:szCs w:val="28"/>
          <w:rtl w:val="true"/>
          <w:lang w:bidi="ar-SA"/>
        </w:rPr>
        <w:t xml:space="preserve">الزكاة على من عنده قوت السنة ويجب </w:t>
      </w:r>
      <w:r>
        <w:rPr>
          <w:rStyle w:val="FootnoteAnchor"/>
          <w:rtl w:val="true"/>
        </w:rPr>
        <w:footnoteReference w:id="1446"/>
      </w:r>
      <w:r>
        <w:rPr>
          <w:rFonts w:ascii="Amiri" w:hAnsi="Amiri" w:eastAsia="Amiri" w:cs="Amiri"/>
          <w:color w:val="111111"/>
          <w:sz w:val="28"/>
          <w:sz w:val="28"/>
          <w:szCs w:val="28"/>
          <w:rtl w:val="true"/>
          <w:lang w:bidi="ar-SA"/>
        </w:rPr>
        <w:t xml:space="preserve">الفطرة على من عنده قوت السنة </w:t>
      </w:r>
      <w:r>
        <w:rPr>
          <w:rFonts w:eastAsia="Amiri" w:cs="Amiri" w:ascii="Amiri" w:hAnsi="Amiri"/>
          <w:color w:val="111111"/>
          <w:sz w:val="28"/>
          <w:szCs w:val="28"/>
          <w:rtl w:val="true"/>
          <w:lang w:bidi="ar-SA"/>
        </w:rPr>
        <w:t xml:space="preserve">»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 المراد من قوت السنة مطلقا مؤنتها كما يشير إليه غيرها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مقابلة هذه الأخبار أخبار أخر مشتملة على المعتبرة ظاهرة في وجوبها على الفقير أيضا ، منها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الذي يتصدّق عليه هل يجب عليه صدقة الفطرة؟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يعطي مما يتصدق عليه </w:t>
      </w:r>
      <w:r>
        <w:rPr>
          <w:rFonts w:eastAsia="Amiri" w:cs="Amiri" w:ascii="Amiri" w:hAnsi="Amiri"/>
          <w:color w:val="111111"/>
          <w:sz w:val="28"/>
          <w:szCs w:val="28"/>
          <w:rtl w:val="true"/>
          <w:lang w:bidi="ar-SA"/>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يحمل على ما إذا حصل له الغنى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يشهد له خبر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Style w:val="FootnoteAnchor"/>
          <w:rtl w:val="true"/>
        </w:rPr>
        <w:footnoteReference w:id="1449"/>
      </w:r>
      <w:r>
        <w:rPr>
          <w:rFonts w:ascii="Amiri" w:hAnsi="Amiri" w:eastAsia="Amiri" w:cs="Amiri"/>
          <w:color w:val="111111"/>
          <w:sz w:val="28"/>
          <w:sz w:val="28"/>
          <w:szCs w:val="28"/>
          <w:rtl w:val="true"/>
          <w:lang w:bidi="ar-SA"/>
        </w:rPr>
        <w:t xml:space="preserve">من قبل الزكاة زكاة؟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من قبل زكاة المال فإنّ عليه زكاة الفطرة ، وليس عليه لما قبله زكاة وليس على من يقبل الفطرة فطرة </w:t>
      </w:r>
      <w:r>
        <w:rPr>
          <w:rFonts w:eastAsia="Amiri" w:cs="Amiri" w:ascii="Amiri" w:hAnsi="Amiri"/>
          <w:color w:val="111111"/>
          <w:sz w:val="28"/>
          <w:szCs w:val="28"/>
          <w:rtl w:val="true"/>
          <w:lang w:bidi="ar-SA"/>
        </w:rPr>
        <w:t xml:space="preserve">»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المفيد في المقنعة </w:t>
      </w:r>
      <w:r>
        <w:rPr>
          <w:rStyle w:val="FootnoteAnchor"/>
          <w:rtl w:val="true"/>
        </w:rPr>
        <w:footnoteReference w:id="1451"/>
      </w:r>
      <w:r>
        <w:rPr>
          <w:rFonts w:ascii="Amiri" w:hAnsi="Amiri" w:eastAsia="Amiri" w:cs="Amiri"/>
          <w:color w:val="111111"/>
          <w:sz w:val="28"/>
          <w:sz w:val="28"/>
          <w:szCs w:val="28"/>
          <w:rtl w:val="true"/>
          <w:lang w:bidi="ar-SA"/>
        </w:rPr>
        <w:t xml:space="preserve">عن زرارة والفضيل مع إسقاط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عليه لما قبله </w:t>
      </w:r>
    </w:p>
    <w:p>
      <w:pPr>
        <w:pStyle w:val="BookText"/>
        <w:rPr/>
      </w:pPr>
      <w:r>
        <w:rPr>
          <w:rFonts w:ascii="Amiri" w:hAnsi="Amiri" w:eastAsia="Amiri" w:cs="Amiri"/>
          <w:color w:val="111111"/>
          <w:sz w:val="28"/>
          <w:sz w:val="28"/>
          <w:szCs w:val="28"/>
          <w:rtl w:val="true"/>
          <w:lang w:bidi="ar-SA"/>
        </w:rPr>
        <w:t xml:space="preserve">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تضمّنه من التفصيل ممّا لم يقل به أحد ، فليحمل على ما ذكرناه من حصول الغنى بقبول زكاة المال ، وإنّما فصّل بين الأمرين لبعد حصول الغنى بالفطرة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زكاة الفطرة صاع من تمر أو صاع من زبيب أو صاع من شعير أو صاع من أقطّ من كلّ انسان حر أو عبد كبير أو صغير ، وليس على من لا يجد ما يتصدق به حرج </w:t>
      </w:r>
      <w:r>
        <w:rPr>
          <w:rFonts w:eastAsia="Amiri" w:cs="Amiri" w:ascii="Amiri" w:hAnsi="Amiri"/>
          <w:color w:val="111111"/>
          <w:sz w:val="28"/>
          <w:szCs w:val="28"/>
          <w:rtl w:val="true"/>
          <w:lang w:bidi="ar-SA"/>
        </w:rPr>
        <w:t xml:space="preserve">»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كما ترى </w:t>
      </w:r>
      <w:r>
        <w:rPr>
          <w:rStyle w:val="FootnoteAnchor"/>
          <w:rtl w:val="true"/>
        </w:rPr>
        <w:footnoteReference w:id="1453"/>
      </w:r>
      <w:r>
        <w:rPr>
          <w:rFonts w:ascii="Amiri" w:hAnsi="Amiri" w:eastAsia="Amiri" w:cs="Amiri"/>
          <w:color w:val="111111"/>
          <w:sz w:val="28"/>
          <w:sz w:val="28"/>
          <w:szCs w:val="28"/>
          <w:rtl w:val="true"/>
          <w:lang w:bidi="ar-SA"/>
        </w:rPr>
        <w:t>غير واضحة الدلالة على ذلك ، وإنّما فيه إطلاق وفي آخره إيماء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المروي في الإقبال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واجبة على كل مسلم محتاج أو موسر يقدر على فطرة </w:t>
      </w:r>
      <w:r>
        <w:rPr>
          <w:rFonts w:eastAsia="Amiri" w:cs="Amiri" w:ascii="Amiri" w:hAnsi="Amiri"/>
          <w:color w:val="111111"/>
          <w:sz w:val="28"/>
          <w:szCs w:val="28"/>
          <w:rtl w:val="true"/>
          <w:lang w:bidi="ar-SA"/>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فيه أعمّ من الوجوب المصطلح ، فيدلّ على ثبوت الزكاة عليه في الجملة كما سيأتي إن شاء اللّه الكلام فيه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وأقصى ما فيه ظهور إطلاقه في الوجوب ، وبعد التصريح في الأخبار المتقدمة بالعدم يتعيّن حمله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اعتضاد ذلك </w:t>
      </w:r>
      <w:r>
        <w:rPr>
          <w:rStyle w:val="FootnoteAnchor"/>
          <w:rtl w:val="true"/>
        </w:rPr>
        <w:footnoteReference w:id="1456"/>
      </w:r>
      <w:r>
        <w:rPr>
          <w:rFonts w:ascii="Amiri" w:hAnsi="Amiri" w:eastAsia="Amiri" w:cs="Amiri"/>
          <w:color w:val="111111"/>
          <w:sz w:val="28"/>
          <w:sz w:val="28"/>
          <w:szCs w:val="28"/>
          <w:rtl w:val="true"/>
          <w:lang w:bidi="ar-SA"/>
        </w:rPr>
        <w:t>بعمل الأصحاب ، بل الاتفاق عليه فيقيّد بها إطلاق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بالغنى في المقام كما مرّ في زكاة المال من ملك قوت </w:t>
      </w:r>
      <w:r>
        <w:rPr>
          <w:rStyle w:val="FootnoteAnchor"/>
          <w:rtl w:val="true"/>
        </w:rPr>
        <w:footnoteReference w:id="1457"/>
      </w:r>
      <w:r>
        <w:rPr>
          <w:rFonts w:ascii="Amiri" w:hAnsi="Amiri" w:eastAsia="Amiri" w:cs="Amiri"/>
          <w:color w:val="111111"/>
          <w:sz w:val="28"/>
          <w:sz w:val="28"/>
          <w:szCs w:val="28"/>
          <w:rtl w:val="true"/>
          <w:lang w:bidi="ar-SA"/>
        </w:rPr>
        <w:t>سنة لنفسه وعياله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عامة المتأخرين من غير خلاف يعرف بينهم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في الخلاف </w:t>
      </w:r>
      <w:r>
        <w:rPr>
          <w:rStyle w:val="FootnoteAnchor"/>
          <w:rtl w:val="true"/>
        </w:rPr>
        <w:footnoteReference w:id="1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ملك عين النصاب أو قيمته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واعتبر الحلي تملكه لعين النصاب خاصة دون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عليه الإجماع واتفاق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جماعة من أعيان القدماء بل أكثرهم تفسيره بمن ملك أحد النصب الزكوية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ذلك موافقة الحلي </w:t>
      </w:r>
      <w:r>
        <w:rPr>
          <w:rStyle w:val="FootnoteAnchor"/>
          <w:rtl w:val="true"/>
        </w:rPr>
        <w:footnoteReference w:id="1459"/>
      </w:r>
      <w:r>
        <w:rPr>
          <w:rFonts w:ascii="Amiri" w:hAnsi="Amiri" w:eastAsia="Amiri" w:cs="Amiri"/>
          <w:color w:val="111111"/>
          <w:sz w:val="28"/>
          <w:sz w:val="28"/>
          <w:szCs w:val="28"/>
          <w:rtl w:val="true"/>
          <w:lang w:bidi="ar-SA"/>
        </w:rPr>
        <w:t xml:space="preserve">في اعتبار تملّك عين النصاب ، لكن ذكر المحقق في المعتبر </w:t>
      </w:r>
      <w:r>
        <w:rPr>
          <w:rStyle w:val="FootnoteAnchor"/>
          <w:rtl w:val="true"/>
        </w:rPr>
        <w:footnoteReference w:id="1460"/>
      </w:r>
      <w:r>
        <w:rPr>
          <w:rFonts w:ascii="Amiri" w:hAnsi="Amiri" w:eastAsia="Amiri" w:cs="Amiri"/>
          <w:color w:val="111111"/>
          <w:sz w:val="28"/>
          <w:sz w:val="28"/>
          <w:szCs w:val="28"/>
          <w:rtl w:val="true"/>
          <w:lang w:bidi="ar-SA"/>
        </w:rPr>
        <w:t xml:space="preserve">بعد حكاية قول الشيخ أنه لا يعرف به حجّة ولا قائلا من قدماء الأصحاب ، ثمّ حكى قول الحلي ودعواه الإجماع على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أنه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كلامه أنّ القول المذكور من الأقوال النادرة عند الاوائل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فقضية كلام الحلي والمحكي عن الجماعة دوران الحكم مدار ذلك في الوجوب وعدمه ، ولو كان عنده مؤنة سنة أو أضعافها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حينئذ بعيد جدّا بل بيّن الفساد قطعا وإلّا لم يجب الفطرة على أكثر الأغنياء ، وكذا يرد على الشيخ حيث اكتفى بملك عين النصاب أو قيمته عدم وجوبها على المكتسب الذي يفي كسبه بمئونة سنته أو يزيد عليها إذا لم يملك مقدار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الوهن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حمل </w:t>
      </w:r>
      <w:r>
        <w:rPr>
          <w:rStyle w:val="FootnoteAnchor"/>
          <w:rtl w:val="true"/>
        </w:rPr>
        <w:footnoteReference w:id="1461"/>
      </w:r>
      <w:r>
        <w:rPr>
          <w:rFonts w:ascii="Amiri" w:hAnsi="Amiri" w:eastAsia="Amiri" w:cs="Amiri"/>
          <w:color w:val="111111"/>
          <w:sz w:val="28"/>
          <w:sz w:val="28"/>
          <w:szCs w:val="28"/>
          <w:rtl w:val="true"/>
          <w:lang w:bidi="ar-SA"/>
        </w:rPr>
        <w:t>كلام هؤلاء على الاكتفاء بملك النصاب مع عدم تملّكه لمؤنة السنة ، فلا كلام إذن فيما إذا حصل الغناء بغير تملك النصاب كما هو الغالب في التجار وغيرهم ، وإنّما الكلام في حصوله بملك النصاب إذا لم يكن له ما يفي بمئونة سنته ، فيرجع كلام الجماعة إلى الاكتفاء بأحد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المشهور بين المتأخرين لا يعتبر إلّا ملكه لمؤنة السنة حسبما مرّ ثم إنّا لم نقف على حجّة للقول المذكور سوى ما قدّمناه في زكاة المال ، وهو كما عرفت في كمال الوهن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احتجّ الحلّي على ما ذهب إليه بالإجماع وهو كما ترى موهون بشهرة الخلاف فيه بل </w:t>
      </w:r>
    </w:p>
    <w:p>
      <w:pPr>
        <w:pStyle w:val="BookText"/>
        <w:rPr/>
      </w:pPr>
      <w:r>
        <w:rPr>
          <w:rFonts w:ascii="Amiri" w:hAnsi="Amiri" w:eastAsia="Amiri" w:cs="Amiri"/>
          <w:color w:val="111111"/>
          <w:sz w:val="28"/>
          <w:sz w:val="28"/>
          <w:szCs w:val="28"/>
          <w:rtl w:val="true"/>
          <w:lang w:bidi="ar-SA"/>
        </w:rPr>
        <w:t>بإطباق المتأخرين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ولا يذهب عليك أن ما يوجد في بعض العبارات من اعتبار تملّك </w:t>
      </w:r>
      <w:r>
        <w:rPr>
          <w:rStyle w:val="FootnoteAnchor"/>
          <w:rtl w:val="true"/>
        </w:rPr>
        <w:footnoteReference w:id="1462"/>
      </w:r>
      <w:r>
        <w:rPr>
          <w:rFonts w:ascii="Amiri" w:hAnsi="Amiri" w:eastAsia="Amiri" w:cs="Amiri"/>
          <w:color w:val="111111"/>
          <w:sz w:val="28"/>
          <w:sz w:val="28"/>
          <w:szCs w:val="28"/>
          <w:rtl w:val="true"/>
          <w:lang w:bidi="ar-SA"/>
        </w:rPr>
        <w:t xml:space="preserve">قوت السنة إنّما يراد به مؤنة السنة ؛ إذ لا اختصاص لخصوص القوت في ذلك بل لا بدّ من اعتبار ساير المؤن أيضا كما هو المستفاد من عدة من الأخبار كما مرّ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ثالثها </w:t>
      </w:r>
      <w:r>
        <w:rPr>
          <w:rStyle w:val="FootnoteAnchor"/>
          <w:rtl w:val="true"/>
        </w:rPr>
        <w:footnoteReference w:id="1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الفاضلان في المعتبر </w:t>
      </w:r>
      <w:r>
        <w:rPr>
          <w:rStyle w:val="FootnoteAnchor"/>
          <w:rtl w:val="true"/>
        </w:rPr>
        <w:footnoteReference w:id="1465"/>
      </w:r>
      <w:r>
        <w:rPr>
          <w:rFonts w:ascii="IRNazanin" w:hAnsi="IRNazanin" w:eastAsia="IRNazanin"/>
          <w:color w:val="111111"/>
          <w:sz w:val="28"/>
          <w:sz w:val="28"/>
          <w:szCs w:val="28"/>
          <w:rtl w:val="true"/>
          <w:lang w:bidi="fa-IR"/>
        </w:rPr>
        <w:t xml:space="preserve">والمنتهى </w:t>
      </w:r>
      <w:r>
        <w:rPr>
          <w:rStyle w:val="FootnoteAnchor"/>
          <w:rtl w:val="true"/>
        </w:rPr>
        <w:footnoteReference w:id="1466"/>
      </w:r>
      <w:r>
        <w:rPr>
          <w:rFonts w:ascii="Amiri" w:hAnsi="Amiri" w:eastAsia="Amiri" w:cs="Amiri"/>
          <w:color w:val="111111"/>
          <w:sz w:val="28"/>
          <w:sz w:val="28"/>
          <w:szCs w:val="28"/>
          <w:rtl w:val="true"/>
          <w:lang w:bidi="ar-SA"/>
        </w:rPr>
        <w:t>مع تملكه لمؤنة السنة أن يملك مقدار زكاة الفطرة زائدا على المئونة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1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وقطع في الروضة </w:t>
      </w:r>
      <w:r>
        <w:rPr>
          <w:rStyle w:val="FootnoteAnchor"/>
          <w:rtl w:val="true"/>
        </w:rPr>
        <w:footnoteReference w:id="1468"/>
      </w:r>
      <w:r>
        <w:rPr>
          <w:rFonts w:ascii="Amiri" w:hAnsi="Amiri" w:eastAsia="Amiri" w:cs="Amiri"/>
          <w:color w:val="111111"/>
          <w:sz w:val="28"/>
          <w:sz w:val="28"/>
          <w:szCs w:val="28"/>
          <w:rtl w:val="true"/>
          <w:lang w:bidi="ar-SA"/>
        </w:rPr>
        <w:t>هو بخلافه ، فلم يعتبر تلك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بعض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ظاهر إطلاق الآخرين ، وهو الذي يقتضيه اطلاق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نعرف مستندا للتقييد سوى لزوم صيرورته فقيرا بدفع الفطرة مع عدمه ، فيحل له حينئذ أخذ الزكاة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كما ترى غير صالح لتقييد الأدلة ، وقضية الأخبار اعتبار عدم حلّ الزكاة له قبل الدفع ولا بعده</w:t>
      </w:r>
      <w:r>
        <w:rPr>
          <w:rFonts w:eastAsia="Amiri" w:cs="Amiri" w:ascii="Amiri" w:hAnsi="Amiri"/>
          <w:color w:val="111111"/>
          <w:sz w:val="28"/>
          <w:szCs w:val="28"/>
          <w:rtl w:val="true"/>
          <w:lang w:bidi="ar-SA"/>
        </w:rPr>
        <w:t xml:space="preserve">. </w:t>
      </w:r>
      <w:bookmarkStart w:id="177" w:name="pg15853_153530"/>
    </w:p>
    <w:p>
      <w:pPr>
        <w:pStyle w:val="Heading5"/>
        <w:numPr>
          <w:ilvl w:val="4"/>
          <w:numId w:val="1"/>
        </w:numPr>
        <w:rPr/>
      </w:pPr>
      <w:bookmarkStart w:id="178" w:name="__RefHeading___Toc14587165_2142443653"/>
      <w:bookmarkStart w:id="179" w:name="_Toc65"/>
      <w:bookmarkEnd w:id="177"/>
      <w:bookmarkEnd w:id="178"/>
      <w:r>
        <w:rPr>
          <w:rtl w:val="true"/>
        </w:rPr>
        <w:t>تبصرة</w:t>
      </w:r>
      <w:r>
        <w:rPr>
          <w:rtl w:val="true"/>
        </w:rPr>
        <w:t xml:space="preserve">: [ </w:t>
      </w:r>
      <w:r>
        <w:rPr>
          <w:rtl w:val="true"/>
        </w:rPr>
        <w:t xml:space="preserve">في وجوب إخراجها عند تكامل شرائطها </w:t>
      </w:r>
      <w:r>
        <w:rPr>
          <w:rtl w:val="true"/>
        </w:rPr>
        <w:t>]</w:t>
      </w:r>
      <w:bookmarkEnd w:id="179"/>
    </w:p>
    <w:p>
      <w:pPr>
        <w:pStyle w:val="BookText"/>
        <w:rPr/>
      </w:pPr>
      <w:r>
        <w:rPr>
          <w:rFonts w:ascii="Amiri" w:hAnsi="Amiri" w:eastAsia="Amiri" w:cs="Amiri"/>
          <w:color w:val="111111"/>
          <w:sz w:val="28"/>
          <w:sz w:val="28"/>
          <w:szCs w:val="28"/>
          <w:rtl w:val="true"/>
          <w:lang w:bidi="ar-SA"/>
        </w:rPr>
        <w:t>إذا تكاملت شرائط وجوب الفطرة وجب إخراجها عن نفسه ، وعن جميع من يندرج في عياله ، ويدخل تحت عيلولته سواء كان على سبيل الوجوب أو الندب مسلما كان أو كافرا ، حرّا كان أو مملوكا ، كبيرا كان أو صغيرا ، مميّزا كان أو لا ، ممّن يجب نفقته على غيره أو لا ، بلا خلاف فيه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وحكاية الإجماع على أصل الحكم مستفيضة حكاه في المنتهى </w:t>
      </w:r>
      <w:r>
        <w:rPr>
          <w:rStyle w:val="FootnoteAnchor"/>
          <w:rtl w:val="true"/>
        </w:rPr>
        <w:footnoteReference w:id="1469"/>
      </w:r>
      <w:r>
        <w:rPr>
          <w:rFonts w:ascii="Amiri" w:hAnsi="Amiri" w:eastAsia="Amiri" w:cs="Amiri"/>
          <w:color w:val="111111"/>
          <w:sz w:val="28"/>
          <w:sz w:val="28"/>
          <w:szCs w:val="28"/>
          <w:rtl w:val="true"/>
          <w:lang w:bidi="ar-SA"/>
        </w:rPr>
        <w:t xml:space="preserve">والمدارك </w:t>
      </w:r>
      <w:r>
        <w:rPr>
          <w:rStyle w:val="FootnoteAnchor"/>
          <w:rtl w:val="true"/>
        </w:rPr>
        <w:footnoteReference w:id="1470"/>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بعد ذلك النصوص المستفيضة المشتملة على الصحاح وغيرها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عمّا يجب على الرجل من صدقة الفطرة؟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تصدق عن جميع من يعول من حرّ أو عبد أو صغير أو كبير </w:t>
      </w:r>
      <w:r>
        <w:rPr>
          <w:rFonts w:eastAsia="Amiri" w:cs="Amiri" w:ascii="Amiri" w:hAnsi="Amiri"/>
          <w:color w:val="111111"/>
          <w:sz w:val="28"/>
          <w:szCs w:val="28"/>
          <w:rtl w:val="true"/>
          <w:lang w:bidi="ar-SA"/>
        </w:rPr>
        <w:t xml:space="preserve">» </w:t>
      </w:r>
      <w:r>
        <w:rPr>
          <w:rStyle w:val="FootnoteAnchor"/>
          <w:rtl w:val="true"/>
        </w:rPr>
        <w:footnoteReference w:id="1471"/>
      </w:r>
      <w:r>
        <w:rPr>
          <w:rFonts w:ascii="IRNazanin" w:hAnsi="IRNazanin" w:eastAsia="IRNazanin"/>
          <w:color w:val="111111"/>
          <w:sz w:val="28"/>
          <w:sz w:val="28"/>
          <w:szCs w:val="28"/>
          <w:rtl w:val="true"/>
          <w:lang w:bidi="fa-IR"/>
        </w:rPr>
        <w:t>، أو ما عداه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صحيحة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الفطرة واجبة على كلّ من يعول من الذكر أو الأنثى صغيرا أو كبيرا أو </w:t>
      </w:r>
      <w:r>
        <w:rPr>
          <w:rStyle w:val="FootnoteAnchor"/>
          <w:rtl w:val="true"/>
        </w:rPr>
        <w:footnoteReference w:id="1472"/>
      </w:r>
      <w:r>
        <w:rPr>
          <w:rFonts w:ascii="Amiri" w:hAnsi="Amiri" w:eastAsia="Amiri" w:cs="Amiri"/>
          <w:color w:val="111111"/>
          <w:sz w:val="28"/>
          <w:sz w:val="28"/>
          <w:szCs w:val="28"/>
          <w:rtl w:val="true"/>
          <w:lang w:bidi="ar-SA"/>
        </w:rPr>
        <w:t xml:space="preserve">حرّا أو مملوكا </w:t>
      </w:r>
      <w:r>
        <w:rPr>
          <w:rFonts w:eastAsia="Amiri" w:cs="Amiri" w:ascii="Amiri" w:hAnsi="Amiri"/>
          <w:color w:val="111111"/>
          <w:sz w:val="28"/>
          <w:szCs w:val="28"/>
          <w:rtl w:val="true"/>
          <w:lang w:bidi="ar-SA"/>
        </w:rPr>
        <w:t xml:space="preserve">»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صدقة الفطرة تصدق عن جميع من يعول من صغير أو كبير ، حرّ أو مملوك </w:t>
      </w:r>
      <w:r>
        <w:rPr>
          <w:rFonts w:eastAsia="Amiri" w:cs="Amiri" w:ascii="Amiri" w:hAnsi="Amiri"/>
          <w:color w:val="111111"/>
          <w:sz w:val="28"/>
          <w:szCs w:val="28"/>
          <w:rtl w:val="true"/>
          <w:lang w:bidi="ar-SA"/>
        </w:rPr>
        <w:t xml:space="preserve">»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الفطرة عن كلّ رأس من أهلك الصغير والكبير والحر والمملوك </w:t>
      </w:r>
    </w:p>
    <w:p>
      <w:pPr>
        <w:pStyle w:val="BookText"/>
        <w:rPr/>
      </w:pPr>
      <w:r>
        <w:rPr>
          <w:rFonts w:ascii="Amiri" w:hAnsi="Amiri" w:eastAsia="Amiri" w:cs="Amiri"/>
          <w:color w:val="111111"/>
          <w:sz w:val="28"/>
          <w:sz w:val="28"/>
          <w:szCs w:val="28"/>
          <w:rtl w:val="true"/>
          <w:lang w:bidi="ar-SA"/>
        </w:rPr>
        <w:t xml:space="preserve">والغني والفقير </w:t>
      </w:r>
      <w:r>
        <w:rPr>
          <w:rFonts w:eastAsia="Amiri" w:cs="Amiri" w:ascii="Amiri" w:hAnsi="Amiri"/>
          <w:color w:val="111111"/>
          <w:sz w:val="28"/>
          <w:szCs w:val="28"/>
          <w:rtl w:val="true"/>
          <w:lang w:bidi="ar-SA"/>
        </w:rPr>
        <w:t xml:space="preserve">»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مرفوعة محمد بن أحمد بن يحيى ، عن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يؤدي الرجل زكاة الفطرة عن مكاتبه ورقيقه وامرأته وعبده النصراني والمجوسي وما أغلق عليه بابه </w:t>
      </w:r>
      <w:r>
        <w:rPr>
          <w:rFonts w:eastAsia="Amiri" w:cs="Amiri" w:ascii="Amiri" w:hAnsi="Amiri"/>
          <w:color w:val="111111"/>
          <w:sz w:val="28"/>
          <w:szCs w:val="28"/>
          <w:rtl w:val="true"/>
          <w:lang w:bidi="ar-SA"/>
        </w:rPr>
        <w:t xml:space="preserve">»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الدالّة على ذلك ممّا لا ريب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ولنتمم الكلام في المقام برسم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من تجب عليه الإنفاق عليه مندرجا في عياله فلا كلام كما عرفت ، وأما مع عدمه فقد وقع الخلاف في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الأبوان والأجداد والأولاد إذا كانوا معسرين ، فعن الشيخ في المبسوط </w:t>
      </w:r>
      <w:r>
        <w:rPr>
          <w:rStyle w:val="FootnoteAnchor"/>
          <w:rtl w:val="true"/>
        </w:rPr>
        <w:footnoteReference w:id="1477"/>
      </w:r>
      <w:r>
        <w:rPr>
          <w:rFonts w:ascii="Amiri" w:hAnsi="Amiri" w:eastAsia="Amiri" w:cs="Amiri"/>
          <w:color w:val="111111"/>
          <w:sz w:val="28"/>
          <w:sz w:val="28"/>
          <w:szCs w:val="28"/>
          <w:rtl w:val="true"/>
          <w:lang w:bidi="ar-SA"/>
        </w:rPr>
        <w:t>أنّ نفقتهم وفطرتهم عليه سواء اندرجوا في عياله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التفصيل بين العيلولية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الأظهر ؛ لإناطة الحكم بها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الشيخ وجوب الفطرة عليه بوجوب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يدور مدار العيلولة والإنفاق لا مجرد وجوب النفقة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الاحتجاج له بموثقة إسحاق بن عمار أو صحيحته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الواجب عليك أن تعطي عن نفسك وأبيك وأمّك وولدك وامرأتك وخادمك </w:t>
      </w:r>
      <w:r>
        <w:rPr>
          <w:rFonts w:eastAsia="Amiri" w:cs="Amiri" w:ascii="Amiri" w:hAnsi="Amiri"/>
          <w:color w:val="111111"/>
          <w:sz w:val="28"/>
          <w:szCs w:val="28"/>
          <w:rtl w:val="true"/>
          <w:lang w:bidi="ar-SA"/>
        </w:rPr>
        <w:t xml:space="preserve">»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تعمّ صورة الإنفاق عليهم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وبمعناها صحيحة أخرى مشتملة على خصوص الولد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تكون فطرته مع عياله بصدقة دونه قال العيال الولد والمملوك والزوجة وأمّ الولد </w:t>
      </w:r>
      <w:r>
        <w:rPr>
          <w:rFonts w:eastAsia="Amiri" w:cs="Amiri" w:ascii="Amiri" w:hAnsi="Amiri"/>
          <w:color w:val="111111"/>
          <w:sz w:val="28"/>
          <w:szCs w:val="28"/>
          <w:rtl w:val="true"/>
          <w:lang w:bidi="ar-SA"/>
        </w:rPr>
        <w:t xml:space="preserve">»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وهما محمولان على صورة العيلولة كما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الصحيحة الثانية إشارة إليه حيث فسّر العيال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الصغير مع يساره ، فذهب الشيخ في المبسوط </w:t>
      </w:r>
      <w:r>
        <w:rPr>
          <w:rStyle w:val="FootnoteAnchor"/>
          <w:rtl w:val="true"/>
        </w:rPr>
        <w:footnoteReference w:id="1480"/>
      </w:r>
      <w:r>
        <w:rPr>
          <w:rFonts w:ascii="Amiri" w:hAnsi="Amiri" w:eastAsia="Amiri" w:cs="Amiri"/>
          <w:color w:val="111111"/>
          <w:sz w:val="28"/>
          <w:sz w:val="28"/>
          <w:szCs w:val="28"/>
          <w:rtl w:val="true"/>
          <w:lang w:bidi="ar-SA"/>
        </w:rPr>
        <w:t>إلى أنّ نفقته في ماله وفطرته على أبيه ؛ معلّلا بأنّه من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1481"/>
      </w:r>
      <w:r>
        <w:rPr>
          <w:rFonts w:ascii="Amiri" w:hAnsi="Amiri" w:eastAsia="Amiri" w:cs="Amiri"/>
          <w:color w:val="111111"/>
          <w:sz w:val="28"/>
          <w:sz w:val="28"/>
          <w:szCs w:val="28"/>
          <w:rtl w:val="true"/>
          <w:lang w:bidi="ar-SA"/>
        </w:rPr>
        <w:t>أنّه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إذا استحقّت النفقة على الزوج ، ولكن لم يعلها ، فإنها إن اندرجت في عيال غيره كانت فطرتها عليه كما هو مقتضى النصوص وظاهر كلام الأصحاب من غير خلاف يظهر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1482"/>
      </w:r>
      <w:r>
        <w:rPr>
          <w:rFonts w:ascii="Amiri" w:hAnsi="Amiri" w:eastAsia="Amiri" w:cs="Amiri"/>
          <w:color w:val="111111"/>
          <w:sz w:val="28"/>
          <w:sz w:val="28"/>
          <w:szCs w:val="28"/>
          <w:rtl w:val="true"/>
          <w:lang w:bidi="ar-SA"/>
        </w:rPr>
        <w:t>نفى عنه الخلاف والإشكال وإلّا ففي وجوب فطرتها على الزوج خلاف ، فذهب كثير من الأصحاب إلى وجوبها عليه وجعلوها تابعة لوجوب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1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1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مذهب الأكثر ، واعتبر جماعة من الأصحاب منهم صاحب المدارك </w:t>
      </w:r>
      <w:r>
        <w:rPr>
          <w:rStyle w:val="FootnoteAnchor"/>
          <w:rtl w:val="true"/>
        </w:rPr>
        <w:footnoteReference w:id="1485"/>
      </w:r>
      <w:r>
        <w:rPr>
          <w:rFonts w:ascii="IRNazanin" w:hAnsi="IRNazanin" w:eastAsia="IRNazanin"/>
          <w:color w:val="111111"/>
          <w:sz w:val="28"/>
          <w:sz w:val="28"/>
          <w:szCs w:val="28"/>
          <w:rtl w:val="true"/>
          <w:lang w:bidi="fa-IR"/>
        </w:rPr>
        <w:t xml:space="preserve">والحدائق </w:t>
      </w:r>
      <w:r>
        <w:rPr>
          <w:rStyle w:val="FootnoteAnchor"/>
          <w:rtl w:val="true"/>
        </w:rPr>
        <w:footnoteReference w:id="1486"/>
      </w:r>
      <w:r>
        <w:rPr>
          <w:rFonts w:ascii="Amiri" w:hAnsi="Amiri" w:eastAsia="Amiri" w:cs="Amiri"/>
          <w:color w:val="111111"/>
          <w:sz w:val="28"/>
          <w:sz w:val="28"/>
          <w:szCs w:val="28"/>
          <w:rtl w:val="true"/>
          <w:lang w:bidi="ar-SA"/>
        </w:rPr>
        <w:t>حصول العيلولة في وجوب الفطرة ، فلا فطرة عليه من جهتها مع عدمها ؛ أخذا بظواهر الأخبار المتقدمة التي أنيط الحكم فيها بالعيلولة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 لتلك الظواهر المعتضدة بالأصل وعدم قيام دليل على خلافها سوى إطلاق المعتبرين المتقدمين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إطلاق ضعيف محمول على حصول العيلولة كما يومي إليه الثاني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ويؤيّده ضمّ غيرها إليها ممّا لا يقول </w:t>
      </w:r>
      <w:r>
        <w:rPr>
          <w:rStyle w:val="FootnoteAnchor"/>
          <w:rtl w:val="true"/>
        </w:rPr>
        <w:footnoteReference w:id="1487"/>
      </w:r>
      <w:r>
        <w:rPr>
          <w:rFonts w:ascii="Amiri" w:hAnsi="Amiri" w:eastAsia="Amiri" w:cs="Amiri"/>
          <w:color w:val="111111"/>
          <w:sz w:val="28"/>
          <w:sz w:val="28"/>
          <w:szCs w:val="28"/>
          <w:rtl w:val="true"/>
          <w:lang w:bidi="ar-SA"/>
        </w:rPr>
        <w:t>الأكثر به إلّا مع الإنفاق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إذا لم تكن ممّن يجب الانفاق عليه كالناشزة والصغيرة على القول بعدم وجوب نفقتها ، وغير المدخول بها مع عدم التمكين والمتمتّع بها ، ففي وجوب فطرتها على الزوج مع انتفاء العيلولة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فيه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الحلي </w:t>
      </w:r>
      <w:r>
        <w:rPr>
          <w:rStyle w:val="FootnoteAnchor"/>
          <w:rtl w:val="true"/>
        </w:rPr>
        <w:footnoteReference w:id="1488"/>
      </w:r>
      <w:r>
        <w:rPr>
          <w:rFonts w:ascii="Amiri" w:hAnsi="Amiri" w:eastAsia="Amiri" w:cs="Amiri"/>
          <w:color w:val="111111"/>
          <w:sz w:val="28"/>
          <w:sz w:val="28"/>
          <w:szCs w:val="28"/>
          <w:rtl w:val="true"/>
          <w:lang w:bidi="ar-SA"/>
        </w:rPr>
        <w:t>وجوب فطرتها عليه مطلقا مستدلّا بالعموم والإجماع ؛ إذ لم يفصّل في الزوجة أحد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بيّن الوهن ؛ لعدم ظهور الإطلاق في مثل ذلك سيّما بالنسبة إلى المتمتع بها ، مضافا إلى ما عرفت من إناطة الحكم في الأخبار بالعيلولة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ودعواه الاجماع موهونة بشهرة خلافه ، بل لا يظهر قائل بذلك سوى ما قال المحقّق في المعتبر </w:t>
      </w:r>
      <w:r>
        <w:rPr>
          <w:rStyle w:val="FootnoteAnchor"/>
          <w:rtl w:val="true"/>
        </w:rPr>
        <w:footnoteReference w:id="1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عرفنا أحدا من فقهاء الإسلام فضلا عن الاماميّة بوجوب الفطرة عن الزوجة من حيث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فدعواه إذن عرية عن الفتوى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ما عن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 فالمعروف وجوب فطرته على سيّده مطلقا حاضرا كان أو غائبا ، صغيرا كان أو كبيرا ، مطيعا كان أو عاصيا ، آبقا كان أو لا ، مغصوبا كان أو لا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منتهى المطلب </w:t>
      </w:r>
      <w:r>
        <w:rPr>
          <w:rStyle w:val="FootnoteAnchor"/>
          <w:rtl w:val="true"/>
        </w:rPr>
        <w:footnoteReference w:id="1490"/>
      </w:r>
      <w:r>
        <w:rPr>
          <w:rFonts w:ascii="Amiri" w:hAnsi="Amiri" w:eastAsia="Amiri" w:cs="Amiri"/>
          <w:color w:val="111111"/>
          <w:sz w:val="28"/>
          <w:sz w:val="28"/>
          <w:szCs w:val="28"/>
          <w:rtl w:val="true"/>
          <w:lang w:bidi="ar-SA"/>
        </w:rPr>
        <w:t xml:space="preserve">أجمع أهل العلم كافة على وجوب إخراج الفطرة عن العبيد الحاضرين والمكاتبين </w:t>
      </w:r>
      <w:r>
        <w:rPr>
          <w:rStyle w:val="FootnoteAnchor"/>
          <w:rtl w:val="true"/>
        </w:rPr>
        <w:footnoteReference w:id="1491"/>
      </w:r>
      <w:r>
        <w:rPr>
          <w:rFonts w:ascii="Amiri" w:hAnsi="Amiri" w:eastAsia="Amiri" w:cs="Amiri"/>
          <w:color w:val="111111"/>
          <w:sz w:val="28"/>
          <w:sz w:val="28"/>
          <w:szCs w:val="28"/>
          <w:rtl w:val="true"/>
          <w:lang w:bidi="ar-SA"/>
        </w:rPr>
        <w:t xml:space="preserve">المغصوبين والآبقين وعبيد التجارة ، صغارا كانوا أو كبارا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وحكاه في المعتبر </w:t>
      </w:r>
      <w:r>
        <w:rPr>
          <w:rStyle w:val="FootnoteAnchor"/>
          <w:rtl w:val="true"/>
        </w:rPr>
        <w:footnoteReference w:id="1493"/>
      </w:r>
      <w:r>
        <w:rPr>
          <w:rFonts w:ascii="IRNazanin" w:hAnsi="IRNazanin" w:eastAsia="IRNazanin"/>
          <w:color w:val="111111"/>
          <w:sz w:val="28"/>
          <w:sz w:val="28"/>
          <w:szCs w:val="28"/>
          <w:rtl w:val="true"/>
          <w:lang w:bidi="fa-IR"/>
        </w:rPr>
        <w:t xml:space="preserve">من </w:t>
      </w:r>
      <w:r>
        <w:rPr>
          <w:rStyle w:val="FootnoteAnchor"/>
          <w:rtl w:val="true"/>
        </w:rPr>
        <w:footnoteReference w:id="1494"/>
      </w:r>
      <w:r>
        <w:rPr>
          <w:rFonts w:ascii="Amiri" w:hAnsi="Amiri" w:eastAsia="Amiri" w:cs="Amiri"/>
          <w:color w:val="111111"/>
          <w:sz w:val="28"/>
          <w:sz w:val="28"/>
          <w:szCs w:val="28"/>
          <w:rtl w:val="true"/>
          <w:lang w:bidi="ar-SA"/>
        </w:rPr>
        <w:t>أكثر أهل العلم ، ثمّ نقل الخلاف فيه عن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وعلّلوا ذلك بأنّ نفقته واجبة فيجب فطرته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ما فيه ؛ إذ قضية الأخبار دورانه مدار العيلولة لا مجرّد وجوب النفقة ، ولذا ذهب المعظم في المسألة الأولى إلى </w:t>
      </w:r>
      <w:r>
        <w:rPr>
          <w:rStyle w:val="FootnoteAnchor"/>
          <w:rtl w:val="true"/>
        </w:rPr>
        <w:footnoteReference w:id="1495"/>
      </w:r>
      <w:r>
        <w:rPr>
          <w:rFonts w:ascii="Amiri" w:hAnsi="Amiri" w:eastAsia="Amiri" w:cs="Amiri"/>
          <w:color w:val="111111"/>
          <w:sz w:val="28"/>
          <w:sz w:val="28"/>
          <w:szCs w:val="28"/>
          <w:rtl w:val="true"/>
          <w:lang w:bidi="ar-SA"/>
        </w:rPr>
        <w:t>عدم وجوب الفطرة مع وجوب النفقة هناك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نصّها هناك بعض هؤلاء بما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يحتجّ عليه بإطلاق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إنّما ينصرف إلى الغالب ، فلا يندرج فيه مثل ذلك ، ولا أقلّ من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تقييده بما دلّ على اعتبار العيلولة ، وحكى في الشرائع </w:t>
      </w:r>
      <w:r>
        <w:rPr>
          <w:rStyle w:val="FootnoteAnchor"/>
          <w:rtl w:val="true"/>
        </w:rPr>
        <w:footnoteReference w:id="1496"/>
      </w:r>
      <w:r>
        <w:rPr>
          <w:rFonts w:ascii="Amiri" w:hAnsi="Amiri" w:eastAsia="Amiri" w:cs="Amiri"/>
          <w:color w:val="111111"/>
          <w:sz w:val="28"/>
          <w:sz w:val="28"/>
          <w:szCs w:val="28"/>
          <w:rtl w:val="true"/>
          <w:lang w:bidi="ar-SA"/>
        </w:rPr>
        <w:t>قولا بعدم الوجوب إلّا مع العيلولة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جماعة من المتأخرين منهم صاحب </w:t>
      </w:r>
      <w:r>
        <w:rPr>
          <w:rStyle w:val="FootnoteAnchor"/>
          <w:rtl w:val="true"/>
        </w:rPr>
        <w:footnoteReference w:id="1497"/>
      </w:r>
      <w:r>
        <w:rPr>
          <w:rFonts w:ascii="Amiri" w:hAnsi="Amiri" w:eastAsia="Amiri" w:cs="Amiri"/>
          <w:color w:val="111111"/>
          <w:sz w:val="28"/>
          <w:sz w:val="28"/>
          <w:szCs w:val="28"/>
          <w:rtl w:val="true"/>
          <w:lang w:bidi="ar-SA"/>
        </w:rPr>
        <w:t xml:space="preserve">المدارك </w:t>
      </w:r>
      <w:r>
        <w:rPr>
          <w:rStyle w:val="FootnoteAnchor"/>
          <w:rtl w:val="true"/>
        </w:rPr>
        <w:footnoteReference w:id="1498"/>
      </w:r>
      <w:r>
        <w:rPr>
          <w:rFonts w:ascii="IRNazanin" w:hAnsi="IRNazanin" w:eastAsia="IRNazanin"/>
          <w:color w:val="111111"/>
          <w:sz w:val="28"/>
          <w:sz w:val="28"/>
          <w:szCs w:val="28"/>
          <w:rtl w:val="true"/>
          <w:lang w:bidi="fa-IR"/>
        </w:rPr>
        <w:t xml:space="preserve">والحدائق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وتردد فيه في الشرائع </w:t>
      </w:r>
      <w:r>
        <w:rPr>
          <w:rStyle w:val="FootnoteAnchor"/>
          <w:rtl w:val="true"/>
        </w:rPr>
        <w:footnoteReference w:id="1500"/>
      </w:r>
      <w:r>
        <w:rPr>
          <w:rFonts w:ascii="Amiri" w:hAnsi="Amiri" w:eastAsia="Amiri" w:cs="Amiri"/>
          <w:color w:val="111111"/>
          <w:sz w:val="28"/>
          <w:sz w:val="28"/>
          <w:szCs w:val="28"/>
          <w:rtl w:val="true"/>
          <w:lang w:bidi="ar-SA"/>
        </w:rPr>
        <w:t>وكأنّه الأظهر ؛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كان العبد ممّن يعوله غير مولاه فلا إشكال في وجوب فطرته كما مرّ في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نفى عنه الخلاف والاشكال في الحدائق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ينفق على نفسه من كسبه فإن كان ذلك بإذن السيد وما </w:t>
      </w:r>
      <w:r>
        <w:rPr>
          <w:rStyle w:val="FootnoteAnchor"/>
          <w:rtl w:val="true"/>
        </w:rPr>
        <w:footnoteReference w:id="1502"/>
      </w:r>
      <w:r>
        <w:rPr>
          <w:rFonts w:ascii="Amiri" w:hAnsi="Amiri" w:eastAsia="Amiri" w:cs="Amiri"/>
          <w:color w:val="111111"/>
          <w:sz w:val="28"/>
          <w:sz w:val="28"/>
          <w:szCs w:val="28"/>
          <w:rtl w:val="true"/>
          <w:lang w:bidi="ar-SA"/>
        </w:rPr>
        <w:t xml:space="preserve">في حكمه كان ذلك عيلولة اذ كسبه لسيده بناء على القول بعدم ملكه فتجب فطرته على سيده ، وإن كان لا عن إذنه فإن كان على سبيل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خروجه عن العيلولة ، كيف ولو لا ذلك لكان كل </w:t>
      </w:r>
    </w:p>
    <w:p>
      <w:pPr>
        <w:pStyle w:val="BookText"/>
        <w:rPr/>
      </w:pPr>
      <w:r>
        <w:rPr>
          <w:rFonts w:ascii="Amiri" w:hAnsi="Amiri" w:eastAsia="Amiri" w:cs="Amiri"/>
          <w:color w:val="111111"/>
          <w:sz w:val="28"/>
          <w:sz w:val="28"/>
          <w:szCs w:val="28"/>
          <w:rtl w:val="true"/>
          <w:lang w:bidi="ar-SA"/>
        </w:rPr>
        <w:t xml:space="preserve">من يصرف على نفسه من مال الغير ولو على سبيل الغصب </w:t>
      </w:r>
      <w:r>
        <w:rPr>
          <w:rFonts w:eastAsia="Amiri" w:cs="Amiri" w:ascii="Amiri" w:hAnsi="Amiri"/>
          <w:color w:val="111111"/>
          <w:sz w:val="28"/>
          <w:szCs w:val="28"/>
          <w:rtl w:val="true"/>
          <w:lang w:bidi="ar-SA"/>
        </w:rPr>
        <w:t xml:space="preserve">) </w:t>
      </w:r>
      <w:r>
        <w:rPr>
          <w:rStyle w:val="FootnoteAnchor"/>
          <w:rtl w:val="true"/>
        </w:rPr>
        <w:footnoteReference w:id="1503"/>
      </w:r>
      <w:r>
        <w:rPr>
          <w:rFonts w:ascii="Amiri" w:hAnsi="Amiri" w:eastAsia="Amiri" w:cs="Amiri"/>
          <w:color w:val="111111"/>
          <w:sz w:val="28"/>
          <w:sz w:val="28"/>
          <w:szCs w:val="28"/>
          <w:rtl w:val="true"/>
          <w:lang w:bidi="ar-SA"/>
        </w:rPr>
        <w:t>مندرجا في عياله ، وهو بيّن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بإذن الشرع ففيه وجهان ؛ من حصول العيلولة في الجملة ، ومن عدم استناد إليه في ظاهر العرف ، فإن ظاهر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لا يظهر انصرافه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جريان الإشكال في ساير من يجب الإنفاق عليهم إذا امتنع من يجب الإنفاق عليه وانفق الحاكم عليهم من ماله أو أخذوا مقدار النفقة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صدق العيلولة على العرف ، والظاهر صدقها ببذل </w:t>
      </w:r>
      <w:r>
        <w:rPr>
          <w:rStyle w:val="FootnoteAnchor"/>
          <w:rtl w:val="true"/>
        </w:rPr>
        <w:footnoteReference w:id="1504"/>
      </w:r>
      <w:r>
        <w:rPr>
          <w:rFonts w:ascii="Amiri" w:hAnsi="Amiri" w:eastAsia="Amiri" w:cs="Amiri"/>
          <w:color w:val="111111"/>
          <w:sz w:val="28"/>
          <w:sz w:val="28"/>
          <w:szCs w:val="28"/>
          <w:rtl w:val="true"/>
          <w:lang w:bidi="ar-SA"/>
        </w:rPr>
        <w:t>النفقة وإن كانت كسوته على نفسه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أن يكون الدفع على وجه إباحة والترخيص أو يعمّ ذلك وما إذا كان على سبيل التملك؟ وجهان أوجههما الثاني ؛ إذ المدار في العيلولة على تكفّل النفقة سواء كان بتمليكه ذلك أو إباحته له ، وسواء كان المدفوع عين ما ينفقه أو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يعتبر فيه </w:t>
      </w:r>
      <w:r>
        <w:rPr>
          <w:rStyle w:val="FootnoteAnchor"/>
          <w:rtl w:val="true"/>
        </w:rPr>
        <w:footnoteReference w:id="1505"/>
      </w:r>
      <w:r>
        <w:rPr>
          <w:rFonts w:ascii="Amiri" w:hAnsi="Amiri" w:eastAsia="Amiri" w:cs="Amiri"/>
          <w:color w:val="111111"/>
          <w:sz w:val="28"/>
          <w:sz w:val="28"/>
          <w:szCs w:val="28"/>
          <w:rtl w:val="true"/>
          <w:lang w:bidi="ar-SA"/>
        </w:rPr>
        <w:t>أن يكون الدفع لأجل الإنفاق لأن يصرفه المدفوع إليه في نفقته ، ويعتبر مع ذلك صدق الاسم بحسب العرف ، فقد يجتمع الأمران ولا يعدّ عيلولة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بما ذكرنا أنه لو شرط عليه الإنفاق في ضمن عقد لازم لم يمنع من </w:t>
      </w:r>
      <w:r>
        <w:rPr>
          <w:rStyle w:val="FootnoteAnchor"/>
          <w:rtl w:val="true"/>
        </w:rPr>
        <w:footnoteReference w:id="1506"/>
      </w:r>
      <w:r>
        <w:rPr>
          <w:rFonts w:ascii="Amiri" w:hAnsi="Amiri" w:eastAsia="Amiri" w:cs="Amiri"/>
          <w:color w:val="111111"/>
          <w:sz w:val="28"/>
          <w:sz w:val="28"/>
          <w:szCs w:val="28"/>
          <w:rtl w:val="true"/>
          <w:lang w:bidi="ar-SA"/>
        </w:rPr>
        <w:t xml:space="preserve">صدق العيلولة ، خلافا للمحقق في المعتبر حيث عدّه مانعا من ذلك ؛ ناظرا </w:t>
      </w:r>
      <w:r>
        <w:rPr>
          <w:rStyle w:val="FootnoteAnchor"/>
          <w:rtl w:val="true"/>
        </w:rPr>
        <w:footnoteReference w:id="1507"/>
      </w:r>
      <w:r>
        <w:rPr>
          <w:rFonts w:ascii="IRNazanin" w:hAnsi="IRNazanin" w:eastAsia="IRNazanin"/>
          <w:color w:val="111111"/>
          <w:sz w:val="28"/>
          <w:sz w:val="28"/>
          <w:szCs w:val="28"/>
          <w:rtl w:val="true"/>
          <w:lang w:bidi="fa-IR"/>
        </w:rPr>
        <w:t xml:space="preserve">إلى استحقاقه </w:t>
      </w:r>
      <w:r>
        <w:rPr>
          <w:rStyle w:val="FootnoteAnchor"/>
          <w:rtl w:val="true"/>
        </w:rPr>
        <w:footnoteReference w:id="1508"/>
      </w:r>
      <w:r>
        <w:rPr>
          <w:rFonts w:ascii="Amiri" w:hAnsi="Amiri" w:eastAsia="Amiri" w:cs="Amiri"/>
          <w:color w:val="111111"/>
          <w:sz w:val="28"/>
          <w:sz w:val="28"/>
          <w:szCs w:val="28"/>
          <w:rtl w:val="true"/>
          <w:lang w:bidi="ar-SA"/>
        </w:rPr>
        <w:t>ذلك ، وتملكه له من جهة الشرط ، فيكون كصرفه من مال نفسه ، بل هو من ذلك ؛ لكونه بمنزلة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قطع في المدارك</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ويدفعه صدق الاسم بحسب العرف قطعا ، كيف وقد يجعل الشرط نفس العيلولة ويشير </w:t>
      </w:r>
    </w:p>
    <w:p>
      <w:pPr>
        <w:pStyle w:val="BookText"/>
        <w:rPr/>
      </w:pPr>
      <w:r>
        <w:rPr>
          <w:rFonts w:ascii="Amiri" w:hAnsi="Amiri" w:eastAsia="Amiri" w:cs="Amiri"/>
          <w:color w:val="111111"/>
          <w:sz w:val="28"/>
          <w:sz w:val="28"/>
          <w:szCs w:val="28"/>
          <w:rtl w:val="true"/>
          <w:lang w:bidi="ar-SA"/>
        </w:rPr>
        <w:t>إليه ملاحظة حال الزوجة ؛ فإنّها تملك نفقة يومها مع أنّها من أظهر أفراد 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في عيلولة شخصين بأن كانا ينفقان عليه على سبيل الشركة فلا يبعد القول بوجوب فطرته عليهما على نحو ما يجي‌ء في العبد المشترك ، مع احتمال عدم وجوبها ؛ لخروجه عن عيلولة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مثله بالنسبة إلى الجماعة أيضا إلّا أن يكون بحيث يخرج عن اسم العيلولة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بعض نفقته من نفسه وبعضها من الغير ففي اندراجه في عياله أو وجوب الفطرة بالنسبة أو وجوبها على نفسه أو عدم وجوبها أصلا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أن يكون العيلولة على وجه </w:t>
      </w:r>
      <w:r>
        <w:rPr>
          <w:rStyle w:val="FootnoteAnchor"/>
          <w:rtl w:val="true"/>
        </w:rPr>
        <w:footnoteReference w:id="1509"/>
      </w:r>
      <w:r>
        <w:rPr>
          <w:rFonts w:ascii="IRNazanin" w:hAnsi="IRNazanin" w:eastAsia="IRNazanin"/>
          <w:color w:val="111111"/>
          <w:sz w:val="28"/>
          <w:sz w:val="28"/>
          <w:szCs w:val="28"/>
          <w:rtl w:val="true"/>
          <w:lang w:bidi="fa-IR"/>
        </w:rPr>
        <w:t xml:space="preserve">المشروع </w:t>
      </w:r>
      <w:r>
        <w:rPr>
          <w:rStyle w:val="FootnoteAnchor"/>
          <w:rtl w:val="true"/>
        </w:rPr>
        <w:footnoteReference w:id="1510"/>
      </w:r>
      <w:r>
        <w:rPr>
          <w:rFonts w:ascii="Amiri" w:hAnsi="Amiri" w:eastAsia="Amiri" w:cs="Amiri"/>
          <w:color w:val="111111"/>
          <w:sz w:val="28"/>
          <w:sz w:val="28"/>
          <w:szCs w:val="28"/>
          <w:rtl w:val="true"/>
          <w:lang w:bidi="ar-SA"/>
        </w:rPr>
        <w:t xml:space="preserve">لدعوى انصراف ظاهر إطلاقها في كلام المشهور </w:t>
      </w:r>
      <w:r>
        <w:rPr>
          <w:rStyle w:val="FootnoteAnchor"/>
          <w:rtl w:val="true"/>
        </w:rPr>
        <w:footnoteReference w:id="1511"/>
      </w:r>
      <w:r>
        <w:rPr>
          <w:rFonts w:ascii="Amiri" w:hAnsi="Amiri" w:eastAsia="Amiri" w:cs="Amiri"/>
          <w:color w:val="111111"/>
          <w:sz w:val="28"/>
          <w:sz w:val="28"/>
          <w:szCs w:val="28"/>
          <w:rtl w:val="true"/>
          <w:lang w:bidi="ar-SA"/>
        </w:rPr>
        <w:t>إليه ، ولا أقل من الشكّ مع عدمها ، والأصل براءة الذمّة أو أنّه يدور مدار صدقها في العرف ولو لم يكن على الوجه المشروع كما إذا انفق عليهم من المال المغصوب كما هو الحال في كثير من الظلمة أو أمسك مملوك الغير أو زوجته وأدرجه في عياله على غير الوجه المشروع وإن أنفق عليه من ماله الحلال؟ وجهان لم أجد منهم تصريحا بأحدهما ، بل عبائرهم كظاهر الأخبار مطلقة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يفصّل بين الصورتين المذكورتين بدعوى ظهور العيلولة في صرف مال نفسه عليه ، فلا يندرج فيه المال المغصوب ، وإن عدّ من أمواله في العرف ؛ لتغليبه عليه بخلاف ما لو كان الصرف على غير الوجه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الرجوع في ذلك إلى العرف</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الفطرة عن العبد الغائب الذي لا يعلم حياته ولا موته قولان ، فالوجوب مختار الحلي في السرائر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الشهيد الثاني في المسالك </w:t>
      </w:r>
      <w:r>
        <w:rPr>
          <w:rStyle w:val="FootnoteAnchor"/>
          <w:rtl w:val="true"/>
        </w:rPr>
        <w:footnoteReference w:id="1513"/>
      </w:r>
      <w:r>
        <w:rPr>
          <w:rFonts w:ascii="Amiri" w:hAnsi="Amiri" w:eastAsia="Amiri" w:cs="Amiri"/>
          <w:color w:val="111111"/>
          <w:sz w:val="28"/>
          <w:sz w:val="28"/>
          <w:szCs w:val="28"/>
          <w:rtl w:val="true"/>
          <w:lang w:bidi="ar-SA"/>
        </w:rPr>
        <w:t>الميل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والعدم مختار جماعة منهم الشيخ </w:t>
      </w:r>
      <w:r>
        <w:rPr>
          <w:rStyle w:val="FootnoteAnchor"/>
          <w:rtl w:val="true"/>
        </w:rPr>
        <w:footnoteReference w:id="1514"/>
      </w:r>
      <w:r>
        <w:rPr>
          <w:rFonts w:ascii="IRNazanin" w:hAnsi="IRNazanin" w:eastAsia="IRNazanin"/>
          <w:color w:val="111111"/>
          <w:sz w:val="28"/>
          <w:sz w:val="28"/>
          <w:szCs w:val="28"/>
          <w:rtl w:val="true"/>
          <w:lang w:bidi="fa-IR"/>
        </w:rPr>
        <w:t xml:space="preserve">والفاضلان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الحلي بأصالة البقاء ، وبأنّه يجوز عتقه في الكفّارة كما ورد في الصحيح في خصوص كفارة الظهار ، وليس ذلك إلّا من جهة الحكم ببقائه ، فيجب عليه فطرته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الجماعة أصالة براءة الذمّة ، واشتغالها موقوف على بقاء الحياة ، وهو غير معلوم ؛ وأنّ الأصل عصمه مال الغير من </w:t>
      </w:r>
      <w:r>
        <w:rPr>
          <w:rStyle w:val="FootnoteAnchor"/>
          <w:rtl w:val="true"/>
        </w:rPr>
        <w:footnoteReference w:id="1516"/>
      </w:r>
      <w:r>
        <w:rPr>
          <w:rFonts w:ascii="Amiri" w:hAnsi="Amiri" w:eastAsia="Amiri" w:cs="Amiri"/>
          <w:color w:val="111111"/>
          <w:sz w:val="28"/>
          <w:sz w:val="28"/>
          <w:szCs w:val="28"/>
          <w:rtl w:val="true"/>
          <w:lang w:bidi="ar-SA"/>
        </w:rPr>
        <w:t>السلطنة عليه ، فيجب انتزاعه على العلم بوجود السبب ، وهو غير حاصل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عمّا ذكره الحلي بأنّ ما استند إليه من الأصل معارض بالأصل المذكور ، فلا ينهض حجّة ، وحملها على العتق قياس لا نقول به سيّما مع وجود الفارق ؛ فإنّ العتق إسقاط لما في الذمّة من حقوقه تعالى ، وهو مبني على التخفيف بخلاف وجوب دعوى </w:t>
      </w:r>
      <w:r>
        <w:rPr>
          <w:rStyle w:val="FootnoteAnchor"/>
          <w:rtl w:val="true"/>
        </w:rPr>
        <w:footnoteReference w:id="1517"/>
      </w:r>
      <w:r>
        <w:rPr>
          <w:rFonts w:ascii="Amiri" w:hAnsi="Amiri" w:eastAsia="Amiri" w:cs="Amiri"/>
          <w:color w:val="111111"/>
          <w:sz w:val="28"/>
          <w:sz w:val="28"/>
          <w:szCs w:val="28"/>
          <w:rtl w:val="true"/>
          <w:lang w:bidi="ar-SA"/>
        </w:rPr>
        <w:t>الفطرة فانّه إلزام مال على المكلّف ، فلا يثبت مع عدم ثبوت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كلامهم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ومبنى المسألة في المقام على حجيّة الأصل المذكور أعني أصالة البقاء وعدمها ، فإنّه قد يتخيّل كونها من الأصول المثبته حيث إنّها تثبت اشتغال الذمّة بالفطرة المنفي أيضا بالأصل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ويدفعه أنّ وجوب الفطرة كوجوب النفقة للزوجة مع غياب الزوج والشك في حياته ، ولا شك هناك في حجية الأصل بل </w:t>
      </w:r>
      <w:r>
        <w:rPr>
          <w:rStyle w:val="FootnoteAnchor"/>
          <w:rtl w:val="true"/>
        </w:rPr>
        <w:footnoteReference w:id="1518"/>
      </w:r>
      <w:r>
        <w:rPr>
          <w:rFonts w:ascii="Amiri" w:hAnsi="Amiri" w:eastAsia="Amiri" w:cs="Amiri"/>
          <w:color w:val="111111"/>
          <w:sz w:val="28"/>
          <w:sz w:val="28"/>
          <w:szCs w:val="28"/>
          <w:rtl w:val="true"/>
          <w:lang w:bidi="ar-SA"/>
        </w:rPr>
        <w:t>ولا ينبغي التأمل فيه لكونه من استصحاب الموضوع ، والاجماع منعقد على حجيته فيترتب الحكم المتفرّغ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يفصّل في ذلك بين الحكم الثابت بثبوت أو لا المستمر باستمراره ، والحكم الجديد اللاحق المتوقّف على ثبوت ذلك الموضوع كما في المقام ؛ نظرا إلى قيام استصحاب الحكم التابع لاستصحاب الموضوع في الأوّل ، وانتفاء استصحاب الحكم في الثاني ، بل قيام أصالة عدم المعارض لاستصحاب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حجيّة استصحاب الموضوع في المقامين ، كما هو مفاد الأخبار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تقرّر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ما ذكره الحلي هو الموافق للأصل بناء على القول بتبعيّة وجوب الفطرة للملكيّة ، وأمّا على ما اخترناه فلا زكاة لانتفاء العيلولة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فرض حصولها في المقام على فرض بقاء الحياة اتّجه القول بالوجوب ، ومع الشك فيه يشكل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أصالة بقاء العيلولة محلّ إشكال ، بل ربّما يستظهر خلافها ؛ لابتنائها على كون الانفاق من ماله على الوجه المتقدم ، وهو من الأمور المتجدّدة ، فلا يجرى فيه أصالة البقاء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المحكي عنهم في المقام جريان الخلاف حينئذ مع </w:t>
      </w:r>
      <w:r>
        <w:rPr>
          <w:rStyle w:val="FootnoteAnchor"/>
          <w:rtl w:val="true"/>
        </w:rPr>
        <w:footnoteReference w:id="1519"/>
      </w:r>
      <w:r>
        <w:rPr>
          <w:rFonts w:ascii="Amiri" w:hAnsi="Amiri" w:eastAsia="Amiri" w:cs="Amiri"/>
          <w:color w:val="111111"/>
          <w:sz w:val="28"/>
          <w:sz w:val="28"/>
          <w:szCs w:val="28"/>
          <w:rtl w:val="true"/>
          <w:lang w:bidi="ar-SA"/>
        </w:rPr>
        <w:t xml:space="preserve">الشكّ في البقاء كيف كان إلّا أنّه صرّح في الحدائق </w:t>
      </w:r>
      <w:r>
        <w:rPr>
          <w:rStyle w:val="FootnoteAnchor"/>
          <w:rtl w:val="true"/>
        </w:rPr>
        <w:footnoteReference w:id="1520"/>
      </w:r>
      <w:r>
        <w:rPr>
          <w:rFonts w:ascii="Amiri" w:hAnsi="Amiri" w:eastAsia="Amiri" w:cs="Amiri"/>
          <w:color w:val="111111"/>
          <w:sz w:val="28"/>
          <w:sz w:val="28"/>
          <w:szCs w:val="28"/>
          <w:rtl w:val="true"/>
          <w:lang w:bidi="ar-SA"/>
        </w:rPr>
        <w:t>بانّ محلّ الخلاف فيما إذا كان مفقود الخبر ، وأمّا في غيره 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متّجه إذ الاكتفاء فيه بمجرّد الغياب بعيد جدّا ، بل مخالف لظاهر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جميل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يعطي الرجل عن عياله وهم غيّب عنه </w:t>
      </w:r>
      <w:r>
        <w:rPr>
          <w:rFonts w:eastAsia="Amiri" w:cs="Amiri" w:ascii="Amiri" w:hAnsi="Amiri"/>
          <w:color w:val="111111"/>
          <w:sz w:val="28"/>
          <w:szCs w:val="28"/>
          <w:rtl w:val="true"/>
          <w:lang w:bidi="ar-SA"/>
        </w:rPr>
        <w:t xml:space="preserve">» </w:t>
      </w:r>
      <w:r>
        <w:rPr>
          <w:rStyle w:val="FootnoteAnchor"/>
          <w:rtl w:val="true"/>
        </w:rPr>
        <w:footnoteReference w:id="1521"/>
      </w:r>
      <w:r>
        <w:rPr>
          <w:rFonts w:ascii="Amiri" w:hAnsi="Amiri" w:eastAsia="Amiri" w:cs="Amiri"/>
          <w:color w:val="111111"/>
          <w:sz w:val="28"/>
          <w:sz w:val="28"/>
          <w:szCs w:val="28"/>
          <w:rtl w:val="true"/>
          <w:lang w:bidi="ar-SA"/>
        </w:rPr>
        <w:t>نعم ، ما ذكر من الاحتجاج بأصالة عدم الوجوب جار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أيضا يظهر وهن الاستناد إليه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ولا يذهب عليك أنّ ما ذكروه في العبد جار في الزوجة ، بل ساير من يجب فطرته </w:t>
      </w:r>
    </w:p>
    <w:p>
      <w:pPr>
        <w:pStyle w:val="BookText"/>
        <w:rPr/>
      </w:pPr>
      <w:r>
        <w:rPr>
          <w:rFonts w:ascii="Amiri" w:hAnsi="Amiri" w:eastAsia="Amiri" w:cs="Amiri"/>
          <w:color w:val="111111"/>
          <w:sz w:val="28"/>
          <w:sz w:val="28"/>
          <w:szCs w:val="28"/>
          <w:rtl w:val="true"/>
          <w:lang w:bidi="ar-SA"/>
        </w:rPr>
        <w:t>عليه إلّا أنّ المفروض في كلامهم خصوص العبد ، والمتّجه في الجميع هو ما ذكرناه من غير فرق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العبد بين شريكين فإن عاله أحدهما أو أجنبي فالزكاة على العائل بلا إشكال ، وإلّا وجب فطرته على مواليه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عزاه في المدارك </w:t>
      </w:r>
      <w:r>
        <w:rPr>
          <w:rStyle w:val="FootnoteAnchor"/>
          <w:rtl w:val="true"/>
        </w:rPr>
        <w:footnoteReference w:id="1522"/>
      </w:r>
      <w:r>
        <w:rPr>
          <w:rFonts w:ascii="Amiri" w:hAnsi="Amiri" w:eastAsia="Amiri" w:cs="Amiri"/>
          <w:color w:val="111111"/>
          <w:sz w:val="28"/>
          <w:sz w:val="28"/>
          <w:szCs w:val="28"/>
          <w:rtl w:val="true"/>
          <w:lang w:bidi="ar-SA"/>
        </w:rPr>
        <w:t>إلى أكثر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الصدوق </w:t>
      </w:r>
      <w:r>
        <w:rPr>
          <w:rStyle w:val="FootnoteAnchor"/>
          <w:rtl w:val="true"/>
        </w:rPr>
        <w:footnoteReference w:id="1523"/>
      </w:r>
      <w:r>
        <w:rPr>
          <w:rFonts w:ascii="Amiri" w:hAnsi="Amiri" w:eastAsia="Amiri" w:cs="Amiri"/>
          <w:color w:val="111111"/>
          <w:sz w:val="28"/>
          <w:sz w:val="28"/>
          <w:szCs w:val="28"/>
          <w:rtl w:val="true"/>
          <w:lang w:bidi="ar-SA"/>
        </w:rPr>
        <w:t xml:space="preserve">أنّه لا فطرة عليهم إلّا أن يكون لكلّ واحد من الشركاء رأس تمام بعد ملاحظة حصصهم في العبد </w:t>
      </w:r>
      <w:r>
        <w:rPr>
          <w:rStyle w:val="FootnoteAnchor"/>
          <w:rtl w:val="true"/>
        </w:rPr>
        <w:footnoteReference w:id="1524"/>
      </w:r>
      <w:r>
        <w:rPr>
          <w:rFonts w:ascii="Amiri" w:hAnsi="Amiri" w:eastAsia="Amiri" w:cs="Amiri"/>
          <w:color w:val="111111"/>
          <w:sz w:val="28"/>
          <w:sz w:val="28"/>
          <w:szCs w:val="28"/>
          <w:rtl w:val="true"/>
          <w:lang w:bidi="ar-SA"/>
        </w:rPr>
        <w:t>أو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ونفى عنه البعد في المدارك </w:t>
      </w:r>
      <w:r>
        <w:rPr>
          <w:rStyle w:val="FootnoteAnchor"/>
          <w:rtl w:val="true"/>
        </w:rPr>
        <w:footnoteReference w:id="1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أطلقوه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على القول باعتبار العيلولة مراعاتها في المقام ، وحينئذ فمع اندراجه في عيلولة الجميع بالنسبة تكون فطرته عليهم على حسب الحصة ؛ لما عرفت ، ولإطلاق ما دلّ على لزوم اخراجها عن المملوك والمفروض كونه مملوكا للكلّ ، فتكون فطرته عليهم كما أنّه يجب الإنفاق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أنّه لو كانت الشركة مانعة من وجوب الفطرة لجرى فيما إذا خلص له رأس تمام ، ولا يظهر فيه خلاف في الوجوب</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الصدوق رواية زرارة المرويّة في الفقيه </w:t>
      </w:r>
      <w:r>
        <w:rPr>
          <w:rStyle w:val="FootnoteAnchor"/>
          <w:rtl w:val="true"/>
        </w:rPr>
        <w:footnoteReference w:id="1526"/>
      </w:r>
      <w:r>
        <w:rPr>
          <w:rFonts w:ascii="Amiri" w:hAnsi="Amiri" w:eastAsia="Amiri" w:cs="Amiri"/>
          <w:color w:val="111111"/>
          <w:sz w:val="28"/>
          <w:sz w:val="28"/>
          <w:szCs w:val="28"/>
          <w:rtl w:val="true"/>
          <w:lang w:bidi="ar-SA"/>
        </w:rPr>
        <w:t xml:space="preserve">بإسناد ضعيف من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بين قوم فيه زكاة الفطرة؟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لكلّ انسان رأس فعليه أن يؤدّي عنه فطرته ، وإذا كان عدّة العبيد عدّة الموالي وكانوا جميعا </w:t>
      </w:r>
      <w:r>
        <w:rPr>
          <w:rStyle w:val="FootnoteAnchor"/>
          <w:rtl w:val="true"/>
        </w:rPr>
        <w:footnoteReference w:id="1527"/>
      </w:r>
      <w:r>
        <w:rPr>
          <w:rFonts w:ascii="Amiri" w:hAnsi="Amiri" w:eastAsia="Amiri" w:cs="Amiri"/>
          <w:color w:val="111111"/>
          <w:sz w:val="28"/>
          <w:sz w:val="28"/>
          <w:szCs w:val="28"/>
          <w:rtl w:val="true"/>
          <w:lang w:bidi="ar-SA"/>
        </w:rPr>
        <w:t xml:space="preserve">سواء أدّوا زكاتهم لكلّ واحد منهم على قدر حصّته ، وإن كان لكلّ انسان منهم أقلّ من رأس فلا شي‌ء عليه </w:t>
      </w:r>
      <w:r>
        <w:rPr>
          <w:rFonts w:eastAsia="Amiri" w:cs="Amiri" w:ascii="Amiri" w:hAnsi="Amiri"/>
          <w:color w:val="111111"/>
          <w:sz w:val="28"/>
          <w:szCs w:val="28"/>
          <w:rtl w:val="true"/>
          <w:lang w:bidi="ar-SA"/>
        </w:rPr>
        <w:t xml:space="preserve">»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وهي مع ضعفها </w:t>
      </w:r>
      <w:r>
        <w:rPr>
          <w:rStyle w:val="FootnoteAnchor"/>
          <w:rtl w:val="true"/>
        </w:rPr>
        <w:footnoteReference w:id="1529"/>
      </w:r>
      <w:r>
        <w:rPr>
          <w:rFonts w:ascii="Amiri" w:hAnsi="Amiri" w:eastAsia="Amiri" w:cs="Amiri"/>
          <w:color w:val="111111"/>
          <w:sz w:val="28"/>
          <w:sz w:val="28"/>
          <w:szCs w:val="28"/>
          <w:rtl w:val="true"/>
          <w:lang w:bidi="ar-SA"/>
        </w:rPr>
        <w:t xml:space="preserve">في الإسناد و </w:t>
      </w:r>
      <w:r>
        <w:rPr>
          <w:rStyle w:val="FootnoteAnchor"/>
          <w:rtl w:val="true"/>
        </w:rPr>
        <w:footnoteReference w:id="1530"/>
      </w:r>
      <w:r>
        <w:rPr>
          <w:rFonts w:ascii="Amiri" w:hAnsi="Amiri" w:eastAsia="Amiri" w:cs="Amiri"/>
          <w:color w:val="111111"/>
          <w:sz w:val="28"/>
          <w:sz w:val="28"/>
          <w:szCs w:val="28"/>
          <w:rtl w:val="true"/>
          <w:lang w:bidi="ar-SA"/>
        </w:rPr>
        <w:t xml:space="preserve">مخالفتها لفتوى الأكثر غير صالحة الحجيّة ، فلا يمكن التعويل عليها في مقابلة ما ذكرناه ؛ لما في المدارك </w:t>
      </w:r>
      <w:r>
        <w:rPr>
          <w:rStyle w:val="FootnoteAnchor"/>
          <w:rtl w:val="true"/>
        </w:rPr>
        <w:footnoteReference w:id="1531"/>
      </w:r>
      <w:r>
        <w:rPr>
          <w:rFonts w:ascii="Amiri" w:hAnsi="Amiri" w:eastAsia="Amiri" w:cs="Amiri"/>
          <w:color w:val="111111"/>
          <w:sz w:val="28"/>
          <w:sz w:val="28"/>
          <w:szCs w:val="28"/>
          <w:rtl w:val="true"/>
          <w:lang w:bidi="ar-SA"/>
        </w:rPr>
        <w:t>من الميل إلى العمل بها لمطابقة مضمونها للأصل وسلامتها عن المعارض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ليس فيها ملاحظة العيلولة أصلا ، فهي مخالفة لما دلّ عليه غيرها من إناطة الحكم بها حسبما مرّ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ما اخترناه من اعتبار العيلولة لو اشترك بين جماعة ولم ينفق عليه بعضهم فلا شي‌ء عليه ويجري الكلام المذكور حينئذ في خصوص المنفقين</w:t>
      </w:r>
      <w:r>
        <w:rPr>
          <w:rFonts w:eastAsia="Amiri" w:cs="Amiri" w:ascii="Amiri" w:hAnsi="Amiri"/>
          <w:color w:val="111111"/>
          <w:sz w:val="28"/>
          <w:szCs w:val="28"/>
          <w:rtl w:val="true"/>
          <w:lang w:bidi="ar-SA"/>
        </w:rPr>
        <w:t xml:space="preserve">. </w:t>
      </w:r>
      <w:bookmarkStart w:id="180" w:name="pg15853_153541"/>
    </w:p>
    <w:p>
      <w:pPr>
        <w:pStyle w:val="Heading5"/>
        <w:numPr>
          <w:ilvl w:val="4"/>
          <w:numId w:val="1"/>
        </w:numPr>
        <w:rPr/>
      </w:pPr>
      <w:bookmarkStart w:id="181" w:name="__RefHeading___Toc14587167_2142443653"/>
      <w:bookmarkStart w:id="182" w:name="_Toc66"/>
      <w:bookmarkEnd w:id="180"/>
      <w:bookmarkEnd w:id="181"/>
      <w:r>
        <w:rPr>
          <w:rtl w:val="true"/>
        </w:rPr>
        <w:t>تبصرة</w:t>
      </w:r>
      <w:r>
        <w:rPr>
          <w:rtl w:val="true"/>
        </w:rPr>
        <w:t xml:space="preserve">: [ </w:t>
      </w:r>
      <w:r>
        <w:rPr>
          <w:rtl w:val="true"/>
        </w:rPr>
        <w:t xml:space="preserve">في فطرة الضيف </w:t>
      </w:r>
      <w:r>
        <w:rPr>
          <w:rtl w:val="true"/>
        </w:rPr>
        <w:t>]</w:t>
      </w:r>
      <w:bookmarkEnd w:id="182"/>
    </w:p>
    <w:p>
      <w:pPr>
        <w:pStyle w:val="Heading6"/>
        <w:numPr>
          <w:ilvl w:val="5"/>
          <w:numId w:val="1"/>
        </w:numPr>
        <w:rPr/>
      </w:pPr>
      <w:bookmarkStart w:id="183" w:name="__RefHeading___Toc14587169_2142443653"/>
      <w:bookmarkStart w:id="184" w:name="_Toc67"/>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 xml:space="preserve">لا خلاف بين الأصحاب في وجوب فطرة الضيف على المضيف </w:t>
      </w:r>
      <w:r>
        <w:rPr>
          <w:rStyle w:val="FootnoteAnchor"/>
          <w:rtl w:val="true"/>
        </w:rPr>
        <w:footnoteReference w:id="1532"/>
      </w:r>
      <w:r>
        <w:rPr>
          <w:rFonts w:ascii="Amiri" w:hAnsi="Amiri" w:eastAsia="Amiri" w:cs="Amiri"/>
          <w:color w:val="111111"/>
          <w:sz w:val="28"/>
          <w:sz w:val="28"/>
          <w:szCs w:val="28"/>
          <w:rtl w:val="true"/>
          <w:lang w:bidi="ar-SA"/>
        </w:rPr>
        <w:t>وما في ظاهر المدارك وحكاية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بعد ذلك خصوص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يكون عنده الضيف من إخوانه فينحصر يوم الفطر يؤدّي عنه الفطرة؟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الفطرة واجبة على كلّ من يعول من ذكر أو أنثى صغير أو كبير أو مملوك </w:t>
      </w:r>
      <w:r>
        <w:rPr>
          <w:rFonts w:eastAsia="Amiri" w:cs="Amiri" w:ascii="Amiri" w:hAnsi="Amiri"/>
          <w:color w:val="111111"/>
          <w:sz w:val="28"/>
          <w:szCs w:val="28"/>
          <w:rtl w:val="true"/>
          <w:lang w:bidi="ar-SA"/>
        </w:rPr>
        <w:t xml:space="preserve">»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واختلفوا في حدّ الضيافة الموجبة للفطرة على المضيف على أقوال شتّى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 طول الشهر ، وحكي </w:t>
      </w:r>
      <w:r>
        <w:rPr>
          <w:rStyle w:val="FootnoteAnchor"/>
          <w:rtl w:val="true"/>
        </w:rPr>
        <w:footnoteReference w:id="1534"/>
      </w:r>
      <w:r>
        <w:rPr>
          <w:rFonts w:ascii="IRNazanin" w:hAnsi="IRNazanin" w:eastAsia="IRNazanin"/>
          <w:color w:val="111111"/>
          <w:sz w:val="28"/>
          <w:sz w:val="28"/>
          <w:szCs w:val="28"/>
          <w:rtl w:val="true"/>
          <w:lang w:bidi="fa-IR"/>
        </w:rPr>
        <w:t xml:space="preserve">القول به </w:t>
      </w:r>
      <w:r>
        <w:rPr>
          <w:rStyle w:val="FootnoteAnchor"/>
          <w:rtl w:val="true"/>
        </w:rPr>
        <w:footnoteReference w:id="1535"/>
      </w:r>
      <w:r>
        <w:rPr>
          <w:rFonts w:ascii="Amiri" w:hAnsi="Amiri" w:eastAsia="Amiri" w:cs="Amiri"/>
          <w:color w:val="111111"/>
          <w:sz w:val="28"/>
          <w:sz w:val="28"/>
          <w:szCs w:val="28"/>
          <w:rtl w:val="true"/>
          <w:lang w:bidi="ar-SA"/>
        </w:rPr>
        <w:t>عن السيد والشيخ ، وحكيا عليه في الانتصار والخلاف إجماع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اعتبارها في النصف </w:t>
      </w:r>
      <w:r>
        <w:rPr>
          <w:rStyle w:val="FootnoteAnchor"/>
          <w:rtl w:val="true"/>
        </w:rPr>
        <w:footnoteReference w:id="1536"/>
      </w:r>
      <w:r>
        <w:rPr>
          <w:rFonts w:ascii="Amiri" w:hAnsi="Amiri" w:eastAsia="Amiri" w:cs="Amiri"/>
          <w:color w:val="111111"/>
          <w:sz w:val="28"/>
          <w:sz w:val="28"/>
          <w:szCs w:val="28"/>
          <w:rtl w:val="true"/>
          <w:lang w:bidi="ar-SA"/>
        </w:rPr>
        <w:t xml:space="preserve">الآخر من الشهر وحكي </w:t>
      </w:r>
      <w:r>
        <w:rPr>
          <w:rStyle w:val="FootnoteAnchor"/>
          <w:rtl w:val="true"/>
        </w:rPr>
        <w:footnoteReference w:id="1537"/>
      </w:r>
      <w:r>
        <w:rPr>
          <w:rFonts w:ascii="Amiri" w:hAnsi="Amiri" w:eastAsia="Amiri" w:cs="Amiri"/>
          <w:color w:val="111111"/>
          <w:sz w:val="28"/>
          <w:sz w:val="28"/>
          <w:szCs w:val="28"/>
          <w:rtl w:val="true"/>
          <w:lang w:bidi="ar-SA"/>
        </w:rPr>
        <w:t>عن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الاجتزاء بالعشر الأواخر ، وحكي عن </w:t>
      </w:r>
      <w:r>
        <w:rPr>
          <w:rStyle w:val="FootnoteAnchor"/>
          <w:rtl w:val="true"/>
        </w:rPr>
        <w:footnoteReference w:id="1538"/>
      </w:r>
      <w:r>
        <w:rPr>
          <w:rFonts w:ascii="IRNazanin" w:hAnsi="IRNazanin" w:eastAsia="IRNazanin"/>
          <w:color w:val="111111"/>
          <w:sz w:val="28"/>
          <w:sz w:val="28"/>
          <w:szCs w:val="28"/>
          <w:rtl w:val="true"/>
          <w:lang w:bidi="fa-IR"/>
        </w:rPr>
        <w:t>البعض</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الاجتزاء بليلتين في آخره ، وحكي </w:t>
      </w:r>
      <w:r>
        <w:rPr>
          <w:rStyle w:val="FootnoteAnchor"/>
          <w:rtl w:val="true"/>
        </w:rPr>
        <w:footnoteReference w:id="1539"/>
      </w:r>
      <w:r>
        <w:rPr>
          <w:rFonts w:ascii="Amiri" w:hAnsi="Amiri" w:eastAsia="Amiri" w:cs="Amiri"/>
          <w:color w:val="111111"/>
          <w:sz w:val="28"/>
          <w:sz w:val="28"/>
          <w:szCs w:val="28"/>
          <w:rtl w:val="true"/>
          <w:lang w:bidi="ar-SA"/>
        </w:rPr>
        <w:t>عن الحلي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بالليلة الواحدة ، وحكي </w:t>
      </w:r>
      <w:r>
        <w:rPr>
          <w:rStyle w:val="FootnoteAnchor"/>
          <w:rtl w:val="true"/>
        </w:rPr>
        <w:footnoteReference w:id="1540"/>
      </w:r>
      <w:r>
        <w:rPr>
          <w:rFonts w:ascii="Amiri" w:hAnsi="Amiri" w:eastAsia="Amiri" w:cs="Amiri"/>
          <w:color w:val="111111"/>
          <w:sz w:val="28"/>
          <w:sz w:val="28"/>
          <w:szCs w:val="28"/>
          <w:rtl w:val="true"/>
          <w:lang w:bidi="ar-SA"/>
        </w:rPr>
        <w:t>عن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بمسمّى الضيافة في الجزء الأخير من الشهر بحيث يهلّ عليه الهلال وهو في ضيافته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عزاه في المعتبر </w:t>
      </w:r>
      <w:r>
        <w:rPr>
          <w:rStyle w:val="FootnoteAnchor"/>
          <w:rtl w:val="true"/>
        </w:rPr>
        <w:footnoteReference w:id="1541"/>
      </w:r>
      <w:r>
        <w:rPr>
          <w:rFonts w:ascii="Amiri" w:hAnsi="Amiri" w:eastAsia="Amiri" w:cs="Amiri"/>
          <w:color w:val="111111"/>
          <w:sz w:val="28"/>
          <w:sz w:val="28"/>
          <w:szCs w:val="28"/>
          <w:rtl w:val="true"/>
          <w:lang w:bidi="ar-SA"/>
        </w:rPr>
        <w:t>إلى جماعة من الأصحاب ، وجعله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الدروس </w:t>
      </w:r>
      <w:r>
        <w:rPr>
          <w:rStyle w:val="FootnoteAnchor"/>
          <w:rtl w:val="true"/>
        </w:rPr>
        <w:footnoteReference w:id="1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سمعناه مذاكرة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أنه لا بدّ من الإفطار عنده في شهر رمضان أو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واختاره المحقق الأردبيلي </w:t>
      </w:r>
      <w:r>
        <w:rPr>
          <w:rStyle w:val="FootnoteAnchor"/>
          <w:rtl w:val="true"/>
        </w:rPr>
        <w:footnoteReference w:id="1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بوجوب الأكل عنده كما لو ساغ له الإفطار لسفر أو مرض ؛ معلّلا لصدق </w:t>
      </w:r>
      <w:r>
        <w:rPr>
          <w:rStyle w:val="FootnoteAnchor"/>
          <w:rtl w:val="true"/>
        </w:rPr>
        <w:footnoteReference w:id="1544"/>
      </w:r>
      <w:r>
        <w:rPr>
          <w:rFonts w:ascii="Amiri" w:hAnsi="Amiri" w:eastAsia="Amiri" w:cs="Amiri"/>
          <w:color w:val="111111"/>
          <w:sz w:val="28"/>
          <w:sz w:val="28"/>
          <w:szCs w:val="28"/>
          <w:rtl w:val="true"/>
          <w:lang w:bidi="ar-SA"/>
        </w:rPr>
        <w:t>العيلولة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الثاني </w:t>
      </w:r>
      <w:r>
        <w:rPr>
          <w:rStyle w:val="FootnoteAnchor"/>
          <w:rtl w:val="true"/>
        </w:rPr>
        <w:footnoteReference w:id="1545"/>
      </w:r>
      <w:r>
        <w:rPr>
          <w:rFonts w:ascii="Amiri" w:hAnsi="Amiri" w:eastAsia="Amiri" w:cs="Amiri"/>
          <w:color w:val="111111"/>
          <w:sz w:val="28"/>
          <w:sz w:val="28"/>
          <w:szCs w:val="28"/>
          <w:rtl w:val="true"/>
          <w:lang w:bidi="ar-SA"/>
        </w:rPr>
        <w:t xml:space="preserve">وغيره ممّن اختار ذلك عدم اعتبار الأكل ، فهذا القول ينحلّ </w:t>
      </w:r>
      <w:r>
        <w:rPr>
          <w:rStyle w:val="FootnoteAnchor"/>
          <w:rtl w:val="true"/>
        </w:rPr>
        <w:footnoteReference w:id="1546"/>
      </w:r>
      <w:r>
        <w:rPr>
          <w:rFonts w:ascii="Amiri" w:hAnsi="Amiri" w:eastAsia="Amiri" w:cs="Amiri"/>
          <w:color w:val="111111"/>
          <w:sz w:val="28"/>
          <w:sz w:val="28"/>
          <w:szCs w:val="28"/>
          <w:rtl w:val="true"/>
          <w:lang w:bidi="ar-SA"/>
        </w:rPr>
        <w:t>إلى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صدق العيلولة وعدمه ، واختاره غير واحد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 ؛ لإناطة الحكم في الأخبار الكثيرة بالعيلولة كما عرفت من غير إشارة إلى خصوص الضيف ، بل لم نجد ذكر الضيف بالخصوص إلّا في الصحيحة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ضمّ إليه في الجواب ذكر العيلولة ، وظاهرها اندراج الضيف أيضا في تلك القاعدة ، فيدور الحكم فيه مدار صدقه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البيّن عرفا عدم اندراج الضيف في العيال ، ولو فرض اندراجها فيه فإنّما هو على سبيل الندرة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في الصحيحة المذكورة المعتضدة بالعمل بوجوبها عن الضيف ، غاية الأمر أن يكون المستفاد من آخرها حصول العيلولة بالضيافة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مبنيّ على </w:t>
      </w:r>
    </w:p>
    <w:p>
      <w:pPr>
        <w:pStyle w:val="BookText"/>
        <w:rPr/>
      </w:pPr>
      <w:r>
        <w:rPr>
          <w:rFonts w:ascii="Amiri" w:hAnsi="Amiri" w:eastAsia="Amiri" w:cs="Amiri"/>
          <w:color w:val="111111"/>
          <w:sz w:val="28"/>
          <w:sz w:val="28"/>
          <w:szCs w:val="28"/>
          <w:rtl w:val="true"/>
          <w:lang w:bidi="ar-SA"/>
        </w:rPr>
        <w:t>نحو من التوسع ، فلا يستدعي دوران الحكم فيه مدار اندراجه في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ويخرج معه عن الضيافة المأخوذة في 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الفرق بين صدق العيال عليه بحسب العرف وكونه ممّن يعوله في الجملة ؛ فإنّ الظاهر صدق الثاني بتكفّل حاله في الجملة ، وهو إن اعتبر في صدقة ملاحظة الإنفاق عليه مدّة يعتدّ بها إلّا أنّه ليس كصدق </w:t>
      </w:r>
      <w:r>
        <w:rPr>
          <w:rStyle w:val="FootnoteAnchor"/>
          <w:rtl w:val="true"/>
        </w:rPr>
        <w:footnoteReference w:id="1547"/>
      </w:r>
      <w:r>
        <w:rPr>
          <w:rFonts w:ascii="Amiri" w:hAnsi="Amiri" w:eastAsia="Amiri" w:cs="Amiri"/>
          <w:color w:val="111111"/>
          <w:sz w:val="28"/>
          <w:sz w:val="28"/>
          <w:szCs w:val="28"/>
          <w:rtl w:val="true"/>
          <w:lang w:bidi="ar-SA"/>
        </w:rPr>
        <w:t>اسم العيال ؛ فإنّ المعتبر فيه ما يزيد على ذلك كما يظهر من ملاحظة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لو كان عنده ضيفا في تمام الشهر أو في معظمه كان ممّن يعوله في ذلك الشهر وإن لم يكن من عياله؟ فظهر بما ذكرنا اعتبار تكفّل الإنفاق في المقام ، وهو لا يصدق بمجرّد ضيافة ليلة واحدة أو ليلتين إلّا أن يكون مع البناء عليه بعد ذلك مدّة تعتد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ما ذكرنا هو الوجه في عدّة من الأقوال المذكورة كاعتبار الضيافة في تمام الشهر أو نصفه أو العشر الأخير منه ؛ إذ لا يظهر وجه لشي‌ء من تلك التحديدات سوى ما ذكرناه ، فعلى هذا يكون كلّ من تلك الأقوال بيانا للمقدار الّذي يصدق معه اسم العيلولة ، فلا اختلاف بينها ؛ اذن في الحكم ، إنّما الكلام في تحقق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القول الخامس والسادس مبنيّان على الاكتفاء بصدق اسم الضيافة من دون اعتبار العيلولة ، والقول الخامس يمكن اعتباره لكلّ من الوجهين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فصار المرجع في المسألة إلّا أنّ المدار في المقام على حصول مسمّى الضيافة ، وصدق اسم الضيف أو المعتبر حصول العيلولة في الجملة وإن اختلف فيما يتحصّل به كلّ من القولين </w:t>
      </w:r>
      <w:r>
        <w:rPr>
          <w:rStyle w:val="FootnoteAnchor"/>
          <w:rtl w:val="true"/>
        </w:rPr>
        <w:footnoteReference w:id="1548"/>
      </w:r>
      <w:r>
        <w:rPr>
          <w:rFonts w:ascii="Amiri" w:hAnsi="Amiri" w:eastAsia="Amiri" w:cs="Amiri"/>
          <w:color w:val="111111"/>
          <w:sz w:val="28"/>
          <w:sz w:val="28"/>
          <w:szCs w:val="28"/>
          <w:rtl w:val="true"/>
          <w:lang w:bidi="ar-SA"/>
        </w:rPr>
        <w:t>المذكورين ، فإن ذلك كما عرفت ليس اختلافا في الحكم ، وإنّما هو كلام في الموضوع</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فالوجه في الأوّل ما عرفت من إطلاقه </w:t>
      </w:r>
      <w:r>
        <w:rPr>
          <w:rStyle w:val="FootnoteAnchor"/>
          <w:rtl w:val="true"/>
        </w:rPr>
        <w:footnoteReference w:id="1549"/>
      </w:r>
      <w:r>
        <w:rPr>
          <w:rFonts w:ascii="Amiri" w:hAnsi="Amiri" w:eastAsia="Amiri" w:cs="Amiri"/>
          <w:color w:val="111111"/>
          <w:sz w:val="28"/>
          <w:sz w:val="28"/>
          <w:szCs w:val="28"/>
          <w:rtl w:val="true"/>
          <w:lang w:bidi="ar-SA"/>
        </w:rPr>
        <w:t>ثبوت الفطرة لأجل الضيف في الصحيحة المتقدمة ، فيدور الحكم مدار حصول الضيافة</w:t>
      </w:r>
      <w:r>
        <w:rPr>
          <w:rFonts w:eastAsia="Amiri" w:cs="Amiri" w:ascii="Amiri" w:hAnsi="Amiri"/>
          <w:color w:val="111111"/>
          <w:sz w:val="28"/>
          <w:szCs w:val="28"/>
          <w:rtl w:val="true"/>
          <w:lang w:bidi="ar-SA"/>
        </w:rPr>
        <w:t xml:space="preserve">. </w:t>
      </w:r>
      <w:bookmarkStart w:id="185" w:name="pg15853_153544"/>
    </w:p>
    <w:p>
      <w:pPr>
        <w:pStyle w:val="BookText"/>
        <w:rPr/>
      </w:pPr>
      <w:bookmarkEnd w:id="185"/>
      <w:r>
        <w:rPr>
          <w:rFonts w:ascii="Amiri" w:hAnsi="Amiri" w:eastAsia="Amiri" w:cs="Amiri"/>
          <w:color w:val="111111"/>
          <w:sz w:val="28"/>
          <w:sz w:val="28"/>
          <w:szCs w:val="28"/>
          <w:rtl w:val="true"/>
          <w:lang w:bidi="ar-SA"/>
        </w:rPr>
        <w:t xml:space="preserve">وفي الثاني ما عرفت من ظواهر معظم أخبار </w:t>
      </w:r>
      <w:r>
        <w:rPr>
          <w:rStyle w:val="FootnoteAnchor"/>
          <w:rtl w:val="true"/>
        </w:rPr>
        <w:footnoteReference w:id="1550"/>
      </w:r>
      <w:r>
        <w:rPr>
          <w:rFonts w:ascii="Amiri" w:hAnsi="Amiri" w:eastAsia="Amiri" w:cs="Amiri"/>
          <w:color w:val="111111"/>
          <w:sz w:val="28"/>
          <w:sz w:val="28"/>
          <w:szCs w:val="28"/>
          <w:rtl w:val="true"/>
          <w:lang w:bidi="ar-SA"/>
        </w:rPr>
        <w:t>الباب المعلّقة للحكم على العيلولة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في ذيل الصحيحة المذكورة أيضا إشارة إليه ، وهو الظاهر من سياقها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اعتضاده بالأصل ، فلا خصوصيّة إذن لعنوان الضيافة ، وإنّما المدار على حصول العيلولة</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14587171_2142443653"/>
      <w:bookmarkStart w:id="187" w:name="_Toc68"/>
      <w:bookmarkEnd w:id="186"/>
      <w:r>
        <w:rPr>
          <w:rtl w:val="true"/>
        </w:rPr>
        <w:t>فروع</w:t>
      </w:r>
      <w:bookmarkEnd w:id="18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اخترناه من اعتبار صدق العيلولة فلا مانع من ضيافته عند غير المضيف في أثناء الشهر ، بل ولا في الليلة الأخيرة ، أو أنفق على نفسه كذلك ، ولا يقضي ذلك بسقوط الفطرة عن المضيف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صدق العيلولة على الغير فهل يجب عليه بذلك الفطرة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قضية الأصل إلى أن يثبت اشتغال ذمة الغير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يسقط عنهما ؛ أخذا بأصالة البراءة بالنسبة إلى كلّ منهما أو يؤخذ بمقتضى الحال الثابت قبل الشك ؛ أخذا باستصحابها؟ وجوه كأنّ أظهرهما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باعتبار مسمّى الضيافة فهل يعتبر أكله من مال المضيف أو لا؟ وجهان ، والذي نصّ عليه بعضهم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ويعضده ملاحظة العرف إلّا أنه ضعيف جدّا ؛ لبعده عن ظاهر الصحيحة المتقدمة التي هي المستند للحكم ، فإن ذكر العيلولة فيها كالصريح في اعتبار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هل يكتفى بالإفطار عنده </w:t>
      </w:r>
      <w:r>
        <w:rPr>
          <w:rStyle w:val="FootnoteAnchor"/>
          <w:rtl w:val="true"/>
        </w:rPr>
        <w:footnoteReference w:id="1551"/>
      </w:r>
      <w:r>
        <w:rPr>
          <w:rFonts w:ascii="Amiri" w:hAnsi="Amiri" w:eastAsia="Amiri" w:cs="Amiri"/>
          <w:color w:val="111111"/>
          <w:sz w:val="28"/>
          <w:sz w:val="28"/>
          <w:szCs w:val="28"/>
          <w:rtl w:val="true"/>
          <w:lang w:bidi="ar-SA"/>
        </w:rPr>
        <w:t>ليلة العيد؟ وجهان مبنيّان على أنّ الوجوب هل يتعلّق بمن اندرج في العنوان في أوّل وقت الوجوب أو يعم ذلك تمام وقت الأداء ، وسيجي‌ء الإشارة إليه إن شاء اللّه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زكاة على الضيف الموسر مع وجوبها على المضيف وأدائه ، بلا خلاف يعرف </w:t>
      </w:r>
    </w:p>
    <w:p>
      <w:pPr>
        <w:pStyle w:val="BookText"/>
        <w:rPr/>
      </w:pPr>
      <w:r>
        <w:rPr>
          <w:rFonts w:ascii="Amiri" w:hAnsi="Amiri" w:eastAsia="Amiri" w:cs="Amiri"/>
          <w:color w:val="111111"/>
          <w:sz w:val="28"/>
          <w:sz w:val="28"/>
          <w:szCs w:val="28"/>
          <w:rtl w:val="true"/>
          <w:lang w:bidi="ar-SA"/>
        </w:rPr>
        <w:t xml:space="preserve">فيه سوى ما حكي عن ظاهر الحلي </w:t>
      </w:r>
      <w:r>
        <w:rPr>
          <w:rStyle w:val="FootnoteAnchor"/>
          <w:rtl w:val="true"/>
        </w:rPr>
        <w:footnoteReference w:id="1552"/>
      </w:r>
      <w:r>
        <w:rPr>
          <w:rFonts w:ascii="Amiri" w:hAnsi="Amiri" w:eastAsia="Amiri" w:cs="Amiri"/>
          <w:color w:val="111111"/>
          <w:sz w:val="28"/>
          <w:sz w:val="28"/>
          <w:szCs w:val="28"/>
          <w:rtl w:val="true"/>
          <w:lang w:bidi="ar-SA"/>
        </w:rPr>
        <w:t>من القول بوجوبها على الضيف والمضيف</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الذخيرة </w:t>
      </w:r>
      <w:r>
        <w:rPr>
          <w:rStyle w:val="FootnoteAnchor"/>
          <w:rtl w:val="true"/>
        </w:rPr>
        <w:footnoteReference w:id="1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الوجه فيه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الإطلاقات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جدّا ؛ إذ قضيّة إيجابها على المضيف سقوطه عن الضيف كما هو الحال في غير الضيف ممّن يتحمل الغير فطرته</w:t>
      </w:r>
      <w:r>
        <w:rPr>
          <w:rFonts w:eastAsia="Amiri" w:cs="Amiri" w:ascii="Amiri" w:hAnsi="Amiri"/>
          <w:color w:val="111111"/>
          <w:sz w:val="28"/>
          <w:szCs w:val="28"/>
          <w:rtl w:val="true"/>
          <w:lang w:bidi="ar-SA"/>
        </w:rPr>
        <w:t xml:space="preserve">. </w:t>
      </w:r>
      <w:bookmarkStart w:id="188" w:name="pg15853_153546"/>
    </w:p>
    <w:p>
      <w:pPr>
        <w:pStyle w:val="Heading5"/>
        <w:numPr>
          <w:ilvl w:val="4"/>
          <w:numId w:val="1"/>
        </w:numPr>
        <w:rPr/>
      </w:pPr>
      <w:bookmarkStart w:id="189" w:name="__RefHeading___Toc14587173_2142443653"/>
      <w:bookmarkStart w:id="190" w:name="_Toc69"/>
      <w:bookmarkEnd w:id="188"/>
      <w:bookmarkEnd w:id="189"/>
      <w:r>
        <w:rPr>
          <w:rtl w:val="true"/>
        </w:rPr>
        <w:t>تبصرة</w:t>
      </w:r>
      <w:r>
        <w:rPr>
          <w:rtl w:val="true"/>
        </w:rPr>
        <w:t xml:space="preserve">: [ </w:t>
      </w:r>
      <w:r>
        <w:rPr>
          <w:rtl w:val="true"/>
        </w:rPr>
        <w:t xml:space="preserve">في أداء مال الفطرة عن نفسه </w:t>
      </w:r>
      <w:r>
        <w:rPr>
          <w:rtl w:val="true"/>
        </w:rPr>
        <w:t>]</w:t>
      </w:r>
      <w:bookmarkEnd w:id="190"/>
    </w:p>
    <w:p>
      <w:pPr>
        <w:pStyle w:val="BookText"/>
        <w:rPr/>
      </w:pPr>
      <w:r>
        <w:rPr>
          <w:rFonts w:ascii="Amiri" w:hAnsi="Amiri" w:eastAsia="Amiri" w:cs="Amiri"/>
          <w:color w:val="111111"/>
          <w:sz w:val="28"/>
          <w:sz w:val="28"/>
          <w:szCs w:val="28"/>
          <w:rtl w:val="true"/>
          <w:lang w:bidi="ar-SA"/>
        </w:rPr>
        <w:t>قد عرفت أنّ من كان في عيلولة الغير كانت فطرته عليه مع يساره ، فإن أدّاه عنه فلا كلام ، وإلّا ففي وجوبها على نفسه مع يساره احتمال ؛ نظرا إلى أن ظاهر الإطلاقات وجوب فطرته عليه ، والقدر الثابت سقوطه مع تحمل الغير عنه ، وأمّا مع عدمه سيّما إذا اعتبر في وقت الأداء بحيث لم يمكنه الدفع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ويضعفه أنّ مقتضى الأدلّة تعلّق الوجوب حينئذ بمن يعوله ، فلا تكليف عليه حتّى يلزمه الخروج عنه ، غاية الأمر حينئذ عصيان الآخر بترك ما يجب عليه ، ولا يوجب ذلك انتقال التكليف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وجوبها عليه وسقوطه بتحمّل الغير عنه ممنوعة ، كيف وقضيّة الأدلّة وجوبها على المعيل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المعال معسرا لا يجب الفطرة عليه ، فهل تجب الفطرة على المعال؟ وجهان ؛ من أن فطرته إنّما يتعلّق بالمعيل ، فلا تكليف عليه ، فإن كان المعال قابلا لتعلّقه به وإلّا سقط لانتفاء الشرط ، فالفطرة حينئذ ساقطة من المعال ؛ لمكان العيلولة ، وعن المعيل لانتفاء </w:t>
      </w:r>
      <w:r>
        <w:rPr>
          <w:rStyle w:val="FootnoteAnchor"/>
          <w:rtl w:val="true"/>
        </w:rPr>
        <w:footnoteReference w:id="1554"/>
      </w:r>
      <w:r>
        <w:rPr>
          <w:rFonts w:ascii="Amiri" w:hAnsi="Amiri" w:eastAsia="Amiri" w:cs="Amiri"/>
          <w:color w:val="111111"/>
          <w:sz w:val="28"/>
          <w:sz w:val="28"/>
          <w:szCs w:val="28"/>
          <w:rtl w:val="true"/>
          <w:lang w:bidi="ar-SA"/>
        </w:rPr>
        <w:t>القابليّة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قضاء إطلاق الأدلّة من الكتاب والسنة بوجوب الفطرة على كلّ بالغ غنيّ خرج عنه المعال </w:t>
      </w:r>
      <w:r>
        <w:rPr>
          <w:rStyle w:val="FootnoteAnchor"/>
          <w:rtl w:val="true"/>
        </w:rPr>
        <w:footnoteReference w:id="1555"/>
      </w:r>
      <w:r>
        <w:rPr>
          <w:rFonts w:ascii="Amiri" w:hAnsi="Amiri" w:eastAsia="Amiri" w:cs="Amiri"/>
          <w:color w:val="111111"/>
          <w:sz w:val="28"/>
          <w:sz w:val="28"/>
          <w:szCs w:val="28"/>
          <w:rtl w:val="true"/>
          <w:lang w:bidi="ar-SA"/>
        </w:rPr>
        <w:t>مع يسار المعيل ؛ لقضاء الأخبار بوجوب الفطرة حينئذ على المعيل الدالّ على سقوطه عن المعال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مع عدم </w:t>
      </w:r>
      <w:r>
        <w:rPr>
          <w:rStyle w:val="FootnoteAnchor"/>
          <w:rtl w:val="true"/>
        </w:rPr>
        <w:footnoteReference w:id="1556"/>
      </w:r>
      <w:r>
        <w:rPr>
          <w:rFonts w:ascii="Amiri" w:hAnsi="Amiri" w:eastAsia="Amiri" w:cs="Amiri"/>
          <w:color w:val="111111"/>
          <w:sz w:val="28"/>
          <w:sz w:val="28"/>
          <w:szCs w:val="28"/>
          <w:rtl w:val="true"/>
          <w:lang w:bidi="ar-SA"/>
        </w:rPr>
        <w:t>التكليف به فلا دليل على سقوطه عن المعال مع بلوغه ويساره ؛ لعدم اندراجه في تلك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هو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أشار الأصحاب في الموضعين إلى الخلاف في المقام أحدهما </w:t>
      </w:r>
      <w:r>
        <w:rPr>
          <w:rStyle w:val="FootnoteAnchor"/>
          <w:rtl w:val="true"/>
        </w:rPr>
        <w:footnoteReference w:id="1557"/>
      </w:r>
      <w:r>
        <w:rPr>
          <w:rFonts w:ascii="Amiri" w:hAnsi="Amiri" w:eastAsia="Amiri" w:cs="Amiri"/>
          <w:color w:val="111111"/>
          <w:sz w:val="28"/>
          <w:sz w:val="28"/>
          <w:szCs w:val="28"/>
          <w:rtl w:val="true"/>
          <w:lang w:bidi="ar-SA"/>
        </w:rPr>
        <w:t xml:space="preserve">في الزوجة الموسرة إذا كان زوجها معسرا ، فعن الشيخ في المبسوط </w:t>
      </w:r>
      <w:r>
        <w:rPr>
          <w:rStyle w:val="FootnoteAnchor"/>
          <w:rtl w:val="true"/>
        </w:rPr>
        <w:footnoteReference w:id="1558"/>
      </w:r>
      <w:r>
        <w:rPr>
          <w:rFonts w:ascii="IRNazanin" w:hAnsi="IRNazanin" w:eastAsia="IRNazanin"/>
          <w:color w:val="111111"/>
          <w:sz w:val="28"/>
          <w:sz w:val="28"/>
          <w:szCs w:val="28"/>
          <w:rtl w:val="true"/>
          <w:lang w:bidi="fa-IR"/>
        </w:rPr>
        <w:t xml:space="preserve">وفخر الإسلام </w:t>
      </w:r>
      <w:r>
        <w:rPr>
          <w:rStyle w:val="FootnoteAnchor"/>
          <w:rtl w:val="true"/>
        </w:rPr>
        <w:footnoteReference w:id="1559"/>
      </w:r>
      <w:r>
        <w:rPr>
          <w:rFonts w:ascii="Amiri" w:hAnsi="Amiri" w:eastAsia="Amiri" w:cs="Amiri"/>
          <w:color w:val="111111"/>
          <w:sz w:val="28"/>
          <w:sz w:val="28"/>
          <w:szCs w:val="28"/>
          <w:rtl w:val="true"/>
          <w:lang w:bidi="ar-SA"/>
        </w:rPr>
        <w:t>اختيار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الحليّ </w:t>
      </w:r>
      <w:r>
        <w:rPr>
          <w:rStyle w:val="FootnoteAnchor"/>
          <w:rtl w:val="true"/>
        </w:rPr>
        <w:footnoteReference w:id="1560"/>
      </w:r>
      <w:r>
        <w:rPr>
          <w:rFonts w:ascii="Amiri" w:hAnsi="Amiri" w:eastAsia="Amiri" w:cs="Amiri"/>
          <w:color w:val="111111"/>
          <w:sz w:val="28"/>
          <w:sz w:val="28"/>
          <w:szCs w:val="28"/>
          <w:rtl w:val="true"/>
          <w:lang w:bidi="ar-SA"/>
        </w:rPr>
        <w:t xml:space="preserve">والشهيد في الدروس </w:t>
      </w:r>
      <w:r>
        <w:rPr>
          <w:rStyle w:val="FootnoteAnchor"/>
          <w:rtl w:val="true"/>
        </w:rPr>
        <w:footnoteReference w:id="1561"/>
      </w:r>
      <w:r>
        <w:rPr>
          <w:rFonts w:ascii="Amiri" w:hAnsi="Amiri" w:eastAsia="Amiri" w:cs="Amiri"/>
          <w:color w:val="111111"/>
          <w:sz w:val="28"/>
          <w:sz w:val="28"/>
          <w:szCs w:val="28"/>
          <w:rtl w:val="true"/>
          <w:lang w:bidi="ar-SA"/>
        </w:rPr>
        <w:t xml:space="preserve">والسيّد في المدارك </w:t>
      </w:r>
      <w:r>
        <w:rPr>
          <w:rStyle w:val="FootnoteAnchor"/>
          <w:rtl w:val="true"/>
        </w:rPr>
        <w:footnoteReference w:id="1562"/>
      </w:r>
      <w:r>
        <w:rPr>
          <w:rFonts w:ascii="Amiri" w:hAnsi="Amiri" w:eastAsia="Amiri" w:cs="Amiri"/>
          <w:color w:val="111111"/>
          <w:sz w:val="28"/>
          <w:sz w:val="28"/>
          <w:szCs w:val="28"/>
          <w:rtl w:val="true"/>
          <w:lang w:bidi="ar-SA"/>
        </w:rPr>
        <w:t>اختيار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العلّامة </w:t>
      </w:r>
      <w:r>
        <w:rPr>
          <w:rStyle w:val="FootnoteAnchor"/>
          <w:rtl w:val="true"/>
        </w:rPr>
        <w:footnoteReference w:id="1563"/>
      </w:r>
      <w:r>
        <w:rPr>
          <w:rFonts w:ascii="Amiri" w:hAnsi="Amiri" w:eastAsia="Amiri" w:cs="Amiri"/>
          <w:color w:val="111111"/>
          <w:sz w:val="28"/>
          <w:sz w:val="28"/>
          <w:szCs w:val="28"/>
          <w:rtl w:val="true"/>
          <w:lang w:bidi="ar-SA"/>
        </w:rPr>
        <w:t>بين ما إذا بلغ إعسار الزوج حدّا يسقط معه نفقة الزوجة فالفطرة عليها ، وإن كان الزوج ينفق عليها مع إعساره فلا فطرة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الأوّل بما ذكرناه من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بأنّ العيلولة مسقطة للفطرة عن نفسها ، والمفروض عدم وجوبها على زوجها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ويضعّفه ما عرفت من عدم قيام دليل على سقوط الفطرة عنها بمجرّد عيلولة الغير لها ، وإنّما هو أوّل الكلام ، ومقتضى العمومات وجوبها عليها كما عرفت</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قال بعد ما حكيناه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التحقيق انّ الفطرة إن كانت واجبة بالأصالة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سقطت لإعساره عنه وعنها وإن كانت بالاصالة على </w:t>
      </w:r>
      <w:r>
        <w:rPr>
          <w:rFonts w:eastAsia="Amiri" w:cs="Amiri" w:ascii="Amiri" w:hAnsi="Amiri"/>
          <w:color w:val="111111"/>
          <w:sz w:val="28"/>
          <w:szCs w:val="28"/>
          <w:rtl w:val="true"/>
          <w:lang w:bidi="ar-SA"/>
        </w:rPr>
        <w:t xml:space="preserve">) </w:t>
      </w:r>
      <w:r>
        <w:rPr>
          <w:rStyle w:val="FootnoteAnchor"/>
          <w:rtl w:val="true"/>
        </w:rPr>
        <w:footnoteReference w:id="1564"/>
      </w:r>
      <w:r>
        <w:rPr>
          <w:rFonts w:ascii="Amiri" w:hAnsi="Amiri" w:eastAsia="Amiri" w:cs="Amiri"/>
          <w:color w:val="111111"/>
          <w:sz w:val="28"/>
          <w:sz w:val="28"/>
          <w:szCs w:val="28"/>
          <w:rtl w:val="true"/>
          <w:lang w:bidi="ar-SA"/>
        </w:rPr>
        <w:t xml:space="preserve">الزوجة وإنّما يتحمّلها الزوج </w:t>
      </w:r>
    </w:p>
    <w:p>
      <w:pPr>
        <w:pStyle w:val="BookText"/>
        <w:rPr/>
      </w:pPr>
      <w:r>
        <w:rPr>
          <w:rFonts w:ascii="Amiri" w:hAnsi="Amiri" w:eastAsia="Amiri" w:cs="Amiri"/>
          <w:color w:val="111111"/>
          <w:sz w:val="28"/>
          <w:sz w:val="28"/>
          <w:szCs w:val="28"/>
          <w:rtl w:val="true"/>
          <w:lang w:bidi="ar-SA"/>
        </w:rPr>
        <w:t>سقطت عنه ؛ لفقره ووجبت عليها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رجوع عما ذكره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مبنى الوجه الأوّل ضعيف ؛ إذ كون الفطرة على الزوج مع يساره بالأصالة لا يقضي بسقوطها من الزوجة الموسرة بإعساره مع قضاء الإطلاقات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الضيف الموسر مع إعسار المضيف ، فالذي بنى عليه جماعة وجوب الفطرة على الضيف ، واحتمل في المدارك </w:t>
      </w:r>
      <w:r>
        <w:rPr>
          <w:rStyle w:val="FootnoteAnchor"/>
          <w:rtl w:val="true"/>
        </w:rPr>
        <w:footnoteReference w:id="1565"/>
      </w:r>
      <w:r>
        <w:rPr>
          <w:rFonts w:ascii="Amiri" w:hAnsi="Amiri" w:eastAsia="Amiri" w:cs="Amiri"/>
          <w:color w:val="111111"/>
          <w:sz w:val="28"/>
          <w:sz w:val="28"/>
          <w:szCs w:val="28"/>
          <w:rtl w:val="true"/>
          <w:lang w:bidi="ar-SA"/>
        </w:rPr>
        <w:t xml:space="preserve">السقوط عنهما ، أما عن وأمّا عن الضيف فلمكان العيلولة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الأوّل أرجح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الأظهر حسبما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ما ذكروه في الموضعين جار في ساير من ينفق عليه ، ويندرج في عيلولته إذا كان موسرا مع إعسار المعيل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ولو تبرّع المضيف مع إعساره عن ضيفه الموسر ففي سقوط </w:t>
      </w:r>
      <w:r>
        <w:rPr>
          <w:rStyle w:val="FootnoteAnchor"/>
          <w:rtl w:val="true"/>
        </w:rPr>
        <w:footnoteReference w:id="1566"/>
      </w:r>
      <w:r>
        <w:rPr>
          <w:rFonts w:ascii="Amiri" w:hAnsi="Amiri" w:eastAsia="Amiri" w:cs="Amiri"/>
          <w:color w:val="111111"/>
          <w:sz w:val="28"/>
          <w:sz w:val="28"/>
          <w:szCs w:val="28"/>
          <w:rtl w:val="true"/>
          <w:lang w:bidi="ar-SA"/>
        </w:rPr>
        <w:t xml:space="preserve">الفطرة عنه بذلك وجوه ، بل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الشهيد في البيان القطع بعدم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العلّامة </w:t>
      </w:r>
      <w:r>
        <w:rPr>
          <w:rStyle w:val="FootnoteAnchor"/>
          <w:rtl w:val="true"/>
        </w:rPr>
        <w:footnoteReference w:id="1567"/>
      </w:r>
      <w:r>
        <w:rPr>
          <w:rFonts w:ascii="Amiri" w:hAnsi="Amiri" w:eastAsia="Amiri" w:cs="Amiri"/>
          <w:color w:val="111111"/>
          <w:sz w:val="28"/>
          <w:sz w:val="28"/>
          <w:szCs w:val="28"/>
          <w:rtl w:val="true"/>
          <w:lang w:bidi="ar-SA"/>
        </w:rPr>
        <w:t>احتمال الإجزاء ؛ نظرا إلى ندب الشارع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التفصيل بين إذن الضيف في ذلك وعدمه ، فيجري في الأوّل دون الأخير ، واختاره في المسالك </w:t>
      </w:r>
      <w:r>
        <w:rPr>
          <w:rStyle w:val="FootnoteAnchor"/>
          <w:rtl w:val="true"/>
        </w:rPr>
        <w:footnoteReference w:id="15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موضع الإشكال ما لو كان الإخراج بغير إذنه إلّا أن صاحبي المدارك </w:t>
      </w:r>
      <w:r>
        <w:rPr>
          <w:rStyle w:val="FootnoteAnchor"/>
          <w:rtl w:val="true"/>
        </w:rPr>
        <w:footnoteReference w:id="1569"/>
      </w:r>
      <w:r>
        <w:rPr>
          <w:rFonts w:ascii="IRNazanin" w:hAnsi="IRNazanin" w:eastAsia="IRNazanin"/>
          <w:color w:val="111111"/>
          <w:sz w:val="28"/>
          <w:sz w:val="28"/>
          <w:szCs w:val="28"/>
          <w:rtl w:val="true"/>
          <w:lang w:bidi="fa-IR"/>
        </w:rPr>
        <w:t xml:space="preserve">والحدائق </w:t>
      </w:r>
      <w:r>
        <w:rPr>
          <w:rStyle w:val="FootnoteAnchor"/>
          <w:rtl w:val="true"/>
        </w:rPr>
        <w:footnoteReference w:id="1570"/>
      </w:r>
      <w:r>
        <w:rPr>
          <w:rFonts w:ascii="Amiri" w:hAnsi="Amiri" w:eastAsia="Amiri" w:cs="Amiri"/>
          <w:color w:val="111111"/>
          <w:sz w:val="28"/>
          <w:sz w:val="28"/>
          <w:szCs w:val="28"/>
          <w:rtl w:val="true"/>
          <w:lang w:bidi="ar-SA"/>
        </w:rPr>
        <w:t>استشكلا في صورة الإذن أيضا ، بل ظاهرهما سيّما الأخيرة المنع مع الإذن أيضا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المقام أنّ إذنه في دفع الفطرة إن كان على أن يكون الدفع من جانبه بأن </w:t>
      </w:r>
    </w:p>
    <w:p>
      <w:pPr>
        <w:pStyle w:val="BookText"/>
        <w:rPr/>
      </w:pPr>
      <w:r>
        <w:rPr>
          <w:rFonts w:ascii="Amiri" w:hAnsi="Amiri" w:eastAsia="Amiri" w:cs="Amiri"/>
          <w:color w:val="111111"/>
          <w:sz w:val="28"/>
          <w:sz w:val="28"/>
          <w:szCs w:val="28"/>
          <w:rtl w:val="true"/>
          <w:lang w:bidi="ar-SA"/>
        </w:rPr>
        <w:t xml:space="preserve">ينحل </w:t>
      </w:r>
      <w:r>
        <w:rPr>
          <w:rStyle w:val="FootnoteAnchor"/>
          <w:rtl w:val="true"/>
        </w:rPr>
        <w:footnoteReference w:id="1571"/>
      </w:r>
      <w:r>
        <w:rPr>
          <w:rFonts w:ascii="Amiri" w:hAnsi="Amiri" w:eastAsia="Amiri" w:cs="Amiri"/>
          <w:color w:val="111111"/>
          <w:sz w:val="28"/>
          <w:sz w:val="28"/>
          <w:szCs w:val="28"/>
          <w:rtl w:val="true"/>
          <w:lang w:bidi="ar-SA"/>
        </w:rPr>
        <w:t>إلى تمليك ذلك له ضمنا ودفعه عنه ، فالظاهر الجواز ؛ لجواز التوكيل في المقام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ذلك بالنسبة إلى غير المضيف أيضا إذا أمره بدفع الفطرة عنه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في مجرّد أدائها عنه من غير أن أريد </w:t>
      </w:r>
      <w:r>
        <w:rPr>
          <w:rStyle w:val="FootnoteAnchor"/>
          <w:rtl w:val="true"/>
        </w:rPr>
        <w:footnoteReference w:id="1572"/>
      </w:r>
      <w:r>
        <w:rPr>
          <w:rFonts w:ascii="Amiri" w:hAnsi="Amiri" w:eastAsia="Amiri" w:cs="Amiri"/>
          <w:color w:val="111111"/>
          <w:sz w:val="28"/>
          <w:sz w:val="28"/>
          <w:szCs w:val="28"/>
          <w:rtl w:val="true"/>
          <w:lang w:bidi="ar-SA"/>
        </w:rPr>
        <w:t>به الدفع من جهته ، فلا ثمرة إذن في إذنه فهو كعدمه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حينئذ باستصحاب الفطرة على المضيف ؛ نظرا إلى ما في غير واحد من الأخبار من ثبوت الفطرة على الفقير بعد حمله على الندب ، فلا يبعد الاجتزاء به ؛ لبعد التكليف بأداء الفطرة من واحد مرّتين ، وإلّا كان المضيف كسائر الأجانب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ففي الاجتزاء بدفعه إشكال ؛ لكون الفطرة من العبادات وقيام فعل الغير مقام فعله ابتداء مشكل مع احتمال الاجتزاء به مطلقا تغليبا لجانب الماليّة سيّما مع تعقيب </w:t>
      </w:r>
      <w:r>
        <w:rPr>
          <w:rStyle w:val="FootnoteAnchor"/>
          <w:rtl w:val="true"/>
        </w:rPr>
        <w:footnoteReference w:id="1573"/>
      </w:r>
      <w:r>
        <w:rPr>
          <w:rFonts w:ascii="Amiri" w:hAnsi="Amiri" w:eastAsia="Amiri" w:cs="Amiri"/>
          <w:color w:val="111111"/>
          <w:sz w:val="28"/>
          <w:sz w:val="28"/>
          <w:szCs w:val="28"/>
          <w:rtl w:val="true"/>
          <w:lang w:bidi="ar-SA"/>
        </w:rPr>
        <w:t>الإجازة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دفع الضيف فطرة نفسه مع يسار المضيف كان كدفع الأجانب سواء كان الضيف موسرا أو معسرا</w:t>
      </w:r>
      <w:r>
        <w:rPr>
          <w:rFonts w:eastAsia="Amiri" w:cs="Amiri" w:ascii="Amiri" w:hAnsi="Amiri"/>
          <w:color w:val="111111"/>
          <w:sz w:val="28"/>
          <w:szCs w:val="28"/>
          <w:rtl w:val="true"/>
          <w:lang w:bidi="ar-SA"/>
        </w:rPr>
        <w:t xml:space="preserve">. </w:t>
      </w:r>
      <w:bookmarkStart w:id="191" w:name="pg15853_153550"/>
    </w:p>
    <w:p>
      <w:pPr>
        <w:pStyle w:val="Heading5"/>
        <w:numPr>
          <w:ilvl w:val="4"/>
          <w:numId w:val="1"/>
        </w:numPr>
        <w:rPr/>
      </w:pPr>
      <w:bookmarkStart w:id="192" w:name="__RefHeading___Toc14587175_2142443653"/>
      <w:bookmarkStart w:id="193" w:name="_Toc70"/>
      <w:bookmarkEnd w:id="191"/>
      <w:bookmarkEnd w:id="192"/>
      <w:r>
        <w:rPr>
          <w:rtl w:val="true"/>
        </w:rPr>
        <w:t>تبصرة</w:t>
      </w:r>
      <w:r>
        <w:rPr>
          <w:rtl w:val="true"/>
        </w:rPr>
        <w:t xml:space="preserve">: [ </w:t>
      </w:r>
      <w:r>
        <w:rPr>
          <w:rtl w:val="true"/>
        </w:rPr>
        <w:t xml:space="preserve">في اشتراط نيّة أداء الفطرة </w:t>
      </w:r>
      <w:r>
        <w:rPr>
          <w:rtl w:val="true"/>
        </w:rPr>
        <w:t>]</w:t>
      </w:r>
      <w:bookmarkEnd w:id="193"/>
    </w:p>
    <w:p>
      <w:pPr>
        <w:pStyle w:val="BookText"/>
        <w:rPr/>
      </w:pPr>
      <w:r>
        <w:rPr>
          <w:rFonts w:ascii="Amiri" w:hAnsi="Amiri" w:eastAsia="Amiri" w:cs="Amiri"/>
          <w:color w:val="111111"/>
          <w:sz w:val="28"/>
          <w:sz w:val="28"/>
          <w:szCs w:val="28"/>
          <w:rtl w:val="true"/>
          <w:lang w:bidi="ar-SA"/>
        </w:rPr>
        <w:t>يشترط صحّة أداء الفطرة بالنيّة لكونها عبادة كسائر العبادات بلا خلاف يظهر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بعد ذلك العمومات الدالّة على اعتبار النيّة في امتثال الأوامر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فيها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 ، وتعيين كونه فطرة لا زكاة مالية أو صدقة مندوبة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يعتبر تعيين كونها عن شخص معيّن ، فلو وجبت عليه الفطرة عن جماعة ودفعها صاعا صاعا لم يلزمه التعيين في كلّ دفع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وكيلا عن غيره فدفع عن نفسه وعن موكّله من غير تعيين ففيه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Style w:val="FootnoteAnchor"/>
          <w:rtl w:val="true"/>
        </w:rPr>
        <w:footnoteReference w:id="1574"/>
      </w:r>
      <w:r>
        <w:rPr>
          <w:rFonts w:ascii="IRNazanin" w:hAnsi="IRNazanin" w:eastAsia="IRNazanin"/>
          <w:color w:val="111111"/>
          <w:sz w:val="28"/>
          <w:sz w:val="28"/>
          <w:szCs w:val="28"/>
          <w:rtl w:val="true"/>
          <w:lang w:bidi="fa-IR"/>
        </w:rPr>
        <w:t xml:space="preserve">الجواز ، و </w:t>
      </w:r>
      <w:r>
        <w:rPr>
          <w:rStyle w:val="FootnoteAnchor"/>
          <w:rtl w:val="true"/>
        </w:rPr>
        <w:footnoteReference w:id="1575"/>
      </w:r>
      <w:r>
        <w:rPr>
          <w:rFonts w:ascii="Amiri" w:hAnsi="Amiri" w:eastAsia="Amiri" w:cs="Amiri"/>
          <w:color w:val="111111"/>
          <w:sz w:val="28"/>
          <w:sz w:val="28"/>
          <w:szCs w:val="28"/>
          <w:rtl w:val="true"/>
          <w:lang w:bidi="ar-SA"/>
        </w:rPr>
        <w:t>يثمر ذلك فيما إذا لم يتمكّن من أداء جميع ما عليه ، فهل يكون المدفوع على الإشاعة بين الجميع أو يستخرج بالقرعة؟ وهل يعتبر تعيين كونه فطرة واجبة أو مندوبة مع اشتغال ذمّته بالواجب والمندوب؟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النيّة عند الدفع إلى المستحق أو من هو بمنزلته ؛ إذ هو حال إيقاع العبادة كما هو الحال في زكاة المالية ، وأمّا حال العزل فلا يعتبر فيه قصد القربة ؛ إذ ليس ذلك إلّا تمييز حق ، وليس أداء للعبادة حتّى يتوقف على القربة ، وإن وجبت ذلك في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يعتبر في العزل تعيين الحق بكونه فطرة لا زكاة ماليّة أو غيرها حسبما مرّ ؛ لعدم صدق العزل بدونه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يتقوى سقوط اعتبار ذلك حال الدفع بعد حصوله بالعزل ، فيكتفى إذن بمجرّد اعتبار القربة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مع البناء على تعيين الحق بمجرّد العزل كما يظهر من الأخبار ، وأمّا بناء على عدم تعيينه بذلك كما هو قضية الأصل والمتعيّن بالنسبة إلى حقوق الناس فلا بدّ من اعتبار الأمرين حال الدفع إلّا أنّ الأظهر في المقام هو الأوّل كما سيجي‌ء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والمتولي للنيّة المالك أو وكيله عند دفعه إلى المستحق أو من يقوم مقامه من الإمام عليه‌السلام أو الفقيه أو غيرهما ، ولا يكتفى بنية المالك عند دفعه إلى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وقوع النية عن الدافع مالكا كان أو وكيلا أو يجزي وقوع النيّة مقارنا للدفع وإن كان الدافع غيره كما إذا دفعه الوكيل مجردا عن القربة وكان المتولي للنية المالك؟ وجهان ؛ أظهرهما ذلك ؛ إذ المقصود حصول الإيصال إلى المستحق مقارنا للقربة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ويتقوّى </w:t>
      </w:r>
      <w:r>
        <w:rPr>
          <w:rStyle w:val="FootnoteAnchor"/>
          <w:rtl w:val="true"/>
        </w:rPr>
        <w:footnoteReference w:id="1576"/>
      </w:r>
      <w:r>
        <w:rPr>
          <w:rFonts w:ascii="Amiri" w:hAnsi="Amiri" w:eastAsia="Amiri" w:cs="Amiri"/>
          <w:color w:val="111111"/>
          <w:sz w:val="28"/>
          <w:sz w:val="28"/>
          <w:szCs w:val="28"/>
          <w:rtl w:val="true"/>
          <w:lang w:bidi="ar-SA"/>
        </w:rPr>
        <w:t>الاكتفاء في التعيين أيضا بنيّة المالك وإن لم يعيّنه الوكيل ، وكذا الحال في الوكيل بالنسبة إلى وكيله في المقامين إذا تولى الثاني دفعها والأول نيتها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تولّى المالك الدفع والوكيل النيّة فإشكال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فيه عدم الاجتزاء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المأمور بذلك ، ولا يستفاد من الأدلّة جواز تولّي الوكيل لذلك خاصّة مع منافاته للإخلاص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دفعه المالك بأمر الوكيل من غير علمه بكونه من ماله قوي الاجتزاء بنيّة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بجواز التوكيل في الاحتساب مع كون المال في ذمّة الفقير أو تحت يده صح نية الوكيل حينئذ مطلقا بعد وصوله إلى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دفعها إلى الإمام أو نائبه العام من دون نيّة فنواه القابض عند الدفع أجزأ ، وإن لم يوكّله في ذلك بل دفعها إليه من جهة الولاية على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في الروضة </w:t>
      </w:r>
      <w:r>
        <w:rPr>
          <w:rStyle w:val="FootnoteAnchor"/>
          <w:rtl w:val="true"/>
        </w:rPr>
        <w:footnoteReference w:id="1577"/>
      </w:r>
      <w:r>
        <w:rPr>
          <w:rFonts w:ascii="Amiri" w:hAnsi="Amiri" w:eastAsia="Amiri" w:cs="Amiri"/>
          <w:color w:val="111111"/>
          <w:sz w:val="28"/>
          <w:sz w:val="28"/>
          <w:szCs w:val="28"/>
          <w:rtl w:val="true"/>
          <w:lang w:bidi="ar-SA"/>
        </w:rPr>
        <w:t>، ولا يخلو ذلك عن تأمّل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دفعها الفضول ناديا به القربة فأمضاه المالك ففي الاجتزاء به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 بعض </w:t>
      </w:r>
    </w:p>
    <w:p>
      <w:pPr>
        <w:pStyle w:val="BookText"/>
        <w:rPr/>
      </w:pPr>
      <w:r>
        <w:rPr>
          <w:rFonts w:ascii="IRNazanin" w:hAnsi="IRNazanin" w:eastAsia="IRNazanin"/>
          <w:color w:val="111111"/>
          <w:sz w:val="28"/>
          <w:sz w:val="28"/>
          <w:szCs w:val="28"/>
          <w:rtl w:val="true"/>
          <w:lang w:bidi="fa-IR"/>
        </w:rPr>
        <w:t>الأفاضل بإمضائه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مشكل ، ومع البناء على جوازه فلا حاجة إلى اعتبار النيّة في الإجازة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يجزه المالك فإن كان القابض عالما بالحال صحّ احتسابه عليه بعد ذلك مطلقا ، وكذلك إذا كان جاهلا مع بقائه العين ، ومع إتلافه وجهان أوجههما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استقرّ الضمان حينئذ على الدفع ، وحينئذ لا يرجع عليه بعد الاحتساب في وجه 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المكلّف ممتنعا عن أداء الحق وأجبره الحاكم عليه فهل يسقط النيّة حينئذ وأنّه يتولاه الحاكم أو يجبره الحاكم عليها أو يعتبر إجباره عليها في ظاهر الحال فيجتزئ به في ظاهر الشرع وإن بقيت ذمته مشغولة لو لم ينوها في الواقع؟ وجوه ؛ أشبهها بالقواعد الأخير كما هو ظاهر الحال في إجباره على ساير العبادات الصرفة كالصلاة والصوم والحج ونحوها ؛ إذ لا معنى هناك لتولّي الحاكم لها أو القول بعدم اعتبار النيّة في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قلنا بالاكتفاء بنيّة الحاكم مطلقا كما سيظهر من الروضة </w:t>
      </w:r>
      <w:r>
        <w:rPr>
          <w:rStyle w:val="FootnoteAnchor"/>
          <w:rtl w:val="true"/>
        </w:rPr>
        <w:footnoteReference w:id="1578"/>
      </w:r>
      <w:r>
        <w:rPr>
          <w:rFonts w:ascii="Amiri" w:hAnsi="Amiri" w:eastAsia="Amiri" w:cs="Amiri"/>
          <w:color w:val="111111"/>
          <w:sz w:val="28"/>
          <w:sz w:val="28"/>
          <w:szCs w:val="28"/>
          <w:rtl w:val="true"/>
          <w:lang w:bidi="ar-SA"/>
        </w:rPr>
        <w:t>حسبما مرّ اكتفى بدفعه إذا تولّاه بنفسه أو بوكيله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يتعيّن حينئذ ذلك أو يجوز إخبار المالك على الدافع وجهان</w:t>
      </w:r>
      <w:r>
        <w:rPr>
          <w:rFonts w:eastAsia="Amiri" w:cs="Amiri" w:ascii="Amiri" w:hAnsi="Amiri"/>
          <w:color w:val="111111"/>
          <w:sz w:val="28"/>
          <w:szCs w:val="28"/>
          <w:rtl w:val="true"/>
          <w:lang w:bidi="ar-SA"/>
        </w:rPr>
        <w:t xml:space="preserve">. </w:t>
      </w:r>
      <w:bookmarkStart w:id="194" w:name="pg15853_153553"/>
    </w:p>
    <w:p>
      <w:pPr>
        <w:pStyle w:val="Heading5"/>
        <w:numPr>
          <w:ilvl w:val="4"/>
          <w:numId w:val="1"/>
        </w:numPr>
        <w:rPr/>
      </w:pPr>
      <w:bookmarkStart w:id="195" w:name="__RefHeading___Toc14587177_2142443653"/>
      <w:bookmarkStart w:id="196" w:name="_Toc71"/>
      <w:bookmarkEnd w:id="194"/>
      <w:bookmarkEnd w:id="195"/>
      <w:r>
        <w:rPr>
          <w:rtl w:val="true"/>
        </w:rPr>
        <w:t>تبصرة</w:t>
      </w:r>
      <w:r>
        <w:rPr>
          <w:rtl w:val="true"/>
        </w:rPr>
        <w:t xml:space="preserve">: [ </w:t>
      </w:r>
      <w:r>
        <w:rPr>
          <w:rtl w:val="true"/>
        </w:rPr>
        <w:t xml:space="preserve">في الخروج عن المكيّة بالتعيين </w:t>
      </w:r>
      <w:r>
        <w:rPr>
          <w:rtl w:val="true"/>
        </w:rPr>
        <w:t>]</w:t>
      </w:r>
      <w:bookmarkEnd w:id="196"/>
    </w:p>
    <w:p>
      <w:pPr>
        <w:pStyle w:val="BookText"/>
        <w:rPr/>
      </w:pPr>
      <w:r>
        <w:rPr>
          <w:rFonts w:ascii="Amiri" w:hAnsi="Amiri" w:eastAsia="Amiri" w:cs="Amiri"/>
          <w:color w:val="111111"/>
          <w:sz w:val="28"/>
          <w:sz w:val="28"/>
          <w:szCs w:val="28"/>
          <w:rtl w:val="true"/>
          <w:lang w:bidi="ar-SA"/>
        </w:rPr>
        <w:t xml:space="preserve">المعروف بين الأصحاب من غير خلاف يعرف فيه أنّه </w:t>
      </w:r>
      <w:r>
        <w:rPr>
          <w:rStyle w:val="FootnoteAnchor"/>
          <w:rtl w:val="true"/>
        </w:rPr>
        <w:footnoteReference w:id="1579"/>
      </w:r>
      <w:r>
        <w:rPr>
          <w:rFonts w:ascii="Amiri" w:hAnsi="Amiri" w:eastAsia="Amiri" w:cs="Amiri"/>
          <w:color w:val="111111"/>
          <w:sz w:val="28"/>
          <w:sz w:val="28"/>
          <w:szCs w:val="28"/>
          <w:rtl w:val="true"/>
          <w:lang w:bidi="ar-SA"/>
        </w:rPr>
        <w:t>لو عيّن الزكاة المالية أو الفطرة في مال مخصوص على قدرها تعيّن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خروجه عن ملكه وتعينه للمصرف </w:t>
      </w:r>
      <w:r>
        <w:rPr>
          <w:rStyle w:val="FootnoteAnchor"/>
          <w:rtl w:val="true"/>
        </w:rPr>
        <w:footnoteReference w:id="1580"/>
      </w:r>
      <w:r>
        <w:rPr>
          <w:rFonts w:ascii="Amiri" w:hAnsi="Amiri" w:eastAsia="Amiri" w:cs="Amiri"/>
          <w:color w:val="111111"/>
          <w:sz w:val="28"/>
          <w:sz w:val="28"/>
          <w:szCs w:val="28"/>
          <w:rtl w:val="true"/>
          <w:lang w:bidi="ar-SA"/>
        </w:rPr>
        <w:t xml:space="preserve">المعدّ له ، فتخلص ماله من الزكاة وبرء </w:t>
      </w:r>
      <w:r>
        <w:rPr>
          <w:rStyle w:val="FootnoteAnchor"/>
          <w:rtl w:val="true"/>
        </w:rPr>
        <w:footnoteReference w:id="1581"/>
      </w:r>
      <w:r>
        <w:rPr>
          <w:rFonts w:ascii="Amiri" w:hAnsi="Amiri" w:eastAsia="Amiri" w:cs="Amiri"/>
          <w:color w:val="111111"/>
          <w:sz w:val="28"/>
          <w:sz w:val="28"/>
          <w:szCs w:val="28"/>
          <w:rtl w:val="true"/>
          <w:lang w:bidi="ar-SA"/>
        </w:rPr>
        <w:t>بذلك ذمّته إن كان الحق في ذمته وإن بقي اشتغالها بالدفع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عدّة من الروايات كالصحيح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أخرج الرجل الزكاة من ماله ثمّ سمّاها لقوم فضاعت أو أرسل بها إليهم فضاعت فلا شي‌ء عليه </w:t>
      </w:r>
      <w:r>
        <w:rPr>
          <w:rFonts w:eastAsia="Amiri" w:cs="Amiri" w:ascii="Amiri" w:hAnsi="Amiri"/>
          <w:color w:val="111111"/>
          <w:sz w:val="28"/>
          <w:szCs w:val="28"/>
          <w:rtl w:val="true"/>
          <w:lang w:bidi="ar-SA"/>
        </w:rPr>
        <w:t xml:space="preserve">»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أخرجهما من ماله قدمت </w:t>
      </w:r>
      <w:r>
        <w:rPr>
          <w:rStyle w:val="FootnoteAnchor"/>
          <w:rtl w:val="true"/>
        </w:rPr>
        <w:footnoteReference w:id="1583"/>
      </w:r>
      <w:r>
        <w:rPr>
          <w:rFonts w:ascii="Amiri" w:hAnsi="Amiri" w:eastAsia="Amiri" w:cs="Amiri"/>
          <w:color w:val="111111"/>
          <w:sz w:val="28"/>
          <w:sz w:val="28"/>
          <w:szCs w:val="28"/>
          <w:rtl w:val="true"/>
          <w:lang w:bidi="ar-SA"/>
        </w:rPr>
        <w:t xml:space="preserve">ولم يسمّها لأحد فقد برئ منها </w:t>
      </w:r>
      <w:r>
        <w:rPr>
          <w:rFonts w:eastAsia="Amiri" w:cs="Amiri" w:ascii="Amiri" w:hAnsi="Amiri"/>
          <w:color w:val="111111"/>
          <w:sz w:val="28"/>
          <w:szCs w:val="28"/>
          <w:rtl w:val="true"/>
          <w:lang w:bidi="ar-SA"/>
        </w:rPr>
        <w:t xml:space="preserve">»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في الفطرة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عزلتها فلا يضرك متى أعطيتها قبل الصلاة أو بعد الصلاة </w:t>
      </w:r>
      <w:r>
        <w:rPr>
          <w:rFonts w:eastAsia="Amiri" w:cs="Amiri" w:ascii="Amiri" w:hAnsi="Amiri"/>
          <w:color w:val="111111"/>
          <w:sz w:val="28"/>
          <w:szCs w:val="28"/>
          <w:rtl w:val="true"/>
          <w:lang w:bidi="ar-SA"/>
        </w:rPr>
        <w:t xml:space="preserve">»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المرسل كالصحيح في الفطرة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عزلتها وأنت تطلب بها الموضع أو تنتظر بها رجلا فلا بأس </w:t>
      </w:r>
      <w:r>
        <w:rPr>
          <w:rFonts w:eastAsia="Amiri" w:cs="Amiri" w:ascii="Amiri" w:hAnsi="Amiri"/>
          <w:color w:val="111111"/>
          <w:sz w:val="28"/>
          <w:szCs w:val="28"/>
          <w:rtl w:val="true"/>
          <w:lang w:bidi="ar-SA"/>
        </w:rPr>
        <w:t xml:space="preserve">»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تجد من تضع الفطرة فيه فأعزلها تلك الساعة قبل الصلاة </w:t>
      </w:r>
      <w:r>
        <w:rPr>
          <w:rFonts w:eastAsia="Amiri" w:cs="Amiri" w:ascii="Amiri" w:hAnsi="Amiri"/>
          <w:color w:val="111111"/>
          <w:sz w:val="28"/>
          <w:szCs w:val="28"/>
          <w:rtl w:val="true"/>
          <w:lang w:bidi="ar-SA"/>
        </w:rPr>
        <w:t xml:space="preserve">»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والمنساق من هذه الروايات الاجتزاء </w:t>
      </w:r>
      <w:r>
        <w:rPr>
          <w:rStyle w:val="FootnoteAnchor"/>
          <w:rtl w:val="true"/>
        </w:rPr>
        <w:footnoteReference w:id="1588"/>
      </w:r>
      <w:r>
        <w:rPr>
          <w:rFonts w:ascii="Amiri" w:hAnsi="Amiri" w:eastAsia="Amiri" w:cs="Amiri"/>
          <w:color w:val="111111"/>
          <w:sz w:val="28"/>
          <w:sz w:val="28"/>
          <w:szCs w:val="28"/>
          <w:rtl w:val="true"/>
          <w:lang w:bidi="ar-SA"/>
        </w:rPr>
        <w:t>بما ذكرنا وإن لم تكن صريحة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أخرج فطرته فعزلها حتى يجد لها أهلا؟ فقال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أخرجها من ضمانه فقد برئ وإلّا فهو ضامن لها حتّى يؤديها إلى أربابها </w:t>
      </w:r>
      <w:r>
        <w:rPr>
          <w:rFonts w:eastAsia="Amiri" w:cs="Amiri" w:ascii="Amiri" w:hAnsi="Amiri"/>
          <w:color w:val="111111"/>
          <w:sz w:val="28"/>
          <w:szCs w:val="28"/>
          <w:rtl w:val="true"/>
          <w:lang w:bidi="ar-SA"/>
        </w:rPr>
        <w:t xml:space="preserve">»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وظاهرها حصول براءة ذمته منها بالإخراج ؛ فإنّ المنساق منها بقرينة السؤال أن المراد بالاخراج العزل ، والمراد ببراءته بذلك هو فراغ ذمته عنها وإن اشتغل بعد بالدفع ، وهو لا يقضي بضمانه مع التلف إن كان بدون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بعضهم ذلك على أنّ دفعها إلى </w:t>
      </w:r>
      <w:r>
        <w:rPr>
          <w:rStyle w:val="FootnoteAnchor"/>
          <w:rtl w:val="true"/>
        </w:rPr>
        <w:footnoteReference w:id="1590"/>
      </w:r>
      <w:r>
        <w:rPr>
          <w:rFonts w:ascii="Amiri" w:hAnsi="Amiri" w:eastAsia="Amiri" w:cs="Amiri"/>
          <w:color w:val="111111"/>
          <w:sz w:val="28"/>
          <w:sz w:val="28"/>
          <w:szCs w:val="28"/>
          <w:rtl w:val="true"/>
          <w:lang w:bidi="ar-SA"/>
        </w:rPr>
        <w:t>مستحقّها فقد برئ منها وإن لم يدفعها فهو في ضمانه حتى يدفعها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وظاهرها حينئذ ينافي ما قدّمناه ، ولذا جعل الفقرة الأخيرة بمعنى أنّه مكلّف بإيصالها إلى مستحقّها لا أنّه يضمن الأصل أو القيمة مع تلفها دون تفريط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ما ذكرناه في معنى الرواية هو الأوفق بظاهرها والمطابق لما دلّ عليه غيرها ، فلا حاجة إلى الحمل المذكور ليتوقّف تصحيحها على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فيه من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فالحكم المذكور ممّا لا ينبغي الشكّ </w:t>
      </w:r>
      <w:r>
        <w:rPr>
          <w:rStyle w:val="FootnoteAnchor"/>
          <w:rtl w:val="true"/>
        </w:rPr>
        <w:footnoteReference w:id="1591"/>
      </w:r>
      <w:r>
        <w:rPr>
          <w:rFonts w:ascii="Amiri" w:hAnsi="Amiri" w:eastAsia="Amiri" w:cs="Amiri"/>
          <w:color w:val="111111"/>
          <w:sz w:val="28"/>
          <w:sz w:val="28"/>
          <w:szCs w:val="28"/>
          <w:rtl w:val="true"/>
          <w:lang w:bidi="ar-SA"/>
        </w:rPr>
        <w:t>فيه ؛ لما عرفت من قيام الدليل عليه وإن كان مقتضى القواعد عدم تعيّنه إلّا بالدفع إلى مستحقه كما هو الحال بالنسبة إلى الديون ؛ فإنها لا يتعيّن بمحض تعيّن المديون ما لم يدفع إلى الديّان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ينطبق ذلك على الأصل فيما يتعلّق منها بالتعيين ؛ فإنّ إفراز حقّ الزكاة </w:t>
      </w:r>
      <w:r>
        <w:rPr>
          <w:rStyle w:val="FootnoteAnchor"/>
          <w:rtl w:val="true"/>
        </w:rPr>
        <w:footnoteReference w:id="1592"/>
      </w:r>
      <w:r>
        <w:rPr>
          <w:rFonts w:ascii="Amiri" w:hAnsi="Amiri" w:eastAsia="Amiri" w:cs="Amiri"/>
          <w:color w:val="111111"/>
          <w:sz w:val="28"/>
          <w:sz w:val="28"/>
          <w:szCs w:val="28"/>
          <w:rtl w:val="true"/>
          <w:lang w:bidi="ar-SA"/>
        </w:rPr>
        <w:t xml:space="preserve">بمنزلة تمييز </w:t>
      </w:r>
    </w:p>
    <w:p>
      <w:pPr>
        <w:pStyle w:val="BookText"/>
        <w:rPr/>
      </w:pPr>
      <w:r>
        <w:rPr>
          <w:rFonts w:ascii="IRNazanin" w:hAnsi="IRNazanin" w:eastAsia="IRNazanin"/>
          <w:color w:val="111111"/>
          <w:sz w:val="28"/>
          <w:sz w:val="28"/>
          <w:szCs w:val="28"/>
          <w:rtl w:val="true"/>
          <w:lang w:bidi="fa-IR"/>
        </w:rPr>
        <w:t xml:space="preserve">المال </w:t>
      </w:r>
      <w:r>
        <w:rPr>
          <w:rStyle w:val="FootnoteAnchor"/>
          <w:rtl w:val="true"/>
        </w:rPr>
        <w:footnoteReference w:id="1593"/>
      </w:r>
      <w:r>
        <w:rPr>
          <w:rFonts w:ascii="Amiri" w:hAnsi="Amiri" w:eastAsia="Amiri" w:cs="Amiri"/>
          <w:color w:val="111111"/>
          <w:sz w:val="28"/>
          <w:sz w:val="28"/>
          <w:szCs w:val="28"/>
          <w:rtl w:val="true"/>
          <w:lang w:bidi="ar-SA"/>
        </w:rPr>
        <w:t>المشترك مع ولاية القاسم على التقسيم كما هو المفروض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بما ذكرنا أنّه لو أفرز ما يتعلّق منها بالعين أو عيّن ما يثبت منها في الذمّة في مال مخصوص تعيّن ذلك للزكاة ، وخلّص الباقي عن حقّ الفقير في الأوّل وفرغت ذمّته عن الشغل في الأخير ، وإن اشتغلت بوجوب الدفع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عرفت أنّ الحكم في الأخير مخالفا للأصل فينبغي الاقتصار فيه على مورد الدليل ، وهو ما إذا كان اشتغال الذمّة بها بأصل الشرع كما في الفطرة أو من جهة إذن الشرع كما في ضمان الماليّة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الانتقال إلى الذمّة بعد حصول الفراغ أوّلا أو كان الضمان فيما يتعلّق بالعين من جهة إتلافها على غير الوجه المشروع ، ففي تعيين </w:t>
      </w:r>
      <w:r>
        <w:rPr>
          <w:rStyle w:val="FootnoteAnchor"/>
          <w:rtl w:val="true"/>
        </w:rPr>
        <w:footnoteReference w:id="1594"/>
      </w:r>
      <w:r>
        <w:rPr>
          <w:rFonts w:ascii="Amiri" w:hAnsi="Amiri" w:eastAsia="Amiri" w:cs="Amiri"/>
          <w:color w:val="111111"/>
          <w:sz w:val="28"/>
          <w:sz w:val="28"/>
          <w:szCs w:val="28"/>
          <w:rtl w:val="true"/>
          <w:lang w:bidi="ar-SA"/>
        </w:rPr>
        <w:t>الحق حينئذ بتعيينه إشكال ؛ لعدم اندراجه تحت الأدلّة المذكورة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أن يكون حينئذ بمنزلة ساير الديون لا يتعيّن إلّا بالدفع إلى المستحق أو من هو بمنزلته ؛ اقتصارا فيما خالف الأصل على المتيقّن</w:t>
      </w:r>
      <w:r>
        <w:rPr>
          <w:rFonts w:eastAsia="Amiri" w:cs="Amiri" w:ascii="Amiri" w:hAnsi="Amiri"/>
          <w:color w:val="111111"/>
          <w:sz w:val="28"/>
          <w:szCs w:val="28"/>
          <w:rtl w:val="true"/>
          <w:lang w:bidi="ar-SA"/>
        </w:rPr>
        <w:t xml:space="preserve">. </w:t>
      </w:r>
      <w:bookmarkStart w:id="197" w:name="pg15853_153556"/>
    </w:p>
    <w:p>
      <w:pPr>
        <w:pStyle w:val="Heading5"/>
        <w:numPr>
          <w:ilvl w:val="4"/>
          <w:numId w:val="1"/>
        </w:numPr>
        <w:rPr/>
      </w:pPr>
      <w:bookmarkStart w:id="198" w:name="__RefHeading___Toc14587179_2142443653"/>
      <w:bookmarkStart w:id="199" w:name="_Toc72"/>
      <w:bookmarkEnd w:id="197"/>
      <w:bookmarkEnd w:id="198"/>
      <w:r>
        <w:rPr>
          <w:rtl w:val="true"/>
        </w:rPr>
        <w:t>تبصرة</w:t>
      </w:r>
      <w:r>
        <w:rPr>
          <w:rtl w:val="true"/>
        </w:rPr>
        <w:t xml:space="preserve">: [ </w:t>
      </w:r>
      <w:r>
        <w:rPr>
          <w:rtl w:val="true"/>
        </w:rPr>
        <w:t xml:space="preserve">في إسلام الكافر </w:t>
      </w:r>
      <w:r>
        <w:rPr>
          <w:rtl w:val="true"/>
        </w:rPr>
        <w:t>]</w:t>
      </w:r>
      <w:bookmarkEnd w:id="19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أسلم الكافر قبل أن يهلّ الهلال ولو بلحظة وجبت عليه إجماعا ، أمّا لو أسلم بعده فالمعروف من المذهب بل المتّفق عليه بينهم </w:t>
      </w:r>
      <w:r>
        <w:rPr>
          <w:rFonts w:eastAsia="Amiri" w:cs="Amiri" w:ascii="Amiri" w:hAnsi="Amiri"/>
          <w:color w:val="111111"/>
          <w:sz w:val="28"/>
          <w:szCs w:val="28"/>
          <w:rtl w:val="true"/>
          <w:lang w:bidi="ar-SA"/>
        </w:rPr>
        <w:t xml:space="preserve">[ ... ] </w:t>
      </w:r>
      <w:r>
        <w:rPr>
          <w:rStyle w:val="FootnoteAnchor"/>
          <w:rtl w:val="true"/>
        </w:rPr>
        <w:footnoteReference w:id="1595"/>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15853_153558"/>
      <w:bookmarkStart w:id="201" w:name="pg15853_153558"/>
      <w:bookmarkEnd w:id="201"/>
    </w:p>
    <w:p>
      <w:pPr>
        <w:pStyle w:val="Heading2"/>
        <w:numPr>
          <w:ilvl w:val="1"/>
          <w:numId w:val="1"/>
        </w:numPr>
        <w:rPr/>
      </w:pPr>
      <w:bookmarkStart w:id="202" w:name="pg15853_153558"/>
      <w:bookmarkStart w:id="203" w:name="__RefHeading___Toc14587181_2142443653"/>
      <w:bookmarkStart w:id="204" w:name="_Toc73"/>
      <w:bookmarkEnd w:id="202"/>
      <w:bookmarkEnd w:id="203"/>
      <w:r>
        <w:rPr>
          <w:rtl w:val="true"/>
        </w:rPr>
        <w:t>كتاب البيع</w:t>
      </w:r>
      <w:bookmarkEnd w:id="20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5" w:name="__RefHeading___Toc14587183_2142443653"/>
      <w:bookmarkStart w:id="206" w:name="_Toc74"/>
      <w:bookmarkEnd w:id="205"/>
      <w:r>
        <w:rPr>
          <w:rtl w:val="true"/>
        </w:rPr>
        <w:t>اشارة</w:t>
      </w:r>
      <w:bookmarkEnd w:id="20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15853_153560"/>
      <w:bookmarkStart w:id="208" w:name="pg15853_153560"/>
      <w:bookmarkEnd w:id="208"/>
    </w:p>
    <w:p>
      <w:pPr>
        <w:pStyle w:val="BookText"/>
        <w:rPr/>
      </w:pPr>
      <w:bookmarkStart w:id="209" w:name="pg15853_153560"/>
      <w:bookmarkEnd w:id="209"/>
      <w:r>
        <w:rPr>
          <w:rFonts w:ascii="Amiri" w:hAnsi="Amiri" w:eastAsia="Amiri" w:cs="Amiri"/>
          <w:color w:val="111111"/>
          <w:sz w:val="28"/>
          <w:sz w:val="28"/>
          <w:szCs w:val="28"/>
          <w:rtl w:val="true"/>
          <w:lang w:bidi="ar-SA"/>
        </w:rPr>
        <w:t>كتاب البيع</w:t>
      </w:r>
    </w:p>
    <w:p>
      <w:pPr>
        <w:pStyle w:val="Heading3"/>
        <w:numPr>
          <w:ilvl w:val="2"/>
          <w:numId w:val="1"/>
        </w:numPr>
        <w:rPr/>
      </w:pPr>
      <w:bookmarkStart w:id="210" w:name="__RefHeading___Toc14587185_2142443653"/>
      <w:bookmarkStart w:id="211" w:name="_Toc75"/>
      <w:bookmarkEnd w:id="210"/>
      <w:r>
        <w:rPr>
          <w:rtl w:val="true"/>
        </w:rPr>
        <w:t xml:space="preserve">[ </w:t>
      </w:r>
      <w:r>
        <w:rPr>
          <w:rtl w:val="true"/>
        </w:rPr>
        <w:t xml:space="preserve">تبصرة </w:t>
      </w:r>
      <w:r>
        <w:rPr>
          <w:rtl w:val="true"/>
        </w:rPr>
        <w:t xml:space="preserve">]: [ </w:t>
      </w:r>
      <w:r>
        <w:rPr>
          <w:rtl w:val="true"/>
        </w:rPr>
        <w:t xml:space="preserve">في بيع الفضولي </w:t>
      </w:r>
      <w:r>
        <w:rPr>
          <w:rtl w:val="true"/>
        </w:rPr>
        <w:t>]</w:t>
      </w:r>
      <w:bookmarkEnd w:id="211"/>
    </w:p>
    <w:p>
      <w:pPr>
        <w:pStyle w:val="Heading4"/>
        <w:numPr>
          <w:ilvl w:val="3"/>
          <w:numId w:val="1"/>
        </w:numPr>
        <w:rPr/>
      </w:pPr>
      <w:bookmarkStart w:id="212" w:name="__RefHeading___Toc14587187_2142443653"/>
      <w:bookmarkStart w:id="213" w:name="_Toc76"/>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المعروف بين الأصحاب أنّه لو باع مال غيره من غير ولاية ولا وكالة وقف على الإجازة ، فإن أجازه المالك أو من يقوم مقامه صحّ وإلّا بطل ، ولا يقع باطلا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حكي القول به عن القديمين </w:t>
      </w:r>
      <w:r>
        <w:rPr>
          <w:rStyle w:val="FootnoteAnchor"/>
          <w:rtl w:val="true"/>
        </w:rPr>
        <w:footnoteReference w:id="1596"/>
      </w:r>
      <w:r>
        <w:rPr>
          <w:rFonts w:ascii="Amiri" w:hAnsi="Amiri" w:eastAsia="Amiri" w:cs="Amiri"/>
          <w:color w:val="111111"/>
          <w:sz w:val="28"/>
          <w:sz w:val="28"/>
          <w:szCs w:val="28"/>
          <w:rtl w:val="true"/>
          <w:lang w:bidi="ar-SA"/>
        </w:rPr>
        <w:t xml:space="preserve">والمفيد </w:t>
      </w:r>
      <w:r>
        <w:rPr>
          <w:rStyle w:val="FootnoteAnchor"/>
          <w:rtl w:val="true"/>
        </w:rPr>
        <w:footnoteReference w:id="1597"/>
      </w:r>
      <w:r>
        <w:rPr>
          <w:rFonts w:ascii="Amiri" w:hAnsi="Amiri" w:eastAsia="Amiri" w:cs="Amiri"/>
          <w:color w:val="111111"/>
          <w:sz w:val="28"/>
          <w:sz w:val="28"/>
          <w:szCs w:val="28"/>
          <w:rtl w:val="true"/>
          <w:lang w:bidi="ar-SA"/>
        </w:rPr>
        <w:t xml:space="preserve">والسيّد والشيخ في النهاية </w:t>
      </w:r>
      <w:r>
        <w:rPr>
          <w:rStyle w:val="FootnoteAnchor"/>
          <w:rtl w:val="true"/>
        </w:rPr>
        <w:footnoteReference w:id="1598"/>
      </w:r>
      <w:r>
        <w:rPr>
          <w:rFonts w:ascii="Amiri" w:hAnsi="Amiri" w:eastAsia="Amiri" w:cs="Amiri"/>
          <w:color w:val="111111"/>
          <w:sz w:val="28"/>
          <w:sz w:val="28"/>
          <w:szCs w:val="28"/>
          <w:rtl w:val="true"/>
          <w:lang w:bidi="ar-SA"/>
        </w:rPr>
        <w:t xml:space="preserve">والديلمي والقاضي والطوسي </w:t>
      </w:r>
      <w:r>
        <w:rPr>
          <w:rStyle w:val="FootnoteAnchor"/>
          <w:rtl w:val="true"/>
        </w:rPr>
        <w:footnoteReference w:id="1599"/>
      </w:r>
      <w:r>
        <w:rPr>
          <w:rFonts w:ascii="Amiri" w:hAnsi="Amiri" w:eastAsia="Amiri" w:cs="Amiri"/>
          <w:color w:val="111111"/>
          <w:sz w:val="28"/>
          <w:sz w:val="28"/>
          <w:szCs w:val="28"/>
          <w:rtl w:val="true"/>
          <w:lang w:bidi="ar-SA"/>
        </w:rPr>
        <w:t xml:space="preserve">والحلي </w:t>
      </w:r>
      <w:r>
        <w:rPr>
          <w:rStyle w:val="FootnoteAnchor"/>
          <w:rtl w:val="true"/>
        </w:rPr>
        <w:footnoteReference w:id="1600"/>
      </w:r>
      <w:r>
        <w:rPr>
          <w:rFonts w:ascii="Amiri" w:hAnsi="Amiri" w:eastAsia="Amiri" w:cs="Amiri"/>
          <w:color w:val="111111"/>
          <w:sz w:val="28"/>
          <w:sz w:val="28"/>
          <w:szCs w:val="28"/>
          <w:rtl w:val="true"/>
          <w:lang w:bidi="ar-SA"/>
        </w:rPr>
        <w:t xml:space="preserve">والمحقق الكركي </w:t>
      </w:r>
      <w:r>
        <w:rPr>
          <w:rStyle w:val="FootnoteAnchor"/>
          <w:rtl w:val="true"/>
        </w:rPr>
        <w:footnoteReference w:id="1601"/>
      </w:r>
      <w:r>
        <w:rPr>
          <w:rFonts w:ascii="Amiri" w:hAnsi="Amiri" w:eastAsia="Amiri" w:cs="Amiri"/>
          <w:color w:val="111111"/>
          <w:sz w:val="28"/>
          <w:sz w:val="28"/>
          <w:szCs w:val="28"/>
          <w:rtl w:val="true"/>
          <w:lang w:bidi="ar-SA"/>
        </w:rPr>
        <w:t>والسيوري وجماعة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الشهرة عليه جماعة منهم السيوري في كنز العرفان والشهيد الثاني في المسالك </w:t>
      </w:r>
      <w:r>
        <w:rPr>
          <w:rStyle w:val="FootnoteAnchor"/>
          <w:rtl w:val="true"/>
        </w:rPr>
        <w:footnoteReference w:id="1602"/>
      </w:r>
      <w:r>
        <w:rPr>
          <w:rFonts w:ascii="Amiri" w:hAnsi="Amiri" w:eastAsia="Amiri" w:cs="Amiri"/>
          <w:color w:val="111111"/>
          <w:sz w:val="28"/>
          <w:sz w:val="28"/>
          <w:szCs w:val="28"/>
          <w:rtl w:val="true"/>
          <w:lang w:bidi="ar-SA"/>
        </w:rPr>
        <w:t xml:space="preserve">والروضة </w:t>
      </w:r>
      <w:r>
        <w:rPr>
          <w:rStyle w:val="FootnoteAnchor"/>
          <w:rtl w:val="true"/>
        </w:rPr>
        <w:footnoteReference w:id="1603"/>
      </w:r>
      <w:r>
        <w:rPr>
          <w:rFonts w:ascii="Amiri" w:hAnsi="Amiri" w:eastAsia="Amiri" w:cs="Amiri"/>
          <w:color w:val="111111"/>
          <w:sz w:val="28"/>
          <w:sz w:val="28"/>
          <w:szCs w:val="28"/>
          <w:rtl w:val="true"/>
          <w:lang w:bidi="ar-SA"/>
        </w:rPr>
        <w:t xml:space="preserve">والمحقّق الأردبيلي </w:t>
      </w:r>
      <w:r>
        <w:rPr>
          <w:rStyle w:val="FootnoteAnchor"/>
          <w:rtl w:val="true"/>
        </w:rPr>
        <w:footnoteReference w:id="1604"/>
      </w:r>
      <w:r>
        <w:rPr>
          <w:rFonts w:ascii="Amiri" w:hAnsi="Amiri" w:eastAsia="Amiri" w:cs="Amiri"/>
          <w:color w:val="111111"/>
          <w:sz w:val="28"/>
          <w:sz w:val="28"/>
          <w:szCs w:val="28"/>
          <w:rtl w:val="true"/>
          <w:lang w:bidi="ar-SA"/>
        </w:rPr>
        <w:t xml:space="preserve">وصاحب الكفاية </w:t>
      </w:r>
      <w:r>
        <w:rPr>
          <w:rStyle w:val="FootnoteAnchor"/>
          <w:rtl w:val="true"/>
        </w:rPr>
        <w:footnoteReference w:id="1605"/>
      </w:r>
      <w:r>
        <w:rPr>
          <w:rFonts w:ascii="Amiri" w:hAnsi="Amiri" w:eastAsia="Amiri" w:cs="Amiri"/>
          <w:color w:val="111111"/>
          <w:sz w:val="28"/>
          <w:sz w:val="28"/>
          <w:szCs w:val="28"/>
          <w:rtl w:val="true"/>
          <w:lang w:bidi="ar-SA"/>
        </w:rPr>
        <w:t>والمفاتيح</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من التذكرة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يشير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وأسنده أخرى إلى علمائنا ، وهو أيضا ظاهر في دعوى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الشيخ في الخلاف </w:t>
      </w:r>
      <w:r>
        <w:rPr>
          <w:rStyle w:val="FootnoteAnchor"/>
          <w:rtl w:val="true"/>
        </w:rPr>
        <w:footnoteReference w:id="1607"/>
      </w:r>
      <w:r>
        <w:rPr>
          <w:rFonts w:ascii="Amiri" w:hAnsi="Amiri" w:eastAsia="Amiri" w:cs="Amiri"/>
          <w:color w:val="111111"/>
          <w:sz w:val="28"/>
          <w:sz w:val="28"/>
          <w:szCs w:val="28"/>
          <w:rtl w:val="true"/>
          <w:lang w:bidi="ar-SA"/>
        </w:rPr>
        <w:t xml:space="preserve">والسيد ابن زهرة في الغنية </w:t>
      </w:r>
      <w:r>
        <w:rPr>
          <w:rStyle w:val="FootnoteAnchor"/>
          <w:rtl w:val="true"/>
        </w:rPr>
        <w:footnoteReference w:id="1608"/>
      </w:r>
      <w:r>
        <w:rPr>
          <w:rFonts w:ascii="Amiri" w:hAnsi="Amiri" w:eastAsia="Amiri" w:cs="Amiri"/>
          <w:color w:val="111111"/>
          <w:sz w:val="28"/>
          <w:sz w:val="28"/>
          <w:szCs w:val="28"/>
          <w:rtl w:val="true"/>
          <w:lang w:bidi="ar-SA"/>
        </w:rPr>
        <w:t>إلى بطلانه من أصله مدّعيين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الحلي في السرائر </w:t>
      </w:r>
      <w:r>
        <w:rPr>
          <w:rStyle w:val="FootnoteAnchor"/>
          <w:rtl w:val="true"/>
        </w:rPr>
        <w:footnoteReference w:id="1609"/>
      </w:r>
      <w:r>
        <w:rPr>
          <w:rFonts w:ascii="Amiri" w:hAnsi="Amiri" w:eastAsia="Amiri" w:cs="Amiri"/>
          <w:color w:val="111111"/>
          <w:sz w:val="28"/>
          <w:sz w:val="28"/>
          <w:szCs w:val="28"/>
          <w:rtl w:val="true"/>
          <w:lang w:bidi="ar-SA"/>
        </w:rPr>
        <w:t xml:space="preserve">، وحكى القول به عن المبسوط </w:t>
      </w:r>
      <w:r>
        <w:rPr>
          <w:rStyle w:val="FootnoteAnchor"/>
          <w:rtl w:val="true"/>
        </w:rPr>
        <w:footnoteReference w:id="1610"/>
      </w:r>
      <w:r>
        <w:rPr>
          <w:rFonts w:ascii="Amiri" w:hAnsi="Amiri" w:eastAsia="Amiri" w:cs="Amiri"/>
          <w:color w:val="111111"/>
          <w:sz w:val="28"/>
          <w:sz w:val="28"/>
          <w:szCs w:val="28"/>
          <w:rtl w:val="true"/>
          <w:lang w:bidi="ar-SA"/>
        </w:rPr>
        <w:t xml:space="preserve">والديلمي في ظاهر المراسم </w:t>
      </w:r>
      <w:r>
        <w:rPr>
          <w:rStyle w:val="FootnoteAnchor"/>
          <w:rtl w:val="true"/>
        </w:rPr>
        <w:footnoteReference w:id="1611"/>
      </w:r>
      <w:r>
        <w:rPr>
          <w:rFonts w:ascii="Amiri" w:hAnsi="Amiri" w:eastAsia="Amiri" w:cs="Amiri"/>
          <w:color w:val="111111"/>
          <w:sz w:val="28"/>
          <w:sz w:val="28"/>
          <w:szCs w:val="28"/>
          <w:rtl w:val="true"/>
          <w:lang w:bidi="ar-SA"/>
        </w:rPr>
        <w:t xml:space="preserve">، وفخر الإسلام في الايضاح </w:t>
      </w:r>
      <w:r>
        <w:rPr>
          <w:rStyle w:val="FootnoteAnchor"/>
          <w:rtl w:val="true"/>
        </w:rPr>
        <w:footnoteReference w:id="1612"/>
      </w:r>
      <w:r>
        <w:rPr>
          <w:rFonts w:ascii="Amiri" w:hAnsi="Amiri" w:eastAsia="Amiri" w:cs="Amiri"/>
          <w:color w:val="111111"/>
          <w:sz w:val="28"/>
          <w:sz w:val="28"/>
          <w:szCs w:val="28"/>
          <w:rtl w:val="true"/>
          <w:lang w:bidi="ar-SA"/>
        </w:rPr>
        <w:t>، والشهيد في نكت الإرشاد والسيد الداماد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وحكاه المقداد عن شيخه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الظاهر من المحقق الأردبيلي </w:t>
      </w:r>
      <w:r>
        <w:rPr>
          <w:rStyle w:val="FootnoteAnchor"/>
          <w:rtl w:val="true"/>
        </w:rPr>
        <w:footnoteReference w:id="1613"/>
      </w:r>
      <w:r>
        <w:rPr>
          <w:rFonts w:ascii="Amiri" w:hAnsi="Amiri" w:eastAsia="Amiri" w:cs="Amiri"/>
          <w:color w:val="111111"/>
          <w:sz w:val="28"/>
          <w:sz w:val="28"/>
          <w:szCs w:val="28"/>
          <w:rtl w:val="true"/>
          <w:lang w:bidi="ar-SA"/>
        </w:rPr>
        <w:t>والمحدّث الحر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التذكرة </w:t>
      </w:r>
      <w:r>
        <w:rPr>
          <w:rStyle w:val="FootnoteAnchor"/>
          <w:rtl w:val="true"/>
        </w:rPr>
        <w:footnoteReference w:id="1614"/>
      </w:r>
      <w:r>
        <w:rPr>
          <w:rFonts w:ascii="Amiri" w:hAnsi="Amiri" w:eastAsia="Amiri" w:cs="Amiri"/>
          <w:color w:val="111111"/>
          <w:sz w:val="28"/>
          <w:sz w:val="28"/>
          <w:szCs w:val="28"/>
          <w:rtl w:val="true"/>
          <w:lang w:bidi="ar-SA"/>
        </w:rPr>
        <w:t xml:space="preserve">أنه قول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الأوّل ، ويدلّ عليه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615"/>
      </w:r>
      <w:r>
        <w:rPr>
          <w:rFonts w:ascii="Amiri" w:hAnsi="Amiri" w:eastAsia="Amiri" w:cs="Amiri"/>
          <w:color w:val="111111"/>
          <w:sz w:val="28"/>
          <w:sz w:val="28"/>
          <w:szCs w:val="28"/>
          <w:rtl w:val="true"/>
          <w:lang w:bidi="ar-SA"/>
        </w:rPr>
        <w:t>؛ لاندراجه في العقد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عدم الكافي لها لانصرافه إلى العقود المتعارفة ضعيف جدّا ؛ لشيوع العقد الفضولي من الناس لتخلّف الوكلاء كثيرا مما جرت عليه الوكالات بحسب المقامات حسبما مرّ </w:t>
      </w:r>
      <w:r>
        <w:rPr>
          <w:rStyle w:val="FootnoteAnchor"/>
          <w:rtl w:val="true"/>
        </w:rPr>
        <w:footnoteReference w:id="1616"/>
      </w:r>
      <w:r>
        <w:rPr>
          <w:rFonts w:ascii="Amiri" w:hAnsi="Amiri" w:eastAsia="Amiri" w:cs="Amiri"/>
          <w:color w:val="111111"/>
          <w:sz w:val="28"/>
          <w:sz w:val="28"/>
          <w:szCs w:val="28"/>
          <w:rtl w:val="true"/>
          <w:lang w:bidi="ar-SA"/>
        </w:rPr>
        <w:t>، وإن المصلحة في إيقاع المعاملات ثم يجيزون الموكّلين بالمال ليجيزوا تلك التصرفات على حسب مصالحهم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يتصدى الأصدقاء كثيرا لمثل ذلك موقعين للإجازة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الموارد كما لا يخفى على المتأمل في الطرائق الجارية بين الناس ، بل لا يبعد دعوى قيام السيرة عليه بين المسلمين عن قديم الزمان إلى الآن ، بل فيما بين ساير أهل الملل والأديان ، ولا زال الآباء يتصرفون في أموال الأبناء والأبناء في أموال الآباء ، والأزواج في أموال الزوجات على مقتضى المصالح ، ويجرون عليه على حسب إجازتهم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ولا يبعد أن يكون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عَنْ تَراضٍ مِنْكُمْ </w:t>
      </w:r>
      <w:r>
        <w:rPr>
          <w:rFonts w:eastAsia="Amiri" w:cs="Amiri" w:ascii="Amiri" w:hAnsi="Amiri"/>
          <w:color w:val="111111"/>
          <w:sz w:val="28"/>
          <w:szCs w:val="28"/>
          <w:rtl w:val="true"/>
          <w:lang w:bidi="ar-SA"/>
        </w:rPr>
        <w:t xml:space="preserve">) </w:t>
      </w:r>
      <w:r>
        <w:rPr>
          <w:rStyle w:val="FootnoteAnchor"/>
          <w:rtl w:val="true"/>
        </w:rPr>
        <w:footnoteReference w:id="1617"/>
      </w:r>
      <w:r>
        <w:rPr>
          <w:rFonts w:ascii="Amiri" w:hAnsi="Amiri" w:eastAsia="Amiri" w:cs="Amiri"/>
          <w:color w:val="111111"/>
          <w:sz w:val="28"/>
          <w:sz w:val="28"/>
          <w:szCs w:val="28"/>
          <w:rtl w:val="true"/>
          <w:lang w:bidi="ar-SA"/>
        </w:rPr>
        <w:t>قاضيا بذلك ؛ فإنّ مفاده حصول التجارة عن رضا المالك سواء كان رضاه به مقارنا أو 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مفاد التجارة مجرد الصيغة ليكون تأخير الرضا عنها منافيا لظاهر الآية ، بل المقصود منها العقد المعتدّ به بين الناس ، وليس إلّا ما جامع رضا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يبعد أن يكون ذكر التراضي في المقام من قبيل التوصيف بصيغة الجنس ، فصدق التجارة عليه إنّما يكون بالمراضاة وهو أعم من مقارنتها للعقد أو تقدّمها عليه إلّا </w:t>
      </w:r>
      <w:r>
        <w:rPr>
          <w:rStyle w:val="FootnoteAnchor"/>
          <w:rtl w:val="true"/>
        </w:rPr>
        <w:footnoteReference w:id="1618"/>
      </w:r>
      <w:r>
        <w:rPr>
          <w:rFonts w:ascii="Amiri" w:hAnsi="Amiri" w:eastAsia="Amiri" w:cs="Amiri"/>
          <w:color w:val="111111"/>
          <w:sz w:val="28"/>
          <w:sz w:val="28"/>
          <w:szCs w:val="28"/>
          <w:rtl w:val="true"/>
          <w:lang w:bidi="ar-SA"/>
        </w:rPr>
        <w:t xml:space="preserve">في العقد الصاد من الوكيل أو تأخرها عنه كما في </w:t>
      </w:r>
      <w:r>
        <w:rPr>
          <w:rStyle w:val="FootnoteAnchor"/>
          <w:rtl w:val="true"/>
        </w:rPr>
        <w:footnoteReference w:id="1619"/>
      </w:r>
      <w:r>
        <w:rPr>
          <w:rFonts w:ascii="Amiri" w:hAnsi="Amiri" w:eastAsia="Amiri" w:cs="Amiri"/>
          <w:color w:val="111111"/>
          <w:sz w:val="28"/>
          <w:sz w:val="28"/>
          <w:szCs w:val="28"/>
          <w:rtl w:val="true"/>
          <w:lang w:bidi="ar-SA"/>
        </w:rPr>
        <w:t>المقام ، فيندرج بعد حصول الرضا والإجازة في اسم التجارة الحاصلة عن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ما دلّ على صحّة الفضولي في النكاح من الروايات الواردة هناك ، وهي روايات معتبرة متلقّاة بالقبول بين الفرقة معتضدة بالشهرة العظيمة من </w:t>
      </w:r>
      <w:r>
        <w:rPr>
          <w:rStyle w:val="FootnoteAnchor"/>
          <w:rtl w:val="true"/>
        </w:rPr>
        <w:footnoteReference w:id="1620"/>
      </w:r>
      <w:r>
        <w:rPr>
          <w:rFonts w:ascii="Amiri" w:hAnsi="Amiri" w:eastAsia="Amiri" w:cs="Amiri"/>
          <w:color w:val="111111"/>
          <w:sz w:val="28"/>
          <w:sz w:val="28"/>
          <w:szCs w:val="28"/>
          <w:rtl w:val="true"/>
          <w:lang w:bidi="ar-SA"/>
        </w:rPr>
        <w:t>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هناك الإجماع المنقول عليه في الجملة من جماعة ، ومن ذلك الأخبار الدالّة على صحّة عقد العبيد مع إجازة الولي ؛ فإنّه عقد فضولي قطعا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البيّن أنّ الأمر في الفروج وشدّة الاحتياط فيها آكد كما ورد في الرواية ، ونصّ عليه جماعة من الأجلّة ، فيدلّ بالفحوى على الصحّة في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فيمن يتّجر بمال اليتيم إذا لم يكن ملّيا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الربح لليتيم ، وهو ضامن للمال </w:t>
      </w:r>
      <w:r>
        <w:rPr>
          <w:rFonts w:eastAsia="Amiri" w:cs="Amiri" w:ascii="Amiri" w:hAnsi="Amiri"/>
          <w:color w:val="111111"/>
          <w:sz w:val="28"/>
          <w:szCs w:val="28"/>
          <w:rtl w:val="true"/>
          <w:lang w:bidi="ar-SA"/>
        </w:rPr>
        <w:t xml:space="preserve">»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الموثق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منصور الصيقل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مال اليتيم بعمل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عندك مال وضمنته </w:t>
      </w:r>
      <w:r>
        <w:rPr>
          <w:rStyle w:val="FootnoteAnchor"/>
          <w:rtl w:val="true"/>
        </w:rPr>
        <w:footnoteReference w:id="1622"/>
      </w:r>
      <w:r>
        <w:rPr>
          <w:rFonts w:ascii="Amiri" w:hAnsi="Amiri" w:eastAsia="Amiri" w:cs="Amiri"/>
          <w:color w:val="111111"/>
          <w:sz w:val="28"/>
          <w:sz w:val="28"/>
          <w:szCs w:val="28"/>
          <w:rtl w:val="true"/>
          <w:lang w:bidi="ar-SA"/>
        </w:rPr>
        <w:t xml:space="preserve">فلك الربح وأنت ضامن للمال ، وإن كان لا مال لك وعملت به فالربح للغلام وأنت ضامن للمال </w:t>
      </w:r>
      <w:r>
        <w:rPr>
          <w:rFonts w:eastAsia="Amiri" w:cs="Amiri" w:ascii="Amiri" w:hAnsi="Amiri"/>
          <w:color w:val="111111"/>
          <w:sz w:val="28"/>
          <w:szCs w:val="28"/>
          <w:rtl w:val="true"/>
          <w:lang w:bidi="ar-SA"/>
        </w:rPr>
        <w:t xml:space="preserve">»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لا صحّة العقد حينئذ مع الإجازة لما أمكن تصحيح ذلك ؛ فإنّ مقتضي الفساد تغريم المتصرّف لمال الصبيّ ؛ لضمانه بالتصرف المذكور والعوض إلى مالكه ، فتملك الصبيّ الربح مبني في صحّة العقد من </w:t>
      </w:r>
      <w:r>
        <w:rPr>
          <w:rStyle w:val="FootnoteAnchor"/>
          <w:rtl w:val="true"/>
        </w:rPr>
        <w:footnoteReference w:id="1624"/>
      </w:r>
      <w:r>
        <w:rPr>
          <w:rFonts w:ascii="Amiri" w:hAnsi="Amiri" w:eastAsia="Amiri" w:cs="Amiri"/>
          <w:color w:val="111111"/>
          <w:sz w:val="28"/>
          <w:sz w:val="28"/>
          <w:szCs w:val="28"/>
          <w:rtl w:val="true"/>
          <w:lang w:bidi="ar-SA"/>
        </w:rPr>
        <w:t xml:space="preserve">جهة الإجازة وإن لم يصرّح به في الرواية أو بعد حصول الربح يكون </w:t>
      </w:r>
      <w:r>
        <w:rPr>
          <w:rStyle w:val="FootnoteAnchor"/>
          <w:rtl w:val="true"/>
        </w:rPr>
        <w:footnoteReference w:id="1625"/>
      </w:r>
      <w:r>
        <w:rPr>
          <w:rFonts w:ascii="Amiri" w:hAnsi="Amiri" w:eastAsia="Amiri" w:cs="Amiri"/>
          <w:color w:val="111111"/>
          <w:sz w:val="28"/>
          <w:sz w:val="28"/>
          <w:szCs w:val="28"/>
          <w:rtl w:val="true"/>
          <w:lang w:bidi="ar-SA"/>
        </w:rPr>
        <w:t>مصلحة لليتيم ، فيجيزه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والإيراد عليه بأنّ مفاد ظاهر الرواية انعقاد العقد من دون حاجة إلى الإجازة ، فلا ربط له بالمقام ؛ مدفوع أوّلا بأنّه لا مصرّح ظاهر </w:t>
      </w:r>
      <w:r>
        <w:rPr>
          <w:rStyle w:val="FootnoteAnchor"/>
          <w:rtl w:val="true"/>
        </w:rPr>
        <w:footnoteReference w:id="1626"/>
      </w:r>
      <w:r>
        <w:rPr>
          <w:rFonts w:ascii="Amiri" w:hAnsi="Amiri" w:eastAsia="Amiri" w:cs="Amiri"/>
          <w:color w:val="111111"/>
          <w:sz w:val="28"/>
          <w:sz w:val="28"/>
          <w:szCs w:val="28"/>
          <w:rtl w:val="true"/>
          <w:lang w:bidi="ar-SA"/>
        </w:rPr>
        <w:t>لصحّة العقد قهرا من دون لحوق الإجازة ، فلا بد من تقييده به ، ولو قيل بعدم الحاجة في مثله إلى الإجازة إذا وافقت المصلحة الواقعية قام ذلك مقام الإجازة ، وكأنّها بمنزلتها ، فتأمل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عروة البارقي المشهورة في كتب الأصحاب ، وقد رواها الفريقان واعتضدت بالشهرة العظيمة بين الفرقة ، وقد أمره النّبيّ صلى‌اللّه‌عليه‌وآله بشراء شاة بدينار فاشترى شاتين ، ثمّ باع أحدهما بدينار فأتى بالشاة إلى النبيّ صلى‌اللّه‌عليه‌وآله فأخبره بالحال ، فقال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بارك اللّه لك في صفقة يمينك </w:t>
      </w:r>
      <w:r>
        <w:rPr>
          <w:rFonts w:eastAsia="Amiri" w:cs="Amiri" w:ascii="Amiri" w:hAnsi="Amiri"/>
          <w:color w:val="111111"/>
          <w:sz w:val="28"/>
          <w:szCs w:val="28"/>
          <w:rtl w:val="true"/>
          <w:lang w:bidi="ar-SA"/>
        </w:rPr>
        <w:t xml:space="preserve">»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ولا مانع من ضعف إسنادها بعد </w:t>
      </w:r>
      <w:r>
        <w:rPr>
          <w:rStyle w:val="FootnoteAnchor"/>
          <w:rtl w:val="true"/>
        </w:rPr>
        <w:footnoteReference w:id="1628"/>
      </w:r>
      <w:r>
        <w:rPr>
          <w:rFonts w:ascii="IRNazanin" w:hAnsi="IRNazanin" w:eastAsia="IRNazanin"/>
          <w:color w:val="111111"/>
          <w:sz w:val="28"/>
          <w:sz w:val="28"/>
          <w:szCs w:val="28"/>
          <w:rtl w:val="true"/>
          <w:lang w:bidi="fa-IR"/>
        </w:rPr>
        <w:t>انجبارها بما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دلالة على صحّة الفضولي من جهة شرائه للشاتين حيث أمره صلى‌اللّه‌عليه‌وآله بشراء واحدة فقد تخلى </w:t>
      </w:r>
      <w:r>
        <w:rPr>
          <w:rStyle w:val="FootnoteAnchor"/>
          <w:rtl w:val="true"/>
        </w:rPr>
        <w:footnoteReference w:id="1629"/>
      </w:r>
      <w:r>
        <w:rPr>
          <w:rFonts w:ascii="Amiri" w:hAnsi="Amiri" w:eastAsia="Amiri" w:cs="Amiri"/>
          <w:color w:val="111111"/>
          <w:sz w:val="28"/>
          <w:sz w:val="28"/>
          <w:szCs w:val="28"/>
          <w:rtl w:val="true"/>
          <w:lang w:bidi="ar-SA"/>
        </w:rPr>
        <w:t>عن مقتضي الوكالة ومن جهة بيعه للواحدة بعد ذلك ؛ إذ لا توكيل له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يورد على الأوّل بدلالة أمره بشراء شاة بدينار على شراء شاتين بالأولى حسبما قرّر في الوكالة من دلالة الفحوى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يقتضيه الأولويّة هو كون التوكيل في الشراء بالثمن الأكثر قاضيا بإذنه بالأقلّ ، وأمّا الزيادة في المثمن على ما هو المفروض فلا يدل عليه الفحوى ، بل ما يقتضيه الفحوى في المقام هو شراء الشاة نصف </w:t>
      </w:r>
      <w:r>
        <w:rPr>
          <w:rStyle w:val="FootnoteAnchor"/>
          <w:rtl w:val="true"/>
        </w:rPr>
        <w:footnoteReference w:id="1630"/>
      </w:r>
      <w:r>
        <w:rPr>
          <w:rFonts w:ascii="Amiri" w:hAnsi="Amiri" w:eastAsia="Amiri" w:cs="Amiri"/>
          <w:color w:val="111111"/>
          <w:sz w:val="28"/>
          <w:sz w:val="28"/>
          <w:szCs w:val="28"/>
          <w:rtl w:val="true"/>
          <w:lang w:bidi="ar-SA"/>
        </w:rPr>
        <w:t>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الأمرين واضح كما لا يخفى بعد التأمل في مجاري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بأنّ البارقي قد يكون وكيلا له في معاملاته مأذونا من قبله صلى‌اللّه‌عليه‌وآله أو أنّه كان في المقام ما يدلّ على إذنه صلى‌اللّه‌عليه‌وآله ، فليس في الرواية ما يفيد زيادة على حكاية الحال ، وقد تقرّر أن حكايات الأحوال لا عموم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ويدفعه أنّ ذلك خلاف الظاهر من الرواية مخالف لظاهر فهم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والاحتجاج إنّما هو الظاهر المتجبّر بفهمهم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يقال بعلمه من الفحوى برضاه صلى‌اللّه‌عليه‌وآله بذلك ، ولذا تصدّى لدفع العوض ، وهو غير سائغ قطعا بدون العلم ، فقد يقال حينئذ بالاكتفاء به في صحّة التصرف وقيامه مقام التوكيل ، فيخرج به حينئذ عن حدّ الفضولي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تأمّل ؛ إذ مجرد الفحوى والعلم بالرضا إنّما يفيد إباحة التصرف في مال الغير ، وأمّا قيامه مقام التوكيل في صحّة التصرفات حتّى لا يفتقر معه إلى لحوق الإجازة فممّا لا دليل عليه ، بل الظاهر خلافه كما سيأتي الإشارة إليه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وجواز الدفع من جهة علمه بالفحوى أنّه سيجيزه لا يستلزم صحّة العقد من دون الإجازة ليقوم ذلك مقام التوكيل ، فلا مانع من توقف العقد على الإجازة وجواز تصرفه في المال بالدفع إلى البائع أو المشتري من جهة علمه بلحوق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يكون الواقع منه مجرّد الإباحة دون البيع الناقل للعين ، فيكتفى فيه بمجرّد العلم الحاصل من الفحوى ، فلا دلالة فيه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أنّ الظاهر من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بارك اللّه في صفقة يمينك </w:t>
      </w:r>
      <w:r>
        <w:rPr>
          <w:rFonts w:eastAsia="Amiri" w:cs="Amiri" w:ascii="Amiri" w:hAnsi="Amiri"/>
          <w:color w:val="111111"/>
          <w:sz w:val="28"/>
          <w:szCs w:val="28"/>
          <w:rtl w:val="true"/>
          <w:lang w:bidi="ar-SA"/>
        </w:rPr>
        <w:t xml:space="preserve">» </w:t>
      </w:r>
      <w:r>
        <w:rPr>
          <w:rStyle w:val="FootnoteAnchor"/>
          <w:rtl w:val="true"/>
        </w:rPr>
        <w:footnoteReference w:id="1631"/>
      </w:r>
      <w:r>
        <w:rPr>
          <w:rFonts w:ascii="Amiri" w:hAnsi="Amiri" w:eastAsia="Amiri" w:cs="Amiri"/>
          <w:color w:val="111111"/>
          <w:sz w:val="28"/>
          <w:sz w:val="28"/>
          <w:szCs w:val="28"/>
          <w:rtl w:val="true"/>
          <w:lang w:bidi="ar-SA"/>
        </w:rPr>
        <w:t>خلاف ذلك هو المعتضد بفهم المعظم ، فقيام ذلك الاحتمال لا ينافي الاحتجاج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قيس ، وقد رواها المشايخ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 عليه‌السلام في </w:t>
      </w:r>
      <w:r>
        <w:rPr>
          <w:rStyle w:val="FootnoteAnchor"/>
          <w:rtl w:val="true"/>
        </w:rPr>
        <w:footnoteReference w:id="1632"/>
      </w:r>
      <w:r>
        <w:rPr>
          <w:rFonts w:ascii="Amiri" w:hAnsi="Amiri" w:eastAsia="Amiri" w:cs="Amiri"/>
          <w:color w:val="111111"/>
          <w:sz w:val="28"/>
          <w:sz w:val="28"/>
          <w:szCs w:val="28"/>
          <w:rtl w:val="true"/>
          <w:lang w:bidi="ar-SA"/>
        </w:rPr>
        <w:t xml:space="preserve">وليدة باعها ابن سيدها وأبوها غائب ، فاشتراها رجل فولدت منه غلاما ثمّ قدم سيّدها الأوّل ، فخاصم سيّدها الأخير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وليدتي باعها ابني بغير إذني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وليدتك وابنها ، فناشده المشتري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ابنه يعني الذي باعك الوليدة حتّى ينفذ لك ما باعك ، فلمّا أخذ البيع الابن قال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ابني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أرسل ابنك حتّى ترسل ابني ، فلمّا رأى ذلك سيّد الوليدة أجاز مع ابنه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ودلالتها على المدّعى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يورد عليها تارة بدلالتها على صحّة العقد بالإجازة بعد حصول الرّد ، وهو خلاف الإجماع ، فما دلّت عليه لا قائل به ، ولا دلالة فيها على الصحّة ؛ لحصول الاجازة قبل الردّ كما هو المدّعى</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ودلالتها حينئذ على الصحّة قبل الردّ بالأولى لا معوّل عليها بعد بطلان الأصل وعدم إمكان الأخذ به ؛ فإنّ ثبوت اللازم إنّما يكون بعد ثبوت الملزوم ، فمع القطع بعدمه لا معنى لثبوت لازمه ، فلا بدّ من طرح الخبر من أصله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 باشتمالها على ما لا يقولون به من الحكم بأخذه لولد المشتري مع حريته ؛ لمكان الشبهة وأخذ المشتري لولد المالك ، مع أنّه إنّما يطالبه بالثمن ، وبما يغترمه للمالك على فرضه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الأوّل بأنّه لا دلالة في الرواية على ردّ المالك للبيع ، فقد يكون متردّدا فيه من جهة ما يترتب عليه من مطالبة من ابنه وتعاسره إيّاه ، فإن رأى سهولة الخطب ردّه ، وإلّا أجازه ليخلّص ابنه حسبما صدر منه جبرا </w:t>
      </w:r>
      <w:r>
        <w:rPr>
          <w:rStyle w:val="FootnoteAnchor"/>
          <w:rtl w:val="true"/>
        </w:rPr>
        <w:footnoteReference w:id="1634"/>
      </w:r>
      <w:r>
        <w:rPr>
          <w:rFonts w:ascii="Amiri" w:hAnsi="Amiri" w:eastAsia="Amiri" w:cs="Amiri"/>
          <w:color w:val="111111"/>
          <w:sz w:val="28"/>
          <w:sz w:val="28"/>
          <w:szCs w:val="28"/>
          <w:rtl w:val="true"/>
          <w:lang w:bidi="ar-SA"/>
        </w:rPr>
        <w:t xml:space="preserve">بعد تعاسر المشتري إياه حسبما أشار إليه عليه‌السلام به ، وقبضه للوليدة إنّما هو لثبوت ملكيته لها ، وعدم ثبوت الناقل عنه ، فله </w:t>
      </w:r>
      <w:r>
        <w:rPr>
          <w:rStyle w:val="FootnoteAnchor"/>
          <w:rtl w:val="true"/>
        </w:rPr>
        <w:footnoteReference w:id="1635"/>
      </w:r>
      <w:r>
        <w:rPr>
          <w:rFonts w:ascii="Amiri" w:hAnsi="Amiri" w:eastAsia="Amiri" w:cs="Amiri"/>
          <w:color w:val="111111"/>
          <w:sz w:val="28"/>
          <w:sz w:val="28"/>
          <w:szCs w:val="28"/>
          <w:rtl w:val="true"/>
          <w:lang w:bidi="ar-SA"/>
        </w:rPr>
        <w:t>قبضها حتّى تتحقق منه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بأنّ قبضه لولده ليس من جهة رقيته بل تقويمه وقبض ثمنه ، وقبض المشتري للبائع من جهة مطالبته للمال الذي عليه ، فلا مخالفة في الرواية للقواعد المقرّرة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أنّها لو اشتملت على ما لا يقولون فلا يمنع ذلك من العمل بها في غير ذلك حسبما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رجل اشترى ثوبا ولم يشترط على صاحبه شيئا فكرهه ثمّ ردّه على صاحبه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أن يقبله إلا بوضيعة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له أن يأخذ بوضيعة ، فإن جهل فأخذه فباعه بأكثر من ثمنه ردّه على صاحبه </w:t>
      </w:r>
      <w:r>
        <w:rPr>
          <w:rFonts w:eastAsia="Amiri" w:cs="Amiri" w:ascii="Amiri" w:hAnsi="Amiri"/>
          <w:color w:val="111111"/>
          <w:sz w:val="28"/>
          <w:szCs w:val="28"/>
          <w:rtl w:val="true"/>
          <w:lang w:bidi="ar-SA"/>
        </w:rPr>
        <w:t xml:space="preserve">) </w:t>
      </w:r>
      <w:r>
        <w:rPr>
          <w:rStyle w:val="FootnoteAnchor"/>
          <w:rtl w:val="true"/>
        </w:rPr>
        <w:footnoteReference w:id="1636"/>
      </w:r>
      <w:r>
        <w:rPr>
          <w:rFonts w:ascii="IRNazanin" w:hAnsi="IRNazanin" w:eastAsia="IRNazanin"/>
          <w:color w:val="111111"/>
          <w:sz w:val="28"/>
          <w:sz w:val="28"/>
          <w:szCs w:val="28"/>
          <w:rtl w:val="true"/>
          <w:lang w:bidi="fa-IR"/>
        </w:rPr>
        <w:t xml:space="preserve">ما زاد </w:t>
      </w:r>
      <w:r>
        <w:rPr>
          <w:rFonts w:eastAsia="IRNazanin" w:cs="IRNazanin"/>
          <w:color w:val="111111"/>
          <w:sz w:val="28"/>
          <w:szCs w:val="28"/>
          <w:rtl w:val="true"/>
          <w:lang w:bidi="fa-IR"/>
        </w:rPr>
        <w:t xml:space="preserve">»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رواه المشايخ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وفي رواية الصدوق نقص </w:t>
      </w:r>
      <w:r>
        <w:rPr>
          <w:rStyle w:val="FootnoteAnchor"/>
          <w:rtl w:val="true"/>
        </w:rPr>
        <w:footnoteReference w:id="1638"/>
      </w:r>
      <w:r>
        <w:rPr>
          <w:rFonts w:ascii="Amiri" w:hAnsi="Amiri" w:eastAsia="Amiri" w:cs="Amiri"/>
          <w:color w:val="111111"/>
          <w:sz w:val="28"/>
          <w:sz w:val="28"/>
          <w:szCs w:val="28"/>
          <w:rtl w:val="true"/>
          <w:lang w:bidi="ar-SA"/>
        </w:rPr>
        <w:t xml:space="preserve">لا يختلف من جهته </w:t>
      </w:r>
      <w:r>
        <w:rPr>
          <w:rStyle w:val="FootnoteAnchor"/>
          <w:rtl w:val="true"/>
        </w:rPr>
        <w:footnoteReference w:id="1639"/>
      </w:r>
      <w:r>
        <w:rPr>
          <w:rFonts w:ascii="Amiri" w:hAnsi="Amiri" w:eastAsia="Amiri" w:cs="Amiri"/>
          <w:color w:val="111111"/>
          <w:sz w:val="28"/>
          <w:sz w:val="28"/>
          <w:szCs w:val="28"/>
          <w:rtl w:val="true"/>
          <w:lang w:bidi="ar-SA"/>
        </w:rPr>
        <w:t>مفاد الرواية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ووجوب دفع الزائد على صاحبه مبنيّ على صحّة العقد ؛ للعلم بإجازته له إذا أخبره </w:t>
      </w:r>
    </w:p>
    <w:p>
      <w:pPr>
        <w:pStyle w:val="BookText"/>
        <w:rPr/>
      </w:pPr>
      <w:r>
        <w:rPr>
          <w:rFonts w:ascii="Amiri" w:hAnsi="Amiri" w:eastAsia="Amiri" w:cs="Amiri"/>
          <w:color w:val="111111"/>
          <w:sz w:val="28"/>
          <w:sz w:val="28"/>
          <w:szCs w:val="28"/>
          <w:rtl w:val="true"/>
          <w:lang w:bidi="ar-SA"/>
        </w:rPr>
        <w:t>بالمال كما هو قضية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فدلالتها على المدّعى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عنه فلا بدّ من تقييد إطلاقها بذلك للإجماع على عدم صحّة العقد مع عدم إجازة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والصدوق بإسنادهما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مسمع أبي سيّار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استودعت رجلا مالا فجحدنيه وحلف لي عليه ثمّ جاء بعد ذلك بسنين بالمال الّذي كنت استودعته ايّاه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مالك ، فخذه وهذه أربعة آلاف درهم ربحتها في مالك ، فهي لك مع ذلك واجعلني في حلّ ، فأخذت المال وأبيت أن آخذ الربح إذا وقفت بالمال الذي كنت استودعته وأتيت حتّى أستطلع رأيك ، فما ترى؟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الربح وأعطه النصف وأحله إنّ هذا رجل تائب ، واللّه يحبّ التوابين </w:t>
      </w:r>
      <w:r>
        <w:rPr>
          <w:rFonts w:eastAsia="Amiri" w:cs="Amiri" w:ascii="Amiri" w:hAnsi="Amiri"/>
          <w:color w:val="111111"/>
          <w:sz w:val="28"/>
          <w:szCs w:val="28"/>
          <w:rtl w:val="true"/>
          <w:lang w:bidi="ar-SA"/>
        </w:rPr>
        <w:t xml:space="preserve">»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w:t>
      </w:r>
      <w:r>
        <w:rPr>
          <w:rStyle w:val="FootnoteAnchor"/>
          <w:rtl w:val="true"/>
        </w:rPr>
        <w:footnoteReference w:id="1641"/>
      </w:r>
      <w:r>
        <w:rPr>
          <w:rFonts w:ascii="Amiri" w:hAnsi="Amiri" w:eastAsia="Amiri" w:cs="Amiri"/>
          <w:color w:val="111111"/>
          <w:sz w:val="28"/>
          <w:sz w:val="28"/>
          <w:szCs w:val="28"/>
          <w:rtl w:val="true"/>
          <w:lang w:bidi="ar-SA"/>
        </w:rPr>
        <w:t>أنّ تملكه للربح مبني على إجازته للعقد الصادر منه المشتمل على الربح وأمره عليه‌السلام بردّ نصف الربح عليه على وجه الندب كما يشير إليه التعليل المذكور ، ودلالتها على المدّعى ظاهرة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من أنّ عقيلا باع دورا للنبي صلى‌اللّه‌عليه‌وآله بمكّة من دون إذن ، فلمّا أخبره بذلك اجازه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يستأنس به للقول المذكور ما دلّ على صحّة الوصيّة الزائدة على الثلث إذا أجازته الورثة ، وما ورد في التصدّق بمجهول المالك </w:t>
      </w:r>
      <w:r>
        <w:rPr>
          <w:rStyle w:val="FootnoteAnchor"/>
          <w:rtl w:val="true"/>
        </w:rPr>
        <w:footnoteReference w:id="1642"/>
      </w:r>
      <w:r>
        <w:rPr>
          <w:rFonts w:ascii="Amiri" w:hAnsi="Amiri" w:eastAsia="Amiri" w:cs="Amiri"/>
          <w:color w:val="111111"/>
          <w:sz w:val="28"/>
          <w:sz w:val="28"/>
          <w:szCs w:val="28"/>
          <w:rtl w:val="true"/>
          <w:lang w:bidi="ar-SA"/>
        </w:rPr>
        <w:t>إن جاء صاحبها وأمضى الصدقة ومضت وإلّا غرمه المتصدق وإلّا أجزأه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فيمن يشتري من مال الخمس من الجواري من أجازه الإمام عليه‌السلام ذلك لأهل الولاية ، وما ورد من تحليل المناكح والمساكن لأهل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حجّة القول الثاني الأصل ، وما مرّ من الإجماع المنقول في الخلاف والغنية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حال من قصد النقل والانتقال الذي هو حقيقة العقد ؛ لتعذّره ، مع العلم بعدم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تصرف في ملك الغير بغير إذنه ، فيكون قبيحا عقلا وشرعا ، فيكون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غير قادر على تسليمه فأشبه بيع الطير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الرضا شرط في صحّة العقد إجماعا ، والمفروض انتفاؤه حال العقد ، وقضيّة انتفاء الشرط انتفاء المشروط به ، وحصوله عقيب العقد غير نافع ؛ إذ قضية الشرطية اعتبار مقارنة الشرط ؛ إذ لا فائدة في حصول الشرط بعد انتفاء السبب المشروط به أعني العقد كالصلاة المتعقّبة للطهارة ، وظواهر عدّة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العلامة في المختلف </w:t>
      </w:r>
      <w:r>
        <w:rPr>
          <w:rStyle w:val="FootnoteAnchor"/>
          <w:rtl w:val="true"/>
        </w:rPr>
        <w:footnoteReference w:id="1643"/>
      </w:r>
      <w:r>
        <w:rPr>
          <w:rFonts w:ascii="Amiri" w:hAnsi="Amiri" w:eastAsia="Amiri" w:cs="Amiri"/>
          <w:color w:val="111111"/>
          <w:sz w:val="28"/>
          <w:sz w:val="28"/>
          <w:szCs w:val="28"/>
          <w:rtl w:val="true"/>
          <w:lang w:bidi="ar-SA"/>
        </w:rPr>
        <w:t xml:space="preserve">والشهيد في النكت عن النبي صلى‌اللّه‌عليه‌وآله </w:t>
      </w:r>
      <w:r>
        <w:rPr>
          <w:rStyle w:val="FootnoteAnchor"/>
          <w:rtl w:val="true"/>
        </w:rPr>
        <w:footnoteReference w:id="1644"/>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طلاق إلّا فيما يملك ، ولا عتق إلّا فيما يملك ولا بيع إلّا في ما يملك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مكاتبة الصفار إلى أبي الحسن العسكري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باع قطاع أرضين وعرف حدود القرية الأربعة وإنّما له في هذه القرية قطاع أرضين ، فهل يصلح للمشتري ذلك وإنّما له بعض هذه القرية وقد أقرّ له بكلّها؟ فوقع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بيع ما ليس يملك وقد وجب الشراء من البائع على ما يملك </w:t>
      </w:r>
      <w:r>
        <w:rPr>
          <w:rFonts w:eastAsia="Amiri" w:cs="Amiri" w:ascii="Amiri" w:hAnsi="Amiri"/>
          <w:color w:val="111111"/>
          <w:sz w:val="28"/>
          <w:szCs w:val="28"/>
          <w:rtl w:val="true"/>
          <w:lang w:bidi="ar-SA"/>
        </w:rPr>
        <w:t xml:space="preserve">»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القسم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الأوّل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من امرأة من آل فلان بعض قطائعهم وكتب عليها كتابا بأنّها قد قبضت المال ولم تقبضه فيعطها المال أم يمنعها؟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64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يمنعها أشدّ المنع فإنها باعت ما لا تملك </w:t>
      </w:r>
      <w:r>
        <w:rPr>
          <w:rFonts w:eastAsia="Amiri" w:cs="Amiri" w:ascii="Amiri" w:hAnsi="Amiri"/>
          <w:color w:val="111111"/>
          <w:sz w:val="28"/>
          <w:szCs w:val="28"/>
          <w:rtl w:val="true"/>
          <w:lang w:bidi="ar-SA"/>
        </w:rPr>
        <w:t xml:space="preserve">»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الحديث المناهي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عن بيع ما ليس عندك </w:t>
      </w:r>
      <w:r>
        <w:rPr>
          <w:rFonts w:eastAsia="Amiri" w:cs="Amiri" w:ascii="Amiri" w:hAnsi="Amiri"/>
          <w:color w:val="111111"/>
          <w:sz w:val="28"/>
          <w:szCs w:val="28"/>
          <w:rtl w:val="true"/>
          <w:lang w:bidi="ar-SA"/>
        </w:rPr>
        <w:t xml:space="preserve">»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سليمان بن صالح ، عن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وثمن مبيع ما ليس عندك </w:t>
      </w:r>
      <w:r>
        <w:rPr>
          <w:rFonts w:eastAsia="Amiri" w:cs="Amiri" w:ascii="Amiri" w:hAnsi="Amiri"/>
          <w:color w:val="111111"/>
          <w:sz w:val="28"/>
          <w:szCs w:val="28"/>
          <w:rtl w:val="true"/>
          <w:lang w:bidi="ar-SA"/>
        </w:rPr>
        <w:t xml:space="preserve">»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بوهن الوجوه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الأصل فيما </w:t>
      </w:r>
      <w:r>
        <w:rPr>
          <w:rStyle w:val="FootnoteAnchor"/>
          <w:rtl w:val="true"/>
        </w:rPr>
        <w:footnoteReference w:id="1650"/>
      </w:r>
      <w:r>
        <w:rPr>
          <w:rFonts w:ascii="Amiri" w:hAnsi="Amiri" w:eastAsia="Amiri" w:cs="Amiri"/>
          <w:color w:val="111111"/>
          <w:sz w:val="28"/>
          <w:sz w:val="28"/>
          <w:szCs w:val="28"/>
          <w:rtl w:val="true"/>
          <w:lang w:bidi="ar-SA"/>
        </w:rPr>
        <w:t>عرفت من قيام الدليل على الصحّة ، بل ما عرفت من الأصل الثانوي القاضي بصحّة العقود كاف في دفعه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الإجماع فموهون باشتهار خلافه </w:t>
      </w:r>
      <w:r>
        <w:rPr>
          <w:rStyle w:val="FootnoteAnchor"/>
          <w:rtl w:val="true"/>
        </w:rPr>
        <w:footnoteReference w:id="1651"/>
      </w:r>
      <w:r>
        <w:rPr>
          <w:rFonts w:ascii="Amiri" w:hAnsi="Amiri" w:eastAsia="Amiri" w:cs="Amiri"/>
          <w:color w:val="111111"/>
          <w:sz w:val="28"/>
          <w:sz w:val="28"/>
          <w:szCs w:val="28"/>
          <w:rtl w:val="true"/>
          <w:lang w:bidi="ar-SA"/>
        </w:rPr>
        <w:t>وذهاب جماعة من أساطين المتقدمين إلى صحته ، بل ذهاب ناقله إلى خلافه حسبما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خلوه عن قصد النقل والانتقال إن أريد به ودعوى كونه تصرفا في ملك الغير محرما </w:t>
      </w:r>
      <w:r>
        <w:rPr>
          <w:rStyle w:val="FootnoteAnchor"/>
          <w:rtl w:val="true"/>
        </w:rPr>
        <w:footnoteReference w:id="1652"/>
      </w:r>
      <w:r>
        <w:rPr>
          <w:rFonts w:ascii="Amiri" w:hAnsi="Amiri" w:eastAsia="Amiri" w:cs="Amiri"/>
          <w:color w:val="111111"/>
          <w:sz w:val="28"/>
          <w:sz w:val="28"/>
          <w:szCs w:val="28"/>
          <w:rtl w:val="true"/>
          <w:lang w:bidi="ar-SA"/>
        </w:rPr>
        <w:t>أوهن شي‌ء ؛ للمنع من عدّ مجرّد إيقاع الصيغة تصرفا عرفا ، ومنع حرمة مثله لو عدّ تصرفا ، ولو سلّم كونه محرّما فبعثه على الفساد ممنوع أيضا ؛ لكون النهي عنه لأمر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دعوى عدم القدرة على التسليم ؛ إذ مع تعقّب الإجازة لا مانع من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مانع خارجي عنه فهو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لزوم مقارنة الشرط للمشروط مسلّمة إن أريد توقف التأثير عليها بأن يكون ترتّب الأثر على المشروط مقارنا لحصول الشرط ، ولا يلزم منه تقارنهما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القبض في المجلس شرط في </w:t>
      </w:r>
      <w:r>
        <w:rPr>
          <w:rStyle w:val="FootnoteAnchor"/>
          <w:rtl w:val="true"/>
        </w:rPr>
        <w:footnoteReference w:id="1653"/>
      </w:r>
      <w:r>
        <w:rPr>
          <w:rFonts w:ascii="Amiri" w:hAnsi="Amiri" w:eastAsia="Amiri" w:cs="Amiri"/>
          <w:color w:val="111111"/>
          <w:sz w:val="28"/>
          <w:sz w:val="28"/>
          <w:szCs w:val="28"/>
          <w:rtl w:val="true"/>
          <w:lang w:bidi="ar-SA"/>
        </w:rPr>
        <w:t>بيع الصرف والسلم مع أنّ القبض قد يتأخّر عن العقد ، وكذا الحال في قبض الوقف وقبض الهبة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قد يكون الشرط وجوده في الجملة ولو متأخرا عن المشروط ، فلا يتوقف تأثير المشروط على وجوده حين تأثيره ، فيكشف وجوده المتأخر عن اقتران الشرط بالمشروط </w:t>
      </w:r>
      <w:bookmarkStart w:id="214" w:name="pg15853_153570"/>
    </w:p>
    <w:p>
      <w:pPr>
        <w:pStyle w:val="BookText"/>
        <w:rPr/>
      </w:pPr>
      <w:bookmarkEnd w:id="214"/>
      <w:r>
        <w:rPr>
          <w:rFonts w:ascii="Amiri" w:hAnsi="Amiri" w:eastAsia="Amiri" w:cs="Amiri"/>
          <w:color w:val="111111"/>
          <w:sz w:val="28"/>
          <w:sz w:val="28"/>
          <w:szCs w:val="28"/>
          <w:rtl w:val="true"/>
          <w:lang w:bidi="ar-SA"/>
        </w:rPr>
        <w:t>حين التأثير كما هو الحال في المقام بناء على القول بكون الإجازة كاشفة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المذكورة فمع ما في أكثرها من ضعف الإسناد غير ظاهرة الدلالة على ذلك ؛ إذ المفهوم منها عدم صحّة البيع الواقع من غير المالك على الاستقلال من دون لحوق إجازة المالك كما هو الظاهر من سياقها ، ولا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تسليم شمولها لذلك على وجه ضعيف فما قدّمناه من الأدلة كاف </w:t>
      </w:r>
      <w:r>
        <w:rPr>
          <w:rStyle w:val="FootnoteAnchor"/>
          <w:rtl w:val="true"/>
        </w:rPr>
        <w:footnoteReference w:id="1654"/>
      </w:r>
      <w:r>
        <w:rPr>
          <w:rFonts w:ascii="Amiri" w:hAnsi="Amiri" w:eastAsia="Amiri" w:cs="Amiri"/>
          <w:color w:val="111111"/>
          <w:sz w:val="28"/>
          <w:sz w:val="28"/>
          <w:szCs w:val="28"/>
          <w:rtl w:val="true"/>
          <w:lang w:bidi="ar-SA"/>
        </w:rPr>
        <w:t>تقييدها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 الاحتجاج على ذلك بما ورد في الأخبار من المنع عن شراء السرقة والخيانة والمنع عن وطي الجارية المسروقة إذا اشتراها عن السارق ونحو ذلك ؛ فإنّ تلك الروايات ظاهرة جدّا بل صريحة في غير صورة رضا المالك وتنفيذه للبيع الواقع ، فلا وجه للاحتجاج بها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ظاهر ؛ على أنّه لو سلّم إطلاقها فلا ريب في تنزيلها على غير صورة الإجازة إذا قلنا بصحّة فضولي الغاصب مع تعقيب </w:t>
      </w:r>
      <w:r>
        <w:rPr>
          <w:rStyle w:val="FootnoteAnchor"/>
          <w:rtl w:val="true"/>
        </w:rPr>
        <w:footnoteReference w:id="1655"/>
      </w:r>
      <w:r>
        <w:rPr>
          <w:rFonts w:ascii="Amiri" w:hAnsi="Amiri" w:eastAsia="Amiri" w:cs="Amiri"/>
          <w:color w:val="111111"/>
          <w:sz w:val="28"/>
          <w:sz w:val="28"/>
          <w:szCs w:val="28"/>
          <w:rtl w:val="true"/>
          <w:lang w:bidi="ar-SA"/>
        </w:rPr>
        <w:t xml:space="preserve">الإجازة بناء على شمول الأدلّة له ، فهي المقيّدة لإطلاقها وإن لم نقل بصحّته فلا كلام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14587189_2142443653"/>
      <w:bookmarkStart w:id="216" w:name="_Toc77"/>
      <w:bookmarkEnd w:id="215"/>
      <w:r>
        <w:rPr>
          <w:rtl w:val="true"/>
        </w:rPr>
        <w:t xml:space="preserve">[ </w:t>
      </w:r>
      <w:r>
        <w:rPr>
          <w:rtl w:val="true"/>
        </w:rPr>
        <w:t xml:space="preserve">تتميم </w:t>
      </w:r>
      <w:r>
        <w:rPr>
          <w:rtl w:val="true"/>
        </w:rPr>
        <w:t>]</w:t>
      </w:r>
      <w:bookmarkEnd w:id="216"/>
    </w:p>
    <w:p>
      <w:pPr>
        <w:pStyle w:val="BookText"/>
        <w:rPr/>
      </w:pPr>
      <w:r>
        <w:rPr>
          <w:rFonts w:ascii="Amiri" w:hAnsi="Amiri" w:eastAsia="Amiri" w:cs="Amiri"/>
          <w:color w:val="111111"/>
          <w:sz w:val="28"/>
          <w:sz w:val="28"/>
          <w:szCs w:val="28"/>
          <w:rtl w:val="true"/>
          <w:lang w:bidi="ar-SA"/>
        </w:rPr>
        <w:t xml:space="preserve">هذا ، وينبغي تتميم الكلام في المرام برسم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يجري الفضولي بالنسبة إلى البيع كذا يجري في الشراء ، فيحكم بصحته مع الإجازة من غير فرق ؛ لاتّحاد المناط وشمول الإطلاق للأمرين ، و </w:t>
      </w:r>
      <w:r>
        <w:rPr>
          <w:rStyle w:val="FootnoteAnchor"/>
          <w:rtl w:val="true"/>
        </w:rPr>
        <w:footnoteReference w:id="1657"/>
      </w:r>
      <w:r>
        <w:rPr>
          <w:rFonts w:ascii="Amiri" w:hAnsi="Amiri" w:eastAsia="Amiri" w:cs="Amiri"/>
          <w:color w:val="111111"/>
          <w:sz w:val="28"/>
          <w:sz w:val="28"/>
          <w:szCs w:val="28"/>
          <w:rtl w:val="true"/>
          <w:lang w:bidi="ar-SA"/>
        </w:rPr>
        <w:t>في عدّة من الروايات المتقدّمة دلالة عليه أيضا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ويحكى عن البعض عدم صحّته بالإجازة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ضعيف ، فلو كان العقد فضوليا من الجانبين توقّفت صحته على إجازة كلّ من المالكين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يحكم بصحّة الفضولي الواقع عن المالك مع إجازته فهل يحكم بصحّة ما يوقعه عن نفسه إمّا لاعتقاد تملّكه أو لكونه غاصبا إذا لحقته إجازة المالك وأنّه فاسدة رأسا لا يصححه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كلام جماعة من الأصحاب صحّته بالإجازة كما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نصّوا على أنّ للمالك تتبع العقود المتواترة </w:t>
      </w:r>
      <w:r>
        <w:rPr>
          <w:rStyle w:val="FootnoteAnchor"/>
          <w:rtl w:val="true"/>
        </w:rPr>
        <w:footnoteReference w:id="1658"/>
      </w:r>
      <w:r>
        <w:rPr>
          <w:rFonts w:ascii="IRNazanin" w:hAnsi="IRNazanin" w:eastAsia="IRNazanin"/>
          <w:color w:val="111111"/>
          <w:sz w:val="28"/>
          <w:sz w:val="28"/>
          <w:szCs w:val="28"/>
          <w:rtl w:val="true"/>
          <w:lang w:bidi="fa-IR"/>
        </w:rPr>
        <w:t xml:space="preserve">على ماله ، بل وعلى إعراضه </w:t>
      </w:r>
      <w:r>
        <w:rPr>
          <w:rStyle w:val="FootnoteAnchor"/>
          <w:rtl w:val="true"/>
        </w:rPr>
        <w:footnoteReference w:id="1659"/>
      </w:r>
      <w:r>
        <w:rPr>
          <w:rFonts w:ascii="Amiri" w:hAnsi="Amiri" w:eastAsia="Amiri" w:cs="Amiri"/>
          <w:color w:val="111111"/>
          <w:sz w:val="28"/>
          <w:sz w:val="28"/>
          <w:szCs w:val="28"/>
          <w:rtl w:val="true"/>
          <w:lang w:bidi="ar-SA"/>
        </w:rPr>
        <w:t xml:space="preserve">وإجازة أيّ منها شاء كما سيجي‌ء الإشارة إليه ، بل لم تر </w:t>
      </w:r>
      <w:r>
        <w:rPr>
          <w:rStyle w:val="FootnoteAnchor"/>
          <w:rtl w:val="true"/>
        </w:rPr>
        <w:footnoteReference w:id="1660"/>
      </w:r>
      <w:r>
        <w:rPr>
          <w:rFonts w:ascii="Amiri" w:hAnsi="Amiri" w:eastAsia="Amiri" w:cs="Amiri"/>
          <w:color w:val="111111"/>
          <w:sz w:val="28"/>
          <w:sz w:val="28"/>
          <w:szCs w:val="28"/>
          <w:rtl w:val="true"/>
          <w:lang w:bidi="ar-SA"/>
        </w:rPr>
        <w:t>هناك فارقا بين القسمين حاكما بفساد القسم الثاني دون الأوّل ، بل لم نجد في كلامهم تصريحا بالفساد في هذه الصورة دون الأولى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ذكر في التذكرة </w:t>
      </w:r>
      <w:r>
        <w:rPr>
          <w:rStyle w:val="FootnoteAnchor"/>
          <w:rtl w:val="true"/>
        </w:rPr>
        <w:footnoteReference w:id="1661"/>
      </w:r>
      <w:r>
        <w:rPr>
          <w:rFonts w:ascii="Amiri" w:hAnsi="Amiri" w:eastAsia="Amiri" w:cs="Amiri"/>
          <w:color w:val="111111"/>
          <w:sz w:val="28"/>
          <w:sz w:val="28"/>
          <w:szCs w:val="28"/>
          <w:rtl w:val="true"/>
          <w:lang w:bidi="ar-SA"/>
        </w:rPr>
        <w:t xml:space="preserve">انّه لا يجوز أن يبيع عينا لا يملكها وعصى </w:t>
      </w:r>
      <w:r>
        <w:rPr>
          <w:rStyle w:val="FootnoteAnchor"/>
          <w:rtl w:val="true"/>
        </w:rPr>
        <w:footnoteReference w:id="1662"/>
      </w:r>
      <w:r>
        <w:rPr>
          <w:rFonts w:ascii="Amiri" w:hAnsi="Amiri" w:eastAsia="Amiri" w:cs="Amiri"/>
          <w:color w:val="111111"/>
          <w:sz w:val="28"/>
          <w:sz w:val="28"/>
          <w:szCs w:val="28"/>
          <w:rtl w:val="true"/>
          <w:lang w:bidi="ar-SA"/>
        </w:rPr>
        <w:t xml:space="preserve">ليشتريها ويسلّمها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 قال الشافعي وأحمد ، ولا نعلم فيه خلافا ؛ لنهي النبي صلى‌اللّه‌عليه‌وآله عن بيع ما ليس عندك ، ولاشتماله على الغرر ؛ فإن صاحبها </w:t>
      </w:r>
      <w:r>
        <w:rPr>
          <w:rStyle w:val="FootnoteAnchor"/>
          <w:rtl w:val="true"/>
        </w:rPr>
        <w:footnoteReference w:id="1664"/>
      </w:r>
      <w:r>
        <w:rPr>
          <w:rFonts w:ascii="Amiri" w:hAnsi="Amiri" w:eastAsia="Amiri" w:cs="Amiri"/>
          <w:color w:val="111111"/>
          <w:sz w:val="28"/>
          <w:sz w:val="28"/>
          <w:szCs w:val="28"/>
          <w:rtl w:val="true"/>
          <w:lang w:bidi="ar-SA"/>
        </w:rPr>
        <w:t>لا يبيعها ، وهو غير مالك لها ولا قادر على تسليمها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يعزى مثل ذلك إلى جماعة ، وقد حكم في الرياض بفساد المعاملة في هذه الصورة وعدم صحّتها بتعقّب الإجازة حاكيا </w:t>
      </w:r>
      <w:r>
        <w:rPr>
          <w:rStyle w:val="FootnoteAnchor"/>
          <w:rtl w:val="true"/>
        </w:rPr>
        <w:footnoteReference w:id="1665"/>
      </w:r>
      <w:r>
        <w:rPr>
          <w:rFonts w:ascii="Amiri" w:hAnsi="Amiri" w:eastAsia="Amiri" w:cs="Amiri"/>
          <w:color w:val="111111"/>
          <w:sz w:val="28"/>
          <w:sz w:val="28"/>
          <w:szCs w:val="28"/>
          <w:rtl w:val="true"/>
          <w:lang w:bidi="ar-SA"/>
        </w:rPr>
        <w:t>عن الجماعة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حكي عن التذكرة دعوى </w:t>
      </w:r>
      <w:r>
        <w:rPr>
          <w:rStyle w:val="FootnoteAnchor"/>
          <w:rtl w:val="true"/>
        </w:rPr>
        <w:footnoteReference w:id="1666"/>
      </w:r>
      <w:r>
        <w:rPr>
          <w:rFonts w:ascii="Amiri" w:hAnsi="Amiri" w:eastAsia="Amiri" w:cs="Amiri"/>
          <w:color w:val="111111"/>
          <w:sz w:val="28"/>
          <w:sz w:val="28"/>
          <w:szCs w:val="28"/>
          <w:rtl w:val="true"/>
          <w:lang w:bidi="ar-SA"/>
        </w:rPr>
        <w:t xml:space="preserve">عدم الخلاف فيه بين الطائفة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منزلين الأخبار </w:t>
      </w:r>
    </w:p>
    <w:p>
      <w:pPr>
        <w:pStyle w:val="BookText"/>
        <w:rPr/>
      </w:pPr>
      <w:r>
        <w:rPr>
          <w:rFonts w:ascii="Amiri" w:hAnsi="Amiri" w:eastAsia="Amiri" w:cs="Amiri"/>
          <w:color w:val="111111"/>
          <w:sz w:val="28"/>
          <w:sz w:val="28"/>
          <w:szCs w:val="28"/>
          <w:rtl w:val="true"/>
          <w:lang w:bidi="ar-SA"/>
        </w:rPr>
        <w:t xml:space="preserve">المانعة عن بيع ما لا يملك والناهية عن شراء المغصوب والسرقة كما في المعتبرة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 فلا ينبغي الاستشكال فيه وإن شمله بعض أدلّة صحّة الفضولي وفتاويه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الصورة المفروضة في التذكرة ممّا لا ربط له بهذه المسألة ؛ إذ ليس المقصود هناك تصحيح تلك المعاملة من جهة لحوق إجازة المالك ، بل المقصود تصحيحها من جهة الشراء من المالك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عدم صحّتها حينئذ بذلك ، والظاهر عدم الخلاف بين الأمّة فضلا عن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ذلك هو مقصود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الحال في اخبار السرقة والخيانة حسبما مرّت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 وقد نصّ في التذكرة </w:t>
      </w:r>
      <w:r>
        <w:rPr>
          <w:rStyle w:val="FootnoteAnchor"/>
          <w:rtl w:val="true"/>
        </w:rPr>
        <w:footnoteReference w:id="1667"/>
      </w:r>
      <w:r>
        <w:rPr>
          <w:rFonts w:ascii="Amiri" w:hAnsi="Amiri" w:eastAsia="Amiri" w:cs="Amiri"/>
          <w:color w:val="111111"/>
          <w:sz w:val="28"/>
          <w:sz w:val="28"/>
          <w:szCs w:val="28"/>
          <w:rtl w:val="true"/>
          <w:lang w:bidi="ar-SA"/>
        </w:rPr>
        <w:t xml:space="preserve">على ذلك بأسطر بأنّ الغاصب وإن كثرت تصرفاته فللمالك أن يجيزها ويأخذ الحاصل في الحال ما يتبع العقود ويعتمد </w:t>
      </w:r>
      <w:r>
        <w:rPr>
          <w:rStyle w:val="FootnoteAnchor"/>
          <w:rtl w:val="true"/>
        </w:rPr>
        <w:footnoteReference w:id="1668"/>
      </w:r>
      <w:r>
        <w:rPr>
          <w:rFonts w:ascii="Amiri" w:hAnsi="Amiri" w:eastAsia="Amiri" w:cs="Amiri"/>
          <w:color w:val="111111"/>
          <w:sz w:val="28"/>
          <w:sz w:val="28"/>
          <w:szCs w:val="28"/>
          <w:rtl w:val="true"/>
          <w:lang w:bidi="ar-SA"/>
        </w:rPr>
        <w:t>مصلحته في فسخ أيّها شاء فينفسخ فرعه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صريح في حكمه بالصحّة في الصورة المفروضة ، فكيف يتصوّر القول بعدوله عنه بعد قطعه أوّلا بالفساد ، وذكره عدم وجدان خلاف فيه يعني بين الأمّة ، فما ذكره رحمه‌اللّه من إسناد القول بالفساد حينئذ إلى الجماعة وأنّه ممّا لا ينبغي الاستشكال فيه مستندا إلى الأخبار المذكورة وحكاية عدم الخلاف منه بين الطائفة مع أنّها غير ما وجدناه في التذكرة غير متّجه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دلالة في تلك العبارة ولا في الأخبار المذكورة عليه أصلا ، فالمتّجه القول فيه بالصحّة مع تعقيب </w:t>
      </w:r>
      <w:r>
        <w:rPr>
          <w:rStyle w:val="FootnoteAnchor"/>
          <w:rtl w:val="true"/>
        </w:rPr>
        <w:footnoteReference w:id="1669"/>
      </w:r>
      <w:r>
        <w:rPr>
          <w:rFonts w:ascii="Amiri" w:hAnsi="Amiri" w:eastAsia="Amiri" w:cs="Amiri"/>
          <w:color w:val="111111"/>
          <w:sz w:val="28"/>
          <w:sz w:val="28"/>
          <w:szCs w:val="28"/>
          <w:rtl w:val="true"/>
          <w:lang w:bidi="ar-SA"/>
        </w:rPr>
        <w:t>الإجازة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إطلاق بعض الأدلّة المتقدّمة بل خصوص عدّة منها دلالة عليه ، فإنّ موردها ظاهر </w:t>
      </w:r>
    </w:p>
    <w:p>
      <w:pPr>
        <w:pStyle w:val="BookText"/>
        <w:rPr/>
      </w:pPr>
      <w:r>
        <w:rPr>
          <w:rFonts w:ascii="Amiri" w:hAnsi="Amiri" w:eastAsia="Amiri" w:cs="Amiri"/>
          <w:color w:val="111111"/>
          <w:sz w:val="28"/>
          <w:sz w:val="28"/>
          <w:szCs w:val="28"/>
          <w:rtl w:val="true"/>
          <w:lang w:bidi="ar-SA"/>
        </w:rPr>
        <w:t>خصوص ما إذا وقع المعاملة عن نفسه كما قد مرّ القول فيها ، والاعتضاد بظاهر فتوى الأصحاب حاصل في المقام أيضا كما عرفت ، بل لم نر مصرّحا بخصوصه بفساده سوى ما يوجد في كلام بعض متأخري المتأخرين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وقع </w:t>
      </w:r>
      <w:r>
        <w:rPr>
          <w:rStyle w:val="FootnoteAnchor"/>
          <w:rtl w:val="true"/>
        </w:rPr>
        <w:footnoteReference w:id="1670"/>
      </w:r>
      <w:r>
        <w:rPr>
          <w:rFonts w:ascii="Amiri" w:hAnsi="Amiri" w:eastAsia="Amiri" w:cs="Amiri"/>
          <w:color w:val="111111"/>
          <w:sz w:val="28"/>
          <w:sz w:val="28"/>
          <w:szCs w:val="28"/>
          <w:rtl w:val="true"/>
          <w:lang w:bidi="ar-SA"/>
        </w:rPr>
        <w:t>العقد لنفسه كان ما قصده هو انتقال البيع فيه وانتقال الثمن إليه ، فإن أجاد المالك ذلك كان خارجا عن قاعدة الفضولي ؛ إذ ليس الملك له حتّى يجيزه له وينتقل الثمن إليه وإن أجازه لنفسه فهو غير مقصود من البائع ولا أوقع البيع عنه ، فهو تصرّف جديد لا إجازة لما وقع من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وقوع الإجازة على كلّ من الوجهين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المقام أن غير </w:t>
      </w:r>
      <w:r>
        <w:rPr>
          <w:rStyle w:val="FootnoteAnchor"/>
          <w:rtl w:val="true"/>
        </w:rPr>
        <w:footnoteReference w:id="1671"/>
      </w:r>
      <w:r>
        <w:rPr>
          <w:rFonts w:ascii="Amiri" w:hAnsi="Amiri" w:eastAsia="Amiri" w:cs="Amiri"/>
          <w:color w:val="111111"/>
          <w:sz w:val="28"/>
          <w:sz w:val="28"/>
          <w:szCs w:val="28"/>
          <w:rtl w:val="true"/>
          <w:lang w:bidi="ar-SA"/>
        </w:rPr>
        <w:t>المالك إذا أوقع فإمّا أن يقصد وقوعه من المالك أو عن نفسه أو عن ثالث ، وعلى الأخيرين فإمّا أن يكون عالما بكون قصد البيع غير مالك أو يعتقد ملكيّته ، وعلى كلّ حال فإجازة المالك إمّا أن تكون لنفسه أو للعاقد أو للثالث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فغير المملوك إمّا أن يكون مثمنا أو ثمنا أو 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مثمنا وقصد وقوعه من </w:t>
      </w:r>
      <w:r>
        <w:rPr>
          <w:rStyle w:val="FootnoteAnchor"/>
          <w:rtl w:val="true"/>
        </w:rPr>
        <w:footnoteReference w:id="1672"/>
      </w:r>
      <w:r>
        <w:rPr>
          <w:rFonts w:ascii="Amiri" w:hAnsi="Amiri" w:eastAsia="Amiri" w:cs="Amiri"/>
          <w:color w:val="111111"/>
          <w:sz w:val="28"/>
          <w:sz w:val="28"/>
          <w:szCs w:val="28"/>
          <w:rtl w:val="true"/>
          <w:lang w:bidi="ar-SA"/>
        </w:rPr>
        <w:t>المالك واختاره المالك لنفسه فهي المسألة المعروفة في الفضولي على 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ثمنا كذلك فهو من الشراء الفضولي حسبما أشرنا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قصد وقوعه عن العاقد نفسه </w:t>
      </w:r>
      <w:r>
        <w:rPr>
          <w:rStyle w:val="FootnoteAnchor"/>
          <w:rtl w:val="true"/>
        </w:rPr>
        <w:footnoteReference w:id="1673"/>
      </w:r>
      <w:r>
        <w:rPr>
          <w:rFonts w:ascii="Amiri" w:hAnsi="Amiri" w:eastAsia="Amiri" w:cs="Amiri"/>
          <w:color w:val="111111"/>
          <w:sz w:val="28"/>
          <w:sz w:val="28"/>
          <w:szCs w:val="28"/>
          <w:rtl w:val="true"/>
          <w:lang w:bidi="ar-SA"/>
        </w:rPr>
        <w:t>وأجازه المالك صحّ عنه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بعدم قصد العاقد ذلك وعدم وقوع العقد كذلك فكيف يصحّ بالاجازة ، مدفوع بأنّ تعيين المنتقل منه ليس من مفاد العقد ولا أمرا معتبرا فيه ، وحقيقة العقد هو انتقال العين إلى المشتري بإزاء انتقال الثمن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 أنّ انتقال المبيع إنّما يكون عن مالكه سواء قصد البائع خصوص المالك أو لم يقصده فالإنشاء </w:t>
      </w:r>
      <w:r>
        <w:rPr>
          <w:rStyle w:val="FootnoteAnchor"/>
          <w:rtl w:val="true"/>
        </w:rPr>
        <w:footnoteReference w:id="1674"/>
      </w:r>
      <w:r>
        <w:rPr>
          <w:rFonts w:ascii="Amiri" w:hAnsi="Amiri" w:eastAsia="Amiri" w:cs="Amiri"/>
          <w:color w:val="111111"/>
          <w:sz w:val="28"/>
          <w:sz w:val="28"/>
          <w:szCs w:val="28"/>
          <w:rtl w:val="true"/>
          <w:lang w:bidi="ar-SA"/>
        </w:rPr>
        <w:t xml:space="preserve">الصادر عن العاقد هو إنشاء نقل العين عن </w:t>
      </w:r>
      <w:r>
        <w:rPr>
          <w:rStyle w:val="FootnoteAnchor"/>
          <w:rtl w:val="true"/>
        </w:rPr>
        <w:footnoteReference w:id="1675"/>
      </w:r>
      <w:r>
        <w:rPr>
          <w:rFonts w:ascii="Amiri" w:hAnsi="Amiri" w:eastAsia="Amiri" w:cs="Amiri"/>
          <w:color w:val="111111"/>
          <w:sz w:val="28"/>
          <w:sz w:val="28"/>
          <w:szCs w:val="28"/>
          <w:rtl w:val="true"/>
          <w:lang w:bidi="ar-SA"/>
        </w:rPr>
        <w:t>المشتري ، وهو الأمر المقصود بالإيجاب والقبول سوى نوى انتقاله عنه أو عن غيره فتلك النيّة أمر زائد على حقيقة العقد ، فإذا أجاز المالك نقل العين إلى المشتري انتقل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حجّة بكون </w:t>
      </w:r>
      <w:r>
        <w:rPr>
          <w:rStyle w:val="FootnoteAnchor"/>
          <w:rtl w:val="true"/>
        </w:rPr>
        <w:footnoteReference w:id="1676"/>
      </w:r>
      <w:r>
        <w:rPr>
          <w:rFonts w:ascii="Amiri" w:hAnsi="Amiri" w:eastAsia="Amiri" w:cs="Amiri"/>
          <w:color w:val="111111"/>
          <w:sz w:val="28"/>
          <w:sz w:val="28"/>
          <w:szCs w:val="28"/>
          <w:rtl w:val="true"/>
          <w:lang w:bidi="ar-SA"/>
        </w:rPr>
        <w:t>الانتقال إليه من المجيز المالك سواء نواه العاقد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أنّه لو كان الفضولي حينئذ من جانب الثمن دون المبيع كما لو باع المالك ماله لزيد بثمن لغيره ، فأجازه مالك الثمن لنفسه لم يصحّ ؛ لعدم قصد الانتقال </w:t>
      </w:r>
      <w:r>
        <w:rPr>
          <w:rStyle w:val="FootnoteAnchor"/>
          <w:rtl w:val="true"/>
        </w:rPr>
        <w:footnoteReference w:id="1677"/>
      </w:r>
      <w:r>
        <w:rPr>
          <w:rFonts w:ascii="Amiri" w:hAnsi="Amiri" w:eastAsia="Amiri" w:cs="Amiri"/>
          <w:color w:val="111111"/>
          <w:sz w:val="28"/>
          <w:sz w:val="28"/>
          <w:szCs w:val="28"/>
          <w:rtl w:val="true"/>
          <w:lang w:bidi="ar-SA"/>
        </w:rPr>
        <w:t>حتى يصح بالإجازة ، فيفصل حينئذ بين البيع الفضولي كذلك وشرائه ، وقد يقال بصحّته أيضا بالإجازة بدعوى أنّ حقيقة البيع هو نقل الملك بالعوض أعني المعاوضة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خصوص المنتقل منه والمنتقل إليه فغير مأخوذ في حقيقة العقد الواقع ، وإنّما هو من ضروريات النقل والانتقال ، فلا مانع من أن يختلف المنتقل منه والمنتقل إليه فيما تعلّق به العقد وما تعلّقت به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المقامين ظاهر ؛ لأنّ انتقال العين واقعا لا يكون إلّا عن مالكه وإن قصد العاقد غيره ، وأمّا المنتقل إليه فلا يتعيّن الّا بتعيين العاقد ، ولذا لا يصحّ العقد من دون ذكره في الجملة ، بخلاف المنتقل منه ؛ إذ لا حاجة إلى ذكره أصلا لصحّة العقد مع ترك ذكره بالمرّة وإبهامه بخلاف المشتري ؛ إذ لا يصحّ العقد من دون ذكره ، فإذا اعتبر تعيينه في العقد وقد عيّنه العاقد لم يعقل حصول الانتقال إلى غيره بإجازة ذلك العقد بل افتقر ذلك إلى عقد جديد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بالفرق بين المتعاقدين والمالكين الّذين يحصل الانتقال من أحدهما إلى الآخر والّذي يعتبر في تحقق العقد تعيين القابل في الإيجاب ليحصل منه القبول على طبقه ، بل </w:t>
      </w:r>
    </w:p>
    <w:p>
      <w:pPr>
        <w:pStyle w:val="BookText"/>
        <w:rPr/>
      </w:pPr>
      <w:r>
        <w:rPr>
          <w:rFonts w:ascii="Amiri" w:hAnsi="Amiri" w:eastAsia="Amiri" w:cs="Amiri"/>
          <w:color w:val="111111"/>
          <w:sz w:val="28"/>
          <w:sz w:val="28"/>
          <w:szCs w:val="28"/>
          <w:rtl w:val="true"/>
          <w:lang w:bidi="ar-SA"/>
        </w:rPr>
        <w:t>لا بدّ فيه من تعيين الموجب أيضا إلّا أنّه حاصل الوقوع الإيجاب منه من غير حاجة إلى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المالكان اللذان يحصل انتقال المال من أحدهما إلى الآخر بحسب الواقع فلا حاجة إلى ذكرهما أصلا ، فلا يلزم ذكر من ينتقل إليه المبيع كما أنّه لا يلزم ذكر من ينتقل المال منه ، فإذا لم يتعيّن المنتقل منه في الإيجاب وكان المبيع ملكا لغيره انصرف البيع إلى انتقاله عن مالكه ، فإن كان وكيلا عنه صحّ البيع منه </w:t>
      </w:r>
      <w:r>
        <w:rPr>
          <w:rStyle w:val="FootnoteAnchor"/>
          <w:rtl w:val="true"/>
        </w:rPr>
        <w:footnoteReference w:id="1678"/>
      </w:r>
      <w:r>
        <w:rPr>
          <w:rFonts w:ascii="Amiri" w:hAnsi="Amiri" w:eastAsia="Amiri" w:cs="Amiri"/>
          <w:color w:val="111111"/>
          <w:sz w:val="28"/>
          <w:sz w:val="28"/>
          <w:szCs w:val="28"/>
          <w:rtl w:val="true"/>
          <w:lang w:bidi="ar-SA"/>
        </w:rPr>
        <w:t>وإلّا توقّف على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كليّا في الذمّة قضى الإطلاق باشتغال ذمته به ، وحصول الانتقال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نوى بيعه في ذمة غيره فلا بدّ من ذكره أو قيام القرينة عليه ، فلا ينصرف الإطلاق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ذلك وصدقه المشتري بعد ذلك من غير أن يذكر ولو إجمالا أو يقوم قرينة عليه حين العقد ، ففي صحّة العقد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ما قرّرناه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ويجري التفصيل المذكور بالنسبة إلى القابل </w:t>
      </w:r>
      <w:r>
        <w:rPr>
          <w:rStyle w:val="FootnoteAnchor"/>
          <w:rtl w:val="true"/>
        </w:rPr>
        <w:footnoteReference w:id="167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فمفاد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إيقاع البيع إيّاه ، وهو أعمّ من إيقاعه له أو لغيره ، ولذا يمكن أن يتحقق القبول منه لنفسه أو غيره من غير أن ينافي الإيجاب الواقع من الموجب إلّا أنّ الإطلاق في المقامين ينصرف إلى العاقدين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ما ذكرناه أنّه لو لا ذلك لم يصحّ أكثر العقود الدائرة بين الناس ، فإنهم لا يزالوا </w:t>
      </w:r>
      <w:r>
        <w:rPr>
          <w:rStyle w:val="FootnoteAnchor"/>
          <w:rtl w:val="true"/>
        </w:rPr>
        <w:footnoteReference w:id="1680"/>
      </w:r>
      <w:r>
        <w:rPr>
          <w:rFonts w:ascii="Amiri" w:hAnsi="Amiri" w:eastAsia="Amiri" w:cs="Amiri"/>
          <w:color w:val="111111"/>
          <w:sz w:val="28"/>
          <w:sz w:val="28"/>
          <w:szCs w:val="28"/>
          <w:rtl w:val="true"/>
          <w:lang w:bidi="ar-SA"/>
        </w:rPr>
        <w:t xml:space="preserve">يتعاطون البيع من فعل الغير والشراء </w:t>
      </w:r>
      <w:r>
        <w:rPr>
          <w:rStyle w:val="FootnoteAnchor"/>
          <w:rtl w:val="true"/>
        </w:rPr>
        <w:footnoteReference w:id="1681"/>
      </w:r>
      <w:r>
        <w:rPr>
          <w:rFonts w:ascii="Amiri" w:hAnsi="Amiri" w:eastAsia="Amiri" w:cs="Amiri"/>
          <w:color w:val="111111"/>
          <w:sz w:val="28"/>
          <w:sz w:val="28"/>
          <w:szCs w:val="28"/>
          <w:rtl w:val="true"/>
          <w:lang w:bidi="ar-SA"/>
        </w:rPr>
        <w:t xml:space="preserve">من غير أن يبيّنوا </w:t>
      </w:r>
      <w:r>
        <w:rPr>
          <w:rStyle w:val="FootnoteAnchor"/>
          <w:rtl w:val="true"/>
        </w:rPr>
        <w:footnoteReference w:id="1682"/>
      </w:r>
      <w:r>
        <w:rPr>
          <w:rFonts w:ascii="Amiri" w:hAnsi="Amiri" w:eastAsia="Amiri" w:cs="Amiri"/>
          <w:color w:val="111111"/>
          <w:sz w:val="28"/>
          <w:sz w:val="28"/>
          <w:szCs w:val="28"/>
          <w:rtl w:val="true"/>
          <w:lang w:bidi="ar-SA"/>
        </w:rPr>
        <w:t xml:space="preserve">ذلك حين العقد ، بل أكثر المعاملات الواقعة من التجّار على سبيل الوكالة أو الولاية في جميع المبيع أو الثمن أو بعضه أو فيهما معا من </w:t>
      </w:r>
    </w:p>
    <w:p>
      <w:pPr>
        <w:pStyle w:val="BookText"/>
        <w:rPr/>
      </w:pPr>
      <w:r>
        <w:rPr>
          <w:rFonts w:ascii="Amiri" w:hAnsi="Amiri" w:eastAsia="Amiri" w:cs="Amiri"/>
          <w:color w:val="111111"/>
          <w:sz w:val="28"/>
          <w:sz w:val="28"/>
          <w:szCs w:val="28"/>
          <w:rtl w:val="true"/>
          <w:lang w:bidi="ar-SA"/>
        </w:rPr>
        <w:t>غير أن يعيّن الوكيل أو الولي ذلك حين العقد في كثير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يتبيّن الحال أو لا يتبيّن ذلك للبائع أو المشتري أصلا ، فلولا ما ذكرناه من البيان لم يصحّ شي‌ء من تلك العقود إلّا مع تعيين الطرفين أو تعيين من ينتقل إليه للموجب حتّى يتحقّق الإيجاب منه بالنسبة إليه ، وهو خلاف الطريقة الجارية المتداولة بين الناس من قديم الزمان إلى الآن من غير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المفروض في المقام إيقاع العقد عن نفسه ونقل المبيع منها </w:t>
      </w:r>
      <w:r>
        <w:rPr>
          <w:rStyle w:val="FootnoteAnchor"/>
          <w:rtl w:val="true"/>
        </w:rPr>
        <w:footnoteReference w:id="1683"/>
      </w:r>
      <w:r>
        <w:rPr>
          <w:rFonts w:ascii="Amiri" w:hAnsi="Amiri" w:eastAsia="Amiri" w:cs="Amiri"/>
          <w:color w:val="111111"/>
          <w:sz w:val="28"/>
          <w:sz w:val="28"/>
          <w:szCs w:val="28"/>
          <w:rtl w:val="true"/>
          <w:lang w:bidi="ar-SA"/>
        </w:rPr>
        <w:t>بإزاء انتقال الثمن إليها في الصورة الأولى وفي الصورة الأخيرة نقل المبيع إلى المشتري بإزاء الثمن الّذي هو ملك الغير ووقوع القبول في الصورتين على طبق الإيجاب ، فكيف يصحّ منه الإجازة بخلافه وإن لم يكن ما ذكر من الخصوصيّة في نفسها ركنا في العقد إلّا أنّ الواقع من الموجب والقابل هو الامر الخاصّ فإن صحّ ذلك بالإجازة اللاحقة فلا بدّ أن يصحّ حسبما قضى به ذلك العقد الخاص ، وإلّا فلا تصحّحه الإجازة ؛ إذ ليست عقدا جديدا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ما ذكر ركنا في العقد صح ذلك العقد الخاص </w:t>
      </w:r>
      <w:r>
        <w:rPr>
          <w:rStyle w:val="FootnoteAnchor"/>
          <w:rtl w:val="true"/>
        </w:rPr>
        <w:footnoteReference w:id="1684"/>
      </w:r>
      <w:r>
        <w:rPr>
          <w:rFonts w:ascii="Amiri" w:hAnsi="Amiri" w:eastAsia="Amiri" w:cs="Amiri"/>
          <w:color w:val="111111"/>
          <w:sz w:val="28"/>
          <w:sz w:val="28"/>
          <w:szCs w:val="28"/>
          <w:rtl w:val="true"/>
          <w:lang w:bidi="ar-SA"/>
        </w:rPr>
        <w:t xml:space="preserve">من دونه ؛ إذ المفروض كون ذلك أمرا زائدا على ما يقتضيه أصل العقد </w:t>
      </w:r>
      <w:r>
        <w:rPr>
          <w:rStyle w:val="FootnoteAnchor"/>
          <w:rtl w:val="true"/>
        </w:rPr>
        <w:footnoteReference w:id="1685"/>
      </w:r>
      <w:r>
        <w:rPr>
          <w:rFonts w:ascii="Amiri" w:hAnsi="Amiri" w:eastAsia="Amiri" w:cs="Amiri"/>
          <w:color w:val="111111"/>
          <w:sz w:val="28"/>
          <w:sz w:val="28"/>
          <w:szCs w:val="28"/>
          <w:rtl w:val="true"/>
          <w:lang w:bidi="ar-SA"/>
        </w:rPr>
        <w:t xml:space="preserve">، فقضيّة العقد في الصورة الأولى هو نقل الملك إلى المشتري بالعوض المعلوم ، وكون ذلك النقل في </w:t>
      </w:r>
      <w:r>
        <w:rPr>
          <w:rStyle w:val="FootnoteAnchor"/>
          <w:rtl w:val="true"/>
        </w:rPr>
        <w:footnoteReference w:id="1686"/>
      </w:r>
      <w:r>
        <w:rPr>
          <w:rFonts w:ascii="IRNazanin" w:hAnsi="IRNazanin" w:eastAsia="IRNazanin"/>
          <w:color w:val="111111"/>
          <w:sz w:val="28"/>
          <w:sz w:val="28"/>
          <w:szCs w:val="28"/>
          <w:rtl w:val="true"/>
          <w:lang w:bidi="fa-IR"/>
        </w:rPr>
        <w:t xml:space="preserve">نفسه أو من </w:t>
      </w:r>
      <w:r>
        <w:rPr>
          <w:rStyle w:val="FootnoteAnchor"/>
          <w:rtl w:val="true"/>
        </w:rPr>
        <w:footnoteReference w:id="1687"/>
      </w:r>
      <w:r>
        <w:rPr>
          <w:rFonts w:ascii="Amiri" w:hAnsi="Amiri" w:eastAsia="Amiri" w:cs="Amiri"/>
          <w:color w:val="111111"/>
          <w:sz w:val="28"/>
          <w:sz w:val="28"/>
          <w:szCs w:val="28"/>
          <w:rtl w:val="true"/>
          <w:lang w:bidi="ar-SA"/>
        </w:rPr>
        <w:t xml:space="preserve">غيره غير معتبر في نفس العقد ، فقصده النقل الخاص لا ينافي تنفيذ أصل النقل الّذي هو حقيقة العقد ، وعدم نفوذ الخصوصيّة الزائدة لا ينافي تنفيذه </w:t>
      </w:r>
      <w:r>
        <w:rPr>
          <w:rStyle w:val="FootnoteAnchor"/>
          <w:rtl w:val="true"/>
        </w:rPr>
        <w:footnoteReference w:id="1688"/>
      </w:r>
      <w:r>
        <w:rPr>
          <w:rFonts w:ascii="IRNazanin" w:hAnsi="IRNazanin" w:eastAsia="IRNazanin"/>
          <w:color w:val="111111"/>
          <w:sz w:val="28"/>
          <w:sz w:val="28"/>
          <w:szCs w:val="28"/>
          <w:rtl w:val="true"/>
          <w:lang w:bidi="fa-IR"/>
        </w:rPr>
        <w:t xml:space="preserve">أصل </w:t>
      </w:r>
      <w:r>
        <w:rPr>
          <w:rStyle w:val="FootnoteAnchor"/>
          <w:rtl w:val="true"/>
        </w:rPr>
        <w:footnoteReference w:id="1689"/>
      </w:r>
      <w:r>
        <w:rPr>
          <w:rFonts w:ascii="Amiri" w:hAnsi="Amiri" w:eastAsia="Amiri" w:cs="Amiri"/>
          <w:color w:val="111111"/>
          <w:sz w:val="28"/>
          <w:sz w:val="28"/>
          <w:szCs w:val="28"/>
          <w:rtl w:val="true"/>
          <w:lang w:bidi="ar-SA"/>
        </w:rPr>
        <w:t xml:space="preserve">نقل المبيع بإزاء الثمن المفروض الذي هو حقيقة </w:t>
      </w:r>
    </w:p>
    <w:p>
      <w:pPr>
        <w:pStyle w:val="BookText"/>
        <w:rPr/>
      </w:pPr>
      <w:r>
        <w:rPr>
          <w:rFonts w:ascii="Amiri" w:hAnsi="Amiri" w:eastAsia="Amiri" w:cs="Amiri"/>
          <w:color w:val="111111"/>
          <w:sz w:val="28"/>
          <w:sz w:val="28"/>
          <w:szCs w:val="28"/>
          <w:rtl w:val="true"/>
          <w:lang w:bidi="ar-SA"/>
        </w:rPr>
        <w:t>البيع وإن كان الواقع منه النقل 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Style w:val="FootnoteAnchor"/>
          <w:rtl w:val="true"/>
        </w:rPr>
        <w:footnoteReference w:id="1690"/>
      </w:r>
      <w:r>
        <w:rPr>
          <w:rFonts w:ascii="Amiri" w:hAnsi="Amiri" w:eastAsia="Amiri" w:cs="Amiri"/>
          <w:color w:val="111111"/>
          <w:sz w:val="28"/>
          <w:sz w:val="28"/>
          <w:szCs w:val="28"/>
          <w:rtl w:val="true"/>
          <w:lang w:bidi="ar-SA"/>
        </w:rPr>
        <w:t xml:space="preserve">إنّ هناك فرقا بين الصورتين ؛ فإنّ وقوع انتقال ذلك المبيع </w:t>
      </w:r>
      <w:r>
        <w:rPr>
          <w:rStyle w:val="FootnoteAnchor"/>
          <w:rtl w:val="true"/>
        </w:rPr>
        <w:footnoteReference w:id="1691"/>
      </w:r>
      <w:r>
        <w:rPr>
          <w:rFonts w:ascii="Amiri" w:hAnsi="Amiri" w:eastAsia="Amiri" w:cs="Amiri"/>
          <w:color w:val="111111"/>
          <w:sz w:val="28"/>
          <w:sz w:val="28"/>
          <w:szCs w:val="28"/>
          <w:rtl w:val="true"/>
          <w:lang w:bidi="ar-SA"/>
        </w:rPr>
        <w:t xml:space="preserve">من العاقد أو غيره اعتبار زائد على نقل المبيع إلى المشتري وقيد زائد في العقد ، وأمّا نقل المبيع إلى المشتري فهو عين الأمر الحاصل من الإيجاب المفروض ، وليس قيدا منضما إليه في الخارج ليقال بصحّة المنضمّ إليه دون المنضمّ ، بل هو أمر واحد إن صحّ بالإجازة حصل بالنقل </w:t>
      </w:r>
      <w:r>
        <w:rPr>
          <w:rStyle w:val="FootnoteAnchor"/>
          <w:rtl w:val="true"/>
        </w:rPr>
        <w:footnoteReference w:id="1692"/>
      </w:r>
      <w:r>
        <w:rPr>
          <w:rFonts w:ascii="Amiri" w:hAnsi="Amiri" w:eastAsia="Amiri" w:cs="Amiri"/>
          <w:color w:val="111111"/>
          <w:sz w:val="28"/>
          <w:sz w:val="28"/>
          <w:szCs w:val="28"/>
          <w:rtl w:val="true"/>
          <w:lang w:bidi="ar-SA"/>
        </w:rPr>
        <w:t xml:space="preserve">إلى المشتري وإلّا لم يصحّ ؛ إذ لم يوقع بالإيجاب المذكور إلّا النقل إلى المشتري ، وهو أمر مغاير للنقل إلى غيره ، فلا يصحّ بالإجازة ما يغاير الحاصل بالإيجاب المفروض ، وإلّا كان عقدا </w:t>
      </w:r>
      <w:r>
        <w:rPr>
          <w:rStyle w:val="FootnoteAnchor"/>
          <w:rtl w:val="true"/>
        </w:rPr>
        <w:footnoteReference w:id="1693"/>
      </w:r>
      <w:r>
        <w:rPr>
          <w:rFonts w:ascii="Amiri" w:hAnsi="Amiri" w:eastAsia="Amiri" w:cs="Amiri"/>
          <w:color w:val="111111"/>
          <w:sz w:val="28"/>
          <w:sz w:val="28"/>
          <w:szCs w:val="28"/>
          <w:rtl w:val="true"/>
          <w:lang w:bidi="ar-SA"/>
        </w:rPr>
        <w:t>جديدا لا إجازة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الواقع منه وإن كان شيئا واحدا في الخارج إلّا أنّه ينحل إلى معارضته بين الثمن والمثمن </w:t>
      </w:r>
      <w:r>
        <w:rPr>
          <w:rStyle w:val="FootnoteAnchor"/>
          <w:rtl w:val="true"/>
        </w:rPr>
        <w:footnoteReference w:id="1694"/>
      </w:r>
      <w:r>
        <w:rPr>
          <w:rFonts w:ascii="Amiri" w:hAnsi="Amiri" w:eastAsia="Amiri" w:cs="Amiri"/>
          <w:color w:val="111111"/>
          <w:sz w:val="28"/>
          <w:sz w:val="28"/>
          <w:szCs w:val="28"/>
          <w:rtl w:val="true"/>
          <w:lang w:bidi="ar-SA"/>
        </w:rPr>
        <w:t xml:space="preserve">وانتقال المثمن عن مالكه بإزاء انتقال المثمن إليه ، وكون انتقال المثمن </w:t>
      </w:r>
      <w:r>
        <w:rPr>
          <w:rStyle w:val="FootnoteAnchor"/>
          <w:rtl w:val="true"/>
        </w:rPr>
        <w:footnoteReference w:id="1695"/>
      </w:r>
      <w:r>
        <w:rPr>
          <w:rFonts w:ascii="Amiri" w:hAnsi="Amiri" w:eastAsia="Amiri" w:cs="Amiri"/>
          <w:color w:val="111111"/>
          <w:sz w:val="28"/>
          <w:sz w:val="28"/>
          <w:szCs w:val="28"/>
          <w:rtl w:val="true"/>
          <w:lang w:bidi="ar-SA"/>
        </w:rPr>
        <w:t>إلى من عيّنه العاقد ، ولمّا لم يكن الثاني واقعا في محلّه لم يؤثّر العقد في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فلمّا </w:t>
      </w:r>
      <w:r>
        <w:rPr>
          <w:rStyle w:val="FootnoteAnchor"/>
          <w:rtl w:val="true"/>
        </w:rPr>
        <w:footnoteReference w:id="1696"/>
      </w:r>
      <w:r>
        <w:rPr>
          <w:rFonts w:ascii="Amiri" w:hAnsi="Amiri" w:eastAsia="Amiri" w:cs="Amiri"/>
          <w:color w:val="111111"/>
          <w:sz w:val="28"/>
          <w:sz w:val="28"/>
          <w:szCs w:val="28"/>
          <w:rtl w:val="true"/>
          <w:lang w:bidi="ar-SA"/>
        </w:rPr>
        <w:t>لحقته الإجازة من المالك صحّ تأثير العقد فيه ، وصحّة المعاوضة قاضية بانتقال المبيع إلى صاحب الثمن ، فقضية العقد المفروض بعد ملاحظة إجازة المالك هو انتقال المبيع إلى مالك الثمن ، وإن كان الانشاء الواقع من العاقد متعلّقا بتملّك المشتري فهو إجازة لذلك المقدار من مقتضى العقد الواقع وصرف له بالإجازة إلى تملك المجيز على حسبما يلزم من صحة المعاوضة المفروضة ؛ إذ قضيتها رجوع المثمن إلى صاحب الثمن وبالعكس</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أيضا على الصحّة بالنسبة إلى الثمن عدّة من الأخبار المذكورة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الاتّجار بمال الطفل ، وما دلّ على انتقال الربح إلى صاحب الوديعة الّتي أنكرها الودعي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يدلّ ذلك بإطلاقه على الصحة بالنسبة إلى المثمن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قرّرنا يظهر أنه لو وكله المالك في بيع ماله أو في شراء شي‌ء له بثمن معيّن فباعه لنفسه لطروّ شبهة عليه فحسب أنّه له أو متعمّدا إذا </w:t>
      </w:r>
      <w:r>
        <w:rPr>
          <w:rStyle w:val="FootnoteAnchor"/>
          <w:rtl w:val="true"/>
        </w:rPr>
        <w:footnoteReference w:id="1697"/>
      </w:r>
      <w:r>
        <w:rPr>
          <w:rFonts w:ascii="Amiri" w:hAnsi="Amiri" w:eastAsia="Amiri" w:cs="Amiri"/>
          <w:color w:val="111111"/>
          <w:sz w:val="28"/>
          <w:sz w:val="28"/>
          <w:szCs w:val="28"/>
          <w:rtl w:val="true"/>
          <w:lang w:bidi="ar-SA"/>
        </w:rPr>
        <w:t>اشترى به ذلك الشي‌ء لنفسه كذلك كان ذلك البيع أو الشراء صحيحا واقعا للموكّل وإن لم يقصد إيقاعه له من غير حاجة إلى لحوق الإجازة منه ضرورة ؛ لحصول التوكيل المغني عنها ، فإنّ أقصى الأمر في الإجازة أن تكون منزلة منزّلة التوكيل وقائمة مقامه ، فلا فائدة فيها بعد حصول 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يصحّ ذلك من جهة التوكيل لم يصحّ بالإجازة أيضا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أجازه المالك حينئذ عن العاقد سواء كان العاقد معتقدا </w:t>
      </w:r>
      <w:r>
        <w:rPr>
          <w:rStyle w:val="FootnoteAnchor"/>
          <w:rtl w:val="true"/>
        </w:rPr>
        <w:footnoteReference w:id="1698"/>
      </w:r>
      <w:r>
        <w:rPr>
          <w:rFonts w:ascii="Amiri" w:hAnsi="Amiri" w:eastAsia="Amiri" w:cs="Amiri"/>
          <w:color w:val="111111"/>
          <w:sz w:val="28"/>
          <w:sz w:val="28"/>
          <w:szCs w:val="28"/>
          <w:rtl w:val="true"/>
          <w:lang w:bidi="ar-SA"/>
        </w:rPr>
        <w:t>تملّكه فباعه في نفسه أو لم يكن ففي صحته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القول بالصحّة أخذا بمقتضى الإطلاق من غير فرق بين البيع والشراء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المعاوضة المفروضة كون المبيع راجعا إلى صاحب الثمن وبالعكس ، فكيف يملك الثمن من لا يملك المبيع أو بالعكس وذلك خارج عمّا يقتضيه العقد ؛ لتملكه له حينئذ من غير عوض</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بيع مال الغير عن نفسه والشراء بماله لنفسه جعل ذلك المال له </w:t>
      </w:r>
      <w:r>
        <w:rPr>
          <w:rStyle w:val="FootnoteAnchor"/>
          <w:rtl w:val="true"/>
        </w:rPr>
        <w:footnoteReference w:id="1699"/>
      </w:r>
      <w:r>
        <w:rPr>
          <w:rFonts w:ascii="Amiri" w:hAnsi="Amiri" w:eastAsia="Amiri" w:cs="Amiri"/>
          <w:color w:val="111111"/>
          <w:sz w:val="28"/>
          <w:sz w:val="28"/>
          <w:szCs w:val="28"/>
          <w:rtl w:val="true"/>
          <w:lang w:bidi="ar-SA"/>
        </w:rPr>
        <w:t xml:space="preserve">ضمنا حتّى أنّه على فرض صحّة ذلك البيع والشراء يملكه قبل آن </w:t>
      </w:r>
      <w:r>
        <w:rPr>
          <w:rStyle w:val="FootnoteAnchor"/>
          <w:rtl w:val="true"/>
        </w:rPr>
        <w:footnoteReference w:id="1700"/>
      </w:r>
      <w:r>
        <w:rPr>
          <w:rFonts w:ascii="Amiri" w:hAnsi="Amiri" w:eastAsia="Amiri" w:cs="Amiri"/>
          <w:color w:val="111111"/>
          <w:sz w:val="28"/>
          <w:sz w:val="28"/>
          <w:szCs w:val="28"/>
          <w:rtl w:val="true"/>
          <w:lang w:bidi="ar-SA"/>
        </w:rPr>
        <w:t xml:space="preserve">انتقاله إلى غيره ؛ ليكون انتقاله إليه عن ملكه نظير 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عبدك عنّي فإنّه يملكه إن عتقه عنه </w:t>
      </w:r>
      <w:r>
        <w:rPr>
          <w:rStyle w:val="FootnoteAnchor"/>
          <w:rtl w:val="true"/>
        </w:rPr>
        <w:footnoteReference w:id="1701"/>
      </w:r>
      <w:r>
        <w:rPr>
          <w:rFonts w:ascii="IRNazanin" w:hAnsi="IRNazanin" w:eastAsia="IRNazanin"/>
          <w:color w:val="111111"/>
          <w:sz w:val="28"/>
          <w:sz w:val="28"/>
          <w:szCs w:val="28"/>
          <w:rtl w:val="true"/>
          <w:lang w:bidi="fa-IR"/>
        </w:rPr>
        <w:t xml:space="preserve">؛ نظرا إلى توقّف العتق </w:t>
      </w:r>
    </w:p>
    <w:p>
      <w:pPr>
        <w:pStyle w:val="BookText"/>
        <w:rPr/>
      </w:pPr>
      <w:r>
        <w:rPr>
          <w:rFonts w:ascii="Amiri" w:hAnsi="Amiri" w:eastAsia="Amiri" w:cs="Amiri"/>
          <w:color w:val="111111"/>
          <w:sz w:val="28"/>
          <w:sz w:val="28"/>
          <w:szCs w:val="28"/>
          <w:rtl w:val="true"/>
          <w:lang w:bidi="ar-SA"/>
        </w:rPr>
        <w:t>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مالي عنك لو أشتر لك بمالي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تمليك ضمني حاصل ببيعه أو الشراء به ، فنقول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أجاز البيع أو الشراء ، له صحّ ذلك البيع أو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وصحته يتضمّن انتقاله إليه حين تحقق ذلك البيع أو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الإجازة المذكورة يصحّح البيع كذا يقضي بحصول الانتقال المذكور الّذي يتضمّنه البيع الصحيح ، وكذا الحال في الشراء ، فتلك الإجازة اللاحقة قائمة مقام الإذن السابق قاض التزاما بتمليكه المبيع ليقع البيع في ملكه ولا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الإجازة اللاحقة فهي إنّما تصحّح البيع فيما إذا كان المبيع باقيا في ملك المجيز ، وأمّا إذا انتقل عنه إلى غيره فلا عبرة بالإجازة ، والمفروض في المقام أنّه على تقدير الإجازة يكون المال داخلا في ملك البائع ، فلا تكون الإجازة مصححة للبيع ، بل إنّما تكون قاضية بملك البائع ، فيصحّ بيعه حينئذ لوقوعه في ملكه ، وهو إنّما يتمّ إذا تعلّقت الإجازة بذلك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هناك عقد ناقل إليه ليصحّ تعلّق الإجازة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فالمفروض تعلّقها بنفس البيع دون غيره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الاجازة في المقام متعلّقة بالبيع مصحّحة </w:t>
      </w:r>
      <w:r>
        <w:rPr>
          <w:rStyle w:val="FootnoteAnchor"/>
          <w:rtl w:val="true"/>
        </w:rPr>
        <w:footnoteReference w:id="1702"/>
      </w:r>
      <w:r>
        <w:rPr>
          <w:rFonts w:ascii="Amiri" w:hAnsi="Amiri" w:eastAsia="Amiri" w:cs="Amiri"/>
          <w:color w:val="111111"/>
          <w:sz w:val="28"/>
          <w:sz w:val="28"/>
          <w:szCs w:val="28"/>
          <w:rtl w:val="true"/>
          <w:lang w:bidi="ar-SA"/>
        </w:rPr>
        <w:t>له إلّا أن تصحيحها للبيع إنّما يكون بتمليك البائع للمبيع في حال البيع ، فهو أمر تابع لتصحيح البيع المذكور حاصل بالالتزام من جهته وإن تقدّمه في الرتبة ، وليس المراد كون الإجازة أوّلا قاضية بتملّك البائع للمبيع ، فيكون العقد صحيحا لوقوعه في ملك العاقد من غير أن يكون صحّة البيع من جهة إجازة المجيز ، وكذا الحال في الإذن السابق ، فإنّ صحّة البيع إنّما هي بالإذن المفروض لا لكونه واقعا في ملك العاقد إلّا أن قضاءه بصحّته كذلك إنّما يكون بتملك العاقد له في أنّ البيع وانتقال المبيع عنه إلى الآخر من جهة ذلك الإذن أو الإمضاء ، فهما إنّما يحصلان بشي‌ء واحد وإن تقدّم أحدهما على الآخر في الرتبة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فظهر بما قرّرنا أنّ الحال في المقامين على نحو واحد ، وصحّة المبيع بالاذن السابق أو اللّاحق إنّما هو بتملك العاقد له في أنّ البيع والانتقال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ويمكن أن يقال في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اشتراط كون المبيع أو الثمن ملكا للبائع أو المشتري إذا أوقع العقد لنفسه ، غاية الأمر أنّه لا بدّ أن يكون مأذونا في بيعه أو الشراء به سواء كان إذنا إلهيّا كما إذا كان مالكا للمبيع أو الثمن أو إذنا حاصلا من المالك كما في الصورة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ظاهر الإطلاق قاض بوقوع البيع أو الشراء للمالك ، وأمّا إذا صرّح المالك بكون البيع عن العاقد نفسه أو الشراء به لنفسه فأي مانع عن صحته كذلك؟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هذا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لك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الثمن في الصورة الأولى مع كون المبيع ملكا لغيره ، فيكون في الأوّل قد انتقلت الثمن إليه بانتقال المبيع من المالك إلى المشتري ، وفي الثاني قد تملك المبيع بانتقال الثمن إلى البائع من غيره ، ويجري ذلك فيما إذا عقد كذلك فضولا ثمّ تعقّبته </w:t>
      </w:r>
      <w:r>
        <w:rPr>
          <w:rStyle w:val="FootnoteAnchor"/>
          <w:rtl w:val="true"/>
        </w:rPr>
        <w:footnoteReference w:id="1703"/>
      </w:r>
      <w:r>
        <w:rPr>
          <w:rFonts w:ascii="Amiri" w:hAnsi="Amiri" w:eastAsia="Amiri" w:cs="Amiri"/>
          <w:color w:val="111111"/>
          <w:sz w:val="28"/>
          <w:sz w:val="28"/>
          <w:szCs w:val="28"/>
          <w:rtl w:val="true"/>
          <w:lang w:bidi="ar-SA"/>
        </w:rPr>
        <w:t>الإجازة ، ولا مخالفة في ذلك لما يقتضيه عقد المعاوضة ؛ فإنّه إنّما يتوقف على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لا بدّ من كون كلّ منهما ملكا للمتعاوضين فلا بدّ من قيام دليل عليه ، بل لا مانع من الاكتفاء بكونه ملكا له أو مأذونا بالتصرف فيه كذلك ، ويتفرّع على ذلك أنّه لو اتفق بعد ذلك فسخ تلك المبايعة بإقالة أو حصول سبب للخيار رجع المبيع أو الثمن إلى ملك مالكه دون العاقد ، بخلاف الوجه الأوّل لانتقاله إذن من ملك الأول ودخوله في ملك العاقد أوّلا ، فلا وجه لرجوعه بالفسخ إلى المالك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ما ذكرناه من الاحتمال في العتق أيضا لكن ظاهر كلامهم يأبى عن ذلك ، والمسألة محل كلام فلا بدّ من التأمّل في المقام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عقد فضولا من جانب مع جهل الآخر بالحال ، فهل يصحّ البيع على تقدير الإجازة كما لو كان عالما بالحال؟ الظاهر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واستشكل </w:t>
      </w:r>
      <w:r>
        <w:rPr>
          <w:rStyle w:val="FootnoteAnchor"/>
          <w:rtl w:val="true"/>
        </w:rPr>
        <w:footnoteReference w:id="1704"/>
      </w:r>
      <w:r>
        <w:rPr>
          <w:rFonts w:ascii="Amiri" w:hAnsi="Amiri" w:eastAsia="Amiri" w:cs="Amiri"/>
          <w:color w:val="111111"/>
          <w:sz w:val="28"/>
          <w:sz w:val="28"/>
          <w:szCs w:val="28"/>
          <w:rtl w:val="true"/>
          <w:lang w:bidi="ar-SA"/>
        </w:rPr>
        <w:t xml:space="preserve">في التذكرة </w:t>
      </w:r>
      <w:r>
        <w:rPr>
          <w:rStyle w:val="FootnoteAnchor"/>
          <w:rtl w:val="true"/>
        </w:rPr>
        <w:footnoteReference w:id="1705"/>
      </w:r>
      <w:r>
        <w:rPr>
          <w:rFonts w:ascii="Amiri" w:hAnsi="Amiri" w:eastAsia="Amiri" w:cs="Amiri"/>
          <w:color w:val="111111"/>
          <w:sz w:val="28"/>
          <w:sz w:val="28"/>
          <w:szCs w:val="28"/>
          <w:rtl w:val="true"/>
          <w:lang w:bidi="ar-SA"/>
        </w:rPr>
        <w:t>لأنّ الآخر حينئذ إنّما قصد تمليك العاقد دون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ويضعّفه أنّه يجري الإشكال المذكور مع كونه وكيلا من الآخر في الواقع ، ولا خلاف ظاهرا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الوجه فيه ممّا فصّلناه ، على أنّه قد يصرح </w:t>
      </w:r>
      <w:r>
        <w:rPr>
          <w:rStyle w:val="FootnoteAnchor"/>
          <w:rtl w:val="true"/>
        </w:rPr>
        <w:footnoteReference w:id="1706"/>
      </w:r>
      <w:r>
        <w:rPr>
          <w:rFonts w:ascii="Amiri" w:hAnsi="Amiri" w:eastAsia="Amiri" w:cs="Amiri"/>
          <w:color w:val="111111"/>
          <w:sz w:val="28"/>
          <w:sz w:val="28"/>
          <w:szCs w:val="28"/>
          <w:rtl w:val="true"/>
          <w:lang w:bidi="ar-SA"/>
        </w:rPr>
        <w:t xml:space="preserve">الفضولي بكونه لغيره بدعوى الوكالة عنه ، ثمّ تبيّن </w:t>
      </w:r>
      <w:r>
        <w:rPr>
          <w:rStyle w:val="FootnoteAnchor"/>
          <w:rtl w:val="true"/>
        </w:rPr>
        <w:footnoteReference w:id="1707"/>
      </w:r>
      <w:r>
        <w:rPr>
          <w:rFonts w:ascii="Amiri" w:hAnsi="Amiri" w:eastAsia="Amiri" w:cs="Amiri"/>
          <w:color w:val="111111"/>
          <w:sz w:val="28"/>
          <w:sz w:val="28"/>
          <w:szCs w:val="28"/>
          <w:rtl w:val="true"/>
          <w:lang w:bidi="ar-SA"/>
        </w:rPr>
        <w:t>عدمه وكونه فضولا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يقع التأمل في المقام في ثبوت الخيار له بعد علمه بالحال ؛ نظرا إلى تزلزل العقد ، وقد أقدم على العقد النافذ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يفصل حينئذ بين ما إذا لحقته الإجازة في الحال أو تأخّرت مدّة لتردّد المالك فيها أو لعدم الوصول إليه لغياب ونحوه أو بين ما لحقه ضرر التأخير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عقد فضولا فهل للآخر التصرف في متعلّق العقد قبل إجازة المالك أو ردّه أو لا بدّ من توقّفه عن التصرف إلّا بعد ظهور الردّ؟ يحتمل الثاني ؛ نظرا إلى لزوم العقد من طرف المالك على تقدير إجازة الأخير </w:t>
      </w:r>
      <w:r>
        <w:rPr>
          <w:rStyle w:val="FootnoteAnchor"/>
          <w:rtl w:val="true"/>
        </w:rPr>
        <w:footnoteReference w:id="1708"/>
      </w:r>
      <w:r>
        <w:rPr>
          <w:rFonts w:ascii="Amiri" w:hAnsi="Amiri" w:eastAsia="Amiri" w:cs="Amiri"/>
          <w:color w:val="111111"/>
          <w:sz w:val="28"/>
          <w:sz w:val="28"/>
          <w:szCs w:val="28"/>
          <w:rtl w:val="true"/>
          <w:lang w:bidi="ar-SA"/>
        </w:rPr>
        <w:t>، فيدور العقد حينئذ بين الصحيح والفاسد ، فلا يجوز له التصرف فيه إلّا بعد انكشاف الحال ليجري على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جواز تصرفاته فيه ؛ أخذا بمقتضى الأصل لعدم العلم بصحّة العقد المانع من التصرّف فيه ؛ لدورانه بين الصحيح والفاسد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ومجرد الاحتمال لا يقضي بارتفاع الحكم الثابت ، بل لا مانع لسائر العقود الناقلة لعينه أو منافعه على وجه </w:t>
      </w:r>
      <w:r>
        <w:rPr>
          <w:rStyle w:val="FootnoteAnchor"/>
          <w:rtl w:val="true"/>
        </w:rPr>
        <w:footnoteReference w:id="1709"/>
      </w:r>
      <w:r>
        <w:rPr>
          <w:rFonts w:ascii="Amiri" w:hAnsi="Amiri" w:eastAsia="Amiri" w:cs="Amiri"/>
          <w:color w:val="111111"/>
          <w:sz w:val="28"/>
          <w:sz w:val="28"/>
          <w:szCs w:val="28"/>
          <w:rtl w:val="true"/>
          <w:lang w:bidi="ar-SA"/>
        </w:rPr>
        <w:t>اللزوم أو غيره غير أنّه بعد حصول الإجازة يؤخذ بمقتضاه من الرجوع إلى العين مع بقائها ، وإلى عوضه مع تلفها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لو علم بالفحوى إجازته له بعد ذلك لم يجز له التصرّف فيه كما سنشير إليه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له التصرف في شي‌ء من العوضين بالعقد الفضولي لعدم صحّة العقد ، بل </w:t>
      </w:r>
      <w:r>
        <w:rPr>
          <w:rStyle w:val="FootnoteAnchor"/>
          <w:rtl w:val="true"/>
        </w:rPr>
        <w:footnoteReference w:id="1710"/>
      </w:r>
      <w:r>
        <w:rPr>
          <w:rFonts w:ascii="Amiri" w:hAnsi="Amiri" w:eastAsia="Amiri" w:cs="Amiri"/>
          <w:color w:val="111111"/>
          <w:sz w:val="28"/>
          <w:sz w:val="28"/>
          <w:szCs w:val="28"/>
          <w:rtl w:val="true"/>
          <w:lang w:bidi="ar-SA"/>
        </w:rPr>
        <w:t xml:space="preserve">حصول الإجازة ، فلا يجوز للفضول دفع المبيع إلى المشتري لا قبض عوضه منه ، فإنّه إنّما يدفعه عوضا من </w:t>
      </w:r>
      <w:r>
        <w:rPr>
          <w:rStyle w:val="FootnoteAnchor"/>
          <w:rtl w:val="true"/>
        </w:rPr>
        <w:footnoteReference w:id="1711"/>
      </w:r>
      <w:r>
        <w:rPr>
          <w:rFonts w:ascii="Amiri" w:hAnsi="Amiri" w:eastAsia="Amiri" w:cs="Amiri"/>
          <w:color w:val="111111"/>
          <w:sz w:val="28"/>
          <w:sz w:val="28"/>
          <w:szCs w:val="28"/>
          <w:rtl w:val="true"/>
          <w:lang w:bidi="ar-SA"/>
        </w:rPr>
        <w:t>المبيع الّذي لا يعلم انتقاله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الانتقال لا يعلم رضاه لقبض الفضول له ، ولا للمشتري قبض المبيع من الفضول ، ولا تصرفه فيه بسائر أنواع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علم المشتري بالحال ودفع الثمن إلى الفضول راضيا بقبضه </w:t>
      </w:r>
      <w:r>
        <w:rPr>
          <w:rStyle w:val="FootnoteAnchor"/>
          <w:rtl w:val="true"/>
        </w:rPr>
        <w:footnoteReference w:id="1712"/>
      </w:r>
      <w:r>
        <w:rPr>
          <w:rFonts w:ascii="Amiri" w:hAnsi="Amiri" w:eastAsia="Amiri" w:cs="Amiri"/>
          <w:color w:val="111111"/>
          <w:sz w:val="28"/>
          <w:sz w:val="28"/>
          <w:szCs w:val="28"/>
          <w:rtl w:val="true"/>
          <w:lang w:bidi="ar-SA"/>
        </w:rPr>
        <w:t>له فالظاهر جواز قبض الفضول له بناء على جواز تصرف المالك في ماله قبل العلم بإجازة الآخر حسبما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حصل القطع من الأمارات بإجازته له جاز له التصرف في المبيع بناء على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حينئذ للفضول قبض عوضه ؛ إذ لا يستلزم العلم </w:t>
      </w:r>
      <w:r>
        <w:rPr>
          <w:rStyle w:val="FootnoteAnchor"/>
          <w:rtl w:val="true"/>
        </w:rPr>
        <w:footnoteReference w:id="1713"/>
      </w:r>
      <w:r>
        <w:rPr>
          <w:rFonts w:ascii="Amiri" w:hAnsi="Amiri" w:eastAsia="Amiri" w:cs="Amiri"/>
          <w:color w:val="111111"/>
          <w:sz w:val="28"/>
          <w:sz w:val="28"/>
          <w:szCs w:val="28"/>
          <w:rtl w:val="true"/>
          <w:lang w:bidi="ar-SA"/>
        </w:rPr>
        <w:t>بإجازة العقد العلم بتجويزه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علم رضاه به أيضا جاز له ذلك على حسب العلم الحاصل بملاحظة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أجاز العقد على ما هو عليه لا كلام ، ولو أجاز العقد في البعض بقسط من الثمن فهل يصحّ ذلك؟ وجهان ، أجودهما الصحّة إلّا أنّه يتخير المالك بين الفسخ والإجازة لتبعيض </w:t>
      </w:r>
      <w:r>
        <w:rPr>
          <w:rStyle w:val="FootnoteAnchor"/>
          <w:rtl w:val="true"/>
        </w:rPr>
        <w:footnoteReference w:id="1714"/>
      </w:r>
      <w:r>
        <w:rPr>
          <w:rFonts w:ascii="Amiri" w:hAnsi="Amiri" w:eastAsia="Amiri" w:cs="Amiri"/>
          <w:color w:val="111111"/>
          <w:sz w:val="28"/>
          <w:sz w:val="28"/>
          <w:szCs w:val="28"/>
          <w:rtl w:val="true"/>
          <w:lang w:bidi="ar-SA"/>
        </w:rPr>
        <w:t>الصفقة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بين أن يجيز جزءا مشاعا أو معيّنا ، ولا بين أن يكون المبيع أمورا عديدة قد جمعها في صفقة أو شيئا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وأولى بالصحة ما لو كان لشخصين فأجاز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هنا سقوط الخيار مع علمه بكونه لمالكين ؛ لإقدامه عليه سيّما مع ظنّه </w:t>
      </w:r>
      <w:r>
        <w:rPr>
          <w:rStyle w:val="FootnoteAnchor"/>
          <w:rtl w:val="true"/>
        </w:rPr>
        <w:footnoteReference w:id="1715"/>
      </w:r>
      <w:r>
        <w:rPr>
          <w:rFonts w:ascii="IRNazanin" w:hAnsi="IRNazanin" w:eastAsia="IRNazanin"/>
          <w:color w:val="111111"/>
          <w:sz w:val="28"/>
          <w:sz w:val="28"/>
          <w:szCs w:val="28"/>
          <w:rtl w:val="true"/>
          <w:lang w:bidi="fa-IR"/>
        </w:rPr>
        <w:t xml:space="preserve">عدم </w:t>
      </w:r>
      <w:r>
        <w:rPr>
          <w:rStyle w:val="FootnoteAnchor"/>
          <w:rtl w:val="true"/>
        </w:rPr>
        <w:footnoteReference w:id="1716"/>
      </w:r>
      <w:r>
        <w:rPr>
          <w:rFonts w:ascii="Amiri" w:hAnsi="Amiri" w:eastAsia="Amiri" w:cs="Amiri"/>
          <w:color w:val="111111"/>
          <w:sz w:val="28"/>
          <w:sz w:val="28"/>
          <w:szCs w:val="28"/>
          <w:rtl w:val="true"/>
          <w:lang w:bidi="ar-SA"/>
        </w:rPr>
        <w:t>إجازة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اشترط عليه شرطا في ضمن العقد فأجازه بدون الشرط لم يبعد الحكم بالصحة الّا أنّه لا بدّ حينئذ من قبول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يصحّ العقد قبل قبوله وله الخيار على الفسخ و </w:t>
      </w:r>
      <w:r>
        <w:rPr>
          <w:rStyle w:val="FootnoteAnchor"/>
          <w:rtl w:val="true"/>
        </w:rPr>
        <w:footnoteReference w:id="1717"/>
      </w:r>
      <w:r>
        <w:rPr>
          <w:rFonts w:ascii="Amiri" w:hAnsi="Amiri" w:eastAsia="Amiri" w:cs="Amiri"/>
          <w:color w:val="111111"/>
          <w:sz w:val="28"/>
          <w:sz w:val="28"/>
          <w:szCs w:val="28"/>
          <w:rtl w:val="true"/>
          <w:lang w:bidi="ar-SA"/>
        </w:rPr>
        <w:t>يكون مراعى بقبوله فيصحّ معه ويفسد مع عدمه؟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أن يشترط عليه في ضمن الإجازة شيئا لم يشترط العقائد في ضمن العقد ، فينعقد الشرط مع قبول الآخر ويلتزم به حينئذ وجهان </w:t>
      </w:r>
      <w:r>
        <w:rPr>
          <w:rFonts w:eastAsia="Amiri" w:cs="Amiri" w:ascii="Amiri" w:hAnsi="Amiri"/>
          <w:color w:val="111111"/>
          <w:sz w:val="28"/>
          <w:szCs w:val="28"/>
          <w:rtl w:val="true"/>
          <w:lang w:bidi="ar-SA"/>
        </w:rPr>
        <w:t xml:space="preserve">) </w:t>
      </w:r>
      <w:r>
        <w:rPr>
          <w:rStyle w:val="FootnoteAnchor"/>
          <w:rtl w:val="true"/>
        </w:rPr>
        <w:footnoteReference w:id="1718"/>
      </w:r>
      <w:r>
        <w:rPr>
          <w:rFonts w:ascii="Amiri" w:hAnsi="Amiri" w:eastAsia="Amiri" w:cs="Amiri"/>
          <w:color w:val="111111"/>
          <w:sz w:val="28"/>
          <w:sz w:val="28"/>
          <w:szCs w:val="28"/>
          <w:rtl w:val="true"/>
          <w:lang w:bidi="ar-SA"/>
        </w:rPr>
        <w:t xml:space="preserve">من عدم وقوع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فلا يطابقه الاجازة ومن حصول الإجازة للعقد ، والشرط المذكور أمر خارج عن أصل العقد </w:t>
      </w:r>
      <w:r>
        <w:rPr>
          <w:rFonts w:eastAsia="Amiri" w:cs="Amiri" w:ascii="Amiri" w:hAnsi="Amiri"/>
          <w:color w:val="111111"/>
          <w:sz w:val="28"/>
          <w:szCs w:val="28"/>
          <w:rtl w:val="true"/>
          <w:lang w:bidi="ar-SA"/>
        </w:rPr>
        <w:t xml:space="preserve">) </w:t>
      </w:r>
      <w:r>
        <w:rPr>
          <w:rStyle w:val="FootnoteAnchor"/>
          <w:rtl w:val="true"/>
        </w:rPr>
        <w:footnoteReference w:id="1719"/>
      </w:r>
      <w:r>
        <w:rPr>
          <w:rFonts w:ascii="Amiri" w:hAnsi="Amiri" w:eastAsia="Amiri" w:cs="Amiri"/>
          <w:color w:val="111111"/>
          <w:sz w:val="28"/>
          <w:sz w:val="28"/>
          <w:szCs w:val="28"/>
          <w:rtl w:val="true"/>
          <w:lang w:bidi="ar-SA"/>
        </w:rPr>
        <w:t xml:space="preserve">قد ألزمه به في ضمن الإجازة المصحّحة للعقد ، وقد أنيطت به الإجازة ، فيلتزم به مع قبوله بمقتضى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بمنزلة وقوعه في ضمن العقد لكون الإجازة من متمّماته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يقصر ذلك عن الشرط الواقع في ضمن القبول دون الإيجاب اذا 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الموجب كما إذا باعه شيئا فقبل ذلك على أن يكون له الخيار في مدة معلومة فرضي </w:t>
      </w:r>
      <w:r>
        <w:rPr>
          <w:rFonts w:eastAsia="Amiri" w:cs="Amiri" w:ascii="Amiri" w:hAnsi="Amiri"/>
          <w:color w:val="111111"/>
          <w:sz w:val="28"/>
          <w:szCs w:val="28"/>
          <w:rtl w:val="true"/>
          <w:lang w:bidi="ar-SA"/>
        </w:rPr>
        <w:t xml:space="preserve">) </w:t>
      </w:r>
      <w:r>
        <w:rPr>
          <w:rStyle w:val="FootnoteAnchor"/>
          <w:rtl w:val="true"/>
        </w:rPr>
        <w:footnoteReference w:id="1720"/>
      </w:r>
      <w:r>
        <w:rPr>
          <w:rFonts w:ascii="Amiri" w:hAnsi="Amiri" w:eastAsia="Amiri" w:cs="Amiri"/>
          <w:color w:val="111111"/>
          <w:sz w:val="28"/>
          <w:sz w:val="28"/>
          <w:szCs w:val="28"/>
          <w:rtl w:val="true"/>
          <w:lang w:bidi="ar-SA"/>
        </w:rPr>
        <w:t>البائع به ؛ فإنّه لا يبعد إجراء حكم الشرط الواقع في ضمن العقد عليه أخذا بمقتضى الإطلاق المذكور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مات من وقع </w:t>
      </w:r>
      <w:r>
        <w:rPr>
          <w:rStyle w:val="FootnoteAnchor"/>
          <w:rtl w:val="true"/>
        </w:rPr>
        <w:footnoteReference w:id="1721"/>
      </w:r>
      <w:r>
        <w:rPr>
          <w:rFonts w:ascii="IRNazanin" w:hAnsi="IRNazanin" w:eastAsia="IRNazanin"/>
          <w:color w:val="111111"/>
          <w:sz w:val="28"/>
          <w:sz w:val="28"/>
          <w:szCs w:val="28"/>
          <w:rtl w:val="true"/>
          <w:lang w:bidi="fa-IR"/>
        </w:rPr>
        <w:t xml:space="preserve">العقد على ماله فضولا </w:t>
      </w:r>
      <w:r>
        <w:rPr>
          <w:rStyle w:val="FootnoteAnchor"/>
          <w:rtl w:val="true"/>
        </w:rPr>
        <w:footnoteReference w:id="1722"/>
      </w:r>
      <w:r>
        <w:rPr>
          <w:rFonts w:ascii="Amiri" w:hAnsi="Amiri" w:eastAsia="Amiri" w:cs="Amiri"/>
          <w:color w:val="111111"/>
          <w:sz w:val="28"/>
          <w:sz w:val="28"/>
          <w:szCs w:val="28"/>
          <w:rtl w:val="true"/>
          <w:lang w:bidi="ar-SA"/>
        </w:rPr>
        <w:t xml:space="preserve">فهل ينتقل </w:t>
      </w:r>
      <w:r>
        <w:rPr>
          <w:rStyle w:val="FootnoteAnchor"/>
          <w:rtl w:val="true"/>
        </w:rPr>
        <w:footnoteReference w:id="1723"/>
      </w:r>
      <w:r>
        <w:rPr>
          <w:rFonts w:ascii="Amiri" w:hAnsi="Amiri" w:eastAsia="Amiri" w:cs="Amiri"/>
          <w:color w:val="111111"/>
          <w:sz w:val="28"/>
          <w:sz w:val="28"/>
          <w:szCs w:val="28"/>
          <w:rtl w:val="true"/>
          <w:lang w:bidi="ar-SA"/>
        </w:rPr>
        <w:t>الإجازة إلى وارثيه فله الرد والإجازة أو أنّه يبطل به العقد فلا أثر لإجازته؟ ربّما يحتمل الأوّل في بادي النظر لأنّها حقّ من الحقوق كحق الخيار ينتقل إلى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ويضعّفه أنّه مع عدم حصول الإجازة من المالك الأوّل يبقى المال على ملكه ، فينتقل إلى وارثه ، والانتقال إليه قاض ببطلان العقد ؛ إذ لا يعقل انتقاله إليهما ، وظاهر بناء على الكشف والقول بكشف إجازة الوارث على </w:t>
      </w:r>
      <w:r>
        <w:rPr>
          <w:rStyle w:val="FootnoteAnchor"/>
          <w:rtl w:val="true"/>
        </w:rPr>
        <w:footnoteReference w:id="1724"/>
      </w:r>
      <w:r>
        <w:rPr>
          <w:rFonts w:ascii="Amiri" w:hAnsi="Amiri" w:eastAsia="Amiri" w:cs="Amiri"/>
          <w:color w:val="111111"/>
          <w:sz w:val="28"/>
          <w:sz w:val="28"/>
          <w:szCs w:val="28"/>
          <w:rtl w:val="true"/>
          <w:lang w:bidi="ar-SA"/>
        </w:rPr>
        <w:t>حصول الانتقال بالعقد الواقع من المورث ممّا لا وجه ؛ له إذ مع عدم انتقال المال إليه لا عبرة لإجازته ومع انتقاله إليه يبطل العقد حسبما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النقل فقد يحتمل الاكتفاء ببقائه على ملك المورث مع ثبوت حق الإجازة له ، فينتقل كذلك إلى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أقصى الأمر ثبوت الصحة بإجازة المالك حين العقد ، وأمّا غيره ممّن انتقل إليه المال بعد ذلك فغير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وشمول أدلّة الفضولي له غير ظاهر ، وقضيّة الأصل الأصيل هو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تبين بما قرّرنا أنّه لو باع مال غيره فضولا ثمّ ملكه </w:t>
      </w:r>
      <w:r>
        <w:rPr>
          <w:rStyle w:val="FootnoteAnchor"/>
          <w:rtl w:val="true"/>
        </w:rPr>
        <w:footnoteReference w:id="1725"/>
      </w:r>
      <w:r>
        <w:rPr>
          <w:rFonts w:ascii="Amiri" w:hAnsi="Amiri" w:eastAsia="Amiri" w:cs="Amiri"/>
          <w:color w:val="111111"/>
          <w:sz w:val="28"/>
          <w:sz w:val="28"/>
          <w:szCs w:val="28"/>
          <w:rtl w:val="true"/>
          <w:lang w:bidi="ar-SA"/>
        </w:rPr>
        <w:t>بأحد الوجوه الناقلة إليه وأجاز ذلك البيع لم يصحّ ؛ لفساد العقد حينئذ بتملّكه فلا بد من عقد جديد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باع شيئا على وجه الفضولي </w:t>
      </w:r>
      <w:r>
        <w:rPr>
          <w:rStyle w:val="FootnoteAnchor"/>
          <w:rtl w:val="true"/>
        </w:rPr>
        <w:footnoteReference w:id="1726"/>
      </w:r>
      <w:r>
        <w:rPr>
          <w:rFonts w:ascii="Amiri" w:hAnsi="Amiri" w:eastAsia="Amiri" w:cs="Amiri"/>
          <w:color w:val="111111"/>
          <w:sz w:val="28"/>
          <w:sz w:val="28"/>
          <w:szCs w:val="28"/>
          <w:rtl w:val="true"/>
          <w:lang w:bidi="ar-SA"/>
        </w:rPr>
        <w:t>ثمّ تبيّن أنّه ملكه كما لو باع مال مورّثه بظنّ أنه حيّ وأنّه فضول ، ثمّ تبيّن موته وانتقال المال إليه حين العقد ، فهل يحكم بصحته ولزومه ؛ لوقوعه من أهله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يحكم بثبوت الخيار له </w:t>
      </w:r>
      <w:r>
        <w:rPr>
          <w:rStyle w:val="FootnoteAnchor"/>
          <w:rtl w:val="true"/>
        </w:rPr>
        <w:footnoteReference w:id="1727"/>
      </w:r>
      <w:r>
        <w:rPr>
          <w:rFonts w:ascii="Amiri" w:hAnsi="Amiri" w:eastAsia="Amiri" w:cs="Amiri"/>
          <w:color w:val="111111"/>
          <w:sz w:val="28"/>
          <w:sz w:val="28"/>
          <w:szCs w:val="28"/>
          <w:rtl w:val="true"/>
          <w:lang w:bidi="ar-SA"/>
        </w:rPr>
        <w:t>؛ لعدم إقدامه على التمليك النافذ بل المتزلزل الموقوف على إجازة المالك ، فالحكم بالتزامه به 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بمنزلة الفضولي الواقع من غير المالك ، فيتوقّف على إجازته ، فإن ردّه كشف عن فساده من أصله ، وإن أجاز صحّ لإقدامه عليه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باطل من أصله لعدم قصده وقوع البيع عن نفسه ، فلا يقع البيع عنه قهرا ؛ وجوه كأنّ أظهرها الثاني ، وأضعفها الوجهان الأخيران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باعه على أنّه ملكه فتبيّن بعد ذلك أنّه لمورّثه ، ثمّ تبيّن موته حين العقد ، فلا إشكال في الصحة واللزوم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اعتقد أنّه لغيره ، فباعه عن نفسه غصبا ، ثمّ تبيّن أنّه ملكه احتمل قويّا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باعه عن المالك باعتقاد الوكالة عنه ، ثمّ تبيّن أنّه ملكه ففي الحكم بلزومه وجه قويّ ولا يخلو من </w:t>
      </w:r>
      <w:r>
        <w:rPr>
          <w:rStyle w:val="FootnoteAnchor"/>
          <w:rtl w:val="true"/>
        </w:rPr>
        <w:footnoteReference w:id="1728"/>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العلّامة في القواعد </w:t>
      </w:r>
      <w:r>
        <w:rPr>
          <w:rStyle w:val="FootnoteAnchor"/>
          <w:rtl w:val="true"/>
        </w:rPr>
        <w:footnoteReference w:id="1729"/>
      </w:r>
      <w:r>
        <w:rPr>
          <w:rFonts w:ascii="Amiri" w:hAnsi="Amiri" w:eastAsia="Amiri" w:cs="Amiri"/>
          <w:color w:val="111111"/>
          <w:sz w:val="28"/>
          <w:sz w:val="28"/>
          <w:szCs w:val="28"/>
          <w:rtl w:val="true"/>
          <w:lang w:bidi="ar-SA"/>
        </w:rPr>
        <w:t xml:space="preserve">انّ الأقرب اشتراط كون العقد له فيجزي </w:t>
      </w:r>
      <w:r>
        <w:rPr>
          <w:rStyle w:val="FootnoteAnchor"/>
          <w:rtl w:val="true"/>
        </w:rPr>
        <w:footnoteReference w:id="1730"/>
      </w:r>
      <w:r>
        <w:rPr>
          <w:rFonts w:ascii="Amiri" w:hAnsi="Amiri" w:eastAsia="Amiri" w:cs="Amiri"/>
          <w:color w:val="111111"/>
          <w:sz w:val="28"/>
          <w:sz w:val="28"/>
          <w:szCs w:val="28"/>
          <w:rtl w:val="true"/>
          <w:lang w:bidi="ar-SA"/>
        </w:rPr>
        <w:t xml:space="preserve">في الحال يعني حال وقوع العقد ، فلو باع الفضول مال الطفل ولا مجيز هناك من أب أو جدّ أو حاكم يمكن الوصول إليه أو محتسب كذلك له الولاية على مال الطفل على ذلك الوجه لم يصحّ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يثمر اجازة الطفل حينئذ بعد البلوغ</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كما ترى لا يخلو عن ضعف ؛ إذ لا قائل حينئذ بفساد العقد </w:t>
      </w:r>
      <w:r>
        <w:rPr>
          <w:rFonts w:eastAsia="Amiri" w:cs="Amiri" w:ascii="Amiri" w:hAnsi="Amiri"/>
          <w:color w:val="111111"/>
          <w:sz w:val="28"/>
          <w:szCs w:val="28"/>
          <w:rtl w:val="true"/>
          <w:lang w:bidi="ar-SA"/>
        </w:rPr>
        <w:t xml:space="preserve">) </w:t>
      </w:r>
      <w:r>
        <w:rPr>
          <w:rStyle w:val="FootnoteAnchor"/>
          <w:rtl w:val="true"/>
        </w:rPr>
        <w:footnoteReference w:id="1731"/>
      </w:r>
      <w:r>
        <w:rPr>
          <w:rFonts w:ascii="Amiri" w:hAnsi="Amiri" w:eastAsia="Amiri" w:cs="Amiri"/>
          <w:color w:val="111111"/>
          <w:sz w:val="28"/>
          <w:sz w:val="28"/>
          <w:szCs w:val="28"/>
          <w:rtl w:val="true"/>
          <w:lang w:bidi="ar-SA"/>
        </w:rPr>
        <w:t xml:space="preserve">، فأقصى الأمر أن يبقى موقوفا فيفسد بسبب انتفاء الإجازة إذا لم يحصل به </w:t>
      </w:r>
      <w:r>
        <w:rPr>
          <w:rStyle w:val="FootnoteAnchor"/>
          <w:rtl w:val="true"/>
        </w:rPr>
        <w:footnoteReference w:id="1732"/>
      </w:r>
      <w:r>
        <w:rPr>
          <w:rFonts w:ascii="Amiri" w:hAnsi="Amiri" w:eastAsia="Amiri" w:cs="Amiri"/>
          <w:color w:val="111111"/>
          <w:sz w:val="28"/>
          <w:sz w:val="28"/>
          <w:szCs w:val="28"/>
          <w:rtl w:val="true"/>
          <w:lang w:bidi="ar-SA"/>
        </w:rPr>
        <w:t>مجيز بعد زمان العقد إن لم نكتف بإجازة الصبيّ بعد البلوغ بناء على الوجه 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واشتراط كون العقد ممّا له مجيز في الحال مذكور في كلام بعض العامّة ، وقد أسنده في التذكرة إلى ابن جنيد </w:t>
      </w:r>
      <w:r>
        <w:rPr>
          <w:rStyle w:val="FootnoteAnchor"/>
          <w:rtl w:val="true"/>
        </w:rPr>
        <w:footnoteReference w:id="1733"/>
      </w:r>
      <w:r>
        <w:rPr>
          <w:rFonts w:ascii="Amiri" w:hAnsi="Amiri" w:eastAsia="Amiri" w:cs="Amiri"/>
          <w:color w:val="111111"/>
          <w:sz w:val="28"/>
          <w:sz w:val="28"/>
          <w:szCs w:val="28"/>
          <w:rtl w:val="true"/>
          <w:lang w:bidi="ar-SA"/>
        </w:rPr>
        <w:t>، ولم يقم عليه دليل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وقع العقد على وجه لا يجوز إجازته من الولي كما إذا اشتمل على ضرر الطفل فقد يقال حينئذ بفساده ؛ لعدم مجيز يمكن تصحيح العقد بإجازته ، فهو بمنزلة انتفاء الإجازة رأسا ، فيقع العقد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إنّما يتمّ مع عدم الاكتفاء بإجازة الصبيّ بعد بلوغه بناء على الوجه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في الصورة الأولى أيضا بأن عدم </w:t>
      </w:r>
      <w:r>
        <w:rPr>
          <w:rStyle w:val="FootnoteAnchor"/>
          <w:rtl w:val="true"/>
        </w:rPr>
        <w:footnoteReference w:id="1734"/>
      </w:r>
      <w:r>
        <w:rPr>
          <w:rFonts w:ascii="Amiri" w:hAnsi="Amiri" w:eastAsia="Amiri" w:cs="Amiri"/>
          <w:color w:val="111111"/>
          <w:sz w:val="28"/>
          <w:sz w:val="28"/>
          <w:szCs w:val="28"/>
          <w:rtl w:val="true"/>
          <w:lang w:bidi="ar-SA"/>
        </w:rPr>
        <w:t>وجود مجيز من أب أو جدّ أو غيرهما حال وقوع العقد كاف في فساده بناء على الوجه الآتي ؛ إذ حصول الولي بعد ذلك لا يكفي في صحّة العقد الواقع قبل ولايته بناء على الوجه المذكور إلّا أن يقال بعدم جريانه على مذهبنا مع وجود الإمام عليه‌السلام في كلّ عصر ، وإن فرضنا الخلو من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الامام عليه‌السلام مع عدم إمكان الوصول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تحصيل الإجازة منه لا يكفي في تصحيح العقد وكذا الحال في المجتهد الذي يقطع عادة بعدم إمكان الوصول إليه </w:t>
      </w:r>
      <w:r>
        <w:rPr>
          <w:rFonts w:eastAsia="Amiri" w:cs="Amiri" w:ascii="Amiri" w:hAnsi="Amiri"/>
          <w:color w:val="111111"/>
          <w:sz w:val="28"/>
          <w:szCs w:val="28"/>
          <w:rtl w:val="true"/>
          <w:lang w:bidi="ar-SA"/>
        </w:rPr>
        <w:t xml:space="preserve">) </w:t>
      </w:r>
      <w:r>
        <w:rPr>
          <w:rStyle w:val="FootnoteAnchor"/>
          <w:rtl w:val="true"/>
        </w:rPr>
        <w:footnoteReference w:id="1735"/>
      </w:r>
      <w:r>
        <w:rPr>
          <w:rFonts w:ascii="Amiri" w:hAnsi="Amiri" w:eastAsia="Amiri" w:cs="Amiri"/>
          <w:color w:val="111111"/>
          <w:sz w:val="28"/>
          <w:sz w:val="28"/>
          <w:szCs w:val="28"/>
          <w:rtl w:val="true"/>
          <w:lang w:bidi="ar-SA"/>
        </w:rPr>
        <w:t xml:space="preserve">رأسا لانتفاء الإجازة منه قطعا فلا يمكن تصحيح العقد من قبله مع العلم بعدم حصول الإجازة منه ، وعدم قابلية غيره من الأولياء المتجددين للإجازة بناء على ذلك الوجه ، فلا بدّ من الحكم بفساد العقد للعلم بانتفاء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الإجازة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هذا هو الوجه فيما ذكره رحمه‌اللّه إلّا أنّه مبنيّ على الوجه الآتي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يشترط في المجيز أن يكون قابلا للإجازة حين العقد ماضيا تصرّفه في تلك الحال نظرا إلى أن إجازته يصحّح العقد الواقع في ذلك الزمان ، فلا بدّ أن يكون جامعا لشرائط الإجازة حينئذ ، فلو حدث جواز تصرفه بعد وقوع العقد لم تؤثّر إجازته في حال </w:t>
      </w:r>
    </w:p>
    <w:p>
      <w:pPr>
        <w:pStyle w:val="BookText"/>
        <w:rPr/>
      </w:pPr>
      <w:r>
        <w:rPr>
          <w:rFonts w:ascii="Amiri" w:hAnsi="Amiri" w:eastAsia="Amiri" w:cs="Amiri"/>
          <w:color w:val="111111"/>
          <w:sz w:val="28"/>
          <w:sz w:val="28"/>
          <w:szCs w:val="28"/>
          <w:rtl w:val="true"/>
          <w:lang w:bidi="ar-SA"/>
        </w:rPr>
        <w:t xml:space="preserve">السابقة كما إذا تجدّدت له الولاية كما إذا كان </w:t>
      </w:r>
      <w:r>
        <w:rPr>
          <w:rStyle w:val="FootnoteAnchor"/>
          <w:rtl w:val="true"/>
        </w:rPr>
        <w:footnoteReference w:id="1736"/>
      </w:r>
      <w:r>
        <w:rPr>
          <w:rFonts w:ascii="Amiri" w:hAnsi="Amiri" w:eastAsia="Amiri" w:cs="Amiri"/>
          <w:color w:val="111111"/>
          <w:sz w:val="28"/>
          <w:sz w:val="28"/>
          <w:szCs w:val="28"/>
          <w:rtl w:val="true"/>
          <w:lang w:bidi="ar-SA"/>
        </w:rPr>
        <w:t>مجنونا حين العقد ، فأفاق بعد ذلك لعدم ثبوت الولاية له في تلك الحال ، وكذا لو بلغ الطفل فأجاز لعدم جواز تصرفه في حال الصغر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لا </w:t>
      </w:r>
      <w:r>
        <w:rPr>
          <w:rStyle w:val="FootnoteAnchor"/>
          <w:rtl w:val="true"/>
        </w:rPr>
        <w:footnoteReference w:id="1737"/>
      </w:r>
      <w:r>
        <w:rPr>
          <w:rFonts w:ascii="Amiri" w:hAnsi="Amiri" w:eastAsia="Amiri" w:cs="Amiri"/>
          <w:color w:val="111111"/>
          <w:sz w:val="28"/>
          <w:sz w:val="28"/>
          <w:szCs w:val="28"/>
          <w:rtl w:val="true"/>
          <w:lang w:bidi="ar-SA"/>
        </w:rPr>
        <w:t>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عليه ما ذكره العلّامة كما أشرنا إليه إلّا أنّ الظاهر خلافه ؛ لما عرفت ممّا دلّ على صحة فضولي النكاح إذا أجاز الطفل بعد بلوغه ، فيدل ذلك على الصحة في المقام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لا مجال للإشكال فيه على القول بالنقل ؛ فإنّ التصرف بالمال إنّما يكون بالإجازة الباعثة على الانتقال الواقعة في زمان سلطانه عليه ، وإنّما يأتي الإشكال على القول بالكشف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دفعه بأنّ الولاية المفروضة وإن تجدّدت بعد العقد إلّا أنّها قاضية بمضي تصرفه في مال الطفل ، ولو تعلّقت بالزمان السابق وعدم مضى تصرفه على فرض وقوعه في ذلك الزمان لا يقضي بعدم مضيه متعلّقا بذلك الزمان إذا وقعت في وقت السلطان عليه كما إذا تعلّق تصرف الولي بالزمان المتأخر عن ولايته حين ولايته ؛ فإنّه ينعقد حينئذ وإن لم ينفذ على فرض وقوعه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فالإجازة المتأخرة الواقعة في وقت السلطنة على المال كاشفة عن صحّة العقد الواقع قبلها ؛ لمجامعته للإجازة الصادرة ممّن يجوز تصرفه في المال ، فكما أنّ تأخر الإجازة لا ينافي الحكم بصحة العقد المتقدّم عليها مع اشتراطه في صحّة العقد فكذا لا ينافيه تأخر ولاية المجيز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ولايته على المال مطلقه كما هو الغالب ، وأمّا لو كانت مقيّدة بغير ما تقدّم كما إذا وكله في التصرفات المتعلّقة بما تأخّر من الزمان دون ما سبقه لم يكن له ذلك</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حادي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يشترط في الإجازة الشروط المعتبرة في البيع كمعلومية العوضين للمالك المجيز أو يكتفى بحصول تلك الشروط حال وقوع العقد؟ فلو تحقّق العلم بالعوضين للعاقدين كفى في صحة العقد ، وإن جهل المجيز فيصحّ إجازته مع جهالته بها أو بأحدهما ؛ </w:t>
      </w:r>
    </w:p>
    <w:p>
      <w:pPr>
        <w:pStyle w:val="BookText"/>
        <w:rPr/>
      </w:pPr>
      <w:r>
        <w:rPr>
          <w:rFonts w:ascii="Amiri" w:hAnsi="Amiri" w:eastAsia="Amiri" w:cs="Amiri"/>
          <w:color w:val="111111"/>
          <w:sz w:val="28"/>
          <w:sz w:val="28"/>
          <w:szCs w:val="28"/>
          <w:rtl w:val="true"/>
          <w:lang w:bidi="ar-SA"/>
        </w:rPr>
        <w:t>فيرجع في التعيين إليهما أو إلى ما تقوم به النيّة مع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وجهان من أن البائع والمشتري على الحقيقة هو المجيز ، فلا بدّ من اعتبار شروط البيع بالنسبة إليه ، وإنّ البيع إنّما صدر عن العاقدين دون المجيز ، فلا دليل على اعتبار تلك الشروط بالنسبة إليه ، فالإجازة المتأخرة بمنزلة التوكيل المتقدم ، فكما لا يعتبر تحقّق شروط البيع بالنسبة إلى الموكّل فكذلك المجيز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هو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ويجري الكلام في الشروط المنضمّة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ونحوها إذا حملها </w:t>
      </w:r>
      <w:r>
        <w:rPr>
          <w:rStyle w:val="FootnoteAnchor"/>
          <w:rtl w:val="true"/>
        </w:rPr>
        <w:footnoteReference w:id="1738"/>
      </w:r>
      <w:r>
        <w:rPr>
          <w:rFonts w:ascii="Amiri" w:hAnsi="Amiri" w:eastAsia="Amiri" w:cs="Amiri"/>
          <w:color w:val="111111"/>
          <w:sz w:val="28"/>
          <w:sz w:val="28"/>
          <w:szCs w:val="28"/>
          <w:rtl w:val="true"/>
          <w:lang w:bidi="ar-SA"/>
        </w:rPr>
        <w:t>وأجاز البيع على ما وقع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استجماع العقد لشروط الصحة حين وقوعه سوى رضا المالك وإذنه أو أنّه يكتفى بتحقّق الشروط حين الإجازة؟ فلو تعلّق العقد بشي‌ء مجهول للعاقد الفضول وأجازه المالك مع علمه أو باع الآبق وقد استرد في وقت الإجازة أو باع الكافر مصحفا أو مسلما فأجازه بعد إسلامه ، أو يكتفى بحصولها في أحد الحالين أو بحصولها من حين العقد إلى زمان الإجازة في الجملة أو يعتبر تحقّقها في الحالين؟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بعض كلماتهم في الاحتجاج يعطي اعتبار الاستجماع حين </w:t>
      </w:r>
      <w:r>
        <w:rPr>
          <w:rStyle w:val="FootnoteAnchor"/>
          <w:rtl w:val="true"/>
        </w:rPr>
        <w:footnoteReference w:id="1739"/>
      </w:r>
      <w:r>
        <w:rPr>
          <w:rFonts w:ascii="Amiri" w:hAnsi="Amiri" w:eastAsia="Amiri" w:cs="Amiri"/>
          <w:color w:val="111111"/>
          <w:sz w:val="28"/>
          <w:sz w:val="28"/>
          <w:szCs w:val="28"/>
          <w:rtl w:val="true"/>
          <w:lang w:bidi="ar-SA"/>
        </w:rPr>
        <w:t>العقد ، وهو الّذي يقتضيه الأصل الأصيل في فساد المعاملة بدونها ؛ للشك في صحتها حينئذ ، بل قد يقضي الأصل باعتبار حصولها في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بالاكتفاء بحصولها حين الإجازة على القول بالنقل فإنه في الحقيقة حال انعقاد العقد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بالتفصيل بين الشروط ، فيعتبر في المملوكيّة أن تكون حاصلة حين العقد ، فلو باع ما لم يدخل في الملك كالمباحات قبل الحيازة والطير في الهواء ثم أجازها أو صاد الطير لم تؤثر الإجازة ، سيّما على القول بالكشف لو كانت حاصلة حين العقد فزالت بعد ذلك كما </w:t>
      </w:r>
    </w:p>
    <w:p>
      <w:pPr>
        <w:pStyle w:val="BookText"/>
        <w:rPr/>
      </w:pPr>
      <w:r>
        <w:rPr>
          <w:rFonts w:ascii="Amiri" w:hAnsi="Amiri" w:eastAsia="Amiri" w:cs="Amiri"/>
          <w:color w:val="111111"/>
          <w:sz w:val="28"/>
          <w:sz w:val="28"/>
          <w:szCs w:val="28"/>
          <w:rtl w:val="true"/>
          <w:lang w:bidi="ar-SA"/>
        </w:rPr>
        <w:t>لو تلفت بعد العقد والقبض قبل الإجازة صح العقد بالإجازة ، فيكون التلف من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حينئذ اشتراط حصولها حين الإجازة أيضا ؛ إذ لولاها لعدّت الإجازة سفها خارجا عن مقصود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القدرة على التسليم وإسلام المشتري في </w:t>
      </w:r>
      <w:r>
        <w:rPr>
          <w:rStyle w:val="FootnoteAnchor"/>
          <w:rtl w:val="true"/>
        </w:rPr>
        <w:footnoteReference w:id="1740"/>
      </w:r>
      <w:r>
        <w:rPr>
          <w:rFonts w:ascii="Amiri" w:hAnsi="Amiri" w:eastAsia="Amiri" w:cs="Amiri"/>
          <w:color w:val="111111"/>
          <w:sz w:val="28"/>
          <w:sz w:val="28"/>
          <w:szCs w:val="28"/>
          <w:rtl w:val="true"/>
          <w:lang w:bidi="ar-SA"/>
        </w:rPr>
        <w:t>بيع المصحف والمسلم فيكتفى بحصول الشرط عند الاجازة ؛ لعدم وضوح دليل على الفساد بمجرّد انتفائه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عبرة بالتسليم الأصيل قبل الإجازة ، والمفروض حصول القدرة عليه عند اعتبار التسليم ، وأنه لا سبيل للمشتري على المبيع إلّا بعد الإجازة ، فلا يفيد ما دلّ على دفع السبيل وقضى به مراعاة الاحترام فساد العقد في تلك الصورة ، فيندرج تحت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معلوميّة العوضين ففيها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يقال في اشتراط استجماع الشروط حين العقد بما دلّ الدليل على اشتراط العقد 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كان اعتباره لجهة خارجة </w:t>
      </w:r>
      <w:r>
        <w:rPr>
          <w:rStyle w:val="FootnoteAnchor"/>
          <w:rtl w:val="true"/>
        </w:rPr>
        <w:footnoteReference w:id="1741"/>
      </w:r>
      <w:r>
        <w:rPr>
          <w:rFonts w:ascii="Amiri" w:hAnsi="Amiri" w:eastAsia="Amiri" w:cs="Amiri"/>
          <w:color w:val="111111"/>
          <w:sz w:val="28"/>
          <w:sz w:val="28"/>
          <w:szCs w:val="28"/>
          <w:rtl w:val="true"/>
          <w:lang w:bidi="ar-SA"/>
        </w:rPr>
        <w:t xml:space="preserve">كنفي السبيل على المسلم وملاحظة الاحترام أخذ فيها </w:t>
      </w:r>
      <w:r>
        <w:rPr>
          <w:rStyle w:val="FootnoteAnchor"/>
          <w:rtl w:val="true"/>
        </w:rPr>
        <w:footnoteReference w:id="1742"/>
      </w:r>
      <w:r>
        <w:rPr>
          <w:rFonts w:ascii="Amiri" w:hAnsi="Amiri" w:eastAsia="Amiri" w:cs="Amiri"/>
          <w:color w:val="111111"/>
          <w:sz w:val="28"/>
          <w:sz w:val="28"/>
          <w:szCs w:val="28"/>
          <w:rtl w:val="true"/>
          <w:lang w:bidi="ar-SA"/>
        </w:rPr>
        <w:t>بمقتضى ذلك الدليل ، فلا يبعد على الصحيح في المثالين المفروضين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يعتبر فيها تعيين العقد من كونه بيعا أو صلحا أو إجازة أو نكاحا أو يجوز إمضاء العقد الواقع منه كائنا ما كان ، سواء علم كميّة العقد أو جهل التعيين أو علم نوع العقد وشكّ في الكميّة أو جهلهما معا كما إذا أجاز كلّ عقد يتعلّق به </w:t>
      </w:r>
      <w:r>
        <w:rPr>
          <w:rStyle w:val="FootnoteAnchor"/>
          <w:rtl w:val="true"/>
        </w:rPr>
        <w:footnoteReference w:id="1743"/>
      </w:r>
      <w:r>
        <w:rPr>
          <w:rFonts w:ascii="Amiri" w:hAnsi="Amiri" w:eastAsia="Amiri" w:cs="Amiri"/>
          <w:color w:val="111111"/>
          <w:sz w:val="28"/>
          <w:sz w:val="28"/>
          <w:szCs w:val="28"/>
          <w:rtl w:val="true"/>
          <w:lang w:bidi="ar-SA"/>
        </w:rPr>
        <w:t>قد صدر منه في هذا اليوم مع جهله بنوع العقد ، وتعدّد تلك العقود 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ما ذكرناه من كونه بمنزلة الإذن السابق على العقد هو الوجه الثاني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يعتبر فيها علمه بوقوع العقد من الفضول أو يجوز إمضاءه لما يحتمل وقوعه أو على </w:t>
      </w:r>
    </w:p>
    <w:p>
      <w:pPr>
        <w:pStyle w:val="BookText"/>
        <w:rPr/>
      </w:pPr>
      <w:r>
        <w:rPr>
          <w:rFonts w:ascii="Amiri" w:hAnsi="Amiri" w:eastAsia="Amiri" w:cs="Amiri"/>
          <w:color w:val="111111"/>
          <w:sz w:val="28"/>
          <w:sz w:val="28"/>
          <w:szCs w:val="28"/>
          <w:rtl w:val="true"/>
          <w:lang w:bidi="ar-SA"/>
        </w:rPr>
        <w:t>تقدير وقوعه كما اذا أخبره مجيز لوقوع البيع فأجازه من دون أن يتحقق عنده وقوعه ثمّ علم بالوقوع؟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الاكتفاء 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الفور في الإجازة بعد علم المالك بالحال ، بل يصحّ مع التراخي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يحتمل أن يكون فورية لما في التراخي من إرجاء الأمر وإيصال الضرر إلى الآخر في كثير من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علمه بالحال قد أقدم عليه ، فيكون الضرر آتيا إليه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جهله ولحوق الضرر عليه يندفع ذلك بثبوت الخيار له كما مرّت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توقّف صحّة البيع على القبض كبيع الصرف والسلم وقد حصل القبض من الفضول فأجاز البيع ، فإن كان بعد تصرف </w:t>
      </w:r>
      <w:r>
        <w:rPr>
          <w:rStyle w:val="FootnoteAnchor"/>
          <w:rtl w:val="true"/>
        </w:rPr>
        <w:footnoteReference w:id="1744"/>
      </w:r>
      <w:r>
        <w:rPr>
          <w:rFonts w:ascii="Amiri" w:hAnsi="Amiri" w:eastAsia="Amiri" w:cs="Amiri"/>
          <w:color w:val="111111"/>
          <w:sz w:val="28"/>
          <w:sz w:val="28"/>
          <w:szCs w:val="28"/>
          <w:rtl w:val="true"/>
          <w:lang w:bidi="ar-SA"/>
        </w:rPr>
        <w:t>المجلس وعلمه به كان إجازة للقبض في وجه قويّ ؛ إذ لولاه لكان إجازته للبيع لغوا ، ولحمل فعل المسلم على الصحة مع الإمكان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جاهلا بالتوقف ففيه إشكال ، وإن كان المجلس باقيا بحسب اعتقاده</w:t>
      </w:r>
      <w:r>
        <w:rPr>
          <w:rFonts w:eastAsia="Amiri" w:cs="Amiri" w:ascii="Amiri" w:hAnsi="Amiri"/>
          <w:color w:val="111111"/>
          <w:sz w:val="28"/>
          <w:szCs w:val="28"/>
          <w:rtl w:val="true"/>
          <w:lang w:bidi="ar-SA"/>
        </w:rPr>
        <w:t xml:space="preserve">. </w:t>
      </w:r>
      <w:bookmarkStart w:id="217" w:name="pg15853_153591"/>
    </w:p>
    <w:p>
      <w:pPr>
        <w:pStyle w:val="Heading3"/>
        <w:numPr>
          <w:ilvl w:val="2"/>
          <w:numId w:val="1"/>
        </w:numPr>
        <w:rPr/>
      </w:pPr>
      <w:bookmarkStart w:id="218" w:name="__RefHeading___Toc14587191_2142443653"/>
      <w:bookmarkStart w:id="219" w:name="_Toc78"/>
      <w:bookmarkEnd w:id="217"/>
      <w:bookmarkEnd w:id="218"/>
      <w:r>
        <w:rPr>
          <w:rtl w:val="true"/>
        </w:rPr>
        <w:t>تبصرة</w:t>
      </w:r>
      <w:r>
        <w:rPr>
          <w:rtl w:val="true"/>
        </w:rPr>
        <w:t xml:space="preserve">: [ </w:t>
      </w:r>
      <w:r>
        <w:rPr>
          <w:rtl w:val="true"/>
        </w:rPr>
        <w:t xml:space="preserve">في بيع ما يملكه غيره </w:t>
      </w:r>
      <w:r>
        <w:rPr>
          <w:rtl w:val="true"/>
        </w:rPr>
        <w:t>]</w:t>
      </w:r>
      <w:bookmarkEnd w:id="219"/>
    </w:p>
    <w:p>
      <w:pPr>
        <w:pStyle w:val="Heading4"/>
        <w:numPr>
          <w:ilvl w:val="3"/>
          <w:numId w:val="1"/>
        </w:numPr>
        <w:rPr/>
      </w:pPr>
      <w:bookmarkStart w:id="220" w:name="__RefHeading___Toc14587193_2142443653"/>
      <w:bookmarkStart w:id="221" w:name="_Toc79"/>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لو باع ما يملكه وما يملكه غيره من غير وكالة ولا ولاية صحّ البيع فيما يملكه بلا خلاف يظهر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الغنية حكاية الاجماع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في الرياض بنفي الخلاف فيه ، واستظهر منهم الاجماع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الصحيح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ووقف فيما لا يملكه على إجازة المالك أو من يقوم مقامه بناء على صحّة الفضولي بتعقّب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أسنده بعضهم هنا إلى علمائنا موذنا بالإجماع عليه ، فكلّ من الحكمين ممّا لا إشكال فيه بعد ما عرفت من صحّة الفضولي بعد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يستشكل في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جهالة الثمن ؛ إذ قد لا يعلم ما يقع بإزاء المملوك من الثمن بعد التقسيط ، فكأنه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بعتك هذا بما يخصّه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تقسيطه عليه وعلى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القصد إنّما تعلّق بنقل المجموع دون الأبعاض ، فإذا لم يصحّ العقد على ما دفع </w:t>
      </w:r>
      <w:r>
        <w:rPr>
          <w:rStyle w:val="FootnoteAnchor"/>
          <w:rtl w:val="true"/>
        </w:rPr>
        <w:footnoteReference w:id="1745"/>
      </w:r>
      <w:r>
        <w:rPr>
          <w:rFonts w:ascii="Amiri" w:hAnsi="Amiri" w:eastAsia="Amiri" w:cs="Amiri"/>
          <w:color w:val="111111"/>
          <w:sz w:val="28"/>
          <w:sz w:val="28"/>
          <w:szCs w:val="28"/>
          <w:rtl w:val="true"/>
          <w:lang w:bidi="ar-SA"/>
        </w:rPr>
        <w:t>عليه لزمه الحكم بالفساد مطلقا ؛ إذ العقود تابعة للقصود</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عدم صحّة العقد في البعض يغلب جانب الفساد كتزويج الأختين والأم والبنت بعقد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يقم برهان على صحّة العقد المفروض ، وقضية الأصل الأصيل في المعاملات الفساد ، وعدم ترتب الآثار حتّى يقوم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الصيغة الصادرة منها شي‌ء واحد ، فلا يتبعض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أقصى ما دلّ الدليل من اعتبار العلم بالعوضين إنّما هو بالنسبة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المبيع والثمن ، فإذا علم مجموع الأمرين اللّذين وقع العقد عليهما صح البيع وإن علم فساد البيع بالنسبة إلى </w:t>
      </w:r>
      <w:r>
        <w:rPr>
          <w:rFonts w:eastAsia="Amiri" w:cs="Amiri" w:ascii="Amiri" w:hAnsi="Amiri"/>
          <w:color w:val="111111"/>
          <w:sz w:val="28"/>
          <w:szCs w:val="28"/>
          <w:rtl w:val="true"/>
          <w:lang w:bidi="ar-SA"/>
        </w:rPr>
        <w:t xml:space="preserve">) </w:t>
      </w:r>
      <w:r>
        <w:rPr>
          <w:rStyle w:val="FootnoteAnchor"/>
          <w:rtl w:val="true"/>
        </w:rPr>
        <w:footnoteReference w:id="1746"/>
      </w:r>
      <w:r>
        <w:rPr>
          <w:rFonts w:ascii="Amiri" w:hAnsi="Amiri" w:eastAsia="Amiri" w:cs="Amiri"/>
          <w:color w:val="111111"/>
          <w:sz w:val="28"/>
          <w:sz w:val="28"/>
          <w:szCs w:val="28"/>
          <w:rtl w:val="true"/>
          <w:lang w:bidi="ar-SA"/>
        </w:rPr>
        <w:t>البعض وكان ما يصحّ البيع فيه مجهولا أو كان ما يقع من الثمن بإزائه مجهولا ، ولا دليل على اعتبار العلم في الأجزاء إذا لم يؤدّ إلى جهالة المجموع كما سيجي‌ء بيانه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القصد إنّما تعلّق بنقل جميع الأجزاء ، فينتقل به ما يكون قابلا للنقل ويبقى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وقضية العقد إنّما هو انتقال الجميع ، وقضيّة الأمر بالوفاء </w:t>
      </w:r>
      <w:r>
        <w:rPr>
          <w:rStyle w:val="FootnoteAnchor"/>
          <w:rtl w:val="true"/>
        </w:rPr>
        <w:footnoteReference w:id="1747"/>
      </w:r>
      <w:r>
        <w:rPr>
          <w:rFonts w:ascii="Amiri" w:hAnsi="Amiri" w:eastAsia="Amiri" w:cs="Amiri"/>
          <w:color w:val="111111"/>
          <w:sz w:val="28"/>
          <w:sz w:val="28"/>
          <w:szCs w:val="28"/>
          <w:rtl w:val="true"/>
          <w:lang w:bidi="ar-SA"/>
        </w:rPr>
        <w:t xml:space="preserve">به هو الجري على مقتضاه في الجميع ، فإذا حصل مانع منه في البعض لزم الأخذ بمقتضاه </w:t>
      </w:r>
      <w:r>
        <w:rPr>
          <w:rStyle w:val="FootnoteAnchor"/>
          <w:rtl w:val="true"/>
        </w:rPr>
        <w:footnoteReference w:id="1748"/>
      </w:r>
      <w:r>
        <w:rPr>
          <w:rFonts w:ascii="Amiri" w:hAnsi="Amiri" w:eastAsia="Amiri" w:cs="Amiri"/>
          <w:color w:val="111111"/>
          <w:sz w:val="28"/>
          <w:sz w:val="28"/>
          <w:szCs w:val="28"/>
          <w:rtl w:val="true"/>
          <w:lang w:bidi="ar-SA"/>
        </w:rPr>
        <w:t>في الباقي ، عملا بالأمر المذكور على حسب الإمكان ، ولعدم سقوط الميسور بالمعسور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w:t>
      </w:r>
      <w:r>
        <w:rPr>
          <w:rStyle w:val="FootnoteAnchor"/>
          <w:rtl w:val="true"/>
        </w:rPr>
        <w:footnoteReference w:id="1749"/>
      </w:r>
      <w:r>
        <w:rPr>
          <w:rFonts w:ascii="Amiri" w:hAnsi="Amiri" w:eastAsia="Amiri" w:cs="Amiri"/>
          <w:color w:val="111111"/>
          <w:sz w:val="28"/>
          <w:sz w:val="28"/>
          <w:szCs w:val="28"/>
          <w:rtl w:val="true"/>
          <w:lang w:bidi="ar-SA"/>
        </w:rPr>
        <w:t xml:space="preserve">عن جميع ذلك فالصحيحة </w:t>
      </w:r>
      <w:r>
        <w:rPr>
          <w:rStyle w:val="FootnoteAnchor"/>
          <w:rtl w:val="true"/>
        </w:rPr>
        <w:footnoteReference w:id="1750"/>
      </w:r>
      <w:r>
        <w:rPr>
          <w:rFonts w:ascii="Amiri" w:hAnsi="Amiri" w:eastAsia="Amiri" w:cs="Amiri"/>
          <w:color w:val="111111"/>
          <w:sz w:val="28"/>
          <w:sz w:val="28"/>
          <w:szCs w:val="28"/>
          <w:rtl w:val="true"/>
          <w:lang w:bidi="ar-SA"/>
        </w:rPr>
        <w:t>المتقدّمة المؤيّدة بعمل الأصحاب بل الإجماع المذكور كاف فيه لو سلّمنا قضاء الأصل بخلافه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دليل على تغليب جانب الفساد مطلقا بل ينبغي الحكم بالفساد فيما يقبل الصحة </w:t>
      </w:r>
      <w:r>
        <w:rPr>
          <w:rStyle w:val="FootnoteAnchor"/>
          <w:rtl w:val="true"/>
        </w:rPr>
        <w:footnoteReference w:id="1751"/>
      </w:r>
      <w:r>
        <w:rPr>
          <w:rFonts w:ascii="Amiri" w:hAnsi="Amiri" w:eastAsia="Amiri" w:cs="Amiri"/>
          <w:color w:val="111111"/>
          <w:sz w:val="28"/>
          <w:sz w:val="28"/>
          <w:szCs w:val="28"/>
          <w:rtl w:val="true"/>
          <w:lang w:bidi="ar-SA"/>
        </w:rPr>
        <w:t>في غيره ، والحكم بالفساد في تزويج الأختين والبنت والأم بعقد واحد من جهة قيام الدليل عليه ولا يحكم في نظائره إلّا بالفساد ولا قاضي به في المقام</w:t>
      </w:r>
      <w:r>
        <w:rPr>
          <w:rFonts w:eastAsia="Amiri" w:cs="Amiri" w:ascii="Amiri" w:hAnsi="Amiri"/>
          <w:color w:val="111111"/>
          <w:sz w:val="28"/>
          <w:szCs w:val="28"/>
          <w:rtl w:val="true"/>
          <w:lang w:bidi="ar-SA"/>
        </w:rPr>
        <w:t xml:space="preserve">. </w:t>
      </w:r>
      <w:bookmarkStart w:id="222" w:name="pg15853_153593"/>
    </w:p>
    <w:p>
      <w:pPr>
        <w:pStyle w:val="BookText"/>
        <w:rPr/>
      </w:pPr>
      <w:bookmarkEnd w:id="222"/>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اريد بذلك عدم قيام دليل خاص عليه فمسلّم ولا يلزمه انتفاء الدليل مطلقا ، وإن أريد عدم قيام دليل عليه مطلقا فهو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والعمومات حجّة قائمة في المقام كافية في إثبات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العقد الواقع وإن كان شيئا واحدا إلّا انّه يتعدّد متعلقاته ، فلا مانع من صحّته بالنسبة إلى بعض وفساده بالنسبة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أجازه الآخر فلا خيار للمشتري وإن كان جاهلا بالحال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تراخى زمان إجازته احتمل ثبوت الخيار </w:t>
      </w:r>
      <w:r>
        <w:rPr>
          <w:rStyle w:val="FootnoteAnchor"/>
          <w:rtl w:val="true"/>
        </w:rPr>
        <w:footnoteReference w:id="1752"/>
      </w:r>
      <w:r>
        <w:rPr>
          <w:rFonts w:ascii="Amiri" w:hAnsi="Amiri" w:eastAsia="Amiri" w:cs="Amiri"/>
          <w:color w:val="111111"/>
          <w:sz w:val="28"/>
          <w:sz w:val="28"/>
          <w:szCs w:val="28"/>
          <w:rtl w:val="true"/>
          <w:lang w:bidi="ar-SA"/>
        </w:rPr>
        <w:t>على ما مرّ الكلام فيه في مسألة الفضولي ، وإن ردّه الآخر ثبت الخيار للمشتري مع جهله بالحال لتبعّض الصفقة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البائع فالظاهر ثبوت الخيار له في الصورتين مع جهله عن الغير </w:t>
      </w:r>
      <w:r>
        <w:rPr>
          <w:rStyle w:val="FootnoteAnchor"/>
          <w:rtl w:val="true"/>
        </w:rPr>
        <w:footnoteReference w:id="1753"/>
      </w:r>
      <w:r>
        <w:rPr>
          <w:rFonts w:ascii="Amiri" w:hAnsi="Amiri" w:eastAsia="Amiri" w:cs="Amiri"/>
          <w:color w:val="111111"/>
          <w:sz w:val="28"/>
          <w:sz w:val="28"/>
          <w:szCs w:val="28"/>
          <w:rtl w:val="true"/>
          <w:lang w:bidi="ar-SA"/>
        </w:rPr>
        <w:t xml:space="preserve">واعتقاده تملك الجميع من جهة تبعض الصفقة ، ومع العلم بالحال وفلا </w:t>
      </w:r>
      <w:r>
        <w:rPr>
          <w:rStyle w:val="FootnoteAnchor"/>
          <w:rtl w:val="true"/>
        </w:rPr>
        <w:footnoteReference w:id="1754"/>
      </w:r>
      <w:r>
        <w:rPr>
          <w:rFonts w:ascii="Amiri" w:hAnsi="Amiri" w:eastAsia="Amiri" w:cs="Amiri"/>
          <w:color w:val="111111"/>
          <w:sz w:val="28"/>
          <w:sz w:val="28"/>
          <w:szCs w:val="28"/>
          <w:rtl w:val="true"/>
          <w:lang w:bidi="ar-SA"/>
        </w:rPr>
        <w:t>خيار للعالم مطلقا</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4587195_2142443653"/>
      <w:bookmarkStart w:id="224" w:name="_Toc80"/>
      <w:bookmarkEnd w:id="223"/>
      <w:r>
        <w:rPr>
          <w:rtl w:val="true"/>
        </w:rPr>
        <w:t xml:space="preserve">[ </w:t>
      </w:r>
      <w:r>
        <w:rPr>
          <w:rtl w:val="true"/>
        </w:rPr>
        <w:t xml:space="preserve">تتميم </w:t>
      </w:r>
      <w:r>
        <w:rPr>
          <w:rtl w:val="true"/>
        </w:rPr>
        <w:t>]</w:t>
      </w:r>
      <w:bookmarkEnd w:id="224"/>
    </w:p>
    <w:p>
      <w:pPr>
        <w:pStyle w:val="BookText"/>
        <w:rPr/>
      </w:pPr>
      <w:r>
        <w:rPr>
          <w:rFonts w:ascii="Amiri" w:hAnsi="Amiri" w:eastAsia="Amiri" w:cs="Amiri"/>
          <w:color w:val="111111"/>
          <w:sz w:val="28"/>
          <w:sz w:val="28"/>
          <w:szCs w:val="28"/>
          <w:rtl w:val="true"/>
          <w:lang w:bidi="ar-SA"/>
        </w:rPr>
        <w:t xml:space="preserve">ولنتمم الكلام في المرام برسم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لم يجز المالك الآخر بطل البيع في ملكه ، وصحّ في المملوك بقسطه من الثمن ، فان كان المبيع ممّا لا يختلف الحال فيه من جهة الانضمام إلى الآخر وعدمه فلا إشكال في التقسيط ، فإنّهما يقومان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وينسب قيمة المملوك إليهما </w:t>
      </w:r>
      <w:r>
        <w:rPr>
          <w:rStyle w:val="FootnoteAnchor"/>
          <w:rtl w:val="true"/>
        </w:rPr>
        <w:footnoteReference w:id="1755"/>
      </w:r>
      <w:r>
        <w:rPr>
          <w:rFonts w:ascii="Amiri" w:hAnsi="Amiri" w:eastAsia="Amiri" w:cs="Amiri"/>
          <w:color w:val="111111"/>
          <w:sz w:val="28"/>
          <w:sz w:val="28"/>
          <w:szCs w:val="28"/>
          <w:rtl w:val="true"/>
          <w:lang w:bidi="ar-SA"/>
        </w:rPr>
        <w:t>، ويؤخذ بنسبته من الثمن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للانضمام مدخليّة في زيارة القيمة كمصراعي باب وزوجي نعل فقد اختلف فيه كلام الأصحاب ، فظاهر إطلاق جماعة عدم الفرق بينه وبين الأوّل ، فيقومان معا </w:t>
      </w:r>
    </w:p>
    <w:p>
      <w:pPr>
        <w:pStyle w:val="BookText"/>
        <w:rPr/>
      </w:pPr>
      <w:r>
        <w:rPr>
          <w:rFonts w:ascii="Amiri" w:hAnsi="Amiri" w:eastAsia="Amiri" w:cs="Amiri"/>
          <w:color w:val="111111"/>
          <w:sz w:val="28"/>
          <w:sz w:val="28"/>
          <w:szCs w:val="28"/>
          <w:rtl w:val="true"/>
          <w:lang w:bidi="ar-SA"/>
        </w:rPr>
        <w:t>وينسب قيمة المملوك إليهما ويؤخذ بنسبته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في الروضة </w:t>
      </w:r>
      <w:r>
        <w:rPr>
          <w:rStyle w:val="FootnoteAnchor"/>
          <w:rtl w:val="true"/>
        </w:rPr>
        <w:footnoteReference w:id="1756"/>
      </w:r>
      <w:r>
        <w:rPr>
          <w:rFonts w:ascii="Amiri" w:hAnsi="Amiri" w:eastAsia="Amiri" w:cs="Amiri"/>
          <w:color w:val="111111"/>
          <w:sz w:val="28"/>
          <w:sz w:val="28"/>
          <w:szCs w:val="28"/>
          <w:rtl w:val="true"/>
          <w:lang w:bidi="ar-SA"/>
        </w:rPr>
        <w:t>بأنّه لا يستحق مالك كلّ واحد ماله إلّا منفردا ، فكيف يقومان معا؟ أراد بذلك أنّه ينبغي أن يقع التقويم على نحو الملكيّة ، فإذا لم يملك كلّ منهما ماله إلّا منفردا فلا وجه لتقويمها منضمّين واعتبار قيمة الانضمام ، بل ينبغي أن يقوم كلّ منهما منفردا ، وينسب قيمة المملوك إلى مجموع القيمتين ويؤخذ له من الثمن بتلك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القول الثاني ، وقد قوّاه في الرياض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احتمل الوجه الأوّل في الروضة فيما إذا كان العينان لمالك واحد ، وقد باعهما الفضول عنه ، فأجاز البيع في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عدم استحقاق كلّ منهما لماله إلا منفردا لا يقضي وقوع التقويم </w:t>
      </w:r>
      <w:r>
        <w:rPr>
          <w:rStyle w:val="FootnoteAnchor"/>
          <w:rtl w:val="true"/>
        </w:rPr>
        <w:footnoteReference w:id="1758"/>
      </w:r>
      <w:r>
        <w:rPr>
          <w:rFonts w:ascii="Amiri" w:hAnsi="Amiri" w:eastAsia="Amiri" w:cs="Amiri"/>
          <w:color w:val="111111"/>
          <w:sz w:val="28"/>
          <w:sz w:val="28"/>
          <w:szCs w:val="28"/>
          <w:rtl w:val="true"/>
          <w:lang w:bidi="ar-SA"/>
        </w:rPr>
        <w:t xml:space="preserve">مع الانفراد ؛ إذ ليس المقصود من تقويم الأمرين معرفة قيمة المالين على ما يستحق </w:t>
      </w:r>
      <w:r>
        <w:rPr>
          <w:rStyle w:val="FootnoteAnchor"/>
          <w:rtl w:val="true"/>
        </w:rPr>
        <w:footnoteReference w:id="1759"/>
      </w:r>
      <w:r>
        <w:rPr>
          <w:rFonts w:ascii="Amiri" w:hAnsi="Amiri" w:eastAsia="Amiri" w:cs="Amiri"/>
          <w:color w:val="111111"/>
          <w:sz w:val="28"/>
          <w:sz w:val="28"/>
          <w:szCs w:val="28"/>
          <w:rtl w:val="true"/>
          <w:lang w:bidi="ar-SA"/>
        </w:rPr>
        <w:t>المالكان إذ لا ربط له بالمقام بل الملحوظ صحّة ما وقع العقد عليه وقيمت ما خلّص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ما وقع العقد عليه هو المجموع ، وما خلّص للمشتري هو البعض يتعرف </w:t>
      </w:r>
      <w:r>
        <w:rPr>
          <w:rStyle w:val="FootnoteAnchor"/>
          <w:rtl w:val="true"/>
        </w:rPr>
        <w:footnoteReference w:id="1760"/>
      </w:r>
      <w:r>
        <w:rPr>
          <w:rFonts w:ascii="Amiri" w:hAnsi="Amiri" w:eastAsia="Amiri" w:cs="Amiri"/>
          <w:color w:val="111111"/>
          <w:sz w:val="28"/>
          <w:sz w:val="28"/>
          <w:szCs w:val="28"/>
          <w:rtl w:val="true"/>
          <w:lang w:bidi="ar-SA"/>
        </w:rPr>
        <w:t>بنسبتها إلى الأوّل مقدار ما وقع من الثمن المذكور في العقد بإزائه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قضية </w:t>
      </w:r>
      <w:r>
        <w:rPr>
          <w:rStyle w:val="FootnoteAnchor"/>
          <w:rtl w:val="true"/>
        </w:rPr>
        <w:footnoteReference w:id="1761"/>
      </w:r>
      <w:r>
        <w:rPr>
          <w:rFonts w:ascii="Amiri" w:hAnsi="Amiri" w:eastAsia="Amiri" w:cs="Amiri"/>
          <w:color w:val="111111"/>
          <w:sz w:val="28"/>
          <w:sz w:val="28"/>
          <w:szCs w:val="28"/>
          <w:rtl w:val="true"/>
          <w:lang w:bidi="ar-SA"/>
        </w:rPr>
        <w:t xml:space="preserve">عدم استحقاق البائع لماله إلّا متفرّدا أن لا يستحق من الثمن ما يقع بإزاء الانضمام ، وهذا قضية الوجه المتقدم في التقسيط لسقوطه </w:t>
      </w:r>
      <w:r>
        <w:rPr>
          <w:rStyle w:val="FootnoteAnchor"/>
          <w:rtl w:val="true"/>
        </w:rPr>
        <w:footnoteReference w:id="1762"/>
      </w:r>
      <w:r>
        <w:rPr>
          <w:rFonts w:ascii="Amiri" w:hAnsi="Amiri" w:eastAsia="Amiri" w:cs="Amiri"/>
          <w:color w:val="111111"/>
          <w:sz w:val="28"/>
          <w:sz w:val="28"/>
          <w:szCs w:val="28"/>
          <w:rtl w:val="true"/>
          <w:lang w:bidi="ar-SA"/>
        </w:rPr>
        <w:t>كسقوط ما يقابل الجزء الأخير دون ما ذكر من الوجه ، فالتعليل المذكور قاض بفساده على عكس ما رامه المستدلّ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أورد عليه بأنّه إذا كان المشتري جاهلا بالحال وبذل الثمن بإزاء المجموع من </w:t>
      </w:r>
    </w:p>
    <w:p>
      <w:pPr>
        <w:pStyle w:val="BookText"/>
        <w:rPr/>
      </w:pPr>
      <w:r>
        <w:rPr>
          <w:rFonts w:ascii="Amiri" w:hAnsi="Amiri" w:eastAsia="Amiri" w:cs="Amiri"/>
          <w:color w:val="111111"/>
          <w:sz w:val="28"/>
          <w:sz w:val="28"/>
          <w:szCs w:val="28"/>
          <w:rtl w:val="true"/>
          <w:lang w:bidi="ar-SA"/>
        </w:rPr>
        <w:t xml:space="preserve">حيث المجموع ، فالأخذ بالنسبة إلى مجموع قيمتهما منفردين </w:t>
      </w:r>
      <w:r>
        <w:rPr>
          <w:rStyle w:val="FootnoteAnchor"/>
          <w:rtl w:val="true"/>
        </w:rPr>
        <w:footnoteReference w:id="1763"/>
      </w:r>
      <w:r>
        <w:rPr>
          <w:rFonts w:ascii="Amiri" w:hAnsi="Amiri" w:eastAsia="Amiri" w:cs="Amiri"/>
          <w:color w:val="111111"/>
          <w:sz w:val="28"/>
          <w:sz w:val="28"/>
          <w:szCs w:val="28"/>
          <w:rtl w:val="true"/>
          <w:lang w:bidi="ar-SA"/>
        </w:rPr>
        <w:t>ظلم على المشتري وحيف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حسن إلّا أنّه منقوض بالظلم على البائع لو أخذ بالنسبة إلى مجموع قيمتهما مجتمعين مع عدم تقصيره وإتلافه شيئا على المشتري ، وإنّما أراد </w:t>
      </w:r>
      <w:r>
        <w:rPr>
          <w:rStyle w:val="FootnoteAnchor"/>
          <w:rtl w:val="true"/>
        </w:rPr>
        <w:footnoteReference w:id="1764"/>
      </w:r>
      <w:r>
        <w:rPr>
          <w:rFonts w:ascii="Amiri" w:hAnsi="Amiri" w:eastAsia="Amiri" w:cs="Amiri"/>
          <w:color w:val="111111"/>
          <w:sz w:val="28"/>
          <w:sz w:val="28"/>
          <w:szCs w:val="28"/>
          <w:rtl w:val="true"/>
          <w:lang w:bidi="ar-SA"/>
        </w:rPr>
        <w:t xml:space="preserve">شيئا لم يسلم له ، فإلحاقه بالغاصب حينئذ في ضمان الصيغة </w:t>
      </w:r>
      <w:r>
        <w:rPr>
          <w:rStyle w:val="FootnoteAnchor"/>
          <w:rtl w:val="true"/>
        </w:rPr>
        <w:footnoteReference w:id="1765"/>
      </w:r>
      <w:r>
        <w:rPr>
          <w:rFonts w:ascii="Amiri" w:hAnsi="Amiri" w:eastAsia="Amiri" w:cs="Amiri"/>
          <w:color w:val="111111"/>
          <w:sz w:val="28"/>
          <w:sz w:val="28"/>
          <w:szCs w:val="28"/>
          <w:rtl w:val="true"/>
          <w:lang w:bidi="ar-SA"/>
        </w:rPr>
        <w:t>ليس في محلّه مع براءة ذمته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من لزوم الظلم على المشتري على الوجه الأول فيما إذا كان المشتري جاهلا بالحال وبذل الثمن بإزاء المجموع ففيه </w:t>
      </w:r>
      <w:r>
        <w:rPr>
          <w:rStyle w:val="FootnoteAnchor"/>
          <w:rtl w:val="true"/>
        </w:rPr>
        <w:footnoteReference w:id="1766"/>
      </w:r>
      <w:r>
        <w:rPr>
          <w:rFonts w:ascii="Amiri" w:hAnsi="Amiri" w:eastAsia="Amiri" w:cs="Amiri"/>
          <w:color w:val="111111"/>
          <w:sz w:val="28"/>
          <w:sz w:val="28"/>
          <w:szCs w:val="28"/>
          <w:rtl w:val="true"/>
          <w:lang w:bidi="ar-SA"/>
        </w:rPr>
        <w:t xml:space="preserve">أنّه لا فرق في ذلك على فرض صحته من </w:t>
      </w:r>
      <w:r>
        <w:rPr>
          <w:rStyle w:val="FootnoteAnchor"/>
          <w:rtl w:val="true"/>
        </w:rPr>
        <w:footnoteReference w:id="1767"/>
      </w:r>
      <w:r>
        <w:rPr>
          <w:rFonts w:ascii="Amiri" w:hAnsi="Amiri" w:eastAsia="Amiri" w:cs="Amiri"/>
          <w:color w:val="111111"/>
          <w:sz w:val="28"/>
          <w:sz w:val="28"/>
          <w:szCs w:val="28"/>
          <w:rtl w:val="true"/>
          <w:lang w:bidi="ar-SA"/>
        </w:rPr>
        <w:t xml:space="preserve">علمه بالحال وجهله ؛ إذ مع العلم لم يبذل </w:t>
      </w:r>
      <w:r>
        <w:rPr>
          <w:rStyle w:val="FootnoteAnchor"/>
          <w:rtl w:val="true"/>
        </w:rPr>
        <w:footnoteReference w:id="1768"/>
      </w:r>
      <w:r>
        <w:rPr>
          <w:rFonts w:ascii="Amiri" w:hAnsi="Amiri" w:eastAsia="Amiri" w:cs="Amiri"/>
          <w:color w:val="111111"/>
          <w:sz w:val="28"/>
          <w:sz w:val="28"/>
          <w:szCs w:val="28"/>
          <w:rtl w:val="true"/>
          <w:lang w:bidi="ar-SA"/>
        </w:rPr>
        <w:t>الثمن على الأجزاء إلّا بمقتضى التقسيط ، فغاية الأمر أن يكون عالما بعدم خلوص الاجتماع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لا يقضي ببذل العوض بإزائه مع عدم حصوله ، فلا فارق بين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 من نقضه بالظلم على البائع لو أخذ قيمتها مجتمعين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غير متّجه ؛ إذ ليس المقصود من ذلك تضمينه للصفة الفائتة ؛ إذ لا داعي لتوهم ذلك في المقام ، بل المقصود أنّه لما باع ما يملكه مع صفة </w:t>
      </w:r>
      <w:r>
        <w:rPr>
          <w:rStyle w:val="FootnoteAnchor"/>
          <w:rtl w:val="true"/>
        </w:rPr>
        <w:footnoteReference w:id="1769"/>
      </w:r>
      <w:r>
        <w:rPr>
          <w:rFonts w:ascii="Amiri" w:hAnsi="Amiri" w:eastAsia="Amiri" w:cs="Amiri"/>
          <w:color w:val="111111"/>
          <w:sz w:val="28"/>
          <w:sz w:val="28"/>
          <w:szCs w:val="28"/>
          <w:rtl w:val="true"/>
          <w:lang w:bidi="ar-SA"/>
        </w:rPr>
        <w:t>الانضمام إلى الآخر ولم يسلم إلى المشتري إلى ما يملكه منفردا لزم إسقاط ما يقع بإزاء العين الأخرى ، وما يقع بإزاء الانضمام الفائت على المشتري ، وعدم كونه هو السبب في فوته لا يقضي بأخذ شي‌ء ممّا يقابله ومع عدم ثبوت ذلك له أولا ، ولا حصوله للمشتري بعد ضمّه إلى الآخر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العقد إنّما تعلّق بالأمرين ، فالمبيع إنّما هو المجموع ، فإذا </w:t>
      </w:r>
    </w:p>
    <w:p>
      <w:pPr>
        <w:pStyle w:val="BookText"/>
        <w:rPr/>
      </w:pPr>
      <w:r>
        <w:rPr>
          <w:rFonts w:ascii="Amiri" w:hAnsi="Amiri" w:eastAsia="Amiri" w:cs="Amiri"/>
          <w:color w:val="111111"/>
          <w:sz w:val="28"/>
          <w:sz w:val="28"/>
          <w:szCs w:val="28"/>
          <w:rtl w:val="true"/>
          <w:lang w:bidi="ar-SA"/>
        </w:rPr>
        <w:t xml:space="preserve">أريد معرفة ما يقع من الثمن بإزاء أجزائه فلا بدّ من أن يعلم قيمة الكلّ وقيمة ذلك الجزء الّذي يراد استعلام ماله على الوجه الّذي وقع العقد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قيمته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الانضمام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قيمة ذلك الجزء المنضمّ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وقع العقد عليه لا قيمته منفردا عن الآخر حسبما تخلص للمشتري ، فإنّ ذلك غير ما وقع العقد عليه ، وخلوصه كذلك للمشتري لا يقضي بوقوع العقد عليه كذلك ، فلا وجه في ملاحظته في المقام ، فلا بدّ من ملاحظته على الوجه الّذي ذكرناه ، فينسب ذلك إلى قيمة المجموع ، ويؤخذ من الثمن بتلك النسبة ، فيتعين بذلك ما وقع بإزائه من الثمن في ذلك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خلوص الصفة للمشتري لا يقضي بسقوط شي‌ء من الثمن بإزائها ؛ لما تقرّر عندهم من عدم تقسيط الثمن على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اتّفقوا على عدم إسقاط شي‌ء من الثمن بإزاء الأوصاف في خيار الوصف والتدليس ، وإنّما يتخيّر بين الردّ والأخذ بمجموع الثمن ، فلا ظلم على البائع ولا المشتري مع ملاحظة الانضمام في التقويم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وحصول الزيادة في القيمة بحسب الصفة الغير الحاصلة للمشتري لا يقضي بظلم عليه كما لا يقضي به في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وانجبار الظلم هناك بالخيار جار في المقام ؛ لحصول الخيار له مع جهله بالحال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العلم فإنّما جاء الضرر عليه من جهة إقدامه ، فلا ظلم عليه من قبل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قرّرنا يظهر ضعف ما قد يتخيّل من أنّ المالك لا يستحقّ إلّا قيمة ماله منفردا ، فلا وجه لاستحقاق </w:t>
      </w:r>
      <w:r>
        <w:rPr>
          <w:rStyle w:val="FootnoteAnchor"/>
          <w:rtl w:val="true"/>
        </w:rPr>
        <w:footnoteReference w:id="1770"/>
      </w:r>
      <w:r>
        <w:rPr>
          <w:rFonts w:ascii="Amiri" w:hAnsi="Amiri" w:eastAsia="Amiri" w:cs="Amiri"/>
          <w:color w:val="111111"/>
          <w:sz w:val="28"/>
          <w:sz w:val="28"/>
          <w:szCs w:val="28"/>
          <w:rtl w:val="true"/>
          <w:lang w:bidi="ar-SA"/>
        </w:rPr>
        <w:t>ما بازاء الانضمام ؛ إذ قد عرفت أنّه لا يقع شي‌ء من الثمن بازاء الوصف المذكور وإن كان باعثا على مزيد القيمة كسائر الأوصاف</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من الوجه هو قضيّة ما ذكره في الروضة ؛ فإنّ مقتضى ملاحظتهما منفردين هو تقسيط الزيادة الحاصلة من جهة الانضمام الحاصل في العقد على ما يقع من الثمن </w:t>
      </w:r>
    </w:p>
    <w:p>
      <w:pPr>
        <w:pStyle w:val="BookText"/>
        <w:rPr/>
      </w:pPr>
      <w:r>
        <w:rPr>
          <w:rFonts w:ascii="Amiri" w:hAnsi="Amiri" w:eastAsia="Amiri" w:cs="Amiri"/>
          <w:color w:val="111111"/>
          <w:sz w:val="28"/>
          <w:sz w:val="28"/>
          <w:szCs w:val="28"/>
          <w:rtl w:val="true"/>
          <w:lang w:bidi="ar-SA"/>
        </w:rPr>
        <w:t xml:space="preserve">بإزاء كلّ من العينين ، فيؤخذ بمجموع الأمرين على حسب ما ذكره </w:t>
      </w:r>
      <w:r>
        <w:rPr>
          <w:rStyle w:val="FootnoteAnchor"/>
          <w:rtl w:val="true"/>
        </w:rPr>
        <w:footnoteReference w:id="1771"/>
      </w:r>
      <w:r>
        <w:rPr>
          <w:rFonts w:ascii="Amiri" w:hAnsi="Amiri" w:eastAsia="Amiri" w:cs="Amiri"/>
          <w:color w:val="111111"/>
          <w:sz w:val="28"/>
          <w:sz w:val="28"/>
          <w:szCs w:val="28"/>
          <w:rtl w:val="true"/>
          <w:lang w:bidi="ar-SA"/>
        </w:rPr>
        <w:t>وإن اختلف الحال في ظاهر التقرير بين الوجهين ، فالمرجع فيهما واحد وإن كان ما ذكر من التقرير أوضح ؛ لاتّضاح الوجه في المسألة من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الزيادة الحاصلة من جهة الانضمام متساوية النسبة إلى قيمة الأمرين فالحال على ما ذكر ، وأما إذا اختلفت الحال فيها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المقام أنّ تفاوت القيمة مع الانضمام وعدمه إمّا أن يكون بالزيادة أو النقيصة أو بهما معا بأن يقضي بالزيادة في أحدهما والنقصية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الأوّلين فإمّا أن تكون تلك الزيادة أو النقيصة مختصّة بأحد القسمين أو مشتركة بينهما على واحد بالنسبة إلى العينين أو القيمتين أو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 يمكن جريان الوجوه المذكورة فيما إذا كان المبيع أمورا ثلاثة أو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من عدم الفرق بين الوجهين إنّما يتم فيما إذا كانت الزيادة أو النقيصة مشتركة بينهما متساوية النسبة إلى القسمين </w:t>
      </w:r>
      <w:r>
        <w:rPr>
          <w:rStyle w:val="FootnoteAnchor"/>
          <w:rtl w:val="true"/>
        </w:rPr>
        <w:footnoteReference w:id="1772"/>
      </w:r>
      <w:r>
        <w:rPr>
          <w:rFonts w:ascii="Amiri" w:hAnsi="Amiri" w:eastAsia="Amiri" w:cs="Amiri"/>
          <w:color w:val="111111"/>
          <w:sz w:val="28"/>
          <w:sz w:val="28"/>
          <w:szCs w:val="28"/>
          <w:rtl w:val="true"/>
          <w:lang w:bidi="ar-SA"/>
        </w:rPr>
        <w:t xml:space="preserve">دون ساير الأقسام ، فلا يتم الأخذ بما ذكره في التقسيط شي‌ء منهما </w:t>
      </w:r>
      <w:r>
        <w:rPr>
          <w:rStyle w:val="FootnoteAnchor"/>
          <w:rtl w:val="true"/>
        </w:rPr>
        <w:footnoteReference w:id="1773"/>
      </w:r>
      <w:r>
        <w:rPr>
          <w:rFonts w:ascii="IRNazanin" w:hAnsi="IRNazanin" w:eastAsia="IRNazanin"/>
          <w:color w:val="111111"/>
          <w:sz w:val="28"/>
          <w:sz w:val="28"/>
          <w:szCs w:val="28"/>
          <w:rtl w:val="true"/>
          <w:lang w:bidi="fa-IR"/>
        </w:rPr>
        <w:t>بخلاف ما قرّرناه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اتّضح بما ذكرناه ضعف الوجه الأوّل أيضا وأنّه أضعف من الثاني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 في كيفيّة التقسيط إنّما يرجع إليه فيما إذا كان المبيع قيميّا ولم تكن تلك المالكين له على نحو الإشاعة ، وأمّا إذا كان مثليّا متساوي الأجزاء فلا حاجة إلى ما ذكر ، بل يؤخذ بنسبة </w:t>
      </w:r>
      <w:r>
        <w:rPr>
          <w:rStyle w:val="FootnoteAnchor"/>
          <w:rtl w:val="true"/>
        </w:rPr>
        <w:footnoteReference w:id="1774"/>
      </w:r>
      <w:r>
        <w:rPr>
          <w:rFonts w:ascii="Amiri" w:hAnsi="Amiri" w:eastAsia="Amiri" w:cs="Amiri"/>
          <w:color w:val="111111"/>
          <w:sz w:val="28"/>
          <w:sz w:val="28"/>
          <w:szCs w:val="28"/>
          <w:rtl w:val="true"/>
          <w:lang w:bidi="ar-SA"/>
        </w:rPr>
        <w:t>مقدار أحدهما إلى الجميع ، ولو كان مشاعا بينهما أخذ من الثمن بنسبة الإشاعة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التأمل في ذلك يعلم قوة ما ذكرناه من الوجه في التقسيط ؛ إذ قد يختلف القيمة بالنسبة إلى البعض والكلّ في هاتين الصورتين أيضا ، وما ذكر من الوجه مطابق لما قرّرناه </w:t>
      </w:r>
    </w:p>
    <w:p>
      <w:pPr>
        <w:pStyle w:val="BookText"/>
        <w:rPr/>
      </w:pPr>
      <w:r>
        <w:rPr>
          <w:rFonts w:ascii="Amiri" w:hAnsi="Amiri" w:eastAsia="Amiri" w:cs="Amiri"/>
          <w:color w:val="111111"/>
          <w:sz w:val="28"/>
          <w:sz w:val="28"/>
          <w:szCs w:val="28"/>
          <w:rtl w:val="true"/>
          <w:lang w:bidi="ar-SA"/>
        </w:rPr>
        <w:t>هناك ،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يفتقر إلى التقسيط مع عدم إجازة الآخر كذا لا بدّ منه مع إجازته أيضا ليتبيّن به مقدار ما يستحقّه كلّ منهما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المختار لا فرق في كيفية التقسيط بين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غيره فلا يبعد الفرق لعدم فوات وصف الانضمام على تقدير الإجازة بخلاف غيره ، وقد حكي ذلك عن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القول بعدم الفرق ؛ نظرا إلى أنّ صفة الاجتماع ليست مملوكة لأحدهما وإنّما جاءت بالعارض ، فلا فرق بين حصوله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حكي ذلك أيضا عن البعض ، ولا يخلو عن ضعف ؛ إذ المدار في المقام على اختلاف القيمة في </w:t>
      </w:r>
      <w:r>
        <w:rPr>
          <w:rStyle w:val="FootnoteAnchor"/>
          <w:rtl w:val="true"/>
        </w:rPr>
        <w:footnoteReference w:id="1775"/>
      </w:r>
      <w:r>
        <w:rPr>
          <w:rFonts w:ascii="Amiri" w:hAnsi="Amiri" w:eastAsia="Amiri" w:cs="Amiri"/>
          <w:color w:val="111111"/>
          <w:sz w:val="28"/>
          <w:sz w:val="28"/>
          <w:szCs w:val="28"/>
          <w:rtl w:val="true"/>
          <w:lang w:bidi="ar-SA"/>
        </w:rPr>
        <w:t xml:space="preserve">أن جاءت الصفة الباعثة على الاختلاف بالعارض ، كيف ولو كان الحال على ما ذكر يجري فيما إذا كان العقد من الوكيلين أو الوليين أو الأصل والوكيل أو الولي ، والتزام ذلك منها </w:t>
      </w:r>
      <w:r>
        <w:rPr>
          <w:rStyle w:val="FootnoteAnchor"/>
          <w:rtl w:val="true"/>
        </w:rPr>
        <w:footnoteReference w:id="1776"/>
      </w:r>
      <w:r>
        <w:rPr>
          <w:rFonts w:ascii="Amiri" w:hAnsi="Amiri" w:eastAsia="Amiri" w:cs="Amiri"/>
          <w:color w:val="111111"/>
          <w:sz w:val="28"/>
          <w:sz w:val="28"/>
          <w:szCs w:val="28"/>
          <w:rtl w:val="true"/>
          <w:lang w:bidi="ar-SA"/>
        </w:rPr>
        <w:t>ممّا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مقطوع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عيّنا بالثمن لكلّ منهما قبل العقد ، ثمّ أوقعا العقد على الكلّ صفقة ، فهل يبني على ما عيّناه أوّلا من غير رجوع إلى التقسيط أو أنّه لا بدّ من التقسيط على النحو المذكور؟ الظاهر الثاني ؛ أخذا بظاهر ما يقتضيه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عيّنا الثمن لكلّ منهما في متن العقد لزم الجري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ملكي شخصين فضولا فأجاز أحدهما دون الآخر كان بمنزلة أن </w:t>
      </w:r>
      <w:r>
        <w:rPr>
          <w:rStyle w:val="FootnoteAnchor"/>
          <w:rtl w:val="true"/>
        </w:rPr>
        <w:footnoteReference w:id="1777"/>
      </w:r>
      <w:r>
        <w:rPr>
          <w:rFonts w:ascii="Amiri" w:hAnsi="Amiri" w:eastAsia="Amiri" w:cs="Amiri"/>
          <w:color w:val="111111"/>
          <w:sz w:val="28"/>
          <w:sz w:val="28"/>
          <w:szCs w:val="28"/>
          <w:rtl w:val="true"/>
          <w:lang w:bidi="ar-SA"/>
        </w:rPr>
        <w:t>باع ملكه وملك غيره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الحال لو باع ملك موكّله أو مولى عليه </w:t>
      </w:r>
      <w:r>
        <w:rPr>
          <w:rStyle w:val="FootnoteAnchor"/>
          <w:rtl w:val="true"/>
        </w:rPr>
        <w:footnoteReference w:id="1778"/>
      </w:r>
      <w:r>
        <w:rPr>
          <w:rFonts w:ascii="Amiri" w:hAnsi="Amiri" w:eastAsia="Amiri" w:cs="Amiri"/>
          <w:color w:val="111111"/>
          <w:sz w:val="28"/>
          <w:sz w:val="28"/>
          <w:szCs w:val="28"/>
          <w:rtl w:val="true"/>
          <w:lang w:bidi="ar-SA"/>
        </w:rPr>
        <w:t xml:space="preserve">مع ملك غيره ، فيجري في ذلك كلّه جميع ما </w:t>
      </w:r>
    </w:p>
    <w:p>
      <w:pPr>
        <w:pStyle w:val="BookText"/>
        <w:rPr/>
      </w:pPr>
      <w:r>
        <w:rPr>
          <w:rFonts w:ascii="Amiri" w:hAnsi="Amiri" w:eastAsia="Amiri" w:cs="Amiri"/>
          <w:color w:val="111111"/>
          <w:sz w:val="28"/>
          <w:sz w:val="28"/>
          <w:szCs w:val="28"/>
          <w:rtl w:val="true"/>
          <w:lang w:bidi="ar-SA"/>
        </w:rPr>
        <w:t>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ملك غيره فضولا فأجاز بعضه جرى فيه أيضا ذلك إن قلنا بجواز الإجازة كذلك ، وإلّا 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ملكه وملك موكّله أو مولاه أو باع ملكي موكّله أو مولييه أو ملك موكّله ومولاه صفقة صح ذلك مع شمول الوكالة لذلك وجرى فيه التقسيط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يثبت له الخيار لو اعتقد أوّلا أنّ الجميع ملكه ثمّ ظهر خلافه أو اعتقد الموكّل كون الكل له ؛ نظرا إلى تبعّض الصفقة الباعثة على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فسخه بتسلّط المشتري أيضا على الفسخ مع جهله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يجري في الثمن ما ذكر في المبيع ، فلو كان بعضه مستحقا للغير صحّ البيع في ملكه ووقف في غيره على إجازة المالك ، فإن أجاز </w:t>
      </w:r>
      <w:r>
        <w:rPr>
          <w:rStyle w:val="FootnoteAnchor"/>
          <w:rtl w:val="true"/>
        </w:rPr>
        <w:footnoteReference w:id="1779"/>
      </w:r>
      <w:r>
        <w:rPr>
          <w:rFonts w:ascii="Amiri" w:hAnsi="Amiri" w:eastAsia="Amiri" w:cs="Amiri"/>
          <w:color w:val="111111"/>
          <w:sz w:val="28"/>
          <w:sz w:val="28"/>
          <w:szCs w:val="28"/>
          <w:rtl w:val="true"/>
          <w:lang w:bidi="ar-SA"/>
        </w:rPr>
        <w:t xml:space="preserve">صحّ في الجميع وإلّا قسط </w:t>
      </w:r>
      <w:r>
        <w:rPr>
          <w:rStyle w:val="FootnoteAnchor"/>
          <w:rtl w:val="true"/>
        </w:rPr>
        <w:footnoteReference w:id="1780"/>
      </w:r>
      <w:r>
        <w:rPr>
          <w:rFonts w:ascii="Amiri" w:hAnsi="Amiri" w:eastAsia="Amiri" w:cs="Amiri"/>
          <w:color w:val="111111"/>
          <w:sz w:val="28"/>
          <w:sz w:val="28"/>
          <w:szCs w:val="28"/>
          <w:rtl w:val="true"/>
          <w:lang w:bidi="ar-SA"/>
        </w:rPr>
        <w:t>المبيع عليهما ، فيصحّ بالنسبة إلى المملوك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في التقسيط ما ذكرناه في تقسيط الثمن إلّا أنّه لمّا كان الغالب في الأثمان النقدين ولم يختلف الحال فيهما غالبا من جهة الانضمام وعدمه لم يحتج هنا إلى التفصيل المتقدّم في التقسيط إلّا من جهة الثمن لما عرفت ، ولا من جهة المبيع لحصول الإشاعة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الثمن من غير النقدين وكان ممّا تختلف القيمة فيه مع الانضمام وعدمه جوّز في تقسيطه على المبيع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يأتي الكلام في الخيار هنا نظير ما قدّمناه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تلف أحد المبيعين أو كلاهما قبل التقويم فتعذّر تقويم التالف ، فإن كان ذلك مع ردّ المالك </w:t>
      </w:r>
      <w:r>
        <w:rPr>
          <w:rStyle w:val="FootnoteAnchor"/>
          <w:rtl w:val="true"/>
        </w:rPr>
        <w:footnoteReference w:id="1781"/>
      </w:r>
      <w:r>
        <w:rPr>
          <w:rFonts w:ascii="Amiri" w:hAnsi="Amiri" w:eastAsia="Amiri" w:cs="Amiri"/>
          <w:color w:val="111111"/>
          <w:sz w:val="28"/>
          <w:sz w:val="28"/>
          <w:szCs w:val="28"/>
          <w:rtl w:val="true"/>
          <w:lang w:bidi="ar-SA"/>
        </w:rPr>
        <w:t>وعدم إجازته فإن كان ماله باقيا أخذه ، وحينئذ فيقع الإشكال في مقدار استحقاق الآخر من الثمن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فيقوم احتمال البناء على الصلح القهرى لثبوت الاستحقاق في الجملة وعدم إمكان التخلّص إلّا بالصلح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البناء على القرعة فإنّها لكلّ أمر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الأظهر فيه البناء على الأقل ، فيؤخذ من الاحتمالات بالنسبة إليه ما يكون قسطه من الثمن أقلّ ؛ أخذا بمقتضى الأصول الشرعيّة حتّى يتحقق المخرج ، والقدر الّذي ثبت انتفاعه إلى البائع واجب على المشتري دفعه إليه هو الأقل ، فيدفع عليه </w:t>
      </w:r>
      <w:r>
        <w:rPr>
          <w:rStyle w:val="FootnoteAnchor"/>
          <w:rtl w:val="true"/>
        </w:rPr>
        <w:footnoteReference w:id="1782"/>
      </w:r>
      <w:r>
        <w:rPr>
          <w:rFonts w:ascii="Amiri" w:hAnsi="Amiri" w:eastAsia="Amiri" w:cs="Amiri"/>
          <w:color w:val="111111"/>
          <w:sz w:val="28"/>
          <w:sz w:val="28"/>
          <w:szCs w:val="28"/>
          <w:rtl w:val="true"/>
          <w:lang w:bidi="ar-SA"/>
        </w:rPr>
        <w:t xml:space="preserve">ما زاد عليه </w:t>
      </w:r>
      <w:r>
        <w:rPr>
          <w:rStyle w:val="FootnoteAnchor"/>
          <w:rtl w:val="true"/>
        </w:rPr>
        <w:footnoteReference w:id="1783"/>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 غير المجاز تالفا سواء تلف الآخر أو لا فإن كان قيميّا لا يمكن استعلام قيمته أشكل الحال فيه أيضا ، ويقوى الأخذ في قيمته بالأقل ؛ أخذا بمقتضى الأصل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يعلم استحقاق أحدهما في الجملة لما زاد على </w:t>
      </w:r>
      <w:r>
        <w:rPr>
          <w:rStyle w:val="FootnoteAnchor"/>
          <w:rtl w:val="true"/>
        </w:rPr>
        <w:footnoteReference w:id="1784"/>
      </w:r>
      <w:r>
        <w:rPr>
          <w:rFonts w:ascii="Amiri" w:hAnsi="Amiri" w:eastAsia="Amiri" w:cs="Amiri"/>
          <w:color w:val="111111"/>
          <w:sz w:val="28"/>
          <w:sz w:val="28"/>
          <w:szCs w:val="28"/>
          <w:rtl w:val="true"/>
          <w:lang w:bidi="ar-SA"/>
        </w:rPr>
        <w:t xml:space="preserve">دفعه من الأقل في المقامين بني على عدمه وبراءة ذمته من وجوب الدفع وإن علم به دار </w:t>
      </w:r>
      <w:r>
        <w:rPr>
          <w:rStyle w:val="FootnoteAnchor"/>
          <w:rtl w:val="true"/>
        </w:rPr>
        <w:footnoteReference w:id="1785"/>
      </w:r>
      <w:r>
        <w:rPr>
          <w:rFonts w:ascii="Amiri" w:hAnsi="Amiri" w:eastAsia="Amiri" w:cs="Amiri"/>
          <w:color w:val="111111"/>
          <w:sz w:val="28"/>
          <w:sz w:val="28"/>
          <w:szCs w:val="28"/>
          <w:rtl w:val="true"/>
          <w:lang w:bidi="ar-SA"/>
        </w:rPr>
        <w:t>بينهما كان كسائر الأموال الدائرة بين شخصين إن كان الثمن عينا معيّنة وكغيره ممّا علم اشتغال الذمّة لأحد الشخصين إن كان كليّا في الذمة ، فيحتمل البناء فيه على الصلح القهري أو القرعة حسبما يأتي في الصورة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ذلك مع اجازة الآخر وإمضائه فلا اشكال في انتقال الثمن إليهما وخروجه عن ملك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فيحتمل البناء على الصلح ، فإن كانا حاضرين كاملين قاما بالصلح ، وإلّا ناب الحاكم عنهما أو عن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البناء فيه على القرعة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فإن انحصر الاحتمالات أقرع بينهما ، وإن لم ينحصر ودار الأمر بين المساواة </w:t>
      </w:r>
    </w:p>
    <w:p>
      <w:pPr>
        <w:pStyle w:val="BookText"/>
        <w:rPr/>
      </w:pPr>
      <w:r>
        <w:rPr>
          <w:rFonts w:ascii="IRNazanin" w:hAnsi="IRNazanin" w:eastAsia="IRNazanin"/>
          <w:color w:val="111111"/>
          <w:sz w:val="28"/>
          <w:sz w:val="28"/>
          <w:szCs w:val="28"/>
          <w:rtl w:val="true"/>
          <w:lang w:bidi="fa-IR"/>
        </w:rPr>
        <w:t xml:space="preserve">والفاضل </w:t>
      </w:r>
      <w:r>
        <w:rPr>
          <w:rStyle w:val="FootnoteAnchor"/>
          <w:rtl w:val="true"/>
        </w:rPr>
        <w:footnoteReference w:id="1786"/>
      </w:r>
      <w:r>
        <w:rPr>
          <w:rFonts w:ascii="Amiri" w:hAnsi="Amiri" w:eastAsia="Amiri" w:cs="Amiri"/>
          <w:color w:val="111111"/>
          <w:sz w:val="28"/>
          <w:sz w:val="28"/>
          <w:szCs w:val="28"/>
          <w:rtl w:val="true"/>
          <w:lang w:bidi="ar-SA"/>
        </w:rPr>
        <w:t xml:space="preserve">أقرع بينهما ، فإن خرجت المساواة فلا كلام </w:t>
      </w:r>
      <w:r>
        <w:rPr>
          <w:rStyle w:val="FootnoteAnchor"/>
          <w:rtl w:val="true"/>
        </w:rPr>
        <w:footnoteReference w:id="1787"/>
      </w:r>
      <w:r>
        <w:rPr>
          <w:rFonts w:ascii="Amiri" w:hAnsi="Amiri" w:eastAsia="Amiri" w:cs="Amiri"/>
          <w:color w:val="111111"/>
          <w:sz w:val="28"/>
          <w:sz w:val="28"/>
          <w:szCs w:val="28"/>
          <w:rtl w:val="true"/>
          <w:lang w:bidi="ar-SA"/>
        </w:rPr>
        <w:t xml:space="preserve">وإلّا أخذ مقدار معين من الاحتمالات وأقرع بينه وبين ما </w:t>
      </w:r>
      <w:r>
        <w:rPr>
          <w:rStyle w:val="FootnoteAnchor"/>
          <w:rtl w:val="true"/>
        </w:rPr>
        <w:footnoteReference w:id="1788"/>
      </w:r>
      <w:r>
        <w:rPr>
          <w:rFonts w:ascii="Amiri" w:hAnsi="Amiri" w:eastAsia="Amiri" w:cs="Amiri"/>
          <w:color w:val="111111"/>
          <w:sz w:val="28"/>
          <w:sz w:val="28"/>
          <w:szCs w:val="28"/>
          <w:rtl w:val="true"/>
          <w:lang w:bidi="ar-SA"/>
        </w:rPr>
        <w:t>ينقص عنه وما يزيد عليه وهكذا إلى أن يتعيّن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باعه نصف الدار وهي مشتركة بينه وبين غيره على النصف انصرف المبيع إلى النصف المملوك له ، ويحتمل أن ينزل على الإشاعة ، فيكون من قبيل بيع المملوك وغيره فيصحّ في الربع الآخر موقوفا على إجازة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يخلو من </w:t>
      </w:r>
      <w:r>
        <w:rPr>
          <w:rStyle w:val="FootnoteAnchor"/>
          <w:rtl w:val="true"/>
        </w:rPr>
        <w:footnoteReference w:id="1789"/>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الحال لو كان له الجميع في الظاهر فباع النصف ، ثمّ ظهر نصفها مستحقا للغير ، فالظاهر انصراف المبيع أيضا إلى ما هو حقّه في الواقع ، فلا ينقص بإثبات ذلك شي‌ء من حقّ المشتري ، وإنّما يأخذ ذلك من البائع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لو أقر الآخر </w:t>
      </w:r>
      <w:r>
        <w:rPr>
          <w:rStyle w:val="FootnoteAnchor"/>
          <w:rtl w:val="true"/>
        </w:rPr>
        <w:footnoteReference w:id="1790"/>
      </w:r>
      <w:r>
        <w:rPr>
          <w:rFonts w:ascii="Amiri" w:hAnsi="Amiri" w:eastAsia="Amiri" w:cs="Amiri"/>
          <w:color w:val="111111"/>
          <w:sz w:val="28"/>
          <w:sz w:val="28"/>
          <w:szCs w:val="28"/>
          <w:rtl w:val="true"/>
          <w:lang w:bidi="ar-SA"/>
        </w:rPr>
        <w:t xml:space="preserve">بنصف الدار وهي مشتركة بينه وبين آخر كذلك ، فهو منزل على الإشاعة ، فتصحّ إقراره في نصف النصف الّذي له دون النصف الّذي لشريكه ، وكذا الحال لو أقرّ </w:t>
      </w:r>
      <w:r>
        <w:rPr>
          <w:rStyle w:val="FootnoteAnchor"/>
          <w:rtl w:val="true"/>
        </w:rPr>
        <w:footnoteReference w:id="1791"/>
      </w:r>
      <w:r>
        <w:rPr>
          <w:rFonts w:ascii="Amiri" w:hAnsi="Amiri" w:eastAsia="Amiri" w:cs="Amiri"/>
          <w:color w:val="111111"/>
          <w:sz w:val="28"/>
          <w:sz w:val="28"/>
          <w:szCs w:val="28"/>
          <w:rtl w:val="true"/>
          <w:lang w:bidi="ar-SA"/>
        </w:rPr>
        <w:t xml:space="preserve">بنصف الدار ثمّ ظهر النصف مستحقا للغير بإفاضه البيّنة ، فيبطل </w:t>
      </w:r>
      <w:r>
        <w:rPr>
          <w:rStyle w:val="FootnoteAnchor"/>
          <w:rtl w:val="true"/>
        </w:rPr>
        <w:footnoteReference w:id="1792"/>
      </w:r>
      <w:r>
        <w:rPr>
          <w:rFonts w:ascii="Amiri" w:hAnsi="Amiri" w:eastAsia="Amiri" w:cs="Amiri"/>
          <w:color w:val="111111"/>
          <w:sz w:val="28"/>
          <w:sz w:val="28"/>
          <w:szCs w:val="28"/>
          <w:rtl w:val="true"/>
          <w:lang w:bidi="ar-SA"/>
        </w:rPr>
        <w:t>بذلك نصف 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يثبته الآخر بني على الإشاعة فيأخذ نصفا من المقر ونصفا من المقر له ، فإذا قبض نصفه وأقرع </w:t>
      </w:r>
      <w:r>
        <w:rPr>
          <w:rStyle w:val="FootnoteAnchor"/>
          <w:rtl w:val="true"/>
        </w:rPr>
        <w:footnoteReference w:id="1793"/>
      </w:r>
      <w:r>
        <w:rPr>
          <w:rFonts w:ascii="Amiri" w:hAnsi="Amiri" w:eastAsia="Amiri" w:cs="Amiri"/>
          <w:color w:val="111111"/>
          <w:sz w:val="28"/>
          <w:sz w:val="28"/>
          <w:szCs w:val="28"/>
          <w:rtl w:val="true"/>
          <w:lang w:bidi="ar-SA"/>
        </w:rPr>
        <w:t>بقي النصف الآخر بين المقر والمقر له نصفين لكلّ منهما الربع في الباقي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الأوّل يثبت للمقر له ثلثا ما في يد المقرّ وله الثلث ؛ لاعترافه بأنّ له جزءين وله جزء </w:t>
      </w:r>
    </w:p>
    <w:p>
      <w:pPr>
        <w:pStyle w:val="BookText"/>
        <w:rPr/>
      </w:pPr>
      <w:r>
        <w:rPr>
          <w:rFonts w:ascii="Amiri" w:hAnsi="Amiri" w:eastAsia="Amiri" w:cs="Amiri"/>
          <w:color w:val="111111"/>
          <w:sz w:val="28"/>
          <w:sz w:val="28"/>
          <w:szCs w:val="28"/>
          <w:rtl w:val="true"/>
          <w:lang w:bidi="ar-SA"/>
        </w:rPr>
        <w:t>واحد ، فيكون الربع الّذي ظلم الشريك بإنكاره حق الآخر تالفا منهما بالنسبة ، ويكون الباقي بينهما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النصف والنصف الآخر للمقرّ له كان إقراره في شأن غيره ، فلا يثبت للمقرّ له بذلك شي‌ء قبل الإقرار ، وبعده يثبت له نصف ما في يد المقرّ ؛ لاعترافه بأنّ له النصف في كلّ جزء ، فيكون ذلك النصف بينهما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قرّرنا يعرف الحال في إقراره لسائر الكسور في الصور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باعه ما فيه حقّ الزكاة من دون ضمانه صحّ في ماله ووقف في سهم الزكاة موقوفا على إجازة الإمام عليه‌السلام أو نائبه في وجه 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فساده بالنسبة إليه من أصله بناء على عدم جواز بيع الزكاة قبل قبضها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الأوّل ؛ أخذا بظاهر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لو كان البائع ممن له الولاية على الزكاة فالظاهر صحّة البيع في الجميع ، ولو ضمن مال الزكاة صح البيع أيضا لتملكه </w:t>
      </w:r>
      <w:r>
        <w:rPr>
          <w:rStyle w:val="FootnoteAnchor"/>
          <w:rtl w:val="true"/>
        </w:rPr>
        <w:footnoteReference w:id="1794"/>
      </w:r>
      <w:r>
        <w:rPr>
          <w:rFonts w:ascii="Amiri" w:hAnsi="Amiri" w:eastAsia="Amiri" w:cs="Amiri"/>
          <w:color w:val="111111"/>
          <w:sz w:val="28"/>
          <w:sz w:val="28"/>
          <w:szCs w:val="28"/>
          <w:rtl w:val="true"/>
          <w:lang w:bidi="ar-SA"/>
        </w:rPr>
        <w:t>لسهم الزكاة وانتقال الحق إلى ذمته ، فلو لم يؤدّ الحق احتمل الفساد بناء على أنّ العامل حينئذ بيع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باعه غافلا من الضمان وعدمه ففيه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الأصل أنّه حينئذ كقصد عدم الضمان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w:t>
      </w:r>
      <w:r>
        <w:rPr>
          <w:rStyle w:val="FootnoteAnchor"/>
          <w:rtl w:val="true"/>
        </w:rPr>
        <w:footnoteReference w:id="1795"/>
      </w:r>
      <w:r>
        <w:rPr>
          <w:rFonts w:ascii="Amiri" w:hAnsi="Amiri" w:eastAsia="Amiri" w:cs="Amiri"/>
          <w:color w:val="111111"/>
          <w:sz w:val="28"/>
          <w:sz w:val="28"/>
          <w:szCs w:val="28"/>
          <w:rtl w:val="true"/>
          <w:lang w:bidi="ar-SA"/>
        </w:rPr>
        <w:t>كان المالك ممّن لا يرى دفع الزكاة كالكافر أو يدفعه إلى غير أهله كالمخالف لم يبعد صحّة البيع في الجميع يسوغ للمشتري التصرف فيه حسبما جرت عليه السيرة العامّة من لدن زمان الأئمّة عليهم‌السلام إلى يومنا هذا من شراء الأموال الزكوية من الكفار وأهل الخلاف والتصرف فيها من دون إخراج سهم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جريان ذلك في أهل الحق إذا علمنا دفعها إلى غير المستحق وجهان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وقضيّة الأصل عدم الجريان نعم ، مع الجهل بالحال لا إشكال ؛ حملا لفعل المسلم على الصحة كما لو جهل الضمان أو الأداء أو ظنّ عدمه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ولو باعه أحد نصب </w:t>
      </w:r>
      <w:r>
        <w:rPr>
          <w:rStyle w:val="FootnoteAnchor"/>
          <w:rtl w:val="true"/>
        </w:rPr>
        <w:footnoteReference w:id="1796"/>
      </w:r>
      <w:r>
        <w:rPr>
          <w:rFonts w:ascii="Amiri" w:hAnsi="Amiri" w:eastAsia="Amiri" w:cs="Amiri"/>
          <w:color w:val="111111"/>
          <w:sz w:val="28"/>
          <w:sz w:val="28"/>
          <w:szCs w:val="28"/>
          <w:rtl w:val="true"/>
          <w:lang w:bidi="ar-SA"/>
        </w:rPr>
        <w:t xml:space="preserve">الأنعام وفيها الزكاة احتمل فساد البيع من أصله ؛ لعدم تعيّن المخرج في الزكاة ، فلا يتعيّن ما يصحّ البيع فيه ، بل وما يستحقه بعد التقسيط بحسب الواقع إذا اختلف </w:t>
      </w:r>
      <w:r>
        <w:rPr>
          <w:rStyle w:val="FootnoteAnchor"/>
          <w:rtl w:val="true"/>
        </w:rPr>
        <w:footnoteReference w:id="1797"/>
      </w:r>
      <w:r>
        <w:rPr>
          <w:rFonts w:ascii="Amiri" w:hAnsi="Amiri" w:eastAsia="Amiri" w:cs="Amiri"/>
          <w:color w:val="111111"/>
          <w:sz w:val="28"/>
          <w:sz w:val="28"/>
          <w:szCs w:val="28"/>
          <w:rtl w:val="true"/>
          <w:lang w:bidi="ar-SA"/>
        </w:rPr>
        <w:t>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الصحة والبناء على الإشاعة إلّا أنّه يتخيّر المالك في دفع الأفراد بصرفها عليه ، فحينئذ فيقسط </w:t>
      </w:r>
      <w:r>
        <w:rPr>
          <w:rStyle w:val="FootnoteAnchor"/>
          <w:rtl w:val="true"/>
        </w:rPr>
        <w:footnoteReference w:id="1798"/>
      </w:r>
      <w:r>
        <w:rPr>
          <w:rFonts w:ascii="Amiri" w:hAnsi="Amiri" w:eastAsia="Amiri" w:cs="Amiri"/>
          <w:color w:val="111111"/>
          <w:sz w:val="28"/>
          <w:sz w:val="28"/>
          <w:szCs w:val="28"/>
          <w:rtl w:val="true"/>
          <w:lang w:bidi="ar-SA"/>
        </w:rPr>
        <w:t>من الثمن بنسبة ما فيه من الزكاة إلى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فهل يبقى المالك حينئذ على خياره أو أنه يتخير المشتري مكانه أو أنّه يقسم المال حينئذ ويقبض الحق على حسب الشركة كما هو الأصل في المشتركات؟ وجوه كأنّ أظهرها الأوّل إلّا أنّه لا يبعد خيار المشتري أيضا في الدفع لو طالبه الحاكم بعد صيرورته في يده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الحال حينئذ فيما لو كان المدفوع زائدا على الحق المشاع أو ناقصا عنه ، فهل يكون الزائد غرما أو غنما للمشتري أو أنّه يكشف عن فساد البيع بتلك النسبة فينقص أو يزاد على قيمة المملوك على حسبه</w:t>
      </w:r>
      <w:r>
        <w:rPr>
          <w:rFonts w:eastAsia="Amiri" w:cs="Amiri" w:ascii="Amiri" w:hAnsi="Amiri"/>
          <w:color w:val="111111"/>
          <w:sz w:val="28"/>
          <w:szCs w:val="28"/>
          <w:rtl w:val="true"/>
          <w:lang w:bidi="ar-SA"/>
        </w:rPr>
        <w:t xml:space="preserve">. </w:t>
      </w:r>
      <w:bookmarkStart w:id="225" w:name="pg15853_153604"/>
    </w:p>
    <w:p>
      <w:pPr>
        <w:pStyle w:val="Heading3"/>
        <w:numPr>
          <w:ilvl w:val="2"/>
          <w:numId w:val="1"/>
        </w:numPr>
        <w:rPr/>
      </w:pPr>
      <w:bookmarkStart w:id="226" w:name="__RefHeading___Toc14587197_2142443653"/>
      <w:bookmarkStart w:id="227" w:name="_Toc81"/>
      <w:bookmarkEnd w:id="225"/>
      <w:bookmarkEnd w:id="226"/>
      <w:r>
        <w:rPr>
          <w:rtl w:val="true"/>
        </w:rPr>
        <w:t>تبصرة</w:t>
      </w:r>
      <w:r>
        <w:rPr>
          <w:rtl w:val="true"/>
        </w:rPr>
        <w:t xml:space="preserve">: [ </w:t>
      </w:r>
      <w:r>
        <w:rPr>
          <w:rtl w:val="true"/>
        </w:rPr>
        <w:t xml:space="preserve">في بيع ما يملكه المسلم وما لا يملكه </w:t>
      </w:r>
      <w:r>
        <w:rPr>
          <w:rtl w:val="true"/>
        </w:rPr>
        <w:t>]</w:t>
      </w:r>
      <w:bookmarkEnd w:id="227"/>
    </w:p>
    <w:p>
      <w:pPr>
        <w:pStyle w:val="Heading4"/>
        <w:numPr>
          <w:ilvl w:val="3"/>
          <w:numId w:val="1"/>
        </w:numPr>
        <w:rPr/>
      </w:pPr>
      <w:bookmarkStart w:id="228" w:name="__RefHeading___Toc14587199_2142443653"/>
      <w:bookmarkStart w:id="229" w:name="_Toc82"/>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لو باع ما يملكه المسلم وما لا يملكه سواء كان ممّا لا يملك مطلقا أو لم يكن قابلا لملك المسلم كالحرّ والخمر والخنزير صحّ البيع فيما يملكه وبطل فيما لا يملك ، على المعروف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فيه الاحتمال والإشكال المذكور في المسألة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يزاد الاشكال في المقام تارة بأنّ البيع المذكور منهيّ </w:t>
      </w:r>
      <w:r>
        <w:rPr>
          <w:rStyle w:val="FootnoteAnchor"/>
          <w:rtl w:val="true"/>
        </w:rPr>
        <w:footnoteReference w:id="1799"/>
      </w:r>
      <w:r>
        <w:rPr>
          <w:rFonts w:ascii="Amiri" w:hAnsi="Amiri" w:eastAsia="Amiri" w:cs="Amiri"/>
          <w:color w:val="111111"/>
          <w:sz w:val="28"/>
          <w:sz w:val="28"/>
          <w:szCs w:val="28"/>
          <w:rtl w:val="true"/>
          <w:lang w:bidi="ar-SA"/>
        </w:rPr>
        <w:t xml:space="preserve">عنه للنهي عن الأمور المتضمنة إلى ما يملكه من الحر والخمر والخنزير مثلا ، والمفروض اتحاد البيع المتعلّق بها ، وهو قاض بالفساد لتعلّقه </w:t>
      </w:r>
      <w:r>
        <w:rPr>
          <w:rStyle w:val="FootnoteAnchor"/>
          <w:rtl w:val="true"/>
        </w:rPr>
        <w:footnoteReference w:id="1800"/>
      </w:r>
      <w:r>
        <w:rPr>
          <w:rFonts w:ascii="Amiri" w:hAnsi="Amiri" w:eastAsia="Amiri" w:cs="Amiri"/>
          <w:color w:val="111111"/>
          <w:sz w:val="28"/>
          <w:sz w:val="28"/>
          <w:szCs w:val="28"/>
          <w:rtl w:val="true"/>
          <w:lang w:bidi="ar-SA"/>
        </w:rPr>
        <w:t>بذات المعاملة حسبما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بأنّه مع علم البائع أو المشتري بالحال يكون قد باع أو اشترى المجهول مع جهله بما يوجبه التقسيط ؛ إذ هو في قوة أن يبيعه بما يخصّه من الثمن على تقدير توزيعه عليه وعلى شي‌ء آخر لا يعلم 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مال في التذكرة إلى الفساد حينئذ مع علم المشتري بالحال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البطلان حينئذ ليس ببعيد من الصواب</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ويدفع الأوّل أنّ النهي المذكور إنّما يقضي بالفساد من الجهة الّتي تعلّق به لذات المعاملة ولا ربط له بالشي‌ء الّذي يجوز بيعه ؛ إذ تعلّق النهي به حينئذ إنّما يكون تبعا للآخر ، فلا قاضي بفساد العقد من تلك الجهة ، لا مانع من تبعّض مقتضى العقد حسبما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أنّ المعتبر من العلم بالعوضين ما كان بالنسبة إلى جميع ما تعلّق به </w:t>
      </w:r>
      <w:r>
        <w:rPr>
          <w:rStyle w:val="FootnoteAnchor"/>
          <w:rtl w:val="true"/>
        </w:rPr>
        <w:footnoteReference w:id="1801"/>
      </w:r>
      <w:r>
        <w:rPr>
          <w:rFonts w:ascii="Amiri" w:hAnsi="Amiri" w:eastAsia="Amiri" w:cs="Amiri"/>
          <w:color w:val="111111"/>
          <w:sz w:val="28"/>
          <w:sz w:val="28"/>
          <w:szCs w:val="28"/>
          <w:rtl w:val="true"/>
          <w:lang w:bidi="ar-SA"/>
        </w:rPr>
        <w:t>عليه العقد دون ما يصحّ العقد بالنسبة إليه وإن علم فساده حين العقد بالنسبة إلى البعض حسبما أشرنا إليه في المسألة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يقسط الثمن عليهما ويصحّ البيع فيما يصحّ تقسيطه </w:t>
      </w:r>
      <w:r>
        <w:rPr>
          <w:rStyle w:val="FootnoteAnchor"/>
          <w:rtl w:val="true"/>
        </w:rPr>
        <w:footnoteReference w:id="1802"/>
      </w:r>
      <w:r>
        <w:rPr>
          <w:rFonts w:ascii="Amiri" w:hAnsi="Amiri" w:eastAsia="Amiri" w:cs="Amiri"/>
          <w:color w:val="111111"/>
          <w:sz w:val="28"/>
          <w:sz w:val="28"/>
          <w:szCs w:val="28"/>
          <w:rtl w:val="true"/>
          <w:lang w:bidi="ar-SA"/>
        </w:rPr>
        <w:t>من الثمن على حسب ما مرّ ، ولو كان للانضمام مدخليّة في تفاوت القيمة جرى فيه أيضا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ذكروا هنا في تقويم غير المملوك أنّه يقوم الحر على الوصف الّذي هو عليه لو كان رقّا ، ويرجع في الخمر والخنزير إلى قيمتهما عند مستحلّيهما ، فيستعلم قيمتهما عندهم بما يثبت به القيمة في غير هذا المقام من شهادة عدلين مطّلعين على قيمته عندهم أو أخبار جماعة يعلم عادة عدم تواطئهم على الكذب أو بأخبار بعضهم إذا انضمّ إليه من القرائن ما يفيد العلم بصدقه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المسالك </w:t>
      </w:r>
      <w:r>
        <w:rPr>
          <w:rStyle w:val="FootnoteAnchor"/>
          <w:rtl w:val="true"/>
        </w:rPr>
        <w:footnoteReference w:id="1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قيل بقول </w:t>
      </w:r>
      <w:r>
        <w:rPr>
          <w:rStyle w:val="FootnoteAnchor"/>
          <w:rtl w:val="true"/>
        </w:rPr>
        <w:footnoteReference w:id="1804"/>
      </w:r>
      <w:r>
        <w:rPr>
          <w:rFonts w:ascii="Amiri" w:hAnsi="Amiri" w:eastAsia="Amiri" w:cs="Amiri"/>
          <w:color w:val="111111"/>
          <w:sz w:val="28"/>
          <w:sz w:val="28"/>
          <w:szCs w:val="28"/>
          <w:rtl w:val="true"/>
          <w:lang w:bidi="ar-SA"/>
        </w:rPr>
        <w:t xml:space="preserve">إخبار جماعة منهم كثيرة يؤمن اجتماعهم على الكذب يحصل بقولهم الظن الغالب المقارب </w:t>
      </w:r>
      <w:r>
        <w:rPr>
          <w:rStyle w:val="FootnoteAnchor"/>
          <w:rtl w:val="true"/>
        </w:rPr>
        <w:footnoteReference w:id="1805"/>
      </w:r>
      <w:r>
        <w:rPr>
          <w:rFonts w:ascii="Amiri" w:hAnsi="Amiri" w:eastAsia="Amiri" w:cs="Amiri"/>
          <w:color w:val="111111"/>
          <w:sz w:val="28"/>
          <w:sz w:val="28"/>
          <w:szCs w:val="28"/>
          <w:rtl w:val="true"/>
          <w:lang w:bidi="ar-SA"/>
        </w:rPr>
        <w:t>للعلم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قيل بمثله في ساير التقويمات أيضا فلا كلام إلّا أنّه يشكل الحال في الاتّكال على مطلق الظن الغالب في مثله مع أنّه من الموضوعات الصرفة ولو لم يكتف به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للاكتفاء به في المقام ، فيكون الحال فيه مع عدم إمكان الاستعلام كغيره من القيم إذا تعذّر استعلامه لبعض العوارض</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فهل يحكم فيه بالصلح لجهالة قدر الاستحقاق أو أنّه يؤخذ فيه بالأقلّ فيرجع فيما زاد عليه إلى الأصل حيث إنّ الأصل بقاء الثمن على ملك صاحبه إلّا ما ثبت انتقاله عنه؟ </w:t>
      </w:r>
    </w:p>
    <w:p>
      <w:pPr>
        <w:pStyle w:val="BookText"/>
        <w:rPr/>
      </w:pPr>
      <w:r>
        <w:rPr>
          <w:rFonts w:ascii="Amiri" w:hAnsi="Amiri" w:eastAsia="Amiri" w:cs="Amiri"/>
          <w:color w:val="111111"/>
          <w:sz w:val="28"/>
          <w:sz w:val="28"/>
          <w:szCs w:val="28"/>
          <w:rtl w:val="true"/>
          <w:lang w:bidi="ar-SA"/>
        </w:rPr>
        <w:t>ولا يبعد البناء على الأخير مع التعاصر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يذهب عليك أنّ ما أطلقوه في المقام لا يخلو عن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 لا فبأنّ ما ذكروه من تقويم الحرّ عبدا متّجه إذا بيع على أنّه رقّ فتبيّن حرّا ، وأمّا لو بيع على أنّه حرّ لم يتّجه فرض كونه رقّا ، فإنّ الرقّية قاضية بازدياد الرقبة فيه ، فلا وجه لأن يفرض في تقويمه ما ليس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التقويم مبنيّ على ذلك ، إذ لا قيمة للحرّ فلولا فرضه رقّا لم يقوم في العادة </w:t>
      </w:r>
      <w:r>
        <w:rPr>
          <w:rStyle w:val="FootnoteAnchor"/>
          <w:rtl w:val="true"/>
        </w:rPr>
        <w:footnoteReference w:id="1806"/>
      </w:r>
      <w:r>
        <w:rPr>
          <w:rFonts w:ascii="Amiri" w:hAnsi="Amiri" w:eastAsia="Amiri" w:cs="Amiri"/>
          <w:color w:val="111111"/>
          <w:sz w:val="28"/>
          <w:sz w:val="28"/>
          <w:szCs w:val="28"/>
          <w:rtl w:val="true"/>
          <w:lang w:bidi="ar-SA"/>
        </w:rPr>
        <w:t>، وأيضا قضيّة بيعه وشرائه هو اعتبار ملكيّة عين المبيع وإن علم عدمه ، فيقوم على حسب ما اعتبراه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فيه ، إذ قد يباع الأحرار في عادة الفسّاق أو عند الضرورات ، فيتحصّل له قيمة في العرف ، وقد تتفاوت قيمته حينئذ قيمة الرقّ ، وعدم كونه مقوّما شرعا لا يقتضي عدم ثبوت قيمة له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بدّ من الأخذ بذلك دون أن يفرض رقّا ، وعلى تقدير عدم ثبوت قيمة للحرّ في العادة فينبغي إلحاق ذلك حينئذ بغير المقوّم من الضميمة كما سيأتي الإشارة إليه ، لا أن يفرض ذلك شيئا آخر حتّى يصحّ بذلك تقويمه ، وكون إقدام المتعاملين على البيع والشراء قاضيا بتنزيله منزلة المملوك فيقوم على حسبما أقدما عليه أو صح التعويل عليه في التقويم غير مطّرد في المقام ، فإنّه إنّما يتم فيما إذا لم يلاحظا حريّته في الإقدام على بيعه بل أجرياه مجرى الرقّ</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الإقدام عليه على وجه الحريّة ، ولذا اعتبر </w:t>
      </w:r>
      <w:r>
        <w:rPr>
          <w:rStyle w:val="FootnoteAnchor"/>
          <w:rtl w:val="true"/>
        </w:rPr>
        <w:footnoteReference w:id="1807"/>
      </w:r>
      <w:r>
        <w:rPr>
          <w:rFonts w:ascii="Amiri" w:hAnsi="Amiri" w:eastAsia="Amiri" w:cs="Amiri"/>
          <w:color w:val="111111"/>
          <w:sz w:val="28"/>
          <w:sz w:val="28"/>
          <w:szCs w:val="28"/>
          <w:rtl w:val="true"/>
          <w:lang w:bidi="ar-SA"/>
        </w:rPr>
        <w:t xml:space="preserve">العوض المقابل له شيئا يسيرا كما إذا لوحظ معظم القيمة بإزاء الرق وبذل شي‌ء يسير بإزائه مع تساويهما في الصفات وإن تعلّق البيع بهما صفقة فلا يتمّ ذلك ، ففي </w:t>
      </w:r>
      <w:r>
        <w:rPr>
          <w:rStyle w:val="FootnoteAnchor"/>
          <w:rtl w:val="true"/>
        </w:rPr>
        <w:footnoteReference w:id="1808"/>
      </w:r>
      <w:r>
        <w:rPr>
          <w:rFonts w:ascii="Amiri" w:hAnsi="Amiri" w:eastAsia="Amiri" w:cs="Amiri"/>
          <w:color w:val="111111"/>
          <w:sz w:val="28"/>
          <w:sz w:val="28"/>
          <w:szCs w:val="28"/>
          <w:rtl w:val="true"/>
          <w:lang w:bidi="ar-SA"/>
        </w:rPr>
        <w:t xml:space="preserve">تقويمه حينئذ على الرقية </w:t>
      </w:r>
      <w:r>
        <w:rPr>
          <w:rStyle w:val="FootnoteAnchor"/>
          <w:rtl w:val="true"/>
        </w:rPr>
        <w:footnoteReference w:id="1809"/>
      </w:r>
      <w:r>
        <w:rPr>
          <w:rFonts w:ascii="IRNazanin" w:hAnsi="IRNazanin" w:eastAsia="IRNazanin"/>
          <w:color w:val="111111"/>
          <w:sz w:val="28"/>
          <w:sz w:val="28"/>
          <w:szCs w:val="28"/>
          <w:rtl w:val="true"/>
          <w:lang w:bidi="fa-IR"/>
        </w:rPr>
        <w:t xml:space="preserve">ضرر على البائع إلّا أن </w:t>
      </w:r>
    </w:p>
    <w:p>
      <w:pPr>
        <w:pStyle w:val="BookText"/>
        <w:rPr/>
      </w:pPr>
      <w:r>
        <w:rPr>
          <w:rFonts w:ascii="Amiri" w:hAnsi="Amiri" w:eastAsia="Amiri" w:cs="Amiri"/>
          <w:color w:val="111111"/>
          <w:sz w:val="28"/>
          <w:sz w:val="28"/>
          <w:szCs w:val="28"/>
          <w:rtl w:val="true"/>
          <w:lang w:bidi="ar-SA"/>
        </w:rPr>
        <w:t xml:space="preserve">يقال بخروج هذه الصورة عن المفروض في كلامهم ، فكان ذلك بمنزلة تعيين سهم من الثمن في العقد بإزاء كل من العينين </w:t>
      </w:r>
      <w:r>
        <w:rPr>
          <w:rStyle w:val="FootnoteAnchor"/>
          <w:rtl w:val="true"/>
        </w:rPr>
        <w:footnoteReference w:id="1810"/>
      </w:r>
      <w:r>
        <w:rPr>
          <w:rFonts w:ascii="Amiri" w:hAnsi="Amiri" w:eastAsia="Amiri" w:cs="Amiri"/>
          <w:color w:val="111111"/>
          <w:sz w:val="28"/>
          <w:sz w:val="28"/>
          <w:szCs w:val="28"/>
          <w:rtl w:val="true"/>
          <w:lang w:bidi="ar-SA"/>
        </w:rPr>
        <w:t>حسبما ذكر نظيره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الحال حينئذ فيما لو بني العقد على ملاحظة الاختلاف بينهما فيما يقابله من العوض من دون تعيين لقدر الاختلاف ؛ إذ لا معيّن له حينئذ في الظن </w:t>
      </w:r>
      <w:r>
        <w:rPr>
          <w:rStyle w:val="FootnoteAnchor"/>
          <w:rtl w:val="true"/>
        </w:rPr>
        <w:footnoteReference w:id="1811"/>
      </w:r>
      <w:r>
        <w:rPr>
          <w:rFonts w:ascii="Amiri" w:hAnsi="Amiri" w:eastAsia="Amiri" w:cs="Amiri"/>
          <w:color w:val="111111"/>
          <w:sz w:val="28"/>
          <w:sz w:val="28"/>
          <w:szCs w:val="28"/>
          <w:rtl w:val="true"/>
          <w:lang w:bidi="ar-SA"/>
        </w:rPr>
        <w:t>، أمّا ثانيا فبأنّ الرجوع في قيمة الخمر والخنزير إلى مستحليه إنّما يتم إذا لم يكن مقوّما عند فساق المسلمين ، أمّا إذا كان مقوّما عندهم جاريا في معاملاتهم كما هو الحال في الخمر في بعض البلدان فلا حاجة إلى الرجوع إليهم ، بل لا وجه إذا اختلفت قيمته عندهم لما يقوم به عند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ذلك ممّا لا قيمة له في الشريعة لا يقضي بانتفاء القيمة العرفية ، فإنّ المعاملات إنّما تجري على مجرى العادات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كلامهم في المقام محمول على الغالب ، وإلّا فالمتّجه حينئذ الرجوع إلى قيمته عندهم ؛ لابتناء العقد حينئذ على ذلك ، فلا حاجة إلى الرجوع إلى غيرهم ، بل لا وجه له مع اختلاف قيمته عندهم لما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أمور ينبغي الإشارة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من تقويم الخمر والخنزير عند مستحلّيه إنّما يتمّ إذا بيع على أنّه خمر أو خنزير ، وأمّا لو بيع الخمر على أنه خلّ مثلا أو الخنزير على أنّه شاة أو بقر فالظاهر تقويم الخمر خلّا والخنزير شاة أو بقرا ؛ إذ الثمن إنّما بذل على ذلك ، فلا وجه لتقويمه خمرا أو خنزيرا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المفروض في كلام الأصحاب هو الأول ، ولذا اعتبروا القيمة على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ما لا يملك ممّا لا قيمة له في العادة أصلا كما لو باعه بعض الكثافات مع ما يملكه أو باعه الشمس أو القمر مع شي‌ء مملوك أو باعه شخصا من الجن أو الملائكة مع عبد له ونحو ذلك ، فالظاهر فساد البيع ؛ إذ لا يتعين شي‌ء من الثمن بإزاء المملوك ، ولا يمكن جعل الجميع بإزائه ؛ إذ هو غير ما يقتضيه العقد ولم يقع العقد عليه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يجري الحكم المذكور فيما لو كان فساد البيع في البعض من جهة أخرى غير </w:t>
      </w:r>
    </w:p>
    <w:p>
      <w:pPr>
        <w:pStyle w:val="BookText"/>
        <w:rPr/>
      </w:pPr>
      <w:r>
        <w:rPr>
          <w:rFonts w:ascii="Amiri" w:hAnsi="Amiri" w:eastAsia="Amiri" w:cs="Amiri"/>
          <w:color w:val="111111"/>
          <w:sz w:val="28"/>
          <w:sz w:val="28"/>
          <w:szCs w:val="28"/>
          <w:rtl w:val="true"/>
          <w:lang w:bidi="ar-SA"/>
        </w:rPr>
        <w:t xml:space="preserve">انتفاء الملكيّة كما إذا كان الفساد من جهة انتفاء القدرة على التسليم كما لو باع المغصوب مع غيره أو باع الدابّة الضالّة مع غيرها إن لم تلحقها </w:t>
      </w:r>
      <w:r>
        <w:rPr>
          <w:rStyle w:val="FootnoteAnchor"/>
          <w:rtl w:val="true"/>
        </w:rPr>
        <w:footnoteReference w:id="1812"/>
      </w:r>
      <w:r>
        <w:rPr>
          <w:rFonts w:ascii="Amiri" w:hAnsi="Amiri" w:eastAsia="Amiri" w:cs="Amiri"/>
          <w:color w:val="111111"/>
          <w:sz w:val="28"/>
          <w:sz w:val="28"/>
          <w:szCs w:val="28"/>
          <w:rtl w:val="true"/>
          <w:lang w:bidi="ar-SA"/>
        </w:rPr>
        <w:t>بالآبق ، فيصح البيع فيما يصحّ فيه ويبطل في غيره ويقسط الثمن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تقويم ذلك على حسبما هو عليه من الصفة ، فيلاحظ المغصوبية والضلال فيما فرض من المثال إذا علمنا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عدم العلم بهما فيقومان من دونه ؛ لحصول الإقدام عليه كذلك في الصورتين حسبما مرّ نظيره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علم </w:t>
      </w:r>
      <w:r>
        <w:rPr>
          <w:rStyle w:val="FootnoteAnchor"/>
          <w:rtl w:val="true"/>
        </w:rPr>
        <w:footnoteReference w:id="1813"/>
      </w:r>
      <w:r>
        <w:rPr>
          <w:rFonts w:ascii="Amiri" w:hAnsi="Amiri" w:eastAsia="Amiri" w:cs="Amiri"/>
          <w:color w:val="111111"/>
          <w:sz w:val="28"/>
          <w:sz w:val="28"/>
          <w:szCs w:val="28"/>
          <w:rtl w:val="true"/>
          <w:lang w:bidi="ar-SA"/>
        </w:rPr>
        <w:t>به أحدهما دون الآخر فالظاهر أنّه كصورة الجهل منهما ، ولو كان ممّا لا قيمة له في العادة مع ملاحظة الوصف المفروض ، فلا يبعد القول بفساد البيع من أصله حسبما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w:t>
      </w:r>
      <w:r>
        <w:rPr>
          <w:rStyle w:val="FootnoteAnchor"/>
          <w:rtl w:val="true"/>
        </w:rPr>
        <w:footnoteReference w:id="1814"/>
      </w:r>
      <w:r>
        <w:rPr>
          <w:rFonts w:ascii="Amiri" w:hAnsi="Amiri" w:eastAsia="Amiri" w:cs="Amiri"/>
          <w:color w:val="111111"/>
          <w:sz w:val="28"/>
          <w:sz w:val="28"/>
          <w:szCs w:val="28"/>
          <w:rtl w:val="true"/>
          <w:lang w:bidi="ar-SA"/>
        </w:rPr>
        <w:t>ذلك ما لو باع القرآن مع غيره من الكافر بناء على فساد بيع القرآن منه أو باع السلاح لأعداء الدين مع ما يصحّ بيعه منهم ، والتقسيط هنا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بيع ثمرة البستان قبل ظهورها إذا باعها مع غيرها </w:t>
      </w:r>
      <w:r>
        <w:rPr>
          <w:rStyle w:val="FootnoteAnchor"/>
          <w:rtl w:val="true"/>
        </w:rPr>
        <w:footnoteReference w:id="1815"/>
      </w:r>
      <w:r>
        <w:rPr>
          <w:rFonts w:ascii="Amiri" w:hAnsi="Amiri" w:eastAsia="Amiri" w:cs="Amiri"/>
          <w:color w:val="111111"/>
          <w:sz w:val="28"/>
          <w:sz w:val="28"/>
          <w:szCs w:val="28"/>
          <w:rtl w:val="true"/>
          <w:lang w:bidi="ar-SA"/>
        </w:rPr>
        <w:t>من الأعيان الموجودة ، فيقسط الثمن عليهما ، ويصحّ تقسيط ذلك العين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إذا باع بعض آلات اللّهو أو نحوها مع ما يصحّ معه إن قلنا بعدم خروجها عن الملكيّة من جهة المادة ، فإنّه لا يصحّ بيعها من جهة الصورة ، وإن قلنا بخروجها عن ملك المسلم من جهة طريان تلك الصورة وإن كان لمادّتها قيمة اندرج في عنوان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فالظاهر تقويمها على صورتها عند الفسّاق أو الكفّار على ما مرّ ، فيؤخذ من الثمن بنسبة قيمة ما يصحّ البيع فيه إلى المجموع حسبما عرفت</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ضمّ ما لا يتموّل إلى المتموّل وكان غير المتموّل مقصودا بالبيع على ما هو المفروض </w:t>
      </w:r>
    </w:p>
    <w:p>
      <w:pPr>
        <w:pStyle w:val="BookText"/>
        <w:rPr/>
      </w:pPr>
      <w:r>
        <w:rPr>
          <w:rFonts w:ascii="Amiri" w:hAnsi="Amiri" w:eastAsia="Amiri" w:cs="Amiri"/>
          <w:color w:val="111111"/>
          <w:sz w:val="28"/>
          <w:sz w:val="28"/>
          <w:szCs w:val="28"/>
          <w:rtl w:val="true"/>
          <w:lang w:bidi="ar-SA"/>
        </w:rPr>
        <w:t>في المقام كما لو ضمّ حبّة من الحنطة إلى كتاب وباع تلك الحبّة مع الكتاب بثمن معلوم قوي فساد البيع في غير المتموّل ؛ إذ كما لا يصحّ بيعه منفردا لا يصحّ بيعه منضما إذا كان مقصودا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وفساد البيع غير قاض بفساده في المتموّل إذ لا تعيّن لما بإزائه من الثمن ، فإنّ مقصوديّة غير المتموّل بالبيع قاضية بكون بعض الثمن بإزائه على حسب تعلّق العقد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تقسيط الثمن عليهما ؛ إذ لا قيمة له على حسب غيره ممّا لا يكون الضميمة إليه مقومة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ضمّ تلك الحبّة إلى جنسها من المتموّل كما لو باعها ومّنا </w:t>
      </w:r>
      <w:r>
        <w:rPr>
          <w:rStyle w:val="FootnoteAnchor"/>
          <w:rtl w:val="true"/>
        </w:rPr>
        <w:footnoteReference w:id="1816"/>
      </w:r>
      <w:r>
        <w:rPr>
          <w:rFonts w:ascii="Amiri" w:hAnsi="Amiri" w:eastAsia="Amiri" w:cs="Amiri"/>
          <w:color w:val="111111"/>
          <w:sz w:val="28"/>
          <w:sz w:val="28"/>
          <w:szCs w:val="28"/>
          <w:rtl w:val="true"/>
          <w:lang w:bidi="ar-SA"/>
        </w:rPr>
        <w:t>من الحنطة كذلك احتمل الصحّة لكون المجموع متموّلا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ويضعفه بأنّ حبات الحنطة </w:t>
      </w:r>
      <w:r>
        <w:rPr>
          <w:rStyle w:val="FootnoteAnchor"/>
          <w:rtl w:val="true"/>
        </w:rPr>
        <w:footnoteReference w:id="1817"/>
      </w:r>
      <w:r>
        <w:rPr>
          <w:rFonts w:ascii="Amiri" w:hAnsi="Amiri" w:eastAsia="Amiri" w:cs="Amiri"/>
          <w:color w:val="111111"/>
          <w:sz w:val="28"/>
          <w:sz w:val="28"/>
          <w:szCs w:val="28"/>
          <w:rtl w:val="true"/>
          <w:lang w:bidi="ar-SA"/>
        </w:rPr>
        <w:t xml:space="preserve">غير مقصود بالبيع ، فلا ينقسط </w:t>
      </w:r>
      <w:r>
        <w:rPr>
          <w:rStyle w:val="FootnoteAnchor"/>
          <w:rtl w:val="true"/>
        </w:rPr>
        <w:footnoteReference w:id="1818"/>
      </w:r>
      <w:r>
        <w:rPr>
          <w:rFonts w:ascii="Amiri" w:hAnsi="Amiri" w:eastAsia="Amiri" w:cs="Amiri"/>
          <w:color w:val="111111"/>
          <w:sz w:val="28"/>
          <w:sz w:val="28"/>
          <w:szCs w:val="28"/>
          <w:rtl w:val="true"/>
          <w:lang w:bidi="ar-SA"/>
        </w:rPr>
        <w:t>ما بازائها شي‌ء من الثمن ، وهنا لمّا كان غير المتموّل مقصودا بالبيع حسبما هو المفروض لزم أن يقع ما بازائه بعض من الثمن فيتطرّق إليه الفساد من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يتعيّن ما بإزائه وما بإزاء الباقي يتطرّق الفساد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عيّن في العقد ما بإزاء غير المتمول من الثمن فسد العقد بالنسبة إليه وصحّ في غيره كما هو الحال في غيره ممّا لا قيمة له ؛ إذ عيّن في العقد عوضه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ضمّ المنفعة إلى العين فباع الأمرين جرى فيه ما قلناه ؛ لفساد بيع المنافع ، ويصحّ بالنسبة إلى العين بقسطها من الثمن بعد تقسيطه عليها وعلى المنفعة المنضمّة </w:t>
      </w:r>
      <w:r>
        <w:rPr>
          <w:rStyle w:val="FootnoteAnchor"/>
          <w:rtl w:val="true"/>
        </w:rPr>
        <w:footnoteReference w:id="1819"/>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ضم إلى العين بعض الحقوق كحقّ الخيار أو حقّ الرجوع وغيرهما ممّا يصحّ الصلح </w:t>
      </w:r>
      <w:r>
        <w:rPr>
          <w:rStyle w:val="FootnoteAnchor"/>
          <w:rtl w:val="true"/>
        </w:rPr>
        <w:footnoteReference w:id="1820"/>
      </w:r>
    </w:p>
    <w:p>
      <w:pPr>
        <w:pStyle w:val="BookText"/>
        <w:rPr/>
      </w:pPr>
      <w:r>
        <w:rPr>
          <w:rFonts w:ascii="Amiri" w:hAnsi="Amiri" w:eastAsia="Amiri" w:cs="Amiri"/>
          <w:color w:val="111111"/>
          <w:sz w:val="28"/>
          <w:sz w:val="28"/>
          <w:szCs w:val="28"/>
          <w:rtl w:val="true"/>
          <w:lang w:bidi="ar-SA"/>
        </w:rPr>
        <w:t>عليها وما لا يصحّ ، فإن أمكن تقويمه ليمكن تقسيط الثمن عليه وعلى العين صحّ البيع بالنسبة إلى العين ، وأخذ لها قسطها من الثمن وإلّا فالظاهر فساد البيع من أصله حسبما قلنا به فيما لا يقوم من الضمائم إلّا أن يعيّن ما بإزائه من الثمن في نفس العقد فيبطل فيه ويصحّ في غيره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الضميمة الّتي لا يصحّ بيعها غير مقصودة بالبيع ، بل جعلت تابعة للمبيع فإن لم يكن مانع من أتباعها كضمّ غير المقدور على تسليمه إلى المقدور أو غير الموجود إلى الموجود كثمرة البستان قبل ظهورها وغير </w:t>
      </w:r>
      <w:r>
        <w:rPr>
          <w:rStyle w:val="FootnoteAnchor"/>
          <w:rtl w:val="true"/>
        </w:rPr>
        <w:footnoteReference w:id="1821"/>
      </w:r>
      <w:r>
        <w:rPr>
          <w:rFonts w:ascii="Amiri" w:hAnsi="Amiri" w:eastAsia="Amiri" w:cs="Amiri"/>
          <w:color w:val="111111"/>
          <w:sz w:val="28"/>
          <w:sz w:val="28"/>
          <w:szCs w:val="28"/>
          <w:rtl w:val="true"/>
          <w:lang w:bidi="ar-SA"/>
        </w:rPr>
        <w:t xml:space="preserve">المعلوم إلى المعلوم ، فالظاهر صحّة البيع بتمام الثمن وصحّة الاتباع ، فيكون ذلك للمشتري على فرض حصوله وإن كان ممّا لا يصحّ اتباعه لتحريمه كاتباع الخمر والخنزير وآلات اللّهو ونحوها من المحرّمات ففيه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البيع بجميع الثمن وسقوط التابع لفساده ، وفساد البيع من أصله فإنّه بمنزلة الشرط الفاسد </w:t>
      </w:r>
      <w:r>
        <w:rPr>
          <w:rFonts w:eastAsia="Amiri" w:cs="Amiri" w:ascii="Amiri" w:hAnsi="Amiri"/>
          <w:color w:val="111111"/>
          <w:sz w:val="28"/>
          <w:szCs w:val="28"/>
          <w:rtl w:val="true"/>
          <w:lang w:bidi="ar-SA"/>
        </w:rPr>
        <w:t xml:space="preserve">[ .. ]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الاستناد إليها للحكم بالجواز مطلقا ؛ نظرا إلى عدم ظهور قول بالفصل بين متقدمي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صريحة في الدلالة على فساد القول بالمنع مطلقا ولو بالنسبة إلى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فساده يتعين القول بالجواز حسبما دلّت عليه الروايات المتقدّمة لضعف القول بالتفصيل المذكور ، وعدم مساعدة لفتوى له نظرا إلى ندور قائله وحدوث القول به بين المتأخرين بملاحظة 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تلك الروايات صحيحة منصور بن حازم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اشتريت متاعا فيه كيل أو وزن فلا تبعه حتى يقبضه إلّا أن توليه </w:t>
      </w:r>
      <w:r>
        <w:rPr>
          <w:rFonts w:eastAsia="Amiri" w:cs="Amiri" w:ascii="Amiri" w:hAnsi="Amiri"/>
          <w:color w:val="111111"/>
          <w:sz w:val="28"/>
          <w:szCs w:val="28"/>
          <w:rtl w:val="true"/>
          <w:lang w:bidi="ar-SA"/>
        </w:rPr>
        <w:t xml:space="preserve">»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يشترى الطعام أيصلح بيعه قبل أن يقبضه؟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ربح لم يصلح حتّى يقبض وإن كان يوليه فلا بأس </w:t>
      </w:r>
      <w:r>
        <w:rPr>
          <w:rFonts w:eastAsia="Amiri" w:cs="Amiri" w:ascii="Amiri" w:hAnsi="Amiri"/>
          <w:color w:val="111111"/>
          <w:sz w:val="28"/>
          <w:szCs w:val="28"/>
          <w:rtl w:val="true"/>
          <w:lang w:bidi="ar-SA"/>
        </w:rPr>
        <w:t xml:space="preserve">»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وبمعناه سؤال آخر له عنه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أخرى عن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 المبيع قبل أن يقبضه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يكن </w:t>
      </w:r>
      <w:r>
        <w:rPr>
          <w:rStyle w:val="FootnoteAnchor"/>
          <w:rtl w:val="true"/>
        </w:rPr>
        <w:footnoteReference w:id="1825"/>
      </w:r>
      <w:r>
        <w:rPr>
          <w:rFonts w:ascii="Amiri" w:hAnsi="Amiri" w:eastAsia="Amiri" w:cs="Amiri"/>
          <w:color w:val="111111"/>
          <w:sz w:val="28"/>
          <w:sz w:val="28"/>
          <w:szCs w:val="28"/>
          <w:rtl w:val="true"/>
          <w:lang w:bidi="ar-SA"/>
        </w:rPr>
        <w:t xml:space="preserve">كيل أو وزن فلا تبعه حتى تكيله أو تزنه إلّا أن توليه </w:t>
      </w:r>
      <w:r>
        <w:rPr>
          <w:rFonts w:eastAsia="Amiri" w:cs="Amiri" w:ascii="Amiri" w:hAnsi="Amiri"/>
          <w:color w:val="111111"/>
          <w:sz w:val="28"/>
          <w:szCs w:val="28"/>
          <w:rtl w:val="true"/>
          <w:lang w:bidi="ar-SA"/>
        </w:rPr>
        <w:t xml:space="preserve">»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عن القوم يدخلون السفينة يشترون الطعام فيتساومون بها ثمّ يشتريه رجل منهم فيسألونه فيعطيهم </w:t>
      </w:r>
      <w:r>
        <w:rPr>
          <w:rStyle w:val="FootnoteAnchor"/>
          <w:rtl w:val="true"/>
        </w:rPr>
        <w:footnoteReference w:id="1827"/>
      </w:r>
      <w:r>
        <w:rPr>
          <w:rFonts w:ascii="Amiri" w:hAnsi="Amiri" w:eastAsia="Amiri" w:cs="Amiri"/>
          <w:color w:val="111111"/>
          <w:sz w:val="28"/>
          <w:sz w:val="28"/>
          <w:szCs w:val="28"/>
          <w:rtl w:val="true"/>
          <w:lang w:bidi="ar-SA"/>
        </w:rPr>
        <w:t xml:space="preserve">ما يريدون من الطعام فيكون صاحب الطعام هو الذي يدفعه إليهم ويقبض الثمن؟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ما أراهم إلّا قد شركوه </w:t>
      </w:r>
      <w:r>
        <w:rPr>
          <w:rFonts w:eastAsia="Amiri" w:cs="Amiri" w:ascii="Amiri" w:hAnsi="Amiri"/>
          <w:color w:val="111111"/>
          <w:sz w:val="28"/>
          <w:szCs w:val="28"/>
          <w:rtl w:val="true"/>
          <w:lang w:bidi="ar-SA"/>
        </w:rPr>
        <w:t xml:space="preserve">»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ويعضد ذلك أيضا ما دلّ على جواز بيع أحد الشركاء حصّة من الطعام من شريكه قبل قبضه بربح ، ففي موثقة سماعة عن الرجل يبيع الطعام أو الثمرة وقد كان اشتراها ولم يقبضها؟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حتى يقبضها إلّا أن يكون معه قوم يشاركهم ، فيخرجه بعضهم من نصيبه عن شركته بربح </w:t>
      </w:r>
      <w:r>
        <w:rPr>
          <w:rFonts w:eastAsia="Amiri" w:cs="Amiri" w:ascii="Amiri" w:hAnsi="Amiri"/>
          <w:color w:val="111111"/>
          <w:sz w:val="28"/>
          <w:szCs w:val="28"/>
          <w:rtl w:val="true"/>
          <w:lang w:bidi="ar-SA"/>
        </w:rPr>
        <w:t xml:space="preserve">» </w:t>
      </w:r>
      <w:r>
        <w:rPr>
          <w:rStyle w:val="FootnoteAnchor"/>
          <w:rtl w:val="true"/>
        </w:rPr>
        <w:footnoteReference w:id="1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لم نجد قائلا ذهب إلى التفصيل المذكور ، فيتعيّن حمل منعه الأوّل على الكراهة كسائر الأخبار المانعة ، مضافا إلى عدم صراحة شي‌ء منها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رواية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رجل اشترى طعاما ثم باعه قبل أن يكيله؟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يعجبني أن يبيع كيلا أو وزنا قبل أن يكيله أو يزنه إلّا أن يوليه كما اشتراه إذا لم يربح فيه أو يضع </w:t>
      </w:r>
      <w:r>
        <w:rPr>
          <w:rFonts w:eastAsia="Amiri" w:cs="Amiri" w:ascii="Amiri" w:hAnsi="Amiri"/>
          <w:color w:val="111111"/>
          <w:sz w:val="28"/>
          <w:szCs w:val="28"/>
          <w:rtl w:val="true"/>
          <w:lang w:bidi="ar-SA"/>
        </w:rPr>
        <w:t xml:space="preserve">» </w:t>
      </w:r>
      <w:r>
        <w:rPr>
          <w:rStyle w:val="FootnoteAnchor"/>
          <w:rtl w:val="true"/>
        </w:rPr>
        <w:footnoteReference w:id="1830"/>
      </w: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يعجبني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الكراهة كمال الظهور ، وهي في الحقيقة بعد اعتضادها بما ذكر دليل على المطلوب</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ويومي إلى ذلك أيضا جواز إحالة الديّان إليه قبل قبضه كما ورد في الصحيح ؛ إذ هو في </w:t>
      </w:r>
    </w:p>
    <w:p>
      <w:pPr>
        <w:pStyle w:val="BookText"/>
        <w:rPr/>
      </w:pPr>
      <w:r>
        <w:rPr>
          <w:rFonts w:ascii="IRNazanin" w:hAnsi="IRNazanin" w:eastAsia="IRNazanin"/>
          <w:color w:val="111111"/>
          <w:sz w:val="28"/>
          <w:sz w:val="28"/>
          <w:szCs w:val="28"/>
          <w:rtl w:val="true"/>
          <w:lang w:bidi="fa-IR"/>
        </w:rPr>
        <w:t xml:space="preserve">معنى منعه </w:t>
      </w:r>
      <w:r>
        <w:rPr>
          <w:rStyle w:val="FootnoteAnchor"/>
          <w:rtl w:val="true"/>
        </w:rPr>
        <w:footnoteReference w:id="1831"/>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حجة القول بالمنع مطلقا عدّة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 وفيه بعد الحكم بجواز بيع قبل قبضه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ليس بمنزلة الطعام ، إنّ الطعام يكال </w:t>
      </w:r>
      <w:r>
        <w:rPr>
          <w:rFonts w:eastAsia="Amiri" w:cs="Amiri" w:ascii="Amiri" w:hAnsi="Amiri"/>
          <w:color w:val="111111"/>
          <w:sz w:val="28"/>
          <w:szCs w:val="28"/>
          <w:rtl w:val="true"/>
          <w:lang w:bidi="ar-SA"/>
        </w:rPr>
        <w:t xml:space="preserve">»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 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احتكر طعاما أو علفا أو ابتاعه بغير حكرة وأراد أن يبيعه فلا يبعه حتّى يقبضه ويكتاله </w:t>
      </w:r>
      <w:r>
        <w:rPr>
          <w:rFonts w:eastAsia="Amiri" w:cs="Amiri" w:ascii="Amiri" w:hAnsi="Amiri"/>
          <w:color w:val="111111"/>
          <w:sz w:val="28"/>
          <w:szCs w:val="28"/>
          <w:rtl w:val="true"/>
          <w:lang w:bidi="ar-SA"/>
        </w:rPr>
        <w:t xml:space="preserve">»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الحميري بإسناده إلى علي بن جعفر ، عن أخيه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اشترى مبيعا كيلا أو وزنا هل يصلح بيعه مرابحة؟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فإن سمّى كيلا أو وزنا فلا يصلح بيعه حتى يكيله أو يزنه </w:t>
      </w:r>
      <w:r>
        <w:rPr>
          <w:rFonts w:eastAsia="Amiri" w:cs="Amiri" w:ascii="Amiri" w:hAnsi="Amiri"/>
          <w:color w:val="111111"/>
          <w:sz w:val="28"/>
          <w:szCs w:val="28"/>
          <w:rtl w:val="true"/>
          <w:lang w:bidi="ar-SA"/>
        </w:rPr>
        <w:t xml:space="preserve">»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المنع من بيع الطعام قبل قبضه في عدّة أخبار كالصحيح في الرجل يبتاع الطعام ثمّ يبيعه قبل أن يكال؟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له ذلك </w:t>
      </w:r>
      <w:r>
        <w:rPr>
          <w:rFonts w:eastAsia="Amiri" w:cs="Amiri" w:ascii="Amiri" w:hAnsi="Amiri"/>
          <w:color w:val="111111"/>
          <w:sz w:val="28"/>
          <w:szCs w:val="28"/>
          <w:rtl w:val="true"/>
          <w:lang w:bidi="ar-SA"/>
        </w:rPr>
        <w:t xml:space="preserve">»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أيضا في الرجل يبتاع الطعام ثمّ يبيعه قبل أن يكتاله؟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له ذلك </w:t>
      </w:r>
      <w:r>
        <w:rPr>
          <w:rFonts w:eastAsia="Amiri" w:cs="Amiri" w:ascii="Amiri" w:hAnsi="Amiri"/>
          <w:color w:val="111111"/>
          <w:sz w:val="28"/>
          <w:szCs w:val="28"/>
          <w:rtl w:val="true"/>
          <w:lang w:bidi="ar-SA"/>
        </w:rPr>
        <w:t xml:space="preserve">» </w:t>
      </w:r>
      <w:r>
        <w:rPr>
          <w:rStyle w:val="FootnoteAnchor"/>
          <w:rtl w:val="true"/>
        </w:rPr>
        <w:footnoteReference w:id="1836"/>
      </w:r>
      <w:r>
        <w:rPr>
          <w:rFonts w:ascii="Amiri" w:hAnsi="Amiri" w:eastAsia="Amiri" w:cs="Amiri"/>
          <w:color w:val="111111"/>
          <w:sz w:val="28"/>
          <w:sz w:val="28"/>
          <w:szCs w:val="28"/>
          <w:rtl w:val="true"/>
          <w:lang w:bidi="ar-SA"/>
        </w:rPr>
        <w:t>ولا يبعد اتّحاد الخبرين ؛ لاتحاد الراوي والمروي عنه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روى الآخر غيره في الموثق ، عن الصادق عليه‌السلام أيضا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يبعه </w:t>
      </w:r>
      <w:r>
        <w:rPr>
          <w:rStyle w:val="FootnoteAnchor"/>
          <w:rtl w:val="true"/>
        </w:rPr>
        <w:footnoteReference w:id="1837"/>
      </w:r>
      <w:r>
        <w:rPr>
          <w:rFonts w:ascii="Amiri" w:hAnsi="Amiri" w:eastAsia="Amiri" w:cs="Amiri"/>
          <w:color w:val="111111"/>
          <w:sz w:val="28"/>
          <w:sz w:val="28"/>
          <w:szCs w:val="28"/>
          <w:rtl w:val="true"/>
          <w:lang w:bidi="ar-SA"/>
        </w:rPr>
        <w:t xml:space="preserve">حتى يكله </w:t>
      </w:r>
      <w:r>
        <w:rPr>
          <w:rFonts w:eastAsia="Amiri" w:cs="Amiri" w:ascii="Amiri" w:hAnsi="Amiri"/>
          <w:color w:val="111111"/>
          <w:sz w:val="28"/>
          <w:szCs w:val="28"/>
          <w:rtl w:val="true"/>
          <w:lang w:bidi="ar-SA"/>
        </w:rPr>
        <w:t xml:space="preserve">» </w:t>
      </w:r>
      <w:r>
        <w:rPr>
          <w:rStyle w:val="FootnoteAnchor"/>
          <w:rtl w:val="true"/>
        </w:rPr>
        <w:footnoteReference w:id="1838"/>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الموثق عن الرجل يبيع الطعام أو الثمرة وقد كان اشتراها ولم يقبضها؟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حتى يقبضها </w:t>
      </w:r>
      <w:r>
        <w:rPr>
          <w:rFonts w:eastAsia="Amiri" w:cs="Amiri" w:ascii="Amiri" w:hAnsi="Amiri"/>
          <w:color w:val="111111"/>
          <w:sz w:val="28"/>
          <w:szCs w:val="28"/>
          <w:rtl w:val="true"/>
          <w:lang w:bidi="ar-SA"/>
        </w:rPr>
        <w:t xml:space="preserve">»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وورود </w:t>
      </w:r>
      <w:r>
        <w:rPr>
          <w:rStyle w:val="FootnoteAnchor"/>
          <w:rtl w:val="true"/>
        </w:rPr>
        <w:footnoteReference w:id="1841"/>
      </w:r>
      <w:r>
        <w:rPr>
          <w:rFonts w:ascii="Amiri" w:hAnsi="Amiri" w:eastAsia="Amiri" w:cs="Amiri"/>
          <w:color w:val="111111"/>
          <w:sz w:val="28"/>
          <w:sz w:val="28"/>
          <w:szCs w:val="28"/>
          <w:rtl w:val="true"/>
          <w:lang w:bidi="ar-SA"/>
        </w:rPr>
        <w:t>بعض الروايات المذكورة في خصوص الطعام لا يفيد اختصاص الحكم به ، فإطلاق ما دلّ على المنع في غيره كاف في إثباته غاية الأمر أن تكون الأخبار المذكورة دليلا على المنع في غير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ليس شي‌ء من الروايات المذكورة صريحة في التحريم سيّما ما اشتمل على نفي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حمل الجميع على الكراهة ؛ جمعا بينها وبين ما دلّ على الجواز ممّا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تعرف حجّة القول باختصاص الحكم بالطعام ، فإنّ عدة من الأخبار المذكورة قد اشتملت على المنع في خصوص الطعام ، فيبقى غيره على أصالة الجواز ، وما دلّ إطلاقه على المنع في غيره أيضا محمول على الكراهة جمعا أو على خصوص الطعام حملا للمطلق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أشرنا إليه من الإجماعين المنقولين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ويدفعه أنه لو بنى على حمل النهي في المقام على الكراهة جرى في الجميع فيبعد حمل بعضها على الكراهة والبعض على التحريم من غير قيام شاهد على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المقام من موارد حمل المطلق على المقيّد حتّى تنزل الإطلاقات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ذكر خصوص العلف في بعض الصحاح المتقدّمة ، وليس مندرجا في الطعام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والاجماع المنقول موهون بمصير كثير من الأصحاب من القدماء والمتأخرين إلى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معارضته بالصحاح المستفيضة وغيرها ممّا يفيد الجواز في الجملة ، كما مرّت الإشارة إليها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المستفيضة وغيرها ممّا دلّ على التفصيل المذكور ، وقد مرّت </w:t>
      </w:r>
      <w:bookmarkStart w:id="230" w:name="pg15853_153614"/>
    </w:p>
    <w:p>
      <w:pPr>
        <w:pStyle w:val="BookText"/>
        <w:rPr/>
      </w:pPr>
      <w:bookmarkEnd w:id="230"/>
      <w:r>
        <w:rPr>
          <w:rFonts w:ascii="Amiri" w:hAnsi="Amiri" w:eastAsia="Amiri" w:cs="Amiri"/>
          <w:color w:val="111111"/>
          <w:sz w:val="28"/>
          <w:sz w:val="28"/>
          <w:szCs w:val="28"/>
          <w:rtl w:val="true"/>
          <w:lang w:bidi="ar-SA"/>
        </w:rPr>
        <w:t xml:space="preserve">الإشارة </w:t>
      </w:r>
      <w:r>
        <w:rPr>
          <w:rFonts w:eastAsia="Amiri" w:cs="Amiri" w:ascii="Amiri" w:hAnsi="Amiri"/>
          <w:color w:val="111111"/>
          <w:sz w:val="28"/>
          <w:szCs w:val="28"/>
          <w:rtl w:val="true"/>
          <w:lang w:bidi="ar-SA"/>
        </w:rPr>
        <w:t xml:space="preserve">) </w:t>
      </w:r>
      <w:r>
        <w:rPr>
          <w:rStyle w:val="FootnoteAnchor"/>
          <w:rtl w:val="true"/>
        </w:rPr>
        <w:footnoteReference w:id="1842"/>
      </w:r>
      <w:r>
        <w:rPr>
          <w:rFonts w:ascii="Amiri" w:hAnsi="Amiri" w:eastAsia="Amiri" w:cs="Amiri"/>
          <w:color w:val="111111"/>
          <w:sz w:val="28"/>
          <w:sz w:val="28"/>
          <w:szCs w:val="28"/>
          <w:rtl w:val="true"/>
          <w:lang w:bidi="ar-SA"/>
        </w:rPr>
        <w:t>إلى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عرفت من الإطلاقات المانعة عن بيع الطعام قبل القبض مطلقا ينزل عليه ، حملا للمطلق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ويدفعه متروكيّة القول بذلك بين الأصحاب حتّى أنّه لا يعرف من يفتي به من قدماء الأصحاب ، وإنّما ذهب إليه بعض المتأخرين ؛ نظرا إلى صحّة الأخبار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الأظهر حملها على الكراهة جمعا بين الأدلّة ، مضافا إلى عدم صراحتها في التحريم</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4587201_2142443653"/>
      <w:bookmarkStart w:id="232" w:name="_Toc83"/>
      <w:bookmarkEnd w:id="231"/>
      <w:r>
        <w:rPr>
          <w:rtl w:val="true"/>
        </w:rPr>
        <w:t xml:space="preserve">[ </w:t>
      </w:r>
      <w:r>
        <w:rPr>
          <w:rtl w:val="true"/>
        </w:rPr>
        <w:t xml:space="preserve">تنبيهات </w:t>
      </w:r>
      <w:r>
        <w:rPr>
          <w:rtl w:val="true"/>
        </w:rPr>
        <w:t>]</w:t>
      </w:r>
      <w:bookmarkEnd w:id="232"/>
    </w:p>
    <w:p>
      <w:pPr>
        <w:pStyle w:val="BookText"/>
        <w:rPr/>
      </w:pPr>
      <w:r>
        <w:rPr>
          <w:rFonts w:ascii="Amiri" w:hAnsi="Amiri" w:eastAsia="Amiri" w:cs="Amiri"/>
          <w:color w:val="111111"/>
          <w:sz w:val="28"/>
          <w:sz w:val="28"/>
          <w:szCs w:val="28"/>
          <w:rtl w:val="true"/>
          <w:lang w:bidi="ar-SA"/>
        </w:rPr>
        <w:t xml:space="preserve">وينبغي التنبيه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يجري الحكم المذكور بالنسبة إلى الثمن أيضا ، فيحرم أو يكره بيعه قبل القبض إذا كان مكيلا أو موزونا أو كان طعاما؟ وجهان من أنّ العوضين بمنزلة واحدة بل قد يدّعى صدق المبيع عليه كما مرّ ، ولظاهر إطلاق بعض الأخبار المتقدّمة ، ومن اختصاص معظم أخبار الباب بالمبيع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وصدقه على الثمن بعيد عن الاستعمالات العرفيّة ، فلا يندرج في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المذكورة لا تصريح فيها بذلك ، غايته إطلاق ضعيف ، وإثبات الحكم المذكور به مع خلو الفتاوى عنه مشكل ، سيّما على القول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يجري الحكم المذكور فيما ينتقل إلى البائع بغير البيع من ساير الوجوه الناقلة كالصلح والإجارة والإرث؟ وجهان ؛ من شمول إطلاق بعض الأخبار الماضية وخلوّ غيره من الأخبار الكثيرة وظاهر فتاوى الأصناف </w:t>
      </w:r>
      <w:r>
        <w:rPr>
          <w:rStyle w:val="FootnoteAnchor"/>
          <w:rtl w:val="true"/>
        </w:rPr>
        <w:footnoteReference w:id="1843"/>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يجري ذلك في نقله إلى الغير حينئذ بغير البيع من الهبة والصلح ونحوهما أو يختص </w:t>
      </w:r>
    </w:p>
    <w:p>
      <w:pPr>
        <w:pStyle w:val="BookText"/>
        <w:rPr/>
      </w:pPr>
      <w:r>
        <w:rPr>
          <w:rFonts w:ascii="Amiri" w:hAnsi="Amiri" w:eastAsia="Amiri" w:cs="Amiri"/>
          <w:color w:val="111111"/>
          <w:sz w:val="28"/>
          <w:sz w:val="28"/>
          <w:szCs w:val="28"/>
          <w:rtl w:val="true"/>
          <w:lang w:bidi="ar-SA"/>
        </w:rPr>
        <w:t>ذلك بالبيع قبل القبض؟ الظاهر الثاني لاختصاص الأدلّة به ، فيؤخذ حينئذ الأصل السالم عن المعارض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المذكور في عدّة من الأخبار إناطة الحكم المذكور تحريما أو كراهة بوقوع البيع قبل القبض ، وفي جملة منها إناطته بالوقوع قبل الكيل أو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بكون </w:t>
      </w:r>
      <w:r>
        <w:rPr>
          <w:rStyle w:val="FootnoteAnchor"/>
          <w:rtl w:val="true"/>
        </w:rPr>
        <w:footnoteReference w:id="1844"/>
      </w:r>
      <w:r>
        <w:rPr>
          <w:rFonts w:ascii="Amiri" w:hAnsi="Amiri" w:eastAsia="Amiri" w:cs="Amiri"/>
          <w:color w:val="111111"/>
          <w:sz w:val="28"/>
          <w:sz w:val="28"/>
          <w:szCs w:val="28"/>
          <w:rtl w:val="true"/>
          <w:lang w:bidi="ar-SA"/>
        </w:rPr>
        <w:t>القبض في المكيل والموزون هو الكيل والوزن فلا كلام ، وإلّا فقد يشكل الحال فيما هو المناط في المقام من الأمرين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إناطة الحكم بالقبض كما هو المذكور في كلام الأصحاب ، وفي كثير من 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ذكر الكيل أو الوزن في جملة منها مبنيّ على ما هو الغالب من اقتران القبض بالكيل أو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محمّد بن قيس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يبيعه حتّى يقبضه ويكتاله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منها اعتبار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يجعل ذلك وجها في الجمع بين الأخبار ، ولا يبعد أيضا حمله على الغالب من المتعارف بين الأمرين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والأحوط مراعاتهما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الموثق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اشترينا طعاما فزعم صاحبه أنّه كاله فصدّقناه وأخذناه بكيله؟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أن أبيعه كما اشتريته بغير كيل؟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أمّا أنت فلا تبعه حتّى تكيله </w:t>
      </w:r>
      <w:r>
        <w:rPr>
          <w:rFonts w:eastAsia="Amiri" w:cs="Amiri" w:ascii="Amiri" w:hAnsi="Amiri"/>
          <w:color w:val="111111"/>
          <w:sz w:val="28"/>
          <w:szCs w:val="28"/>
          <w:rtl w:val="true"/>
          <w:lang w:bidi="ar-SA"/>
        </w:rPr>
        <w:t xml:space="preserve">»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يستفاد منه عدم الاكتفاء بمجرّد القبض ؛ إذ قد فرض في السؤال أخذه بما ذكر البائع من الكيل </w:t>
      </w:r>
      <w:r>
        <w:rPr>
          <w:rFonts w:eastAsia="Amiri" w:cs="Amiri" w:ascii="Amiri" w:hAnsi="Amiri"/>
          <w:color w:val="111111"/>
          <w:sz w:val="28"/>
          <w:szCs w:val="28"/>
          <w:rtl w:val="true"/>
          <w:lang w:bidi="ar-SA"/>
        </w:rPr>
        <w:t xml:space="preserve">)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وذكر بعضهم هذه الرواية في أدلة القول بالمنع ، والصواب أنّها لا ترتبط بالمقام ؛ إذ المراد بها عدم جواز البيع بالكيل الذي أخبره البائع من غير بيان الحال لما فيه من التدليس ، فلا بدّ من أن يكيله للمشتري الثاني ، ولا يراد به المنع من بيعه حتّى يكيله لنفسه كما هو الملحوظ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بالمكيل والموزون هنا ما ذكر سابقا في مسألة اعتبار الكيل والوزن فيما يكال أو يوزن ، فإمّا أن يرجع فيه إلى عادة المحلّ أو إلى زمان الشارع إلى غير ذلك ممّا فصّل القول فيه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البناء على الرجوع أو إلى المعتاد فلو بيع تارة جزافا وأخرى بالكيل والوزن في محلّ واحد ، فهل يرجّح جانب الجواز أو المنع؟ وجهان؟ كأنّ أظهرهما الأوّل ؛ أخذا بالأصل بعد التأمل في انصراف المكيل والموزون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الطعام قد يراد به مطلق المطعوم ، فيشمل ساير المأكولات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يراد به الحنطة والشعير ، ولا يبعد أيضا إطلاقه على خصوص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الأظهر في المقام حمله على أحد الأمرين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أريد به الأوّل فلا بدّ من تقييده بخصوص المكيل والموزون كما يستفاد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في الحكم المذكور بين كون المبيع في قبض البائع الأوّل أو غيره مع بيعه ممّن </w:t>
      </w:r>
      <w:r>
        <w:rPr>
          <w:rStyle w:val="FootnoteAnchor"/>
          <w:rtl w:val="true"/>
        </w:rPr>
        <w:footnoteReference w:id="1848"/>
      </w:r>
      <w:r>
        <w:rPr>
          <w:rFonts w:ascii="Amiri" w:hAnsi="Amiri" w:eastAsia="Amiri" w:cs="Amiri"/>
          <w:color w:val="111111"/>
          <w:sz w:val="28"/>
          <w:sz w:val="28"/>
          <w:szCs w:val="28"/>
          <w:rtl w:val="true"/>
          <w:lang w:bidi="ar-SA"/>
        </w:rPr>
        <w:t>هو في يده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القابض وكيلا عن المشتري في القبض ونوى القبض عنه كفى في قبضه من غير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الاكتفاء باستمرار القبض من غير حاجة إلى نيّة القبض عنه إذا لم ينو خلافه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يعرف الحال فيما لو كان المشتري وليّا على المالك أو وكيلا عنه ، فكان المال في يده فباع من نفسه ، فإنّ مقبوضيّة المال له كافية في حصول القبض من غير حاجة إلى تجديد </w:t>
      </w:r>
    </w:p>
    <w:p>
      <w:pPr>
        <w:pStyle w:val="BookText"/>
        <w:rPr/>
      </w:pPr>
      <w:r>
        <w:rPr>
          <w:rFonts w:ascii="IRNazanin" w:hAnsi="IRNazanin" w:eastAsia="IRNazanin"/>
          <w:color w:val="111111"/>
          <w:sz w:val="28"/>
          <w:sz w:val="28"/>
          <w:szCs w:val="28"/>
          <w:rtl w:val="true"/>
          <w:lang w:bidi="fa-IR"/>
        </w:rPr>
        <w:t>القبض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توقفه على نيّة القبض من نفسه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البناء على كون النهي المذكور للكراهة لا إشكال في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الآخر فهل يقتضي النهي بفساده أو أنّه إنّما يحرم البيع من دون فساد؟ وجهان ، أظهرهما الأوّل بناء على ما تقرّر من كون النهي في المعاملة قاضيا بفسادها إن كان تعلّقه بها لأجل المعاملة كما هو الحال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فهل يفيد التحريم ليكون ذلك حراما أصليّا أو أنّ المقصود به بيان الفساد من دون حصول التحريم إلّا من جهة التشريع لو أريد إيقاع البيع الشرعي؟ وجهان ، أظهرهما الأخير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باعه الفضول </w:t>
      </w:r>
      <w:r>
        <w:rPr>
          <w:rStyle w:val="FootnoteAnchor"/>
          <w:rtl w:val="true"/>
        </w:rPr>
        <w:footnoteReference w:id="1849"/>
      </w:r>
      <w:r>
        <w:rPr>
          <w:rFonts w:ascii="Amiri" w:hAnsi="Amiri" w:eastAsia="Amiri" w:cs="Amiri"/>
          <w:color w:val="111111"/>
          <w:sz w:val="28"/>
          <w:sz w:val="28"/>
          <w:szCs w:val="28"/>
          <w:rtl w:val="true"/>
          <w:lang w:bidi="ar-SA"/>
        </w:rPr>
        <w:t>وهو غير مقبوض للمشتري الأول ، فأجازه بعد القبض فهل العبرة حينئذ بحال الإجازة أو حال وقوع العقد؟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يفرع ذلك على كون الإجازة كاشفة أو ناقلة ، فعلى الأوّل ينبغي البناء على الثاني ، وعلى الثاني يتقوّى الحكم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ذلك فيما لو اشتراه الفضول ، وقد صار مقبوضا للبائع عند إجازة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الصحاح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حملها على 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كراهة التولية حينئذ لكن لو قيل بها من جهة الخروج عن شبهة الخلاف لم يكن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فالأمر في التولية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يلحق به ما إذا باع حصّته </w:t>
      </w:r>
      <w:r>
        <w:rPr>
          <w:rStyle w:val="FootnoteAnchor"/>
          <w:rtl w:val="true"/>
        </w:rPr>
        <w:footnoteReference w:id="1850"/>
      </w:r>
      <w:r>
        <w:rPr>
          <w:rFonts w:ascii="Amiri" w:hAnsi="Amiri" w:eastAsia="Amiri" w:cs="Amiri"/>
          <w:color w:val="111111"/>
          <w:sz w:val="28"/>
          <w:sz w:val="28"/>
          <w:szCs w:val="28"/>
          <w:rtl w:val="true"/>
          <w:lang w:bidi="ar-SA"/>
        </w:rPr>
        <w:t>من أحد الشركاء ولو بربح حسبما دلّت عليه الموثقة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أقف على من نبّه عليه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جريان ذلك في الوضعية أيضا وجه ؛ نظرا إلى مفهوم الصحيحة المذكورة من </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ربح فلا تبع حتّى يقبضه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معارض بمفهوم ما ذكر بعده </w:t>
      </w:r>
      <w:r>
        <w:rPr>
          <w:rStyle w:val="FootnoteAnchor"/>
          <w:rtl w:val="true"/>
        </w:rPr>
        <w:footnoteReference w:id="1851"/>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يوليه </w:t>
      </w:r>
      <w:r>
        <w:rPr>
          <w:rFonts w:eastAsia="Amiri" w:cs="Amiri" w:ascii="Amiri" w:hAnsi="Amiri"/>
          <w:color w:val="111111"/>
          <w:sz w:val="28"/>
          <w:szCs w:val="28"/>
          <w:rtl w:val="true"/>
          <w:lang w:bidi="ar-SA"/>
        </w:rPr>
        <w:t xml:space="preserve">» </w:t>
      </w:r>
      <w:r>
        <w:rPr>
          <w:rStyle w:val="FootnoteAnchor"/>
          <w:rtl w:val="true"/>
        </w:rPr>
        <w:footnoteReference w:id="1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قضاء الإطلاقات بالمنع خصوصا ما ذكر فيه استثناء التولية خاصّة ؛ إذ لو جرى ذلك في الوضعية لذكرت معها ، وندور الوضيعة بحيث تنصرف </w:t>
      </w:r>
      <w:r>
        <w:rPr>
          <w:rStyle w:val="FootnoteAnchor"/>
          <w:rtl w:val="true"/>
        </w:rPr>
        <w:footnoteReference w:id="1853"/>
      </w:r>
      <w:r>
        <w:rPr>
          <w:rFonts w:ascii="Amiri" w:hAnsi="Amiri" w:eastAsia="Amiri" w:cs="Amiri"/>
          <w:color w:val="111111"/>
          <w:sz w:val="28"/>
          <w:sz w:val="28"/>
          <w:szCs w:val="28"/>
          <w:rtl w:val="true"/>
          <w:lang w:bidi="ar-SA"/>
        </w:rPr>
        <w:t>الإطلاقات عنها غير ظاهر ، فالبناء على شمول المنع تحريما وكراهة للوضيعة أولى سيّما مع ذكر الوضيعة مع المرابحة في الموثقة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الحكم المذكور بين ما إذا كان المبيع عينا خارجيّة أو كليّا في الذمّة كما هو ظاهر إطلاق الأصحاب ومعظم روايات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يتوهّم انصراف الإطلاقات إلى بيع الأعيان الخارجيّة ، فلا يجري الحكم في بيع الأعيان المضمونة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 وعلى فرض انصراف الإطلاقات إلى ما ذكر فلا يبعد جريان الحكم في الأعيان الذميّة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اختلف كلمات الأصحاب في بيان معنى القبض وما يحصل به ذلك بالنسبة إلى المنقول وغير المنقول على أقوال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إنّه أنيط به عدة من الأحكام الشرعيّة في مباحث البيوع وغيرها كان الأولى تفصيل القول فيه والكشف عن مبانيه ، فنقول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خلاف ظاهر </w:t>
      </w:r>
      <w:r>
        <w:rPr>
          <w:rStyle w:val="FootnoteAnchor"/>
          <w:rtl w:val="true"/>
        </w:rPr>
        <w:footnoteReference w:id="1854"/>
      </w:r>
      <w:r>
        <w:rPr>
          <w:rFonts w:ascii="Amiri" w:hAnsi="Amiri" w:eastAsia="Amiri" w:cs="Amiri"/>
          <w:color w:val="111111"/>
          <w:sz w:val="28"/>
          <w:sz w:val="28"/>
          <w:szCs w:val="28"/>
          <w:rtl w:val="true"/>
          <w:lang w:bidi="ar-SA"/>
        </w:rPr>
        <w:t>في كون القبض بالنسبة إلى غير المنقول هو التخلية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الغنية </w:t>
      </w:r>
      <w:r>
        <w:rPr>
          <w:rStyle w:val="FootnoteAnchor"/>
          <w:rtl w:val="true"/>
        </w:rPr>
        <w:footnoteReference w:id="1855"/>
      </w:r>
      <w:r>
        <w:rPr>
          <w:rFonts w:ascii="Amiri" w:hAnsi="Amiri" w:eastAsia="Amiri" w:cs="Amiri"/>
          <w:color w:val="111111"/>
          <w:sz w:val="28"/>
          <w:sz w:val="28"/>
          <w:szCs w:val="28"/>
          <w:rtl w:val="true"/>
          <w:lang w:bidi="ar-SA"/>
        </w:rPr>
        <w:t>حكاية الإجماع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في التنقيح نقلا عن المحقق في احتجاجه على ما 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مجمع الفائدة </w:t>
      </w:r>
      <w:r>
        <w:rPr>
          <w:rStyle w:val="FootnoteAnchor"/>
          <w:rtl w:val="true"/>
        </w:rPr>
        <w:footnoteReference w:id="1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عدم النزاع في الاكتفاء بالتخلية فيما لا ينقل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الرياض </w:t>
      </w:r>
      <w:r>
        <w:rPr>
          <w:rStyle w:val="FootnoteAnchor"/>
          <w:rtl w:val="true"/>
        </w:rPr>
        <w:footnoteReference w:id="1857"/>
      </w:r>
      <w:r>
        <w:rPr>
          <w:rFonts w:ascii="Amiri" w:hAnsi="Amiri" w:eastAsia="Amiri" w:cs="Amiri"/>
          <w:color w:val="111111"/>
          <w:sz w:val="28"/>
          <w:sz w:val="28"/>
          <w:szCs w:val="28"/>
          <w:rtl w:val="true"/>
          <w:lang w:bidi="ar-SA"/>
        </w:rPr>
        <w:t>حكاية الاتفاق عليه ، وقد نصّ بالإجماع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بالتخلية على ما فسّرها في الروضة </w:t>
      </w:r>
      <w:r>
        <w:rPr>
          <w:rStyle w:val="FootnoteAnchor"/>
          <w:rtl w:val="true"/>
        </w:rPr>
        <w:footnoteReference w:id="1858"/>
      </w:r>
      <w:r>
        <w:rPr>
          <w:rFonts w:ascii="Amiri" w:hAnsi="Amiri" w:eastAsia="Amiri" w:cs="Amiri"/>
          <w:color w:val="111111"/>
          <w:sz w:val="28"/>
          <w:sz w:val="28"/>
          <w:szCs w:val="28"/>
          <w:rtl w:val="true"/>
          <w:lang w:bidi="ar-SA"/>
        </w:rPr>
        <w:t>هو رفع المانع للمشتري من القبض بالأذن فيه ورفع يده ويد غيره عنه ، وإن كان استشكل ذلك بأنّ المفروض كون التخلية قبضا فكيف يصحّ تفسيره برفع المانع عن القبض ؛ إذ مجرد رفع المانع عن الشي‌ء لا يكون عين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بأنّ المراد بالقبض المأخوذ في الحدّ غير ما يراد في المقام ، فإنّ المراد </w:t>
      </w:r>
      <w:r>
        <w:rPr>
          <w:rStyle w:val="FootnoteAnchor"/>
          <w:rtl w:val="true"/>
        </w:rPr>
        <w:footnoteReference w:id="1859"/>
      </w:r>
      <w:r>
        <w:rPr>
          <w:rFonts w:ascii="Amiri" w:hAnsi="Amiri" w:eastAsia="Amiri" w:cs="Amiri"/>
          <w:color w:val="111111"/>
          <w:sz w:val="28"/>
          <w:sz w:val="28"/>
          <w:szCs w:val="28"/>
          <w:rtl w:val="true"/>
          <w:lang w:bidi="ar-SA"/>
        </w:rPr>
        <w:t xml:space="preserve">منع اليد عليه والتصرف فيه أو يقال ملازمه </w:t>
      </w:r>
      <w:r>
        <w:rPr>
          <w:rStyle w:val="FootnoteAnchor"/>
          <w:rtl w:val="true"/>
        </w:rPr>
        <w:footnoteReference w:id="1860"/>
      </w:r>
      <w:r>
        <w:rPr>
          <w:rFonts w:ascii="Amiri" w:hAnsi="Amiri" w:eastAsia="Amiri" w:cs="Amiri"/>
          <w:color w:val="111111"/>
          <w:sz w:val="28"/>
          <w:sz w:val="28"/>
          <w:szCs w:val="28"/>
          <w:rtl w:val="true"/>
          <w:lang w:bidi="ar-SA"/>
        </w:rPr>
        <w:t>رفع المانع عن القبض على الوجه المذكور لحصوله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فيعتبر في التخلية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يده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يد الغير عنه إن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الاذن له في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برفع يده عنه رفع سلطنته عليه بتركه </w:t>
      </w:r>
      <w:r>
        <w:rPr>
          <w:rStyle w:val="FootnoteAnchor"/>
          <w:rtl w:val="true"/>
        </w:rPr>
        <w:footnoteReference w:id="1861"/>
      </w:r>
      <w:r>
        <w:rPr>
          <w:rFonts w:ascii="Amiri" w:hAnsi="Amiri" w:eastAsia="Amiri" w:cs="Amiri"/>
          <w:color w:val="111111"/>
          <w:sz w:val="28"/>
          <w:sz w:val="28"/>
          <w:szCs w:val="28"/>
          <w:rtl w:val="true"/>
          <w:lang w:bidi="ar-SA"/>
        </w:rPr>
        <w:t>والاعراض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يحصل بفعل البائع وقصده وإظهاره للمشتري ، فلا يكتفي برفع يده في الواقع عن غير إظهاره للمشتري ولا بإظهاره من دون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يعتبر فيه رفع يده عن العين والمنافع معا ؛ إذ وضع يده على المنافع وضع يد على العين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يشكل فيما إذا كان المبيع مشغولا بملك البائع ؛ فانّه قد مرّت الإشارة إلى أنّه لا يمنع من </w:t>
      </w:r>
    </w:p>
    <w:p>
      <w:pPr>
        <w:pStyle w:val="BookText"/>
        <w:rPr/>
      </w:pPr>
      <w:r>
        <w:rPr>
          <w:rFonts w:ascii="Amiri" w:hAnsi="Amiri" w:eastAsia="Amiri" w:cs="Amiri"/>
          <w:color w:val="111111"/>
          <w:sz w:val="28"/>
          <w:sz w:val="28"/>
          <w:szCs w:val="28"/>
          <w:rtl w:val="true"/>
          <w:lang w:bidi="ar-SA"/>
        </w:rPr>
        <w:t>حصول القبض ، وقد نصّ عليه الجماعة مع أنّ اشتغال المكان به استيلاء من البائع على المنفعة الخاصّة واستيفاء لها ، فلا يجامع ذلك حصول القبض على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اشتغاله بملكه إن كان على سبيل القهر والاستيلاء وعدم تسليط المشتري على التفريغ </w:t>
      </w:r>
      <w:r>
        <w:rPr>
          <w:rStyle w:val="FootnoteAnchor"/>
          <w:rtl w:val="true"/>
        </w:rPr>
        <w:footnoteReference w:id="1862"/>
      </w:r>
      <w:r>
        <w:rPr>
          <w:rFonts w:ascii="Amiri" w:hAnsi="Amiri" w:eastAsia="Amiri" w:cs="Amiri"/>
          <w:color w:val="111111"/>
          <w:sz w:val="28"/>
          <w:sz w:val="28"/>
          <w:szCs w:val="28"/>
          <w:rtl w:val="true"/>
          <w:lang w:bidi="ar-SA"/>
        </w:rPr>
        <w:t>فالأمر كذلك ، ولا نسلّم حصول التخلية منه بالنسبة إلى القدر المشغول كما يشهد به العرف إلّا إذا كان ممّا لا يعتدّ به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يمانع استيلاء المشتري على المال كما إذا وضع فيه كتابا أو ربط فيه شاة ونحو ذلك ، فلا يمنع ذلك من صدق التخلية سواء كان ذلك على وجه الاستحقاق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سلطه على التفريغ </w:t>
      </w:r>
      <w:r>
        <w:rPr>
          <w:rStyle w:val="FootnoteAnchor"/>
          <w:rtl w:val="true"/>
        </w:rPr>
        <w:footnoteReference w:id="1863"/>
      </w:r>
      <w:r>
        <w:rPr>
          <w:rFonts w:ascii="Amiri" w:hAnsi="Amiri" w:eastAsia="Amiri" w:cs="Amiri"/>
          <w:color w:val="111111"/>
          <w:sz w:val="28"/>
          <w:sz w:val="28"/>
          <w:szCs w:val="28"/>
          <w:rtl w:val="true"/>
          <w:lang w:bidi="ar-SA"/>
        </w:rPr>
        <w:t>ووكّل الأمر إلى اختياره بلا مدافعة له بالنسبة إلى العين ولا المنافع فلا مانع من تحقّق القبض ، فالمقصود بما مرّ عدم المنافاة بين القبض واشتغال المبيع بمال البائع أو غيره في الجملة ، لا حصول القبض ، مع الاشتغال بأيّ وجه كان ؛ لوضوح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شرط على المشتري بقاء المبيع عنه مدّة معلومة أو استيفاء منافع العين لنفسه مدّة معينة فقد </w:t>
      </w:r>
      <w:r>
        <w:rPr>
          <w:rStyle w:val="FootnoteAnchor"/>
          <w:rtl w:val="true"/>
        </w:rPr>
        <w:footnoteReference w:id="1864"/>
      </w:r>
      <w:r>
        <w:rPr>
          <w:rFonts w:ascii="Amiri" w:hAnsi="Amiri" w:eastAsia="Amiri" w:cs="Amiri"/>
          <w:color w:val="111111"/>
          <w:sz w:val="28"/>
          <w:sz w:val="28"/>
          <w:szCs w:val="28"/>
          <w:rtl w:val="true"/>
          <w:lang w:bidi="ar-SA"/>
        </w:rPr>
        <w:t xml:space="preserve">مرّ أنّه لا يتسلّط المشتري على تسلّم العين ، أمّا في الأوّل فظاهر ، وأمّا في الثاني فلما أشرنا إليه من أنّ الظاهر استحقاق البائع إبقاء </w:t>
      </w:r>
      <w:r>
        <w:rPr>
          <w:rStyle w:val="FootnoteAnchor"/>
          <w:rtl w:val="true"/>
        </w:rPr>
        <w:footnoteReference w:id="1865"/>
      </w:r>
      <w:r>
        <w:rPr>
          <w:rFonts w:ascii="Amiri" w:hAnsi="Amiri" w:eastAsia="Amiri" w:cs="Amiri"/>
          <w:color w:val="111111"/>
          <w:sz w:val="28"/>
          <w:sz w:val="28"/>
          <w:szCs w:val="28"/>
          <w:rtl w:val="true"/>
          <w:lang w:bidi="ar-SA"/>
        </w:rPr>
        <w:t>العين في يده من جهة استيفاء منافعه المتعلّقة به على نحو استحقاق المستأجر للعين المستأجرة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فليس للبائع منع المشتري من التصرفات المتعلّقة بالعين من البيع والصلح والوصية ونحوها ، ولا المتعلقة بالمنافع بالنسبة إلى الزمان المضروب</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يعدّ ترخيصه في ذلك وإيكال الأمر إليه فيها تخلية من غير أن يسلّطه على نفس العين بالدخول والخروج والسكنى فيه </w:t>
      </w:r>
      <w:r>
        <w:rPr>
          <w:rStyle w:val="FootnoteAnchor"/>
          <w:rtl w:val="true"/>
        </w:rPr>
        <w:footnoteReference w:id="1866"/>
      </w:r>
      <w:r>
        <w:rPr>
          <w:rFonts w:ascii="IRNazanin" w:hAnsi="IRNazanin" w:eastAsia="IRNazanin"/>
          <w:color w:val="111111"/>
          <w:sz w:val="28"/>
          <w:sz w:val="28"/>
          <w:szCs w:val="28"/>
          <w:rtl w:val="true"/>
          <w:lang w:bidi="fa-IR"/>
        </w:rPr>
        <w:t>ونحوها من التصرفات؟ وجهان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والأظهر عدم صدق التخلية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صريح حكم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من التفسير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سلّطه حينئذ على العين بالوجه المذكور كان قبضا قطعا وإن لم يستحقّه المشتري حينئذ ، فيتبعه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ومنعه البائع من التصرف في المنفعة المستحقّة له بنقله إلى الغير ونحوه لا ينافي تخلية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ويجري ما ذكرناه في رفع يد البائع عن المبيع بالنسبة إلى رفع يد الغير أيضا وإن كان له يد عليه سواء كانت يده عادية كالغاصب إذا كان مانعا </w:t>
      </w:r>
      <w:r>
        <w:rPr>
          <w:rStyle w:val="FootnoteAnchor"/>
          <w:rtl w:val="true"/>
        </w:rPr>
        <w:footnoteReference w:id="1867"/>
      </w:r>
      <w:r>
        <w:rPr>
          <w:rFonts w:ascii="Amiri" w:hAnsi="Amiri" w:eastAsia="Amiri" w:cs="Amiri"/>
          <w:color w:val="111111"/>
          <w:sz w:val="28"/>
          <w:sz w:val="28"/>
          <w:szCs w:val="28"/>
          <w:rtl w:val="true"/>
          <w:lang w:bidi="ar-SA"/>
        </w:rPr>
        <w:t>من التصرفات المتعلّقة بالعين أو المنفعة أو كانت غير عادية كالمستأجر والموصي بمنافعه مدّة معيّنة ونحوهما ، فلا فائدة إذن في رفع يد البائع عنه في عدم تمكن الآخر من تصرفه في العين واستيلائه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ومجرّد تسلط </w:t>
      </w:r>
      <w:r>
        <w:rPr>
          <w:rStyle w:val="FootnoteAnchor"/>
          <w:rtl w:val="true"/>
        </w:rPr>
        <w:footnoteReference w:id="1868"/>
      </w:r>
      <w:r>
        <w:rPr>
          <w:rFonts w:ascii="Amiri" w:hAnsi="Amiri" w:eastAsia="Amiri" w:cs="Amiri"/>
          <w:color w:val="111111"/>
          <w:sz w:val="28"/>
          <w:sz w:val="28"/>
          <w:szCs w:val="28"/>
          <w:rtl w:val="true"/>
          <w:lang w:bidi="ar-SA"/>
        </w:rPr>
        <w:t xml:space="preserve">البائع على التصرف في العين بالبيع ونحوه ممّا لا ينافي حقّ المستأجر أو الموصى له مثلا أو لا يضايقه الغاصب أيضا بعد تخلية العين </w:t>
      </w:r>
      <w:r>
        <w:rPr>
          <w:rStyle w:val="FootnoteAnchor"/>
          <w:rtl w:val="true"/>
        </w:rPr>
        <w:footnoteReference w:id="1869"/>
      </w:r>
      <w:r>
        <w:rPr>
          <w:rFonts w:ascii="IRNazanin" w:hAnsi="IRNazanin" w:eastAsia="IRNazanin"/>
          <w:color w:val="111111"/>
          <w:sz w:val="28"/>
          <w:sz w:val="28"/>
          <w:szCs w:val="28"/>
          <w:rtl w:val="true"/>
          <w:lang w:bidi="fa-IR"/>
        </w:rPr>
        <w:t>عرفا مع حصول المنع المفروض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ويلوح من التذكرة القطع بعدم حصول القبض بمجرّد ذلك ، ولذا لم يجوّز وقف العين الموجرة من دون إذن المستأجر في القبض</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يتخيّل حصول القبض بتسليط المشتري على التصرفات المتعلّقة بالعين حسبما ذكر ؛ نظرا إلى استقلال </w:t>
      </w:r>
      <w:r>
        <w:rPr>
          <w:rStyle w:val="FootnoteAnchor"/>
          <w:rtl w:val="true"/>
        </w:rPr>
        <w:footnoteReference w:id="1870"/>
      </w:r>
      <w:r>
        <w:rPr>
          <w:rFonts w:ascii="Amiri" w:hAnsi="Amiri" w:eastAsia="Amiri" w:cs="Amiri"/>
          <w:color w:val="111111"/>
          <w:sz w:val="28"/>
          <w:sz w:val="28"/>
          <w:szCs w:val="28"/>
          <w:rtl w:val="true"/>
          <w:lang w:bidi="ar-SA"/>
        </w:rPr>
        <w:t>البائع بذلك ، وكون المبيع في يده بحسب الحقيقة دون المستأجر ؛ فإنّ يده تابعة ليد الموجر ، فإذا فوّض الأمر إلى المشتري وجعله مكان نفسه في التصرفات المتعلّقة بالعين أو المنافع بالنسبة إلى ما بعد زمان الإجارة مثلا فقد اشتغل بذلك يد المشتري على العين ، وكان ذلك قبضا للمبيع ؛ إذ ليست حقيقة القبض إلّا استقلال اليد على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أنّه قد كان العين أوّلا في يد البائع فجعلها في يد </w:t>
      </w:r>
      <w:r>
        <w:rPr>
          <w:rStyle w:val="FootnoteAnchor"/>
          <w:rtl w:val="true"/>
        </w:rPr>
        <w:footnoteReference w:id="1871"/>
      </w:r>
      <w:r>
        <w:rPr>
          <w:rFonts w:ascii="Amiri" w:hAnsi="Amiri" w:eastAsia="Amiri" w:cs="Amiri"/>
          <w:color w:val="111111"/>
          <w:sz w:val="28"/>
          <w:sz w:val="28"/>
          <w:szCs w:val="28"/>
          <w:rtl w:val="true"/>
          <w:lang w:bidi="ar-SA"/>
        </w:rPr>
        <w:t>المشتري بتفويضه الأمر إليه ، فصارت مفوّضة له حاصلة تحت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كون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البائع حينئذ مع كونها عند المستأجر في الفرض المذكور أنّه </w:t>
      </w:r>
      <w:r>
        <w:rPr>
          <w:rStyle w:val="FootnoteAnchor"/>
          <w:rtl w:val="true"/>
        </w:rPr>
        <w:footnoteReference w:id="1872"/>
      </w:r>
      <w:r>
        <w:rPr>
          <w:rFonts w:ascii="Amiri" w:hAnsi="Amiri" w:eastAsia="Amiri" w:cs="Amiri"/>
          <w:color w:val="111111"/>
          <w:sz w:val="28"/>
          <w:sz w:val="28"/>
          <w:szCs w:val="28"/>
          <w:rtl w:val="true"/>
          <w:lang w:bidi="ar-SA"/>
        </w:rPr>
        <w:t>لو ادّعى المستأجر أو غيره تملك العين كان القول قول الموجر وكان منكرا عليه الحلف عند عجز الآخر عن إقامة البيّنة ، ولو تعارضت البينتان كان الموجر داخلا والآخر خارجا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أخّر </w:t>
      </w:r>
      <w:r>
        <w:rPr>
          <w:rStyle w:val="FootnoteAnchor"/>
          <w:rtl w:val="true"/>
        </w:rPr>
        <w:footnoteReference w:id="1873"/>
      </w:r>
      <w:r>
        <w:rPr>
          <w:rFonts w:ascii="Amiri" w:hAnsi="Amiri" w:eastAsia="Amiri" w:cs="Amiri"/>
          <w:color w:val="111111"/>
          <w:sz w:val="28"/>
          <w:sz w:val="28"/>
          <w:szCs w:val="28"/>
          <w:rtl w:val="true"/>
          <w:lang w:bidi="ar-SA"/>
        </w:rPr>
        <w:t>الموجر بالعين مضى إقراره فيها دون المنافع المتعلّقة بالمستأجر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كلّه من الشواهد على كون العين في يد البائع ، فإذا سلّمها كذلك إلى المشتري كان إقباضا له حسبما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بوهن ذلك ؛ لابتنائه على عدم الفرق بين القبض واليد ، وبينهما بون بعيد ، فإن حصل حصول اليد الشرعي على المال غير مقبوضيّة المال </w:t>
      </w:r>
      <w:r>
        <w:rPr>
          <w:rStyle w:val="FootnoteAnchor"/>
          <w:rtl w:val="true"/>
        </w:rPr>
        <w:footnoteReference w:id="1874"/>
      </w:r>
      <w:r>
        <w:rPr>
          <w:rFonts w:ascii="Amiri" w:hAnsi="Amiri" w:eastAsia="Amiri" w:cs="Amiri"/>
          <w:color w:val="111111"/>
          <w:sz w:val="28"/>
          <w:sz w:val="28"/>
          <w:szCs w:val="28"/>
          <w:rtl w:val="true"/>
          <w:lang w:bidi="ar-SA"/>
        </w:rPr>
        <w:t xml:space="preserve">ويمكن الانفكاك بينهما من الجانبين فقد يحصل </w:t>
      </w:r>
      <w:r>
        <w:rPr>
          <w:rStyle w:val="FootnoteAnchor"/>
          <w:rtl w:val="true"/>
        </w:rPr>
        <w:footnoteReference w:id="1875"/>
      </w:r>
      <w:r>
        <w:rPr>
          <w:rFonts w:ascii="Amiri" w:hAnsi="Amiri" w:eastAsia="Amiri" w:cs="Amiri"/>
          <w:color w:val="111111"/>
          <w:sz w:val="28"/>
          <w:sz w:val="28"/>
          <w:szCs w:val="28"/>
          <w:rtl w:val="true"/>
          <w:lang w:bidi="ar-SA"/>
        </w:rPr>
        <w:t xml:space="preserve">المقبوضيّة من دون اليد كما في المغصوب </w:t>
      </w:r>
      <w:r>
        <w:rPr>
          <w:rStyle w:val="FootnoteAnchor"/>
          <w:rtl w:val="true"/>
        </w:rPr>
        <w:footnoteReference w:id="1876"/>
      </w:r>
      <w:r>
        <w:rPr>
          <w:rFonts w:ascii="IRNazanin" w:hAnsi="IRNazanin" w:eastAsia="IRNazanin"/>
          <w:color w:val="111111"/>
          <w:sz w:val="28"/>
          <w:sz w:val="28"/>
          <w:szCs w:val="28"/>
          <w:rtl w:val="true"/>
          <w:lang w:bidi="fa-IR"/>
        </w:rPr>
        <w:t xml:space="preserve">والمستأجر إذا قبضه المستأجر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يكون اليد حاصلا من دون حصول القبض كالفرض المذكور بالنسبة إلى المغصوب </w:t>
      </w:r>
      <w:r>
        <w:rPr>
          <w:rStyle w:val="FootnoteAnchor"/>
          <w:rtl w:val="true"/>
        </w:rPr>
        <w:footnoteReference w:id="1878"/>
      </w:r>
      <w:r>
        <w:rPr>
          <w:rFonts w:ascii="Amiri" w:hAnsi="Amiri" w:eastAsia="Amiri" w:cs="Amiri"/>
          <w:color w:val="111111"/>
          <w:sz w:val="28"/>
          <w:sz w:val="28"/>
          <w:szCs w:val="28"/>
          <w:rtl w:val="true"/>
          <w:lang w:bidi="ar-SA"/>
        </w:rPr>
        <w:t>به والموجر ، وقد يجتمعان ، وهو ظاهر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 من الأحكام إنّما يتبع حصول اليد دون صدق القبض ، ودعوى كون القبض هو </w:t>
      </w:r>
    </w:p>
    <w:p>
      <w:pPr>
        <w:pStyle w:val="BookText"/>
        <w:rPr/>
      </w:pPr>
      <w:r>
        <w:rPr>
          <w:rFonts w:ascii="Amiri" w:hAnsi="Amiri" w:eastAsia="Amiri" w:cs="Amiri"/>
          <w:color w:val="111111"/>
          <w:sz w:val="28"/>
          <w:sz w:val="28"/>
          <w:szCs w:val="28"/>
          <w:rtl w:val="true"/>
          <w:lang w:bidi="ar-SA"/>
        </w:rPr>
        <w:t>استقلال اليد على العين ممّا لا شاهد عليه في كلماتهم إن أريد به ما يشمل المذكور ، وإن أريد به استقلال اليد على العين بانتفاء المانع عن تصرفه فيه بالدفع والمنع وغيرهما من أنحاء التصرف فهو حسن إلّا أنّه غير حاصل في العين المستأجرة إذا لم يمكنه المستأجر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والعرف أقوى شاهد في المقام ؛ إذ لا يعد المال حينئذ إلّا في قبض المستأجر ، وتصرفه بعد دفع البائع إليه وجعل في تصرفه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لذلك ملاحظة الحال في المغصوب ؛ إذ مع كون اليد والثابت عليه شرعا يد المالك ولذا يمضي </w:t>
      </w:r>
      <w:r>
        <w:rPr>
          <w:rStyle w:val="FootnoteAnchor"/>
          <w:rtl w:val="true"/>
        </w:rPr>
        <w:footnoteReference w:id="1879"/>
      </w:r>
      <w:r>
        <w:rPr>
          <w:rFonts w:ascii="Amiri" w:hAnsi="Amiri" w:eastAsia="Amiri" w:cs="Amiri"/>
          <w:color w:val="111111"/>
          <w:sz w:val="28"/>
          <w:sz w:val="28"/>
          <w:szCs w:val="28"/>
          <w:rtl w:val="true"/>
          <w:lang w:bidi="ar-SA"/>
        </w:rPr>
        <w:t>أقاريره بالنسبة إليها ، وهو المنكر عند قيام المدّعي للعين ، ويكون بيّنته بينة الداخل عند تعارض البيّنتين إلى غير ذلك ، مع عدم كون العين مقبوضة له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تسليطه المالك على التصرفات المتعلقة بالعين من قبيل البيع والصلح والإصداق والهبة والوقف والإجارة بالنسبة إلى المدة الآتية ونحوها لا يعدّ تخلية مع كون العين في تصرف الغير ومنعه من استيلائه على نفس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تصرف المشتري فيه على أحد الوجوه المذكورة ، وكون التصرف في العين قبضا لها وزيادة ممّا لم يقم عليه دليل على إطلاقه ، بل التصرف المفروض حاصل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أشرنا إليه في الفروع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التصرف والقبض عموم من وجه أيضا كما لا يخفى على المشهور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ويومي إلى ما ذكرناه من عدم حصول القبض بتسلّطه على المبيع على الوجه المفروض أنّه لو كان ذلك قبضا لم يكن للمشتري مطالبة البائع برفع يد المتصرف </w:t>
      </w:r>
      <w:r>
        <w:rPr>
          <w:rStyle w:val="FootnoteAnchor"/>
          <w:rtl w:val="true"/>
        </w:rPr>
        <w:footnoteReference w:id="1880"/>
      </w:r>
      <w:r>
        <w:rPr>
          <w:rFonts w:ascii="Amiri" w:hAnsi="Amiri" w:eastAsia="Amiri" w:cs="Amiri"/>
          <w:color w:val="111111"/>
          <w:sz w:val="28"/>
          <w:sz w:val="28"/>
          <w:szCs w:val="28"/>
          <w:rtl w:val="true"/>
          <w:lang w:bidi="ar-SA"/>
        </w:rPr>
        <w:t>عنه بعد تسليطه البائع على التصرفات المفروضة ؛ لحصول القبض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ذلك عليه ممّا لم يقم عليه دليل ظاهر سوى توقف القبض الواجب عليه حيث أخذ في التخلية رفع يده ورفع يد الغير عنه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لو اكتفى به في صدق القبض لكان التخلية على الوجه المذكور كافيا في صدق </w:t>
      </w:r>
    </w:p>
    <w:p>
      <w:pPr>
        <w:pStyle w:val="BookText"/>
        <w:rPr/>
      </w:pPr>
      <w:r>
        <w:rPr>
          <w:rFonts w:ascii="Amiri" w:hAnsi="Amiri" w:eastAsia="Amiri" w:cs="Amiri"/>
          <w:color w:val="111111"/>
          <w:sz w:val="28"/>
          <w:sz w:val="28"/>
          <w:szCs w:val="28"/>
          <w:rtl w:val="true"/>
          <w:lang w:bidi="ar-SA"/>
        </w:rPr>
        <w:t>القبض ، وإن كان البائع هو المتسلّط على العين والمانع من تصرف المشتري فيه على النحو المفروض في المستأجر مع شهادة صريح العرف بعدم صدق التخلية كما مرّت الاشارة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يومي عبارة التذكرة بالاتفاق على عدم تحقّق القبض بذلك حيث نصّ على عدم لزوم وقف العين المستأجرة عندنا إلّا أن يقبضه بإذن المستأجر ، وحكم بصحّته عند بعض العامّة حيث لم يقل باعتبار القبض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وهل يعتبر أن تكون التخلية على الوجه السائغ فلا عبرة بما وقع منها على الوجه المحرّم كما لو كان العين موجرة وحصل إقباض العين </w:t>
      </w:r>
      <w:r>
        <w:rPr>
          <w:rStyle w:val="FootnoteAnchor"/>
          <w:rtl w:val="true"/>
        </w:rPr>
        <w:footnoteReference w:id="1881"/>
      </w:r>
      <w:r>
        <w:rPr>
          <w:rFonts w:ascii="Amiri" w:hAnsi="Amiri" w:eastAsia="Amiri" w:cs="Amiri"/>
          <w:color w:val="111111"/>
          <w:sz w:val="28"/>
          <w:sz w:val="28"/>
          <w:szCs w:val="28"/>
          <w:rtl w:val="true"/>
          <w:lang w:bidi="ar-SA"/>
        </w:rPr>
        <w:t xml:space="preserve">من دون إذن المستأجر فلا بدّ من إذنه ليكون </w:t>
      </w:r>
      <w:r>
        <w:rPr>
          <w:rStyle w:val="FootnoteAnchor"/>
          <w:rtl w:val="true"/>
        </w:rPr>
        <w:footnoteReference w:id="1882"/>
      </w:r>
      <w:r>
        <w:rPr>
          <w:rFonts w:ascii="Amiri" w:hAnsi="Amiri" w:eastAsia="Amiri" w:cs="Amiri"/>
          <w:color w:val="111111"/>
          <w:sz w:val="28"/>
          <w:sz w:val="28"/>
          <w:szCs w:val="28"/>
          <w:rtl w:val="true"/>
          <w:lang w:bidi="ar-SA"/>
        </w:rPr>
        <w:t>التسلط على الوجه السائغ أو يكتفى بمجرّد حصول التخلية ، والتسلط عرفا لم يكن على الوجه السائغ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 غير واحد منهم على اعتبار إذن المستأجر في إقباض العين الموجرة ، وظاهر ذلك عدم حصول القبض المعتبر من دون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عليه في التذكرة </w:t>
      </w:r>
      <w:r>
        <w:rPr>
          <w:rStyle w:val="FootnoteAnchor"/>
          <w:rtl w:val="true"/>
        </w:rPr>
        <w:footnoteReference w:id="1883"/>
      </w:r>
      <w:r>
        <w:rPr>
          <w:rFonts w:ascii="Amiri" w:hAnsi="Amiri" w:eastAsia="Amiri" w:cs="Amiri"/>
          <w:color w:val="111111"/>
          <w:sz w:val="28"/>
          <w:sz w:val="28"/>
          <w:szCs w:val="28"/>
          <w:rtl w:val="true"/>
          <w:lang w:bidi="ar-SA"/>
        </w:rPr>
        <w:t xml:space="preserve">في الوقف قال في وقف الأرض المستأجرة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عندنا فإن أقبضه بإذن المستأجر فلا بأس ، وإلّا لم يصح القبض ، ولا يثمر لزوم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ذلك بأنّ القبض ليس من العبادات لئلا يجتمع مع الحرام ، ولذا يصحّ إقباض العين في المكان المغصوب قطعا ، فبعد </w:t>
      </w:r>
      <w:r>
        <w:rPr>
          <w:rStyle w:val="FootnoteAnchor"/>
          <w:rtl w:val="true"/>
        </w:rPr>
        <w:footnoteReference w:id="1884"/>
      </w:r>
      <w:r>
        <w:rPr>
          <w:rFonts w:ascii="Amiri" w:hAnsi="Amiri" w:eastAsia="Amiri" w:cs="Amiri"/>
          <w:color w:val="111111"/>
          <w:sz w:val="28"/>
          <w:sz w:val="28"/>
          <w:szCs w:val="28"/>
          <w:rtl w:val="true"/>
          <w:lang w:bidi="ar-SA"/>
        </w:rPr>
        <w:t>حصول القبض ولو على الوجه المحرّم يحصل المطلوب ، فلا وجه لاعتبار إذن المستأجر في تحقّقه ، وإنّما يعتبر ذلك في جواز الفعل ورفع الإثم عن المقبض والقابض ، وهو أمر آخر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 باختصاص ما ذكره بالوقف حيث إنه من العبادات ويعتبر فيها قصد التقرب ، فلا يجتمع مع الحرام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التقرّب بالنسبة إلى القبض الذي يعدّ من جملة شروطه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الأمر اعتباره في نفس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 الإشكال بأنّ القبض في المقام إنّما يكون بتخلية العين ، ومع سلطان الآخر </w:t>
      </w:r>
      <w:r>
        <w:rPr>
          <w:rStyle w:val="FootnoteAnchor"/>
          <w:rtl w:val="true"/>
        </w:rPr>
        <w:footnoteReference w:id="1885"/>
      </w:r>
      <w:r>
        <w:rPr>
          <w:rFonts w:ascii="Amiri" w:hAnsi="Amiri" w:eastAsia="Amiri" w:cs="Amiri"/>
          <w:color w:val="111111"/>
          <w:sz w:val="28"/>
          <w:sz w:val="28"/>
          <w:szCs w:val="28"/>
          <w:rtl w:val="true"/>
          <w:lang w:bidi="ar-SA"/>
        </w:rPr>
        <w:t>على دفع القابض لا يتحقّق التخلية ، فتمكّنه منه على الوجه المحرّم لا يسقط حق الآخر حتّى يعد ذلك تخلية ، فلا بد من إذنه حتّى يتحقّق التخلية المطلوبة ، فليس اعتبار الإذن في المقام من جهة توقف الأمر على حصول القبض المباح ، بل لعدم حصول القبض في المقام من دونه ؛ نظرا إلى عدم ارتفاع المانع من قبل المستأجر ويمكن أن يفرّق بذلك بين القبض بالتخلية والحاصل بالنقل ، والمناولة هناك حاصلة وإن وقع على الوجه المحرّم بخلاف التخلية حسبما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ذلك إنّما يتمّ إذا اعتبرنا في التخلية إزالة الموانع العرفيّة والشرعيّة ، وأمّا إن أريد بها إزالة الموانع العرفيّة وتمكين المشتري من التصرف في المبيع بحسب العادة وتسليطه عليه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 والمفروض حصوله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البيّن أنّه لا حقيقة شرعيّة في لفظ القبض ، وقد نصّ عليه جماعة من الأصحاب فلا بدّ من الرجوع </w:t>
      </w:r>
      <w:r>
        <w:rPr>
          <w:rStyle w:val="FootnoteAnchor"/>
          <w:rtl w:val="true"/>
        </w:rPr>
        <w:footnoteReference w:id="1886"/>
      </w:r>
      <w:r>
        <w:rPr>
          <w:rFonts w:ascii="Amiri" w:hAnsi="Amiri" w:eastAsia="Amiri" w:cs="Amiri"/>
          <w:color w:val="111111"/>
          <w:sz w:val="28"/>
          <w:sz w:val="28"/>
          <w:szCs w:val="28"/>
          <w:rtl w:val="true"/>
          <w:lang w:bidi="ar-SA"/>
        </w:rPr>
        <w:t>إلى العرف ، ولا توقف في صدقه عرفا على إزالة الموانع الشرعيّة ، فلا دليل إذن على اعتبارها في تحقّق قبل القبض ، وحينئذ فلا فرق في ذلك بين القبض الحاصل في التخلية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الكلام المذكور بالنسبة إلى المرهون أيضا إذا أجاز المرتهن منعه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البناء على اعتبار الاذن في المقام لا فرق بين علم المشتري بكونها مستأجرة أو مرهونة أو جهله بالحال ، فإذا دفعه البائع إليه وتصرف </w:t>
      </w:r>
      <w:r>
        <w:rPr>
          <w:rStyle w:val="FootnoteAnchor"/>
          <w:rtl w:val="true"/>
        </w:rPr>
        <w:footnoteReference w:id="1887"/>
      </w:r>
      <w:r>
        <w:rPr>
          <w:rFonts w:ascii="Amiri" w:hAnsi="Amiri" w:eastAsia="Amiri" w:cs="Amiri"/>
          <w:color w:val="111111"/>
          <w:sz w:val="28"/>
          <w:sz w:val="28"/>
          <w:szCs w:val="28"/>
          <w:rtl w:val="true"/>
          <w:lang w:bidi="ar-SA"/>
        </w:rPr>
        <w:t>فيه مدّة ثمّ تلف قبل حصول الإذن كان من التلف قبل القبض ، وكان مضمونا على البائع</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يخلو عن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يتفرع أيضا على الوجهين أنّه لو باع الفضولي عينا غير منقولة وحصل منه التخلية فضولا وتصرّف فيه المشتري مع علمهما أو أحدهما بالحال أو الجهل به وتلف العين باقية سماويّة ثمّ أجاز المالك بيعه وقبضه صحّ البيع واندرج في ضمان المشتري على الوجه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الوجه الآخر ينبغي عدّه من التلف قبل القبض ، نظرا إلى وقوع القبض من دون إذن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يشكل الحال في المثال لعدم قيام دليل على جريان حكم الفضولي في الأفعال فيما عدا العقود والإيقاعات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مانع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ولتفصيل القول فيه أيضا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الحدّ المذكور توقف التخلية على رفع يد المالك والأجنبي عنه رأسا ، فلو بقي للغير سلطان التصرف في العين وسلّط المشتري عليه أيضا من غير أن يمانعه عمّا يريده من التصرفات لم يكن ذلك قبضا ؛ لعدم ارتفاع اليد عنه بالمرّة كما هو ظاهر الحد ، لكن في توقف صدق القبض عليه تأمّل سيّما إذا كان العين في تصرف المشتري يفعل به ما شاء وإن تصرّف فيه الآخر أيضا ، وثبت له يد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يدرج ذلك في الحدّ بأن يراد به رفع </w:t>
      </w:r>
      <w:r>
        <w:rPr>
          <w:rStyle w:val="FootnoteAnchor"/>
          <w:rtl w:val="true"/>
        </w:rPr>
        <w:footnoteReference w:id="1888"/>
      </w:r>
      <w:r>
        <w:rPr>
          <w:rFonts w:ascii="Amiri" w:hAnsi="Amiri" w:eastAsia="Amiri" w:cs="Amiri"/>
          <w:color w:val="111111"/>
          <w:sz w:val="28"/>
          <w:sz w:val="28"/>
          <w:szCs w:val="28"/>
          <w:rtl w:val="true"/>
          <w:lang w:bidi="ar-SA"/>
        </w:rPr>
        <w:t>يده عنه على وجه يمانع تصرف الآخر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يكفي في حصول التخلية على الوجه المذكور رفع يده ويد الغير عنه فإمّا خاصّة أو لا بدّ من رفعه بالمرّة؟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فلو أخذه منه بعد ذلك ولو بعد آن ما لم يمنع من صدق القبض من غير إشكال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بينه وبين الصورة الأولى ظاهر ؛ لحصول التخلية هنا يقينا ، وأمّا في تلك الصورة </w:t>
      </w:r>
    </w:p>
    <w:p>
      <w:pPr>
        <w:pStyle w:val="BookText"/>
        <w:rPr/>
      </w:pPr>
      <w:r>
        <w:rPr>
          <w:rFonts w:ascii="Amiri" w:hAnsi="Amiri" w:eastAsia="Amiri" w:cs="Amiri"/>
          <w:color w:val="111111"/>
          <w:sz w:val="28"/>
          <w:sz w:val="28"/>
          <w:szCs w:val="28"/>
          <w:rtl w:val="true"/>
          <w:lang w:bidi="ar-SA"/>
        </w:rPr>
        <w:t>فقد يتأمل في صدق التخلية مع عدم البناء على تفويض الأمر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يعتبر في حصول القبض بالتخلية قبول الآخر ذلك عند تخليته ورضاه بالتسلّط على ما سلّطه عليه؟ وجهان ؛ من قضاء ظاهر كلماتهم بتحقّق القبض في غير المنقول بمجرّد التخلية وظاهر الإجماعات المحكيّة المتقدّمة المعتضدة بذلك ، ومن عدم صدق القبض </w:t>
      </w:r>
      <w:r>
        <w:rPr>
          <w:rStyle w:val="FootnoteAnchor"/>
          <w:rtl w:val="true"/>
        </w:rPr>
        <w:footnoteReference w:id="1889"/>
      </w:r>
      <w:r>
        <w:rPr>
          <w:rFonts w:ascii="Amiri" w:hAnsi="Amiri" w:eastAsia="Amiri" w:cs="Amiri"/>
          <w:color w:val="111111"/>
          <w:sz w:val="28"/>
          <w:sz w:val="28"/>
          <w:szCs w:val="28"/>
          <w:rtl w:val="true"/>
          <w:lang w:bidi="ar-SA"/>
        </w:rPr>
        <w:t>بحسب العرف من دونه ؛ إذ لا يزيد القبض في غير المنقول على المنقول ، فكما أنّ المشتري قد لا يقبض هناك بعد إقباض البائع ، فكذا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تنزيل كلامهم على ذلك أيضا ، فالمراد من تفسير القبض بالتخلية عدم الحاجة إلى غيرها من أحد الأمور الّتي يقال بأخذها في قبض المنقول ، لا عدم الحاجة إلى تلقّي الآخر وقبوله له ، فكأنّهم سكتوا عنه لوضوحه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الفرق بين الإقباض والقبض ، فيحصل الإقباض في المقام من دون القبض ، فيكون مقصود الأصحاب حصول الإقباض الواجب على البائع لحصول ذلك وإن لم يحصل القبض من المشتري من دون 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ظاهر ؛ لوضوح عدم الانفكاك بين الأمرين ، فإنّ الإقباض فعل والقبض في معنى انفعاله ، ولا يعقل الانفكاك بينهما بل التغاير بينهما اعتباريّ على 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والاقباض الخالي من </w:t>
      </w:r>
      <w:r>
        <w:rPr>
          <w:rStyle w:val="FootnoteAnchor"/>
          <w:rtl w:val="true"/>
        </w:rPr>
        <w:footnoteReference w:id="1890"/>
      </w:r>
      <w:r>
        <w:rPr>
          <w:rFonts w:ascii="IRNazanin" w:hAnsi="IRNazanin" w:eastAsia="IRNazanin"/>
          <w:color w:val="111111"/>
          <w:sz w:val="28"/>
          <w:sz w:val="28"/>
          <w:szCs w:val="28"/>
          <w:rtl w:val="true"/>
          <w:lang w:bidi="fa-IR"/>
        </w:rPr>
        <w:t xml:space="preserve">القبض ما </w:t>
      </w:r>
      <w:r>
        <w:rPr>
          <w:rStyle w:val="FootnoteAnchor"/>
          <w:rtl w:val="true"/>
        </w:rPr>
        <w:footnoteReference w:id="1891"/>
      </w:r>
      <w:r>
        <w:rPr>
          <w:rFonts w:ascii="Amiri" w:hAnsi="Amiri" w:eastAsia="Amiri" w:cs="Amiri"/>
          <w:color w:val="111111"/>
          <w:sz w:val="28"/>
          <w:sz w:val="28"/>
          <w:szCs w:val="28"/>
          <w:rtl w:val="true"/>
          <w:lang w:bidi="ar-SA"/>
        </w:rPr>
        <w:t>يتراءى من بعض الاستعمالات ليس إقباضا على وجه الحقيقة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يتوهم كون القبض الواقع من البائع مغايرا في المعنى للقبض الحاصل من المشتري ، ولذا يصح إثبات أحدهما ونفي الآخر 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أقبضه البائع فلم يقبضه المشتري ، فمفاده بالنسبة إلى البائع هو التخلية ، ولا يكتفى بها في حصول القبض من المشتري ، والأحكام تابعة للأوّل على ما قضت به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يتخيّل أيضا اعتبار تصرف المشتري فيه في الجملة حتّى يتحقّق قبضه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والجميع بمعزل عن التحقيق كما لا يخفى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فساد الأخير أنّه مخالف لما أطبق عليه الكلّ ؛ إذ لم نر اعتباره في كلام أحد منهم ولا نقله نافل في القمام وغيره ، والاجماعات المحكيّة وفتاويهم المتطابقة تنادي بفساده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ادّعي من عدم صدق القبض عرفا من دون ذلك مثله في الفساد ؛ إذ لا توقّف لصدق القبض على التصرف قطعا ، أقصى الأمر اعتبار قبوله للتسليط الواقع من الآخر وملاحظة نفسه مسلّطا على المبيع ، وأين ذلك من اعتبار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كلام جماعة من الأصحاب أنّه مع تحقّق التخلية على الوجه المذكور يتحقّق القبض من غير فرق بين ما إذا كان المبيع حاضرا عندهما أو غائبا كائنا في بلد المبايعة أو في بلد آخر قريبا كان أو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واتّجه الشهيد الثاني </w:t>
      </w:r>
      <w:r>
        <w:rPr>
          <w:rStyle w:val="FootnoteAnchor"/>
          <w:rtl w:val="true"/>
        </w:rPr>
        <w:footnoteReference w:id="1892"/>
      </w:r>
      <w:r>
        <w:rPr>
          <w:rFonts w:ascii="Amiri" w:hAnsi="Amiri" w:eastAsia="Amiri" w:cs="Amiri"/>
          <w:color w:val="111111"/>
          <w:sz w:val="28"/>
          <w:sz w:val="28"/>
          <w:szCs w:val="28"/>
          <w:rtl w:val="true"/>
          <w:lang w:bidi="ar-SA"/>
        </w:rPr>
        <w:t>فيما لو كان المبيع بعيدا جدا بحيث يدلّ العرف على عدم صدق قبضه بالتخلية كما لو كان ببلاد أخرى اعتبار مضيّ زمان يمكن فيه وصول المشتري أو وكيله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 ذلك بعض المتأخرين كما يظهر من إطلاق آخرين حيث اكتفوا في صدق القبض في المقام بمجرّد التخلية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الظاهر من إطلاق الإجماعات المحكيّة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بعد المبيع عن المتبايعين إن كان قاضيا بعدم صدق القبض فمضيّ الزمان المفروض ممّا لا يثمر صدقه أصلا ؛ إذ مع عدم مضيّ المشتري أو وكيله في تلك المدّة أيّ </w:t>
      </w:r>
      <w:r>
        <w:rPr>
          <w:rStyle w:val="FootnoteAnchor"/>
          <w:rtl w:val="true"/>
        </w:rPr>
        <w:footnoteReference w:id="1893"/>
      </w:r>
      <w:r>
        <w:rPr>
          <w:rFonts w:ascii="Amiri" w:hAnsi="Amiri" w:eastAsia="Amiri" w:cs="Amiri"/>
          <w:color w:val="111111"/>
          <w:sz w:val="28"/>
          <w:sz w:val="28"/>
          <w:szCs w:val="28"/>
          <w:rtl w:val="true"/>
          <w:lang w:bidi="ar-SA"/>
        </w:rPr>
        <w:t>تفاوت بين مضي المدّة المفروضة وعدمه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اعتبر فيه مضيّ المشتري أو وكيله أو توكيله أحدا هناك اتّجه الفرق إلّا أنّه لم يقل به ، ولا يظهر اعتباره من غيره أيضا ، فاتّجه بذلك عدم اعتبار الأمرين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ما ذكره فبما عرفت ، وأمّا الثاني فلعدم ظهور قائل به ، بل الظاهر من العرف عدم الفرق بينه وبين التخلية المتعلّقة بالملك الّذي في مادة المبايعة ، فإذا ثبت صدق القبض بالتخلية فيما إذا كان المبيع حاضرا ثبت بالنسبة إلى البعيد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يحصل فرق بين الصورتين فيما إذا كان المبيع في البلد النائي </w:t>
      </w:r>
      <w:r>
        <w:rPr>
          <w:rStyle w:val="FootnoteAnchor"/>
          <w:rtl w:val="true"/>
        </w:rPr>
        <w:footnoteReference w:id="1894"/>
      </w:r>
      <w:r>
        <w:rPr>
          <w:rFonts w:ascii="Amiri" w:hAnsi="Amiri" w:eastAsia="Amiri" w:cs="Amiri"/>
          <w:color w:val="111111"/>
          <w:sz w:val="28"/>
          <w:sz w:val="28"/>
          <w:szCs w:val="28"/>
          <w:rtl w:val="true"/>
          <w:lang w:bidi="ar-SA"/>
        </w:rPr>
        <w:t xml:space="preserve">في يد وكيل المالك ، فإنّه على ما مرّ يتوقف حصول التخلية على ارتفاع يد الوكيل عنه أيضا بمجرّد رفع </w:t>
      </w:r>
      <w:r>
        <w:rPr>
          <w:rStyle w:val="FootnoteAnchor"/>
          <w:rtl w:val="true"/>
        </w:rPr>
        <w:footnoteReference w:id="1895"/>
      </w:r>
      <w:r>
        <w:rPr>
          <w:rFonts w:ascii="Amiri" w:hAnsi="Amiri" w:eastAsia="Amiri" w:cs="Amiri"/>
          <w:color w:val="111111"/>
          <w:sz w:val="28"/>
          <w:sz w:val="28"/>
          <w:szCs w:val="28"/>
          <w:rtl w:val="true"/>
          <w:lang w:bidi="ar-SA"/>
        </w:rPr>
        <w:t>الموكّل يده من دون علمه بالحال لا يقضي بارتفاع يده ، فيتوقف حصول التخلية على إيصال الخبر إليه وقبوله ذلك ، وهو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يكن المبيع إلّا في يد البائع من غير أن تكون عليه يد آخر ولو تبعا ليده أو كان وكيله المتصرّف فيه حاضرا في المحلّ ورفع يده عنه ، فالظاهر صدق التخلية وحصول القبض في الحال من غير حاجة إلى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الوجه فيما ذهب إليه الشهيد رحمه‌اللّه أنّ حقيقة القبض هو اندراج المبيع تحت يد القابض ، ومع بعد المسافة لا يندرج تحت يده بمجرّد تخلية المالك في ذلك المحلّ ، فلا بدّ إذن من مضي المدة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ظاهر ؛ إذ لو تمّ ذلك لما كان في مجرّد مضيّ المدّة ما يجعله تحت يده من دون ذهابه أو ذهاب وكيله مثلا حسبما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يصحّ قبض المال المشترك فيما يكون قبضه بالتخلية من دون إذن الشريك؟ وجهان ، بل حكى في الروضة </w:t>
      </w:r>
      <w:r>
        <w:rPr>
          <w:rStyle w:val="FootnoteAnchor"/>
          <w:rtl w:val="true"/>
        </w:rPr>
        <w:footnoteReference w:id="1896"/>
      </w:r>
      <w:r>
        <w:rPr>
          <w:rFonts w:ascii="Amiri" w:hAnsi="Amiri" w:eastAsia="Amiri" w:cs="Amiri"/>
          <w:color w:val="111111"/>
          <w:sz w:val="28"/>
          <w:sz w:val="28"/>
          <w:szCs w:val="28"/>
          <w:rtl w:val="true"/>
          <w:lang w:bidi="ar-SA"/>
        </w:rPr>
        <w:t>قولين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المنع أنّه تصرّف في ملك الشريك ، فلا يجوز إلّا بإذنه ، ووجه الجواز أنّ التخلية بالنسبة إلى حصّته لا يعدّ تصرّفا في حصة الآخر ، وإنّما هو رفع لسلطنة نفسه من </w:t>
      </w:r>
      <w:r>
        <w:rPr>
          <w:rStyle w:val="FootnoteAnchor"/>
          <w:rtl w:val="true"/>
        </w:rPr>
        <w:footnoteReference w:id="1897"/>
      </w:r>
      <w:r>
        <w:rPr>
          <w:rFonts w:ascii="Amiri" w:hAnsi="Amiri" w:eastAsia="Amiri" w:cs="Amiri"/>
          <w:color w:val="111111"/>
          <w:sz w:val="28"/>
          <w:sz w:val="28"/>
          <w:szCs w:val="28"/>
          <w:rtl w:val="true"/>
          <w:lang w:bidi="ar-SA"/>
        </w:rPr>
        <w:t xml:space="preserve">حصّته </w:t>
      </w:r>
    </w:p>
    <w:p>
      <w:pPr>
        <w:pStyle w:val="BookText"/>
        <w:rPr/>
      </w:pPr>
      <w:r>
        <w:rPr>
          <w:rFonts w:ascii="Amiri" w:hAnsi="Amiri" w:eastAsia="Amiri" w:cs="Amiri"/>
          <w:color w:val="111111"/>
          <w:sz w:val="28"/>
          <w:sz w:val="28"/>
          <w:szCs w:val="28"/>
          <w:rtl w:val="true"/>
          <w:lang w:bidi="ar-SA"/>
        </w:rPr>
        <w:t>وتسلّط للمشتري على حقّه دون حقّ الآخر ، فليس القبض هنا حاصلا إلّا بالنسبة إلى ذلك دون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قوّة الوجه المذكور ووهن الأوّل ، ولذا اختار الشهيد الثاني والمحقق الأردبيلي وغيرهما ، وإنّما يتّجه الوجه الثاني في المنقولات ، وسيجي‌ء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يقال في المقام بأنّ التخلية تتوقّف على إزالة الموانع من </w:t>
      </w:r>
      <w:r>
        <w:rPr>
          <w:rStyle w:val="FootnoteAnchor"/>
          <w:rtl w:val="true"/>
        </w:rPr>
        <w:footnoteReference w:id="1898"/>
      </w:r>
      <w:r>
        <w:rPr>
          <w:rFonts w:ascii="Amiri" w:hAnsi="Amiri" w:eastAsia="Amiri" w:cs="Amiri"/>
          <w:color w:val="111111"/>
          <w:sz w:val="28"/>
          <w:sz w:val="28"/>
          <w:szCs w:val="28"/>
          <w:rtl w:val="true"/>
          <w:lang w:bidi="ar-SA"/>
        </w:rPr>
        <w:t>تصرف المشتري ، والشريك هنا مانع عن تصرّفه ، فلا تتحقّق التخلية من دون إذنه على نحو ما مرّ في إقباض العين الموجرة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بظهور الفرق بين المقامين ؛ نظرا إلى تسلّط المستأجر هناك على حين البيع من جهة استيفاء المنافع المملوكة له بخلاف المقام ؛ إذ لا سلطان لأحد الشريكين على حصّة شريكه ، وإنّما له المنع من تصرفه فيها نظرا إلى استلزام ذلك التصرف في حقّه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أمر حاصل من الجانبين ، فلا يستحق الشريك قبض المبيع والتصرف فيه حتّى يكون دفعه </w:t>
      </w:r>
      <w:r>
        <w:rPr>
          <w:rStyle w:val="FootnoteAnchor"/>
          <w:rtl w:val="true"/>
        </w:rPr>
        <w:footnoteReference w:id="1899"/>
      </w:r>
      <w:r>
        <w:rPr>
          <w:rFonts w:ascii="Amiri" w:hAnsi="Amiri" w:eastAsia="Amiri" w:cs="Amiri"/>
          <w:color w:val="111111"/>
          <w:sz w:val="28"/>
          <w:sz w:val="28"/>
          <w:szCs w:val="28"/>
          <w:rtl w:val="true"/>
          <w:lang w:bidi="ar-SA"/>
        </w:rPr>
        <w:t>في المقام منافيا لما يستحقّه كما هو الحال في العين الموجرة ، بل المانع من التصرف هنا أمر تبعي لا ينافي تسليط المشتري على حقّه على نحو تسليط كلّ من الشريكين على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استحقاق الغير لمنع المشتري عن التصرف في العين ينافي تخلية المبيع له سواء كان من جهة استحقاق البائع للتصرّف فيه أو بسبب آخر ، والمفروض في المقام حصول الاستحقاق المذكور للشريك وإن لم يكن سببا من </w:t>
      </w:r>
      <w:r>
        <w:rPr>
          <w:rStyle w:val="FootnoteAnchor"/>
          <w:rtl w:val="true"/>
        </w:rPr>
        <w:footnoteReference w:id="1900"/>
      </w:r>
      <w:r>
        <w:rPr>
          <w:rFonts w:ascii="Amiri" w:hAnsi="Amiri" w:eastAsia="Amiri" w:cs="Amiri"/>
          <w:color w:val="111111"/>
          <w:sz w:val="28"/>
          <w:sz w:val="28"/>
          <w:szCs w:val="28"/>
          <w:rtl w:val="true"/>
          <w:lang w:bidi="ar-SA"/>
        </w:rPr>
        <w:t>استحقاقه التصرف في المبيع</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الاستحقاق المذكور منافيا لحصول القبض ممنوع بل فاسد ؛ لصدق مقبوضيّة الأموال المشتركة لأربابها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منقولة كانت أو غير 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حصول المنع المفروض ، والتخلية المعتبرة للقبض لم يؤخذ في تفسيرها ما ينافي ذلك ، بل ظاهر حدّها المذكور يعمّ المال </w:t>
      </w:r>
    </w:p>
    <w:p>
      <w:pPr>
        <w:pStyle w:val="BookText"/>
        <w:rPr/>
      </w:pPr>
      <w:r>
        <w:rPr>
          <w:rFonts w:ascii="Amiri" w:hAnsi="Amiri" w:eastAsia="Amiri" w:cs="Amiri"/>
          <w:color w:val="111111"/>
          <w:sz w:val="28"/>
          <w:sz w:val="28"/>
          <w:szCs w:val="28"/>
          <w:rtl w:val="true"/>
          <w:lang w:bidi="ar-SA"/>
        </w:rPr>
        <w:t xml:space="preserve">المشترك أيضا إذا رفع البائع يده </w:t>
      </w:r>
      <w:r>
        <w:rPr>
          <w:rStyle w:val="FootnoteAnchor"/>
          <w:rtl w:val="true"/>
        </w:rPr>
        <w:footnoteReference w:id="1901"/>
      </w:r>
      <w:r>
        <w:rPr>
          <w:rFonts w:ascii="Amiri" w:hAnsi="Amiri" w:eastAsia="Amiri" w:cs="Amiri"/>
          <w:color w:val="111111"/>
          <w:sz w:val="28"/>
          <w:sz w:val="28"/>
          <w:szCs w:val="28"/>
          <w:rtl w:val="true"/>
          <w:lang w:bidi="ar-SA"/>
        </w:rPr>
        <w:t xml:space="preserve">عن حصّة المبيعة ، وسلّط المشتري عليه على نحو تسليط الشركاء على حصصهم ، وليس للشريك الآخر يد على المبيع ليعتبر دفعه </w:t>
      </w:r>
      <w:r>
        <w:rPr>
          <w:rStyle w:val="FootnoteAnchor"/>
          <w:rtl w:val="true"/>
        </w:rPr>
        <w:footnoteReference w:id="1902"/>
      </w:r>
      <w:r>
        <w:rPr>
          <w:rFonts w:ascii="Amiri" w:hAnsi="Amiri" w:eastAsia="Amiri" w:cs="Amiri"/>
          <w:color w:val="111111"/>
          <w:sz w:val="28"/>
          <w:sz w:val="28"/>
          <w:szCs w:val="28"/>
          <w:rtl w:val="true"/>
          <w:lang w:bidi="ar-SA"/>
        </w:rPr>
        <w:t>في المقام كما في العين الموجرة ونحوها ، بل إنّما كانت في يد البائع وانتقل من يده إلى يد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أنّه ليس دفع </w:t>
      </w:r>
      <w:r>
        <w:rPr>
          <w:rStyle w:val="FootnoteAnchor"/>
          <w:rtl w:val="true"/>
        </w:rPr>
        <w:footnoteReference w:id="1903"/>
      </w:r>
      <w:r>
        <w:rPr>
          <w:rFonts w:ascii="Amiri" w:hAnsi="Amiri" w:eastAsia="Amiri" w:cs="Amiri"/>
          <w:color w:val="111111"/>
          <w:sz w:val="28"/>
          <w:sz w:val="28"/>
          <w:szCs w:val="28"/>
          <w:rtl w:val="true"/>
          <w:lang w:bidi="ar-SA"/>
        </w:rPr>
        <w:t xml:space="preserve">المنع المذكور من وظيفة </w:t>
      </w:r>
      <w:r>
        <w:rPr>
          <w:rStyle w:val="FootnoteAnchor"/>
          <w:rtl w:val="true"/>
        </w:rPr>
        <w:footnoteReference w:id="1904"/>
      </w:r>
      <w:r>
        <w:rPr>
          <w:rFonts w:ascii="Amiri" w:hAnsi="Amiri" w:eastAsia="Amiri" w:cs="Amiri"/>
          <w:color w:val="111111"/>
          <w:sz w:val="28"/>
          <w:sz w:val="28"/>
          <w:szCs w:val="28"/>
          <w:rtl w:val="true"/>
          <w:lang w:bidi="ar-SA"/>
        </w:rPr>
        <w:t xml:space="preserve">البائع ، وإنّما هو دعوى بين الشريكين إن ارتفع بتراضيهما </w:t>
      </w:r>
      <w:r>
        <w:rPr>
          <w:rStyle w:val="FootnoteAnchor"/>
          <w:rtl w:val="true"/>
        </w:rPr>
        <w:footnoteReference w:id="1905"/>
      </w:r>
      <w:r>
        <w:rPr>
          <w:rFonts w:ascii="Amiri" w:hAnsi="Amiri" w:eastAsia="Amiri" w:cs="Amiri"/>
          <w:color w:val="111111"/>
          <w:sz w:val="28"/>
          <w:sz w:val="28"/>
          <w:szCs w:val="28"/>
          <w:rtl w:val="true"/>
          <w:lang w:bidi="ar-SA"/>
        </w:rPr>
        <w:t xml:space="preserve">فلا كلام ، وإلّا رفعا أمرهما إلى الحاكم ، وذلك </w:t>
      </w:r>
      <w:r>
        <w:rPr>
          <w:rStyle w:val="FootnoteAnchor"/>
          <w:rtl w:val="true"/>
        </w:rPr>
        <w:footnoteReference w:id="1906"/>
      </w:r>
      <w:r>
        <w:rPr>
          <w:rFonts w:ascii="Amiri" w:hAnsi="Amiri" w:eastAsia="Amiri" w:cs="Amiri"/>
          <w:color w:val="111111"/>
          <w:sz w:val="28"/>
          <w:sz w:val="28"/>
          <w:szCs w:val="28"/>
          <w:rtl w:val="true"/>
          <w:lang w:bidi="ar-SA"/>
        </w:rPr>
        <w:t>بخلاف العين الموجرة ؛ إذ الظاهر أنه بعد انقضاء زمان الإجارة لو أبى المستأجر عن الدفع كان من وظيفة البائع رفع يده عن العين ، وتسليمه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لما قلناه ملاحظة العرف لحكمه بحصول القبض بالنسبة إلى المال المشترك لحصول التخلية على الوجه المذكور ، بخلاف العين الموجرة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ويومي إليه أيضا أنه لو باع دارا لاثنين على وجه الإشاعة ورفع يده ويد الغير عنه ، وسلّطهما على المبيع عدّ ذلك تخلية ، وكان قبضا بالنسبة إليهما مع أنه لا يجوز لكلّ منهما التصرف فيه إلّا بإذن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ما ذكر مانعا عن حصول القبض لمنع هناك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مضافا إلى جميع ما ذكر الأصل ؛ إذ وجوب ما يزيد على ذلك على البائع غير ظاهر من الأدلّة ، فقضيّة الأصل عدمه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وأمّا القبض بالنسبة إلى المنقولات فقد اختلفوا فيه على أقوال عديدة بعد اتفاقهم ظاهرا على عدم ثبوت حقيقة شرعيّة للقبض وأن المرجع فيه العرف واللغة كما هو الشأن في </w:t>
      </w:r>
    </w:p>
    <w:p>
      <w:pPr>
        <w:pStyle w:val="BookText"/>
        <w:rPr/>
      </w:pPr>
      <w:r>
        <w:rPr>
          <w:rFonts w:ascii="Amiri" w:hAnsi="Amiri" w:eastAsia="Amiri" w:cs="Amiri"/>
          <w:color w:val="111111"/>
          <w:sz w:val="28"/>
          <w:sz w:val="28"/>
          <w:szCs w:val="28"/>
          <w:rtl w:val="true"/>
          <w:lang w:bidi="ar-SA"/>
        </w:rPr>
        <w:t xml:space="preserve">نظائرها من الألفاظ ، فذهب المحقّق في الشرائع </w:t>
      </w:r>
      <w:r>
        <w:rPr>
          <w:rStyle w:val="FootnoteAnchor"/>
          <w:rtl w:val="true"/>
        </w:rPr>
        <w:footnoteReference w:id="1907"/>
      </w:r>
      <w:r>
        <w:rPr>
          <w:rFonts w:ascii="IRNazanin" w:hAnsi="IRNazanin" w:eastAsia="IRNazanin"/>
          <w:color w:val="111111"/>
          <w:sz w:val="28"/>
          <w:sz w:val="28"/>
          <w:szCs w:val="28"/>
          <w:rtl w:val="true"/>
          <w:lang w:bidi="fa-IR"/>
        </w:rPr>
        <w:t xml:space="preserve">والنافع </w:t>
      </w:r>
      <w:r>
        <w:rPr>
          <w:rStyle w:val="FootnoteAnchor"/>
          <w:rtl w:val="true"/>
        </w:rPr>
        <w:footnoteReference w:id="1908"/>
      </w:r>
      <w:r>
        <w:rPr>
          <w:rFonts w:ascii="Amiri" w:hAnsi="Amiri" w:eastAsia="Amiri" w:cs="Amiri"/>
          <w:color w:val="111111"/>
          <w:sz w:val="28"/>
          <w:sz w:val="28"/>
          <w:szCs w:val="28"/>
          <w:rtl w:val="true"/>
          <w:lang w:bidi="ar-SA"/>
        </w:rPr>
        <w:t>أنه التخلية أيضا كما هو الحال في غير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واختاره الشهيد في الدروس </w:t>
      </w:r>
      <w:r>
        <w:rPr>
          <w:rStyle w:val="FootnoteAnchor"/>
          <w:rtl w:val="true"/>
        </w:rPr>
        <w:footnoteReference w:id="1909"/>
      </w:r>
      <w:r>
        <w:rPr>
          <w:rFonts w:ascii="Amiri" w:hAnsi="Amiri" w:eastAsia="Amiri" w:cs="Amiri"/>
          <w:color w:val="111111"/>
          <w:sz w:val="28"/>
          <w:sz w:val="28"/>
          <w:szCs w:val="28"/>
          <w:rtl w:val="true"/>
          <w:lang w:bidi="ar-SA"/>
        </w:rPr>
        <w:t>بالنسبة إلى الحكم بارتفاع الضمان لا زوال التحريم أو الكراهة عن بيعه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فيما يتناول من الأقمشة ونحوها هو الإمساك باليد ، وفي المكيل والموزون هو الكيل والوزن ولو تقديرا كما إذا أخبر البائع كذلك </w:t>
      </w:r>
      <w:r>
        <w:rPr>
          <w:rStyle w:val="FootnoteAnchor"/>
          <w:rtl w:val="true"/>
        </w:rPr>
        <w:footnoteReference w:id="1910"/>
      </w:r>
      <w:r>
        <w:rPr>
          <w:rFonts w:ascii="Amiri" w:hAnsi="Amiri" w:eastAsia="Amiri" w:cs="Amiri"/>
          <w:color w:val="111111"/>
          <w:sz w:val="28"/>
          <w:sz w:val="28"/>
          <w:szCs w:val="28"/>
          <w:rtl w:val="true"/>
          <w:lang w:bidi="ar-SA"/>
        </w:rPr>
        <w:t>ورضي المشتري به مع رفع يده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ادراج الدراهم والدنانير في الأوّل وإن كانت موزونة ؛ نظرا إلى انضباط وزنها في المعتاد ، ويؤخذ بظاهر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الحيوان نقله من ذلك المكان إلى مكان آخر بأن يمش بالعبد إلى مكان آخر ، ويقيم الدابّة في غير ذلك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القول بذلك عن الشيخ في المبسوط </w:t>
      </w:r>
      <w:r>
        <w:rPr>
          <w:rStyle w:val="FootnoteAnchor"/>
          <w:rtl w:val="true"/>
        </w:rPr>
        <w:footnoteReference w:id="1911"/>
      </w:r>
      <w:r>
        <w:rPr>
          <w:rFonts w:ascii="Amiri" w:hAnsi="Amiri" w:eastAsia="Amiri" w:cs="Amiri"/>
          <w:color w:val="111111"/>
          <w:sz w:val="28"/>
          <w:sz w:val="28"/>
          <w:szCs w:val="28"/>
          <w:rtl w:val="true"/>
          <w:lang w:bidi="ar-SA"/>
        </w:rPr>
        <w:t xml:space="preserve">والقاضي </w:t>
      </w:r>
      <w:r>
        <w:rPr>
          <w:rStyle w:val="FootnoteAnchor"/>
          <w:rtl w:val="true"/>
        </w:rPr>
        <w:footnoteReference w:id="1912"/>
      </w:r>
      <w:r>
        <w:rPr>
          <w:rFonts w:ascii="Amiri" w:hAnsi="Amiri" w:eastAsia="Amiri" w:cs="Amiri"/>
          <w:color w:val="111111"/>
          <w:sz w:val="28"/>
          <w:sz w:val="28"/>
          <w:szCs w:val="28"/>
          <w:rtl w:val="true"/>
          <w:lang w:bidi="ar-SA"/>
        </w:rPr>
        <w:t xml:space="preserve">والطوسي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الحيوان نقله وفيما يعتبر باعتبار مخصوص لدفع الجهالة كيله أو وزنه أو عدّه أو نقله ، وفي الثوب وضعه في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اختياره في الدروس</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إنّ القبض فيه هو النقل أو الأخذ في غير المكيل والموزون ، وأمّا فيهما فإمّا ذلك أو الكيل أو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العلّامة في المختلف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وأنت تعلم بملاحظة الأقوال المذكورة كون اعتبار النقل هنا في الجملة مشهورا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اتّفق عليه أكثر الأقوال المذكورة ، وحكاية الشهرة عليه كذلك مستفيضة على ما ذكره بعض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حكاية الإجماع عليه في الغنية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 لا شكّ في شهادة العرف بحصول القبض معه مطلقا ، وإن كان في المكيل والموزون ، فلا حاجة إلى حصول الكيل والوزن فيهما و </w:t>
      </w:r>
      <w:r>
        <w:rPr>
          <w:rStyle w:val="FootnoteAnchor"/>
          <w:rtl w:val="true"/>
        </w:rPr>
        <w:footnoteReference w:id="1916"/>
      </w:r>
      <w:r>
        <w:rPr>
          <w:rFonts w:ascii="Amiri" w:hAnsi="Amiri" w:eastAsia="Amiri" w:cs="Amiri"/>
          <w:color w:val="111111"/>
          <w:sz w:val="28"/>
          <w:sz w:val="28"/>
          <w:szCs w:val="28"/>
          <w:rtl w:val="true"/>
          <w:lang w:bidi="ar-SA"/>
        </w:rPr>
        <w:t xml:space="preserve">ملاحظة قبض الدراهم والدنانير أقوى شاهد عليه إلّا أن ينزّل ظاهر الحال في ذلك هناك منزلة الوزن لكن في </w:t>
      </w:r>
      <w:r>
        <w:rPr>
          <w:rStyle w:val="FootnoteAnchor"/>
          <w:rtl w:val="true"/>
        </w:rPr>
        <w:footnoteReference w:id="1917"/>
      </w:r>
      <w:r>
        <w:rPr>
          <w:rFonts w:ascii="Amiri" w:hAnsi="Amiri" w:eastAsia="Amiri" w:cs="Amiri"/>
          <w:color w:val="111111"/>
          <w:sz w:val="28"/>
          <w:sz w:val="28"/>
          <w:szCs w:val="28"/>
          <w:rtl w:val="true"/>
          <w:lang w:bidi="ar-SA"/>
        </w:rPr>
        <w:t>اعتبار خصوص النقل في صدق القبض في المقام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المقام أنّ الّذي يقتضيه القاعدة من ذلك أنه بعد انتقال كل من العوضين إلى الآخر بعقد </w:t>
      </w:r>
      <w:r>
        <w:rPr>
          <w:rStyle w:val="FootnoteAnchor"/>
          <w:rtl w:val="true"/>
        </w:rPr>
        <w:footnoteReference w:id="1918"/>
      </w:r>
      <w:r>
        <w:rPr>
          <w:rFonts w:ascii="Amiri" w:hAnsi="Amiri" w:eastAsia="Amiri" w:cs="Amiri"/>
          <w:color w:val="111111"/>
          <w:sz w:val="28"/>
          <w:sz w:val="28"/>
          <w:szCs w:val="28"/>
          <w:rtl w:val="true"/>
          <w:lang w:bidi="ar-SA"/>
        </w:rPr>
        <w:t xml:space="preserve">البيع لا بدّ من إيصال كلّ عوض إلى صاحبه ورفعه </w:t>
      </w:r>
      <w:r>
        <w:rPr>
          <w:rStyle w:val="FootnoteAnchor"/>
          <w:rtl w:val="true"/>
        </w:rPr>
        <w:footnoteReference w:id="1919"/>
      </w:r>
      <w:r>
        <w:rPr>
          <w:rFonts w:ascii="Amiri" w:hAnsi="Amiri" w:eastAsia="Amiri" w:cs="Amiri"/>
          <w:color w:val="111111"/>
          <w:sz w:val="28"/>
          <w:sz w:val="28"/>
          <w:szCs w:val="28"/>
          <w:rtl w:val="true"/>
          <w:lang w:bidi="ar-SA"/>
        </w:rPr>
        <w:t>إليه كسائر حقوق الناس من المضمونة للقابض كالمغصوب ، والمقبوض بالبيع الفاسد ونحوهما ، وغير المضمونة كالوديعة والعارية وغيرهما ، فإذا أخرجه القابض عن يده وسلطانه وجعله تحت يد المالك وسلطانه فقد أدّى القابض ما عليه وخرج من ضمانه إن كان قبضه على وجه الضمان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ذلك مفاد القبض إلّا أنّه يختلف الحال فيه بحسب اختلاف الأشياء ، ففي الأمور الغير المنقولة كالدور والمزارع والبساتين يحصل بتخلية القابض يده ويد غيره وتسلّط المالك عليها حسبما مرّ ، فيندرج بذلك تحت سلطانه في </w:t>
      </w:r>
      <w:r>
        <w:rPr>
          <w:rStyle w:val="FootnoteAnchor"/>
          <w:rtl w:val="true"/>
        </w:rPr>
        <w:footnoteReference w:id="1920"/>
      </w:r>
      <w:r>
        <w:rPr>
          <w:rFonts w:ascii="Amiri" w:hAnsi="Amiri" w:eastAsia="Amiri" w:cs="Amiri"/>
          <w:color w:val="111111"/>
          <w:sz w:val="28"/>
          <w:sz w:val="28"/>
          <w:szCs w:val="28"/>
          <w:rtl w:val="true"/>
          <w:lang w:bidi="ar-SA"/>
        </w:rPr>
        <w:t xml:space="preserve">الأمور المنقولة بكون </w:t>
      </w:r>
      <w:r>
        <w:rPr>
          <w:rStyle w:val="FootnoteAnchor"/>
          <w:rtl w:val="true"/>
        </w:rPr>
        <w:footnoteReference w:id="1921"/>
      </w:r>
      <w:r>
        <w:rPr>
          <w:rFonts w:ascii="Amiri" w:hAnsi="Amiri" w:eastAsia="Amiri" w:cs="Amiri"/>
          <w:color w:val="111111"/>
          <w:sz w:val="28"/>
          <w:sz w:val="28"/>
          <w:szCs w:val="28"/>
          <w:rtl w:val="true"/>
          <w:lang w:bidi="ar-SA"/>
        </w:rPr>
        <w:t xml:space="preserve">ذلك بنقله </w:t>
      </w:r>
    </w:p>
    <w:p>
      <w:pPr>
        <w:pStyle w:val="BookText"/>
        <w:rPr/>
      </w:pPr>
      <w:r>
        <w:rPr>
          <w:rFonts w:ascii="Amiri" w:hAnsi="Amiri" w:eastAsia="Amiri" w:cs="Amiri"/>
          <w:color w:val="111111"/>
          <w:sz w:val="28"/>
          <w:sz w:val="28"/>
          <w:szCs w:val="28"/>
          <w:rtl w:val="true"/>
          <w:lang w:bidi="ar-SA"/>
        </w:rPr>
        <w:t>وبإمساكه باليد على وجه الاستيلاء عليه حتى في الحيوان ، فإنه لو دفع إليه لجام الدابّة وأمسكها مستوليا عليها كان قبضا لها في العرف قطعا ، خصوصا إذا وهب البائع عنها من غير حاجة إلى إقامتها في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ساق الدابّة إليه وأتى به إلى إصطبله ورفع يده عنها فغلّق </w:t>
      </w:r>
      <w:r>
        <w:rPr>
          <w:rStyle w:val="FootnoteAnchor"/>
          <w:rtl w:val="true"/>
        </w:rPr>
        <w:footnoteReference w:id="1922"/>
      </w:r>
      <w:r>
        <w:rPr>
          <w:rFonts w:ascii="Amiri" w:hAnsi="Amiri" w:eastAsia="Amiri" w:cs="Amiri"/>
          <w:color w:val="111111"/>
          <w:sz w:val="28"/>
          <w:sz w:val="28"/>
          <w:szCs w:val="28"/>
          <w:rtl w:val="true"/>
          <w:lang w:bidi="ar-SA"/>
        </w:rPr>
        <w:t>المشتري باب الإصطبل عليها مريدا بذلك قبضه ، فلا تأمّل ظاهر في صدق القبض به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باعه سريرا فرفع البائع يده عنه ومكّن المشتري عنه فجلس عليه كان قبضا له وإن لم ينقله عن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باعه كتابا فوضعه البائع بين يديه مريدا إقباضه بوضع يده عليه لأجل قبضه ، فالظاهر حصول القبض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نحوه من الأعيان المنقولة ، بل لو أتى بها إليه فقال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 في صندوقي مثلا ، فوضعه فيه لم يبعد كونه قبضا سيّما إذا ذهب البائع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غفل المشتري حينئذ باب الصندوق فالظاهر القطع بصدق القبض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يعدّ التخلية في المنقولات مع التصرف في بعضها قبضا كما إذا باعه مقدارا معيّنا من الحنطة وسلّمه مفتاح الحبّة </w:t>
      </w:r>
      <w:r>
        <w:rPr>
          <w:rStyle w:val="FootnoteAnchor"/>
          <w:rtl w:val="true"/>
        </w:rPr>
        <w:footnoteReference w:id="1923"/>
      </w:r>
      <w:r>
        <w:rPr>
          <w:rFonts w:ascii="Amiri" w:hAnsi="Amiri" w:eastAsia="Amiri" w:cs="Amiri"/>
          <w:color w:val="111111"/>
          <w:sz w:val="28"/>
          <w:sz w:val="28"/>
          <w:szCs w:val="28"/>
          <w:rtl w:val="true"/>
          <w:lang w:bidi="ar-SA"/>
        </w:rPr>
        <w:t>الموضوعة فيها ومكّنه منه ، فذهب إليه وتصرّف بالنقل أو الوضع إلى الغير ونحوهما فإنّه لا يبعد على الكلّ مقبوضا له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باعه عبدا فأتى به إليه ورفع يده عنه ومكّنه من التصرف فيه ورضي به المشتري وذهب البائع عنه كان ذلك قبضا له في العرف سيّما إذا بعثه في حوائجه وكان تحت أمره ونهيه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القبض أمر عرفي يحصل على وجوه شتّى ولو في المنقولات ، فاختصاص حصوله بصورة النقل أو الإمساك باليد ونحوهما ممّا لا يظهر الوجه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يحصل القبض بهما حسبما عرفت ، والأصل في المسألة هو ما قرّرناه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القول بالاكتفاء بالتخلية أنّه قد كان ذلك مفاد القبض في غير المنقول كما مرّ ، </w:t>
      </w:r>
    </w:p>
    <w:p>
      <w:pPr>
        <w:pStyle w:val="BookText"/>
        <w:rPr/>
      </w:pPr>
      <w:r>
        <w:rPr>
          <w:rFonts w:ascii="Amiri" w:hAnsi="Amiri" w:eastAsia="Amiri" w:cs="Amiri"/>
          <w:color w:val="111111"/>
          <w:sz w:val="28"/>
          <w:sz w:val="28"/>
          <w:szCs w:val="28"/>
          <w:rtl w:val="true"/>
          <w:lang w:bidi="ar-SA"/>
        </w:rPr>
        <w:t>فيكون ذلك مفاده في غيرها ؛ حذرا من الاشتراك والمجاز المخالفين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بأنّه لا مانع من الالتزام بأحدهما بعد شهادة العرف بإرادة غيرها في غيره ، وقيام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يعدّ مجرّد التخلية في المنقول قبضا ، والمتبادر منه في العرف واللغة خلافه </w:t>
      </w:r>
      <w:r>
        <w:rPr>
          <w:rStyle w:val="FootnoteAnchor"/>
          <w:rtl w:val="true"/>
        </w:rPr>
        <w:footnoteReference w:id="1924"/>
      </w:r>
      <w:r>
        <w:rPr>
          <w:rFonts w:ascii="Amiri" w:hAnsi="Amiri" w:eastAsia="Amiri" w:cs="Amiri"/>
          <w:color w:val="111111"/>
          <w:sz w:val="28"/>
          <w:sz w:val="28"/>
          <w:szCs w:val="28"/>
          <w:rtl w:val="true"/>
          <w:lang w:bidi="ar-SA"/>
        </w:rPr>
        <w:t xml:space="preserve">فيكون ذلك حجّة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تغاير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يلزم من اختلاف حصول القبض في المقامين أن يكون حقيقة في أحدهما مجازا في الآخر ، أو مشتركا لفظيا بينهما ؛ لاحتمال الاشتراك المعنوي على الوجه الّذي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فالقول المذكور بعيد جدّا ، بل لا وجه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ينزّل التخلية على بعض الوجوه منزلة القبض في المنقولات فيما إذا أبى المشتري عن القبض حسبما مرّ بيانه ، وذلك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يعد قبضا إذا ضمّ إليه بعض أمور أخر كما في بعض الأمثلة المتقدّمة ، ولا ربط له أيضا بالقول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ذهب إليه في الدروس من الاكتفاء بالتخلية في سقوط الضمان من البائع دون غيره إن أراد به أن إحضار المبيع عند المشتري وتمكينه من قبضه بوصوله بحيث يحصل منه ما عليه من تسليطه على حقّه فقصر المشتري في تركه يوجب </w:t>
      </w:r>
      <w:r>
        <w:rPr>
          <w:rStyle w:val="FootnoteAnchor"/>
          <w:rtl w:val="true"/>
        </w:rPr>
        <w:footnoteReference w:id="1925"/>
      </w:r>
      <w:r>
        <w:rPr>
          <w:rFonts w:ascii="Amiri" w:hAnsi="Amiri" w:eastAsia="Amiri" w:cs="Amiri"/>
          <w:color w:val="111111"/>
          <w:sz w:val="28"/>
          <w:sz w:val="28"/>
          <w:szCs w:val="28"/>
          <w:rtl w:val="true"/>
          <w:lang w:bidi="ar-SA"/>
        </w:rPr>
        <w:t xml:space="preserve">سقوط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البائع فهو مما لا تأمل فيه حسبما مر بيانه في المسألة المتقدمة ، ولا ربط له بحصول القبض ، وإن أراد به أن التخلية كيف ما كان قبض بالنسبة إلى سقوط الضمان </w:t>
      </w:r>
      <w:r>
        <w:rPr>
          <w:rFonts w:eastAsia="Amiri" w:cs="Amiri" w:ascii="Amiri" w:hAnsi="Amiri"/>
          <w:color w:val="111111"/>
          <w:sz w:val="28"/>
          <w:szCs w:val="28"/>
          <w:rtl w:val="true"/>
          <w:lang w:bidi="ar-SA"/>
        </w:rPr>
        <w:t xml:space="preserve">) </w:t>
      </w:r>
      <w:r>
        <w:rPr>
          <w:rStyle w:val="FootnoteAnchor"/>
          <w:rtl w:val="true"/>
        </w:rPr>
        <w:footnoteReference w:id="1926"/>
      </w:r>
      <w:r>
        <w:rPr>
          <w:rFonts w:ascii="Amiri" w:hAnsi="Amiri" w:eastAsia="Amiri" w:cs="Amiri"/>
          <w:color w:val="111111"/>
          <w:sz w:val="28"/>
          <w:sz w:val="28"/>
          <w:szCs w:val="28"/>
          <w:rtl w:val="true"/>
          <w:lang w:bidi="ar-SA"/>
        </w:rPr>
        <w:t>، فمع وضوح عدم اختلاف صدق القبض عرفا بحسب اختلاف الأحكام لا دليل على سقوط الضمان به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القول باعتبار النقل </w:t>
      </w:r>
      <w:r>
        <w:rPr>
          <w:rStyle w:val="FootnoteAnchor"/>
          <w:rtl w:val="true"/>
        </w:rPr>
        <w:footnoteReference w:id="1927"/>
      </w:r>
      <w:r>
        <w:rPr>
          <w:rFonts w:ascii="Amiri" w:hAnsi="Amiri" w:eastAsia="Amiri" w:cs="Amiri"/>
          <w:color w:val="111111"/>
          <w:sz w:val="28"/>
          <w:sz w:val="28"/>
          <w:szCs w:val="28"/>
          <w:rtl w:val="true"/>
          <w:lang w:bidi="ar-SA"/>
        </w:rPr>
        <w:t xml:space="preserve">دلالة العرف عليه والإجماع المحكي المتقدّم ، وظاهر الخبر </w:t>
      </w:r>
    </w:p>
    <w:p>
      <w:pPr>
        <w:pStyle w:val="BookText"/>
        <w:rPr/>
      </w:pPr>
      <w:r>
        <w:rPr>
          <w:rFonts w:ascii="Amiri" w:hAnsi="Amiri" w:eastAsia="Amiri" w:cs="Amiri"/>
          <w:color w:val="111111"/>
          <w:sz w:val="28"/>
          <w:sz w:val="28"/>
          <w:szCs w:val="28"/>
          <w:rtl w:val="true"/>
          <w:lang w:bidi="ar-SA"/>
        </w:rPr>
        <w:t xml:space="preserve">المذكور في مسألة تلف المبيع قبل القبض حيث اعتبر فيه في انتقال الضمان من البائع إلى المشتري المتوقف على قبضه المبيع إخراجه من بيته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أخرجه من بيته فالمبتاع ضامن لحقه ، فإنّ المراد به نقل المتاع من عنده ؛ إذ خصوص الإخراج من بيته ممّا لا يتوقّف عليه انتقال الضمان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دلالة العرف على حصول القبض به فمسلّم ، وإن أريد توقف القبض عليه فهو في محلّ المنع ؛ لصدق القبض مع عدمه أيضا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فيما حكي من الإجماع ، فإنه إن أريد به الأوّل فمسلّم ، وإن أريد به الثاني فممنوع سيّما بعد كون المسألة عرفيّة وشهادة العرف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الرواية على ما ادّعاه غير ظاهرة ؛ إذ ظاهرها غير مراد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انفتاح سبيل التأويل فيها لا يتعيّن الوجه في اعتبار خصوص النقل ، بل قد يكون الملحوظ إخراجه عن يده وجعله تحت يد المشتري وتصرفه ، فلا تقيد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حجج الأقوال الأخر الاستناد إلى العرف أيضا ؛ إذ ليس في الروايات يستفاد منه التفصيل المذكور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يستند في اعتبار الكيل والوزن في المكيل والموزون إلى ظواهر الأخبار المتقدّمة المانعة عن بيع المكيل والموزون قبل الكيل أو الوزن نظرا إلى فهم الفقهاء من ذلك المنع من بيعه قبل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استدلّوا بها عليه تحريما أو كراهة ، وقد وقع التعبير به أيضا في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يبيع البيع قبل أن يقبضه؟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يكن كيل أو وزن فلا تبعه حتى تكيله أو تزنه </w:t>
      </w:r>
      <w:r>
        <w:rPr>
          <w:rFonts w:eastAsia="Amiri" w:cs="Amiri" w:ascii="Amiri" w:hAnsi="Amiri"/>
          <w:color w:val="111111"/>
          <w:sz w:val="28"/>
          <w:szCs w:val="28"/>
          <w:rtl w:val="true"/>
          <w:lang w:bidi="ar-SA"/>
        </w:rPr>
        <w:t xml:space="preserve">» </w:t>
      </w:r>
      <w:r>
        <w:rPr>
          <w:rStyle w:val="FootnoteAnchor"/>
          <w:rtl w:val="true"/>
        </w:rPr>
        <w:footnoteReference w:id="1928"/>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الحال في فهم العرف ، وأما الاخبار المذكورة فبعد حملها على إرادة القبض بضميمة فهم الأصحاب يمكن أن يكون الوجه فيه حصول الكيل والوزن غالبا عند الإقباض ، </w:t>
      </w:r>
    </w:p>
    <w:p>
      <w:pPr>
        <w:pStyle w:val="BookText"/>
        <w:rPr/>
      </w:pPr>
      <w:r>
        <w:rPr>
          <w:rFonts w:ascii="Amiri" w:hAnsi="Amiri" w:eastAsia="Amiri" w:cs="Amiri"/>
          <w:color w:val="111111"/>
          <w:sz w:val="28"/>
          <w:sz w:val="28"/>
          <w:szCs w:val="28"/>
          <w:rtl w:val="true"/>
          <w:lang w:bidi="ar-SA"/>
        </w:rPr>
        <w:t>فعبّر عنه بذلك إلّا أنّ مجرّد الكيل أو الوزن إقباض له وإن لم يدفعه البائع إليه مع شهادة صريح العرف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 ومن البيّن عدم ثبوت حقيقة شرعية للقبض كما يقتضيه الأصل والظاهر ، ونصّ عليه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وجه في الرجوع في بيانه إلى الروايات مع ما فيها من القصور في الدلالة والمخالفة لما يقتضيه العرف واللغة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يعرف الحال في الصحيحة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القبض في السؤال لا يفيد كون الكيل والوزن المذكورين في الجواب قبضا ، فالحال فيها كغيرها من الأخبار الواردة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يستند إلى تلك الأخبار في اعتبار الكيل والوزن في قبض المكيل والموزون ، ولا دلالة في تلك الأخبار عليه أيضا إلّا أنّ الشهرة محكيّة على القول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بها بعد شهادة العرف بخلافها ، فالقول به لا يخلو عن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وأبعد منه القول باعتبار العد في المعدود أيضا ؛ إذ لا وجه له إلّا قياسه على المكيل والموزون بعد استنباط كون العلّة لزوم اعتباره في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والمرجع في المنقول وغير المنقول إلى العرف ، فالأبواب المثبتة والأخشاب المبنيّة من غير المنقول وكذا الحال في الصخور والأحجار واللبن المبنيّة وإن كان الجميع من المنقول قبل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ما إذا أريد قلعها </w:t>
      </w:r>
      <w:r>
        <w:rPr>
          <w:rStyle w:val="FootnoteAnchor"/>
          <w:rtl w:val="true"/>
        </w:rPr>
        <w:footnoteReference w:id="1929"/>
      </w:r>
      <w:r>
        <w:rPr>
          <w:rFonts w:ascii="Amiri" w:hAnsi="Amiri" w:eastAsia="Amiri" w:cs="Amiri"/>
          <w:color w:val="111111"/>
          <w:sz w:val="28"/>
          <w:sz w:val="28"/>
          <w:szCs w:val="28"/>
          <w:rtl w:val="true"/>
          <w:lang w:bidi="ar-SA"/>
        </w:rPr>
        <w:t>وعدمها ، وكونه على وجه ينتفع بها بدون القلع أولا ، والأشجار والثمار الكائنة عليها من غير المنقول ، وإن كان المقصود احتطاب الشجرة أو كان أوان اقتطاف الثمرة ، وكذا الحال في الزروع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الماء فإن كان في القرب ونحوها فهو من المنقول قطعا ، وأمّا نحو مياه الآبار والأنهار فلا يبعد إدراجها في غير المنقول ، وفي مياه الحياض ونحوها ممّا يقصد بقاؤها في المحل لأجل الاستعمال ففيها وجهان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تعدّ السفينة من المنقول أو غيرها؟ وجهان أظهرهما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والرحى الغير المبني من المنقول ، والمبني من غير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يفصّل بين صخرها الفوقاني والتحتاني ، ولا يبعد عدّهما من غير المنقول إن كان أحدهما موضوعا على الآخر على النحو المعمول ، وإن كان الفوقاني موضوعا في محلّ آخر فهو معدود من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والخوابي ونحوها المثبتة في الأرض معدودة من غير المنقول بخلاف غير المثبتة وإن كانت كبيرة جدّا الّا أن تكون خارجة عن المعتاد بحيث لا يمكن حملها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المبيع منقولا في حال البيع غير منقول بعده أو بالعكس فالعبرة بحال الإقباض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يدخل في المبيع ويندرج فيه ويحكم بانتقاله إلى المشتري عند تعلّق البيع بلفظه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جرت طريقة الفقهاء رضي‌اللّه‌عنهم بذكر ألفاظ مخصوصة في المقام وبيان ما يندرج فيها عند تعلّق البيع بها ، وليس </w:t>
      </w:r>
      <w:r>
        <w:rPr>
          <w:rStyle w:val="FootnoteAnchor"/>
          <w:rtl w:val="true"/>
        </w:rPr>
        <w:footnoteReference w:id="1930"/>
      </w:r>
      <w:r>
        <w:rPr>
          <w:rFonts w:ascii="Amiri" w:hAnsi="Amiri" w:eastAsia="Amiri" w:cs="Amiri"/>
          <w:color w:val="111111"/>
          <w:sz w:val="28"/>
          <w:sz w:val="28"/>
          <w:szCs w:val="28"/>
          <w:rtl w:val="true"/>
          <w:lang w:bidi="ar-SA"/>
        </w:rPr>
        <w:t xml:space="preserve">من الأحكام المأخوذة من الشرع في تلك الموارد ليرجع إليه في إثباتها ونفيها ، وإنّما الحكم الشرعي في المقام هو الضابط الملحوظ </w:t>
      </w:r>
      <w:r>
        <w:rPr>
          <w:rStyle w:val="FootnoteAnchor"/>
          <w:rtl w:val="true"/>
        </w:rPr>
        <w:footnoteReference w:id="1931"/>
      </w:r>
      <w:r>
        <w:rPr>
          <w:rFonts w:ascii="Amiri" w:hAnsi="Amiri" w:eastAsia="Amiri" w:cs="Amiri"/>
          <w:color w:val="111111"/>
          <w:sz w:val="28"/>
          <w:sz w:val="28"/>
          <w:szCs w:val="28"/>
          <w:rtl w:val="true"/>
          <w:lang w:bidi="ar-SA"/>
        </w:rPr>
        <w:t xml:space="preserve">في حمل تلك الألفاظ ، وهو الرجوع في ذلك إلى ما هو المفهوم من اللفظ في عرف المتعاقدين ، ولو بملاحظة القرائن المنضمّة إليه من عرف أو </w:t>
      </w:r>
      <w:r>
        <w:rPr>
          <w:rStyle w:val="FootnoteAnchor"/>
          <w:rtl w:val="true"/>
        </w:rPr>
        <w:footnoteReference w:id="1932"/>
      </w:r>
      <w:r>
        <w:rPr>
          <w:rFonts w:ascii="Amiri" w:hAnsi="Amiri" w:eastAsia="Amiri" w:cs="Amiri"/>
          <w:color w:val="111111"/>
          <w:sz w:val="28"/>
          <w:sz w:val="28"/>
          <w:szCs w:val="28"/>
          <w:rtl w:val="true"/>
          <w:lang w:bidi="ar-SA"/>
        </w:rPr>
        <w:t>عادة أو قرائن خاصّة ، فإن وجدت القرائن وفهم المقصود بانضمامها فذاك ، وإلّا رجع فيه إلى مفاد اللفظ في عرف المتعاقدين ، فيندرج في البيع ما يندرج في ظاهر اللفظ بحسب ذلك العرف ، فإن كان لهما عرف خاص حمل عليه ، وإلّا فإن كان هناك عرف عام حمل عليه ، وإلّا حمل على المعنى اللغوي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الروضة </w:t>
      </w:r>
      <w:r>
        <w:rPr>
          <w:rStyle w:val="FootnoteAnchor"/>
          <w:rtl w:val="true"/>
        </w:rPr>
        <w:footnoteReference w:id="1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يراعى الشرع بطريق أولى ، بل هو مقدم عليهما بمعنى العرف واللغة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يبني المصنّف إدراجه في العرف ؛ لأنه عرف خاصّ ، ثم إن اتفقت وإلّا قدّم </w:t>
      </w:r>
    </w:p>
    <w:p>
      <w:pPr>
        <w:pStyle w:val="BookText"/>
        <w:rPr/>
      </w:pPr>
      <w:r>
        <w:rPr>
          <w:rFonts w:ascii="Amiri" w:hAnsi="Amiri" w:eastAsia="Amiri" w:cs="Amiri"/>
          <w:color w:val="111111"/>
          <w:sz w:val="28"/>
          <w:sz w:val="28"/>
          <w:szCs w:val="28"/>
          <w:rtl w:val="true"/>
          <w:lang w:bidi="ar-SA"/>
        </w:rPr>
        <w:t>الشرعي ثمّ العرفي ثمّ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أن تقديم الشرع في المقام ممّا لا وجه له ، فإنّ مخاطبات الناس إنّما تقع على مقتضى عرفهم دون عرف الشارع ، وما ذكروه من تقديم الحقيقة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العرفية واللغوية إنما هو فيما إذا ورد اللفظ في كلام الشارع أو المتشرعة في بيان الأحكام الشرعيه </w:t>
      </w:r>
      <w:r>
        <w:rPr>
          <w:rFonts w:eastAsia="Amiri" w:cs="Amiri" w:ascii="Amiri" w:hAnsi="Amiri"/>
          <w:color w:val="111111"/>
          <w:sz w:val="28"/>
          <w:szCs w:val="28"/>
          <w:rtl w:val="true"/>
          <w:lang w:bidi="ar-SA"/>
        </w:rPr>
        <w:t xml:space="preserve">) </w:t>
      </w:r>
      <w:r>
        <w:rPr>
          <w:rStyle w:val="FootnoteAnchor"/>
          <w:rtl w:val="true"/>
        </w:rPr>
        <w:footnoteReference w:id="1934"/>
      </w:r>
      <w:r>
        <w:rPr>
          <w:rFonts w:ascii="Amiri" w:hAnsi="Amiri" w:eastAsia="Amiri" w:cs="Amiri"/>
          <w:color w:val="111111"/>
          <w:sz w:val="28"/>
          <w:sz w:val="28"/>
          <w:szCs w:val="28"/>
          <w:rtl w:val="true"/>
          <w:lang w:bidi="ar-SA"/>
        </w:rPr>
        <w:t xml:space="preserve">لتبعيّتهم </w:t>
      </w:r>
      <w:r>
        <w:rPr>
          <w:rStyle w:val="FootnoteAnchor"/>
          <w:rtl w:val="true"/>
        </w:rPr>
        <w:footnoteReference w:id="1935"/>
      </w:r>
      <w:r>
        <w:rPr>
          <w:rFonts w:ascii="Amiri" w:hAnsi="Amiri" w:eastAsia="Amiri" w:cs="Amiri"/>
          <w:color w:val="111111"/>
          <w:sz w:val="28"/>
          <w:sz w:val="28"/>
          <w:szCs w:val="28"/>
          <w:rtl w:val="true"/>
          <w:lang w:bidi="ar-SA"/>
        </w:rPr>
        <w:t xml:space="preserve">في المقام لعرف الشريعة ، وأمّا ما </w:t>
      </w:r>
      <w:r>
        <w:rPr>
          <w:rStyle w:val="FootnoteAnchor"/>
          <w:rtl w:val="true"/>
        </w:rPr>
        <w:footnoteReference w:id="1936"/>
      </w:r>
      <w:r>
        <w:rPr>
          <w:rFonts w:ascii="Amiri" w:hAnsi="Amiri" w:eastAsia="Amiri" w:cs="Amiri"/>
          <w:color w:val="111111"/>
          <w:sz w:val="28"/>
          <w:sz w:val="28"/>
          <w:szCs w:val="28"/>
          <w:rtl w:val="true"/>
          <w:lang w:bidi="ar-SA"/>
        </w:rPr>
        <w:t>يرد في كلام المتشرعة في غير ذلك المقام فلا يحمل إلّا على مقتضى عرفهم كما هو الحال في غير البيع من ساير العقود والإيقاعات الحاصلة منهم على نحو سائر المخاطبات الصادرة منهم في إخباراتهم وأمور معاشهم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Style w:val="FootnoteAnchor"/>
          <w:rtl w:val="true"/>
        </w:rPr>
        <w:footnoteReference w:id="1937"/>
      </w:r>
      <w:r>
        <w:rPr>
          <w:rFonts w:ascii="Amiri" w:hAnsi="Amiri" w:eastAsia="Amiri" w:cs="Amiri"/>
          <w:color w:val="111111"/>
          <w:sz w:val="28"/>
          <w:sz w:val="28"/>
          <w:szCs w:val="28"/>
          <w:rtl w:val="true"/>
          <w:lang w:bidi="ar-SA"/>
        </w:rPr>
        <w:t xml:space="preserve">في الشريعة من تعيين بعض المبهمات العرفيّة في باب الوصايا ونحوها فمع خروجه عن محلّ البحث لا ينافي المدّعى ؛ لخروجه إذن عن الأصل من جهة النصّ والإجماع إن تمّا في </w:t>
      </w:r>
      <w:r>
        <w:rPr>
          <w:rStyle w:val="FootnoteAnchor"/>
          <w:rtl w:val="true"/>
        </w:rPr>
        <w:footnoteReference w:id="1938"/>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وجه إذن للتسرية عن مورد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الذبّ عنه بتنزيل كلام الشهيد رحمه‌اللّه على ما إذا كان المعاقدان </w:t>
      </w:r>
      <w:r>
        <w:rPr>
          <w:rStyle w:val="FootnoteAnchor"/>
          <w:rtl w:val="true"/>
        </w:rPr>
        <w:footnoteReference w:id="1939"/>
      </w:r>
      <w:r>
        <w:rPr>
          <w:rFonts w:ascii="Amiri" w:hAnsi="Amiri" w:eastAsia="Amiri" w:cs="Amiri"/>
          <w:color w:val="111111"/>
          <w:sz w:val="28"/>
          <w:sz w:val="28"/>
          <w:szCs w:val="28"/>
          <w:rtl w:val="true"/>
          <w:lang w:bidi="ar-SA"/>
        </w:rPr>
        <w:t xml:space="preserve">من أهل الشرع ، ووقعت معاقدتهما على عرف الشريعة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إذا كانا من الكفّار أو من أهل الشرع مع عدم وقوع مخاطبتهم في المقام على عرف الشريعة </w:t>
      </w:r>
      <w:r>
        <w:rPr>
          <w:rFonts w:eastAsia="Amiri" w:cs="Amiri" w:ascii="Amiri" w:hAnsi="Amiri"/>
          <w:color w:val="111111"/>
          <w:sz w:val="28"/>
          <w:szCs w:val="28"/>
          <w:rtl w:val="true"/>
          <w:lang w:bidi="ar-SA"/>
        </w:rPr>
        <w:t xml:space="preserve">) </w:t>
      </w:r>
      <w:r>
        <w:rPr>
          <w:rStyle w:val="FootnoteAnchor"/>
          <w:rtl w:val="true"/>
        </w:rPr>
        <w:footnoteReference w:id="1940"/>
      </w:r>
      <w:r>
        <w:rPr>
          <w:rFonts w:ascii="Amiri" w:hAnsi="Amiri" w:eastAsia="Amiri" w:cs="Amiri"/>
          <w:color w:val="111111"/>
          <w:sz w:val="28"/>
          <w:sz w:val="28"/>
          <w:szCs w:val="28"/>
          <w:rtl w:val="true"/>
          <w:lang w:bidi="ar-SA"/>
        </w:rPr>
        <w:t>لوضوح عدم حمل الألفاظ الجارية في كلامهم على المعاني الشرعيّة ، ولا مجال لتوهّم الحمل عليه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مقصوده بعرف الشريعة ما كان عرفا سابقا بين المتشرّعة قائما مقام سائر المعاني العرفيّة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له إدراجه في العرفية المذكورة في عبارة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ما يحمل عليه اللفظ عند الإطلاق أو يستعمل فيه ولو بمعونة القرينة فيحكم بالاندراج على حسب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يحكم بكونه تابعا للمبيع منتقلا منه على سبيل التبعيّة وإن لم يندرج فيما أريد من اللفظ ، فإن كان الحاكم بالتبعيّة هو الشرع قدّم على غيره قطعا كما إذا دلّ على تبعية ثمن </w:t>
      </w:r>
      <w:r>
        <w:rPr>
          <w:rStyle w:val="FootnoteAnchor"/>
          <w:rtl w:val="true"/>
        </w:rPr>
        <w:footnoteReference w:id="1941"/>
      </w:r>
      <w:r>
        <w:rPr>
          <w:rFonts w:ascii="Amiri" w:hAnsi="Amiri" w:eastAsia="Amiri" w:cs="Amiri"/>
          <w:color w:val="111111"/>
          <w:sz w:val="28"/>
          <w:sz w:val="28"/>
          <w:szCs w:val="28"/>
          <w:rtl w:val="true"/>
          <w:lang w:bidi="ar-SA"/>
        </w:rPr>
        <w:t>النخل لبيع الأصل مع عدم التأبير ، وإلّا رجع فيه إلى مقتضى العرف ، فيحكم بتابعية ما يحكم بتبعيّته لا لكونه مفهوما من اللفظ المستعمل ؛ إذ المفروض عدم الكافي ما استعمل اللفظ فيه ، بل لكونه إذن من مقتضيات العقد ، فيندرج تحت ما دلّ على لزوم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 وبين الأوّل ظاهر ، أو ما يندرج في مدلول اللفظ هناك مندرج </w:t>
      </w:r>
      <w:r>
        <w:rPr>
          <w:rStyle w:val="FootnoteAnchor"/>
          <w:rtl w:val="true"/>
        </w:rPr>
        <w:footnoteReference w:id="1942"/>
      </w:r>
      <w:r>
        <w:rPr>
          <w:rFonts w:ascii="Amiri" w:hAnsi="Amiri" w:eastAsia="Amiri" w:cs="Amiri"/>
          <w:color w:val="111111"/>
          <w:sz w:val="28"/>
          <w:sz w:val="28"/>
          <w:szCs w:val="28"/>
          <w:rtl w:val="true"/>
          <w:lang w:bidi="ar-SA"/>
        </w:rPr>
        <w:t xml:space="preserve">في المبيع فيقسط الثمن على الجميع بخلاف المقام ؛ لكون الثمن حينئذ بإزاء نفس المبيع ، وانتقال ما ينتقل معه إنّما يكون على سبيل التبعيّة فيما </w:t>
      </w:r>
      <w:r>
        <w:rPr>
          <w:rStyle w:val="FootnoteAnchor"/>
          <w:rtl w:val="true"/>
        </w:rPr>
        <w:footnoteReference w:id="1943"/>
      </w:r>
      <w:r>
        <w:rPr>
          <w:rFonts w:ascii="Amiri" w:hAnsi="Amiri" w:eastAsia="Amiri" w:cs="Amiri"/>
          <w:color w:val="111111"/>
          <w:sz w:val="28"/>
          <w:sz w:val="28"/>
          <w:szCs w:val="28"/>
          <w:rtl w:val="true"/>
          <w:lang w:bidi="ar-SA"/>
        </w:rPr>
        <w:t>مرّ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عليه أيضا أنّ الجهالة بما يندرج في المبيع قاض بمجهولية المبيع ، فيقتضي ذلك فساد المعاملة بخلاف التابع ، وقد ينزّل على ذلك كلام الشهيد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عن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مع اتّحاد العرفين وعرف البلد فلا إشكال ، وأمّا مع الاختلاف فإن قامت قرينة معيّنة على المقصود فلا كلام أيضا ، وإلّا قام </w:t>
      </w:r>
      <w:r>
        <w:rPr>
          <w:rStyle w:val="FootnoteAnchor"/>
          <w:rtl w:val="true"/>
        </w:rPr>
        <w:footnoteReference w:id="1944"/>
      </w:r>
      <w:r>
        <w:rPr>
          <w:rFonts w:ascii="Amiri" w:hAnsi="Amiri" w:eastAsia="Amiri" w:cs="Amiri"/>
          <w:color w:val="111111"/>
          <w:sz w:val="28"/>
          <w:sz w:val="28"/>
          <w:szCs w:val="28"/>
          <w:rtl w:val="true"/>
          <w:lang w:bidi="ar-SA"/>
        </w:rPr>
        <w:t>الإشكال في تقديم عرف المحل أو المتعاقدين ، وقد يفصّل من طول مكثهما في المحلّ وقصره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ترجيح عرف المتعاقدين إلّا أن يقوم شاهد في المقام على إرادة عرف المحلّ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اختلف عرف المتعاقدين قدّم عرف البائع مع تقديم الايجاب على القبول </w:t>
      </w:r>
      <w:r>
        <w:rPr>
          <w:rStyle w:val="FootnoteAnchor"/>
          <w:rtl w:val="true"/>
        </w:rPr>
        <w:footnoteReference w:id="1945"/>
      </w:r>
      <w:r>
        <w:rPr>
          <w:rFonts w:ascii="IRNazanin" w:hAnsi="IRNazanin" w:eastAsia="IRNazanin"/>
          <w:color w:val="111111"/>
          <w:sz w:val="28"/>
          <w:sz w:val="28"/>
          <w:szCs w:val="28"/>
          <w:rtl w:val="true"/>
          <w:lang w:bidi="fa-IR"/>
        </w:rPr>
        <w:t>ولو قدّم القبول بناء على جوازه قدّم عرف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وافق </w:t>
      </w:r>
      <w:r>
        <w:rPr>
          <w:rStyle w:val="FootnoteAnchor"/>
          <w:rtl w:val="true"/>
        </w:rPr>
        <w:footnoteReference w:id="1946"/>
      </w:r>
      <w:r>
        <w:rPr>
          <w:rFonts w:ascii="Amiri" w:hAnsi="Amiri" w:eastAsia="Amiri" w:cs="Amiri"/>
          <w:color w:val="111111"/>
          <w:sz w:val="28"/>
          <w:sz w:val="28"/>
          <w:szCs w:val="28"/>
          <w:rtl w:val="true"/>
          <w:lang w:bidi="ar-SA"/>
        </w:rPr>
        <w:t>عرف المحل عرف الموجب أو القابل مع تقديم عرفه حسبما ذكر فالأمر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وافق الآخر احتمل تقديمه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الأولى أيضا تقديم عرف السابق إلّا أن يقوم شاهد على حمله على العرف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جرت طريقتهم على ذكر عدّة من الألفاظ في المقام ، وبيان ما يندرج فيها وما لا يندرج كان الأولى التعرض لذكرها وبيان ما هو المفهوم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 ويدخل فيها العرصة والبناء الكائن فيه من الحيطان والغرف </w:t>
      </w:r>
      <w:r>
        <w:rPr>
          <w:rStyle w:val="FootnoteAnchor"/>
          <w:rtl w:val="true"/>
        </w:rPr>
        <w:footnoteReference w:id="1947"/>
      </w:r>
      <w:r>
        <w:rPr>
          <w:rFonts w:ascii="Amiri" w:hAnsi="Amiri" w:eastAsia="Amiri" w:cs="Amiri"/>
          <w:color w:val="111111"/>
          <w:sz w:val="28"/>
          <w:sz w:val="28"/>
          <w:szCs w:val="28"/>
          <w:rtl w:val="true"/>
          <w:lang w:bidi="ar-SA"/>
        </w:rPr>
        <w:t xml:space="preserve">والجدران والصخور والأخشاب المبنيّة فيها والأبواب والشبائك </w:t>
      </w:r>
      <w:r>
        <w:rPr>
          <w:rStyle w:val="FootnoteAnchor"/>
          <w:rtl w:val="true"/>
        </w:rPr>
        <w:footnoteReference w:id="1948"/>
      </w:r>
      <w:r>
        <w:rPr>
          <w:rFonts w:ascii="Amiri" w:hAnsi="Amiri" w:eastAsia="Amiri" w:cs="Amiri"/>
          <w:color w:val="111111"/>
          <w:sz w:val="28"/>
          <w:sz w:val="28"/>
          <w:szCs w:val="28"/>
          <w:rtl w:val="true"/>
          <w:lang w:bidi="ar-SA"/>
        </w:rPr>
        <w:t>المضوءة ونحوها والبيوت الفوقانيّة والتحتانيّة والسراديب والمطبخ وبئر الماء والكنيف والحياض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لها بيوت خارجة عن حدّ حيطان الدار كالسّاباط الموضوع على الشارع أو الغرف المبنيّة على بيوت الجيران فإن كانت وجهها نحو تلك الدار وكانت متعلّقة بها ومعدودة من بيوتها اندرجت في بيعها ، وإن لم يعدّ من بيوتها عرفا لم يندرج في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مع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كلّ من الفوقاني والتحتاني معدودا دارا مستقلا كما قد يتّفق في بعض البلدان لم يندرج فيه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اندراج السقف الحاصل بينهما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استحقاق الفوقاني للانتفاع به </w:t>
      </w:r>
    </w:p>
    <w:p>
      <w:pPr>
        <w:pStyle w:val="BookText"/>
        <w:rPr/>
      </w:pPr>
      <w:r>
        <w:rPr>
          <w:rFonts w:ascii="Amiri" w:hAnsi="Amiri" w:eastAsia="Amiri" w:cs="Amiri"/>
          <w:color w:val="111111"/>
          <w:sz w:val="28"/>
          <w:sz w:val="28"/>
          <w:szCs w:val="28"/>
          <w:rtl w:val="true"/>
          <w:lang w:bidi="ar-SA"/>
        </w:rPr>
        <w:t xml:space="preserve">والتصرف بالكون عليه ونحوه كما انّه يستحق وضع بيوته على بيته وكونها </w:t>
      </w:r>
      <w:r>
        <w:rPr>
          <w:rStyle w:val="FootnoteAnchor"/>
          <w:rtl w:val="true"/>
        </w:rPr>
        <w:footnoteReference w:id="1949"/>
      </w:r>
      <w:r>
        <w:rPr>
          <w:rFonts w:ascii="Amiri" w:hAnsi="Amiri" w:eastAsia="Amiri" w:cs="Amiri"/>
          <w:color w:val="111111"/>
          <w:sz w:val="28"/>
          <w:sz w:val="28"/>
          <w:szCs w:val="28"/>
          <w:rtl w:val="true"/>
          <w:lang w:bidi="ar-SA"/>
        </w:rPr>
        <w:t xml:space="preserve">عليه أو أنّه يكون مشاعا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 وكأنّ أظهرهما الثاني لانتسابه إلى الطرفين ، وقوام الجانبين به ، بل ربّما كان تصرّف الفوقاني فيه أبين ؛ نظرا إلى كونه عليه ، وقيامه وقعوده وساير تصرفاته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واستظهر في المجمع </w:t>
      </w:r>
      <w:r>
        <w:rPr>
          <w:rStyle w:val="FootnoteAnchor"/>
          <w:rtl w:val="true"/>
        </w:rPr>
        <w:footnoteReference w:id="1950"/>
      </w:r>
      <w:r>
        <w:rPr>
          <w:rFonts w:ascii="Amiri" w:hAnsi="Amiri" w:eastAsia="Amiri" w:cs="Amiri"/>
          <w:color w:val="111111"/>
          <w:sz w:val="28"/>
          <w:sz w:val="28"/>
          <w:szCs w:val="28"/>
          <w:rtl w:val="true"/>
          <w:lang w:bidi="ar-SA"/>
        </w:rPr>
        <w:t>اندراجه في التحتاني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يتوقف تصرّف كلّ من الفوقاني والتحتاني على إذن الآخر كما هو الحال في الأموال المشتركة او أن لكلّ منهما التصرف فيه على حسبما تسمعه على وجه لا يتضرر به الآخر ، ولا يقتضي بالتصرف في جهة استحقاقه ولو من دون إذن الآخر ورضاه؟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ظاهر الأصل هو الأول ، وملاحظة جهة الاستحقاق يقضي بالثاني ، فإنّه وإن كان </w:t>
      </w:r>
      <w:r>
        <w:rPr>
          <w:rStyle w:val="FootnoteAnchor"/>
          <w:rtl w:val="true"/>
        </w:rPr>
        <w:footnoteReference w:id="1951"/>
      </w:r>
      <w:r>
        <w:rPr>
          <w:rFonts w:ascii="Amiri" w:hAnsi="Amiri" w:eastAsia="Amiri" w:cs="Amiri"/>
          <w:color w:val="111111"/>
          <w:sz w:val="28"/>
          <w:sz w:val="28"/>
          <w:szCs w:val="28"/>
          <w:rtl w:val="true"/>
          <w:lang w:bidi="ar-SA"/>
        </w:rPr>
        <w:t>العين مشتركة بينهما إلّا أنّ جهة استحقاق كل منهما يغاير جهة استحقاق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الثاني أرجح بالنظر وأقرب إلى الطريقة الجارية ، بل لا يبعد قضاء الأصل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والحائط الواقع بين الدارين لا يحتسب من أحد الجانبين بخصوصه إلّا أن يكون هناك ما يعيّنه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عدمه فالظاهر الاشتراك ؛ لاستواء النسبة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 تصرف كلّ منهما في جانبه من دون إذن الآخر ما عرفت من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فيه الأغلاق المثبتة والأبواب المنصوبة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يندرج فيه مفاتيحها المفصّلة عنها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وقطع جماعة منهم الشهيدان </w:t>
      </w:r>
      <w:r>
        <w:rPr>
          <w:rStyle w:val="FootnoteAnchor"/>
          <w:rtl w:val="true"/>
        </w:rPr>
        <w:footnoteReference w:id="1952"/>
      </w:r>
      <w:r>
        <w:rPr>
          <w:rFonts w:ascii="IRNazanin" w:hAnsi="IRNazanin" w:eastAsia="IRNazanin"/>
          <w:color w:val="111111"/>
          <w:sz w:val="28"/>
          <w:sz w:val="28"/>
          <w:szCs w:val="28"/>
          <w:rtl w:val="true"/>
          <w:lang w:bidi="fa-IR"/>
        </w:rPr>
        <w:t>بالدخول لظاهر العرف</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يخلو عن قرب إلّا أن تشهد الحال بخروجها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يندرج في الدار الأمور الموضوعة فيها وإن كانت من متعلّقات الدار كالخوايى الموضوعة فيها ، وإن كانت 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الرحى وإن كانت مبنية والإجّانة والمدق والأقفال المفصلة والأبواب والشبابيك الغير المنصوبة ، ولو كانت مغلوعة بعد النصب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الأخشاب والصخور والأحجار الغير المبنيّة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كانت مبنية فخربت وبقيت فيها ففي اندراجها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بجميع حقوقها ونحوه فالظاهر الاندراج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يندرج فيه البكرة والرشاد والدلو </w:t>
      </w:r>
      <w:r>
        <w:rPr>
          <w:rStyle w:val="FootnoteAnchor"/>
          <w:rtl w:val="true"/>
        </w:rPr>
        <w:footnoteReference w:id="1954"/>
      </w:r>
      <w:r>
        <w:rPr>
          <w:rFonts w:ascii="Amiri" w:hAnsi="Amiri" w:eastAsia="Amiri" w:cs="Amiri"/>
          <w:color w:val="111111"/>
          <w:sz w:val="28"/>
          <w:sz w:val="28"/>
          <w:szCs w:val="28"/>
          <w:rtl w:val="true"/>
          <w:lang w:bidi="ar-SA"/>
        </w:rPr>
        <w:t>والسلّم إلّا أن تكون مثبتة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تدخل فيها الشجر الكائن فيها على ما قطع به جماعة ؛ لخروجه عن مسمّى الدار وإن قال بحقوقها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مما يتعلق بالدار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اشكال ، ولا يبعد قضاء العرف بدخول الأشجار فيها سيما مع قوله بحقوقها </w:t>
      </w:r>
      <w:r>
        <w:rPr>
          <w:rFonts w:eastAsia="Amiri" w:cs="Amiri" w:ascii="Amiri" w:hAnsi="Amiri"/>
          <w:color w:val="111111"/>
          <w:sz w:val="28"/>
          <w:szCs w:val="28"/>
          <w:rtl w:val="true"/>
          <w:lang w:bidi="ar-SA"/>
        </w:rPr>
        <w:t xml:space="preserve">) </w:t>
      </w:r>
      <w:r>
        <w:rPr>
          <w:rStyle w:val="FootnoteAnchor"/>
          <w:rtl w:val="true"/>
        </w:rPr>
        <w:footnoteReference w:id="1955"/>
      </w:r>
      <w:r>
        <w:rPr>
          <w:rFonts w:ascii="Amiri" w:hAnsi="Amiri" w:eastAsia="Amiri" w:cs="Amiri"/>
          <w:color w:val="111111"/>
          <w:sz w:val="28"/>
          <w:sz w:val="28"/>
          <w:szCs w:val="28"/>
          <w:rtl w:val="true"/>
          <w:lang w:bidi="ar-SA"/>
        </w:rPr>
        <w:t>إلّا أن تكون كثيرة بحيث يظهر ويشك في اندراجها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نبّه عليه بعض أفاضل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أغلق عليه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دار عليه حائطه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الإشكال في الاندراج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نبّه عليه جماعة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يكن له باب أو حائط فالظاهر أيضا ذلك لكونه حينئذ كناية عن شمول الجميع ، وينتقل به الطريق الخاص بها أو المشترك بينها وبين دار أخرى كالدارين الواقعتين في زقاق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الحال في الحق الثابت له من الماء والحريم المتعلّق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انتقال المذكورات من جهة اندراجها في مسمّى الدار ؛ لظهور خروجها عن مسمّاها بل من جهة التبعيّة حسبما يقتضيه العرف والعادة ، فبيع الدار قاض بانتقال المذكورات تبعا لانتقالها في حكم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ذلك من مقتضيات العقد المذكور عرفا لزم الوفاء به شرعا ؛ نظرا إلى ظاهر الآية الشريفة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يقع شي‌ء من الثمن بإزاء شي‌ء منها لخروجها عن المبيع كما هو الحال في سائر التوابع حسبما مرّ الكلام فيه من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من الدار ، ويدخل فيه حيطانه وسقفه وأبوابه وشبابيكه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يندرج فيه البيت الذي فوقه إذا كان مستقلا للأصل وشهادة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من توابعه وملحقاته فلا يبعد دخوله فيه كالمخدع الذي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مكاتبة الصفار الصحيحة أنّه كتب إلى العسكرى عليه‌السلام في رجل اشترى بيتا في داره بجميع حقوقه وفوقه بيت آخر ، هل يدخل </w:t>
      </w:r>
      <w:r>
        <w:rPr>
          <w:rStyle w:val="FootnoteAnchor"/>
          <w:rtl w:val="true"/>
        </w:rPr>
        <w:footnoteReference w:id="1956"/>
      </w:r>
      <w:r>
        <w:rPr>
          <w:rFonts w:ascii="Amiri" w:hAnsi="Amiri" w:eastAsia="Amiri" w:cs="Amiri"/>
          <w:color w:val="111111"/>
          <w:sz w:val="28"/>
          <w:sz w:val="28"/>
          <w:szCs w:val="28"/>
          <w:rtl w:val="true"/>
          <w:lang w:bidi="ar-SA"/>
        </w:rPr>
        <w:t xml:space="preserve">الأعلى حقوق البيت الأسفل أم لا؟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Style w:val="FootnoteAnchor"/>
          <w:rtl w:val="true"/>
        </w:rPr>
        <w:footnoteReference w:id="1957"/>
      </w:r>
      <w:r>
        <w:rPr>
          <w:rFonts w:ascii="IRNazanin" w:hAnsi="IRNazanin" w:eastAsia="IRNazanin"/>
          <w:color w:val="111111"/>
          <w:sz w:val="28"/>
          <w:sz w:val="28"/>
          <w:szCs w:val="28"/>
          <w:rtl w:val="true"/>
          <w:lang w:bidi="fa-IR"/>
        </w:rPr>
        <w:t xml:space="preserve">إلّا ما اشتراه باسمه وموضعه إن شاء اللّه </w:t>
      </w:r>
      <w:r>
        <w:rPr>
          <w:rFonts w:eastAsia="IRNazanin" w:cs="IRNazanin"/>
          <w:color w:val="111111"/>
          <w:sz w:val="28"/>
          <w:szCs w:val="28"/>
          <w:rtl w:val="true"/>
          <w:lang w:bidi="fa-IR"/>
        </w:rPr>
        <w:t xml:space="preserve">»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مكاتبه أخرى صحيحة أيضا دالّة على 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الجمع بينهما بما أشرنا إليه من الفرق بين ما إذا كان البيت الفوقاني مستقلا ومن توابع التحتاني ولواحقه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 فالفرق بين الدار والبيت في ذلك ظاهر حيث إنّ الدار يشمل البيت الفوقاني والتحتاني قطعا إلّا أن بعد الفوقاني دار أخرى كما يتفق في بعض البلدان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البيت التحتاني فلا يشمل الفوقاني إلّا أن يكون هناك من </w:t>
      </w:r>
      <w:r>
        <w:rPr>
          <w:rStyle w:val="FootnoteAnchor"/>
          <w:rtl w:val="true"/>
        </w:rPr>
        <w:footnoteReference w:id="1959"/>
      </w:r>
      <w:r>
        <w:rPr>
          <w:rFonts w:ascii="Amiri" w:hAnsi="Amiri" w:eastAsia="Amiri" w:cs="Amiri"/>
          <w:color w:val="111111"/>
          <w:sz w:val="28"/>
          <w:sz w:val="28"/>
          <w:szCs w:val="28"/>
          <w:rtl w:val="true"/>
          <w:lang w:bidi="ar-SA"/>
        </w:rPr>
        <w:t>القرينة ما يفيد كونه من لواحقه وضمائمه فيهما متعاكسان فيما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يتبعه الطريق إلى البيت ، وهل له سهم في سائر ما يحتاج إليه الساكن فيه بين الأمور المتعلّقة به كالبئر والكنيف ونحوهما؟ وجهان ، أظهرهما عدم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 ويندرج فيها ظاهرها وباطنها ، فلو كانت مشتملة على صخور مخلوقة فيها اندرجت في المبيع من غير فرق بين علمهما بالحال أو الجهل به إلّا أنّه مع الجهل لو حصل هناك غبن بالنسبة إلى البائع يثبت </w:t>
      </w:r>
      <w:r>
        <w:rPr>
          <w:rStyle w:val="FootnoteAnchor"/>
          <w:rtl w:val="true"/>
        </w:rPr>
        <w:footnoteReference w:id="1960"/>
      </w:r>
      <w:r>
        <w:rPr>
          <w:rFonts w:ascii="Amiri" w:hAnsi="Amiri" w:eastAsia="Amiri" w:cs="Amiri"/>
          <w:color w:val="111111"/>
          <w:sz w:val="28"/>
          <w:sz w:val="28"/>
          <w:szCs w:val="28"/>
          <w:rtl w:val="true"/>
          <w:lang w:bidi="ar-SA"/>
        </w:rPr>
        <w:t>له خيار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هناك غبن ففي ثبوت الخيار وجهان ، والأظهر أنّه إن كان ذلك مخالفة للوصف الملحوظ في المبيع ثبت الخيار من تلك الجهة بالنسبة إلى من اعتبرت الصفة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لو بنيت المعاملة على ظاهر الحال فتبيّن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يتبعه ماؤه الكائن فيه فيما إذا استنبط بالحفر كالبئر وعيّن الماء ، وكذا لو كان البئر محفورا والعين مستنبطة ؛ لدخول المبيع </w:t>
      </w:r>
      <w:r>
        <w:rPr>
          <w:rStyle w:val="FootnoteAnchor"/>
          <w:rtl w:val="true"/>
        </w:rPr>
        <w:footnoteReference w:id="1961"/>
      </w:r>
      <w:r>
        <w:rPr>
          <w:rFonts w:ascii="Amiri" w:hAnsi="Amiri" w:eastAsia="Amiri" w:cs="Amiri"/>
          <w:color w:val="111111"/>
          <w:sz w:val="28"/>
          <w:sz w:val="28"/>
          <w:szCs w:val="28"/>
          <w:rtl w:val="true"/>
          <w:lang w:bidi="ar-SA"/>
        </w:rPr>
        <w:t>في اسم الأرض فيتبعه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قطع في التحرير </w:t>
      </w:r>
      <w:r>
        <w:rPr>
          <w:rStyle w:val="FootnoteAnchor"/>
          <w:rtl w:val="true"/>
        </w:rPr>
        <w:footnoteReference w:id="1962"/>
      </w:r>
      <w:r>
        <w:rPr>
          <w:rFonts w:ascii="Amiri" w:hAnsi="Amiri" w:eastAsia="Amiri" w:cs="Amiri"/>
          <w:color w:val="111111"/>
          <w:sz w:val="28"/>
          <w:sz w:val="28"/>
          <w:szCs w:val="28"/>
          <w:rtl w:val="true"/>
          <w:lang w:bidi="ar-SA"/>
        </w:rPr>
        <w:t xml:space="preserve">وعلى ما مرّ من مذهب القاضي من عدم دخول ماء البئر في بيع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جواز بيعه منفردا فلا يدخل في البيع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يندرج الماء الموجود في البئر في البيع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عين الماء حسبما مرّت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ضعفه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يندرج فيه المياه الجارية النابعة من تلك الأرض الخارجة إلى مكان آخر والمصروفة فيها؟ الظاهر لا إلّا أن يقوم دخولها شاهدا في المقام أو يكون هناك عرف خاص يفيد اندراجها في المبيع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ويقضي بانصراف الإطلاق إليه ، ولا تندرج فيها الحجارة والصخر الموضوعين فيها ، وكذا المدفونين المعرضتين للنقل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المثبتة فيها كأساس الحيطان والدكّة فالظاهر دخولها إلّا أن يكون في المقام قرينة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الخروج أو كان مودعا للنقل والتحويل ، فإن علم المشتري بوجودها هناك </w:t>
      </w:r>
      <w:r>
        <w:rPr>
          <w:rFonts w:eastAsia="Amiri" w:cs="Amiri" w:ascii="Amiri" w:hAnsi="Amiri"/>
          <w:color w:val="111111"/>
          <w:sz w:val="28"/>
          <w:szCs w:val="28"/>
          <w:rtl w:val="true"/>
          <w:lang w:bidi="ar-SA"/>
        </w:rPr>
        <w:t xml:space="preserve">) </w:t>
      </w:r>
      <w:r>
        <w:rPr>
          <w:rStyle w:val="FootnoteAnchor"/>
          <w:rtl w:val="true"/>
        </w:rPr>
        <w:footnoteReference w:id="1963"/>
      </w:r>
      <w:r>
        <w:rPr>
          <w:rFonts w:ascii="Amiri" w:hAnsi="Amiri" w:eastAsia="Amiri" w:cs="Amiri"/>
          <w:color w:val="111111"/>
          <w:sz w:val="28"/>
          <w:sz w:val="28"/>
          <w:szCs w:val="28"/>
          <w:rtl w:val="true"/>
          <w:lang w:bidi="ar-SA"/>
        </w:rPr>
        <w:t>فلا كلام ، وله إلزام البائع بالتخلية ، ولا يستحق المشتري عليه أجرة عن زمان التخلية إذا أتى بها على النحو المتعارف ، وليس له مطالبته بطمّ الحفر وتسوية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أخّر البائع إخراجها لم يتسلّط المشتري على </w:t>
      </w:r>
      <w:r>
        <w:rPr>
          <w:rStyle w:val="FootnoteAnchor"/>
          <w:rtl w:val="true"/>
        </w:rPr>
        <w:footnoteReference w:id="1964"/>
      </w:r>
      <w:r>
        <w:rPr>
          <w:rFonts w:ascii="Amiri" w:hAnsi="Amiri" w:eastAsia="Amiri" w:cs="Amiri"/>
          <w:color w:val="111111"/>
          <w:sz w:val="28"/>
          <w:sz w:val="28"/>
          <w:szCs w:val="28"/>
          <w:rtl w:val="true"/>
          <w:lang w:bidi="ar-SA"/>
        </w:rPr>
        <w:t xml:space="preserve">الفسخ ، وكان له أجرة الأرض عن اشتغالها به ولو منعه </w:t>
      </w:r>
      <w:r>
        <w:rPr>
          <w:rStyle w:val="FootnoteAnchor"/>
          <w:rtl w:val="true"/>
        </w:rPr>
        <w:footnoteReference w:id="1965"/>
      </w:r>
      <w:r>
        <w:rPr>
          <w:rFonts w:ascii="Amiri" w:hAnsi="Amiri" w:eastAsia="Amiri" w:cs="Amiri"/>
          <w:color w:val="111111"/>
          <w:sz w:val="28"/>
          <w:sz w:val="28"/>
          <w:szCs w:val="28"/>
          <w:rtl w:val="true"/>
          <w:lang w:bidi="ar-SA"/>
        </w:rPr>
        <w:t xml:space="preserve">التأخير عن انتفاعه بالزراعة وفات بسببه وقت الذراع ففي إلزامه بعض </w:t>
      </w:r>
      <w:r>
        <w:rPr>
          <w:rStyle w:val="FootnoteAnchor"/>
          <w:rtl w:val="true"/>
        </w:rPr>
        <w:footnoteReference w:id="1966"/>
      </w:r>
      <w:r>
        <w:rPr>
          <w:rFonts w:ascii="Amiri" w:hAnsi="Amiri" w:eastAsia="Amiri" w:cs="Amiri"/>
          <w:color w:val="111111"/>
          <w:sz w:val="28"/>
          <w:sz w:val="28"/>
          <w:szCs w:val="28"/>
          <w:rtl w:val="true"/>
          <w:lang w:bidi="ar-SA"/>
        </w:rPr>
        <w:t>المنافع الفائتة من جهته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يعلم به وكان تبقيته هناك مانعا عن انتفاع المشتري به فإن أخرجه بحيث لم يتضرر </w:t>
      </w:r>
      <w:r>
        <w:rPr>
          <w:rStyle w:val="FootnoteAnchor"/>
          <w:rtl w:val="true"/>
        </w:rPr>
        <w:footnoteReference w:id="1967"/>
      </w:r>
      <w:r>
        <w:rPr>
          <w:rFonts w:ascii="Amiri" w:hAnsi="Amiri" w:eastAsia="Amiri" w:cs="Amiri"/>
          <w:color w:val="111111"/>
          <w:sz w:val="28"/>
          <w:sz w:val="28"/>
          <w:szCs w:val="28"/>
          <w:rtl w:val="true"/>
          <w:lang w:bidi="ar-SA"/>
        </w:rPr>
        <w:t>المشتري أصلا فالظاهر عدم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إخراج المالك عنه قاضيا بنقص في الأرض كهبوط زائد يعدّ نقصا في العرف أو يكون خارجا عما أقدم عليه المشتري ولوحظ في المبيع ثبت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توقّف على مضيّ زمان يتضرر بسببه المشتري لفوات المنفعة عليه تخيّر بين الفسخ والإمضاء ، ومع إمضائه يجب على الآخر طمّ الحفر وتسوية الأرض على الوجه الّذي كان حال البيع وأقدم المشتري عليه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الحال في الصورة</w:t>
      </w:r>
      <w:r>
        <w:rPr>
          <w:rFonts w:eastAsia="Amiri" w:cs="Amiri" w:ascii="Amiri" w:hAnsi="Amiri"/>
          <w:color w:val="111111"/>
          <w:sz w:val="28"/>
          <w:szCs w:val="28"/>
          <w:rtl w:val="true"/>
          <w:lang w:bidi="ar-SA"/>
        </w:rPr>
        <w:t xml:space="preserve">. </w:t>
      </w:r>
      <w:bookmarkStart w:id="233" w:name="pg15853_153647"/>
    </w:p>
    <w:p>
      <w:pPr>
        <w:pStyle w:val="BookText"/>
        <w:rPr/>
      </w:pPr>
      <w:bookmarkEnd w:id="233"/>
      <w:r>
        <w:rPr>
          <w:rFonts w:ascii="Amiri" w:hAnsi="Amiri" w:eastAsia="Amiri" w:cs="Amiri"/>
          <w:color w:val="111111"/>
          <w:sz w:val="28"/>
          <w:sz w:val="28"/>
          <w:szCs w:val="28"/>
          <w:rtl w:val="true"/>
          <w:lang w:bidi="ar-SA"/>
        </w:rPr>
        <w:t>وهل له حينئذ مطالبة أجرة الأرض في زمان التحويل إذا لم يتأخر تحويله عن القدر اللازم؟ فيه وجهان ، أظهرهما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اختيار العدم ، وكأنّه لرضاه به حيث أجاز البيع فكان بمنزلة ما لو علمه قبل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ظهور الفرق بين الوجهين ؛ لإقدامه هناك على العقد بالوجه المذكور ، وهنا قد أقدم عليه من دون ذلك ، فينتقل إليه المنفعة بوقوع العقد على العين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إنّ مقتضى إطلاق العقد انتقال المنفعة إلى المشتري بانتقال العين ، وحيث إنّه استوفاها المشتري بوضع ماله فيها كان عليه عوضها ، وعدم إمكان التفريغ في أقل من تلك المدّة لا يقضي بعدم استحقاق الأجرة عليه مع كون المنفعة المستوفاة ملكا لغيره بمقتضى البقية ، ولا يجري ذلك فيما إذا علم به قبل البيع لإقدامه على انتقال العين إليه على الوجه </w:t>
      </w:r>
      <w:r>
        <w:rPr>
          <w:rStyle w:val="FootnoteAnchor"/>
          <w:rtl w:val="true"/>
        </w:rPr>
        <w:footnoteReference w:id="1968"/>
      </w:r>
      <w:r>
        <w:rPr>
          <w:rFonts w:ascii="Amiri" w:hAnsi="Amiri" w:eastAsia="Amiri" w:cs="Amiri"/>
          <w:color w:val="111111"/>
          <w:sz w:val="28"/>
          <w:sz w:val="28"/>
          <w:szCs w:val="28"/>
          <w:rtl w:val="true"/>
          <w:lang w:bidi="ar-SA"/>
        </w:rPr>
        <w:t xml:space="preserve">المذكور ، وليس إمضاء المعاملة حينئذ منزلا في ذلك منزلة العقد ؛ لانتقال العين إليه بنفس العقد </w:t>
      </w:r>
      <w:r>
        <w:rPr>
          <w:rStyle w:val="FootnoteAnchor"/>
          <w:rtl w:val="true"/>
        </w:rPr>
        <w:footnoteReference w:id="1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اندفع عنه الضرر حينئذ باستحقاق الأجرة ففي سقوط الخيار به مع دفعها إليه وجهان ، أظهرهما العدم</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4587203_2142443653"/>
      <w:bookmarkStart w:id="235" w:name="_Toc84"/>
      <w:bookmarkEnd w:id="234"/>
      <w:r>
        <w:rPr>
          <w:rtl w:val="true"/>
        </w:rPr>
        <w:t xml:space="preserve">[ </w:t>
      </w:r>
      <w:r>
        <w:rPr>
          <w:rtl w:val="true"/>
        </w:rPr>
        <w:t xml:space="preserve">فروع </w:t>
      </w:r>
      <w:r>
        <w:rPr>
          <w:rtl w:val="true"/>
        </w:rPr>
        <w:t>]</w:t>
      </w:r>
      <w:bookmarkEnd w:id="235"/>
    </w:p>
    <w:p>
      <w:pPr>
        <w:pStyle w:val="BookText"/>
        <w:rPr/>
      </w:pPr>
      <w:r>
        <w:rPr>
          <w:rFonts w:ascii="Amiri" w:hAnsi="Amiri" w:eastAsia="Amiri" w:cs="Amiri"/>
          <w:color w:val="111111"/>
          <w:sz w:val="28"/>
          <w:sz w:val="28"/>
          <w:szCs w:val="28"/>
          <w:rtl w:val="true"/>
          <w:lang w:bidi="ar-SA"/>
        </w:rPr>
        <w:t xml:space="preserve">ثمّ إنّ هنا فروعا لا بأس بالاشارة إلى جملة منها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ذلك الأمر المودع في الأرض إمّا أن يكون مضرّا بالأرض من الجهة المقصودة منها من زرع أو غرس أو بناء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إمّا أن تكون تلك الأرض مزروعة أو مغروسة أو مبنيّة حين البيع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فإمّا أن تكون مزروعة أو مغروسة أو مبنيّة بعد ذلك أو لا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الأوّل فإمّا أن يكون زرعها أو غرسها أو بناؤها بعد العلم بذلك أو قبله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التقادير فإمّا أن يكون إخراجه مضرّا بالأرض أو بأحد المذكورات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الزرع أو الغرس أو البناء الحاصل في الأرض إمّا مملوك للبائع أو المشتري أو غيرهما ، فإن لم يكن بقاؤه ولا إخراجه مضرا بالأرض ولا بما حصل فيه فلا إشكال في تسلّط المشتري على إخراجه وإلزام البائع به ، ولا في تسليط البائع على أخذه وإن رضي المشتري بابقائه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بقاؤه مضرا بالأرض دون إخراجه فسلطان المشتري على البائع أظهر ، ولا إشكال في سلطان البائع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المشتري عالما بالحال فالظاهر عدم ثبوت الأرش عليه في بقائه هناك بمقدار لا يتحقق الإخراج عادة فيما دونه وإن تضرّر به ؛ نظرا إلى إقدامه عليه حسبما مرّت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جاهلا فإن أمكن إخراجه على وجه لا يتضرّر به المشتري فلا خيار له ، وإلّا ثبت له الخيار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عدم فسخه له الأرش على البائع على حسب النقص الحاصل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تهاون البائع في إخراجه كان للمشتري اخراجه عن ملكه ، ولا يبعد رجوعه على البائع بمئونة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أمكن الرجوع إلى الحاكم في ذلك فالأحوط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إخراجه مضرّا بالأرض دون بقائه وأراد المشتري نقله كان له ذلك ، ولا أرش عليه مع علم المشتري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جهله فإن رضي البائع ببقائه فهل يتخير المشتري في الفسخ؟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ما في التحرير عدم الخيار ، ولا يخلو عن تأمّل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سلطان المشتري على إلزام البائع بالتفريع ، ولا يجب عليه القبول لو تركه البائع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وهل له حينئذ مطالبة بالأرش؟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للبائع سلطان على نقله مطلقا سيّما مع جهله بالحال أو ليس له ذلك مطلقا ؛ لتضرّر المشتري به أو تفصيل </w:t>
      </w:r>
      <w:r>
        <w:rPr>
          <w:rStyle w:val="FootnoteAnchor"/>
          <w:rtl w:val="true"/>
        </w:rPr>
        <w:footnoteReference w:id="1971"/>
      </w:r>
      <w:r>
        <w:rPr>
          <w:rFonts w:ascii="Amiri" w:hAnsi="Amiri" w:eastAsia="Amiri" w:cs="Amiri"/>
          <w:color w:val="111111"/>
          <w:sz w:val="28"/>
          <w:sz w:val="28"/>
          <w:szCs w:val="28"/>
          <w:rtl w:val="true"/>
          <w:lang w:bidi="ar-SA"/>
        </w:rPr>
        <w:t>بملاحظة الضرر الوارد عليهما ، فله ذلك مع كون الضرر الوارد عليه من جهة الترك أعظم ومع المساواة يقدّم جانب البائع مطلقا أو مع جهله؟ وجوه ، أظهرها سلطانه على النقل مع وجوب أرش الضرر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إخراجه مضرا بما في الأرض من الزرع أو الغرس أو البناء أو قاضيا بإتلافه من دون لحوق ضرر بالأرض فإن كان ذلك للبائع كان له السلطان على النقل ، وكذا لو كان لثالث ورضي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ملكا للمشتري أو لثالث ولم يرض بورود الضرر عليه فهل للبائع السلطان على النقل؟ فيه تأمّل سيّما إذا أفضى بتخريب البناء أو إتلاف الزرع أو الغرس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الضرر الوارد في المقام زائدا على قيمة تلك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مالك البناء أو الغرس </w:t>
      </w:r>
      <w:r>
        <w:rPr>
          <w:rFonts w:eastAsia="Amiri" w:cs="Amiri" w:ascii="Amiri" w:hAnsi="Amiri"/>
          <w:color w:val="111111"/>
          <w:sz w:val="28"/>
          <w:szCs w:val="28"/>
          <w:rtl w:val="true"/>
          <w:lang w:bidi="ar-SA"/>
        </w:rPr>
        <w:t xml:space="preserve">) </w:t>
      </w:r>
      <w:r>
        <w:rPr>
          <w:rStyle w:val="FootnoteAnchor"/>
          <w:rtl w:val="true"/>
        </w:rPr>
        <w:footnoteReference w:id="1972"/>
      </w:r>
      <w:r>
        <w:rPr>
          <w:rFonts w:ascii="Amiri" w:hAnsi="Amiri" w:eastAsia="Amiri" w:cs="Amiri"/>
          <w:color w:val="111111"/>
          <w:sz w:val="28"/>
          <w:sz w:val="28"/>
          <w:szCs w:val="28"/>
          <w:rtl w:val="true"/>
          <w:lang w:bidi="ar-SA"/>
        </w:rPr>
        <w:t>مثلا مستحقا لتبقيته في الأرض ، وأمّا مع عدمه فلا إشكال في جواز النقل وإن أدّى إلى إتلاف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لو رفع </w:t>
      </w:r>
      <w:r>
        <w:rPr>
          <w:rStyle w:val="FootnoteAnchor"/>
          <w:rtl w:val="true"/>
        </w:rPr>
        <w:footnoteReference w:id="1973"/>
      </w:r>
      <w:r>
        <w:rPr>
          <w:rFonts w:ascii="Amiri" w:hAnsi="Amiri" w:eastAsia="Amiri" w:cs="Amiri"/>
          <w:color w:val="111111"/>
          <w:sz w:val="28"/>
          <w:sz w:val="28"/>
          <w:szCs w:val="28"/>
          <w:rtl w:val="true"/>
          <w:lang w:bidi="ar-SA"/>
        </w:rPr>
        <w:t>المالك بناء البيت مثلا عليه مع علمه باستحقاق الغير له ، وأمّا مع جهله بالحال فالإشكال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ذلك ملكا للمشتري كان له إخراج ما في ملكه من الأعيان المفروضة من غير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له الرجوع إلى مالكه بالمئونة مع امتناعه عن الإخراج؟ وجهان ، أظهرهما ذلك إن قلنا بوجوب الإخراج عليه حينئذ ، وإن لم نقل بوجوبه قبل مطالبة المشتري به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مطالبة البائع حينئذ بالأرش؟ الظاهر لا ، فإنّ الضرر اللاحق له إنّما أتى من </w:t>
      </w:r>
    </w:p>
    <w:p>
      <w:pPr>
        <w:pStyle w:val="BookText"/>
        <w:rPr/>
      </w:pPr>
      <w:r>
        <w:rPr>
          <w:rFonts w:ascii="Amiri" w:hAnsi="Amiri" w:eastAsia="Amiri" w:cs="Amiri"/>
          <w:color w:val="111111"/>
          <w:sz w:val="28"/>
          <w:sz w:val="28"/>
          <w:szCs w:val="28"/>
          <w:rtl w:val="true"/>
          <w:lang w:bidi="ar-SA"/>
        </w:rPr>
        <w:t>جهته دون البائع سيّما إذا كان البائع جاهلا بالانتقال ، وتحمل القول بالرجوع نظرا إلى انتقال ملكه بمال البائع فعليه التفريغ ، ويتبعه استحقاق أرش النقصان اللاحق لماله من جهة تفريغه ، ولو كان البناء أو الغرس لثالث فالظاهر عدم سلطان المشتري على الإخراج مع تضرّر المالك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للبائع أمكن القول بإلزامه به مع علمه بالحلال وأمّا مع جهله ففيه ما سبق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قرّرنا يمكن استنباط الحال في سائر الفروض المذكورة فلا نطيل الكلام ببيانها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باع أرضا فظهر فيها معدن كان للمشتري ، فإنّه من لواحق الأرض كالصخور المخلوقة فيها ، وحينئذ فإن كان البائع قد ملكها بالإحياء تخيّر بين الفسخ والإمضاء على ما قطع به في التحرير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ملكها بالشراء ذكر فيه 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الخيار لكون الحق للبائع الأوّل ، وثبوته نظرا إلى انتقاله إليه ، وكون الحق له بالفعل وإن كان للآخر مطالبته بعد علمه بالحال كما لو اشترى معيبا ثمّ باعه ولم يعلم بعيبه ، فإنّه يستحقّ الأرش وإن كان قد باعه بقيمة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الأظهر ؛ لخروجه على خلاف الوصف المشاهد أو الموصوف من جهة ظهور المعدن فيه سيّما إذا كان مغبونا بالنظر إلى حصول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ثبت الخيار للبائع الأوّل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ظهر في الأرض كنز ونحوه لم يدخل في المبيع وكان باقيا على حاله كالحجار والصخور المدفونة فيه المعدّ للنقل ، ثم لو باعه فيه </w:t>
      </w:r>
      <w:r>
        <w:rPr>
          <w:rStyle w:val="FootnoteAnchor"/>
          <w:rtl w:val="true"/>
        </w:rPr>
        <w:footnoteReference w:id="1975"/>
      </w:r>
      <w:r>
        <w:rPr>
          <w:rFonts w:ascii="Amiri" w:hAnsi="Amiri" w:eastAsia="Amiri" w:cs="Amiri"/>
          <w:color w:val="111111"/>
          <w:sz w:val="28"/>
          <w:sz w:val="28"/>
          <w:szCs w:val="28"/>
          <w:rtl w:val="true"/>
          <w:lang w:bidi="ar-SA"/>
        </w:rPr>
        <w:t>بجميع ما فيه على أن يكون ما فيه تابعا للمبيع في الانتقال حتى لا يضرّ الجهالة به على ما مرّ الكلام فيه تبعه ذلك في الانتقال لو كان ملكا للبائع</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يدخل البناء والغرس في بيع الأرض بلا خلاف يعرف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لو غرس الأرض وباعها قبل أن يرسخ عروقه قال الشيخ </w:t>
      </w:r>
      <w:r>
        <w:rPr>
          <w:rStyle w:val="FootnoteAnchor"/>
          <w:rtl w:val="true"/>
        </w:rPr>
        <w:footnoteReference w:id="1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يدخل الغرس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باعها بحقوقها لم يندرج أيضا ؛ إذ ليس البناء والغرس من حقوق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أيضا دخولهما حينئذ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عن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قامت هناك قرينة على إرادة ذلك فلا كلام ، وكذا لو ثبت فيه عرف خاص عند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أغلق عليه بابها ، ففي التحرير </w:t>
      </w:r>
      <w:r>
        <w:rPr>
          <w:rStyle w:val="FootnoteAnchor"/>
          <w:rtl w:val="true"/>
        </w:rPr>
        <w:footnoteReference w:id="1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يدخل فيه 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متّجه وإن لم يكن له باب لكونه كناية عن جميع ما فيها حسبما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فيها زرع لم يندرج في المبيع أيضا ولو كان بذرا قبل اخضراره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رحمه‌اللّه اندراج البذر في المبيع ، وقال فيما يجذّ مرات كالقب والنعناع </w:t>
      </w:r>
      <w:r>
        <w:rPr>
          <w:rStyle w:val="FootnoteAnchor"/>
          <w:rtl w:val="true"/>
        </w:rPr>
        <w:footnoteReference w:id="1978"/>
      </w:r>
      <w:r>
        <w:rPr>
          <w:rFonts w:ascii="Amiri" w:hAnsi="Amiri" w:eastAsia="Amiri" w:cs="Amiri"/>
          <w:color w:val="111111"/>
          <w:sz w:val="28"/>
          <w:sz w:val="28"/>
          <w:szCs w:val="28"/>
          <w:rtl w:val="true"/>
          <w:lang w:bidi="ar-SA"/>
        </w:rPr>
        <w:t>انّه إن كان مجذوذا دخل الأصول في المبيع ، فتكون الجذّة الآتية للمشتري وإن لم يكن مجذوذا فالجذّة الأولى للبائع والباقي للمشتري</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يقتضيه ظاهر العرف في جميع ذلك الخروج عن المبيع إلّا أن يكون هناك شرط أو عرف خاصّ في المقام يقتضي ذلك حينئذ </w:t>
      </w:r>
      <w:r>
        <w:rPr>
          <w:rStyle w:val="FootnoteAnchor"/>
          <w:rtl w:val="true"/>
        </w:rPr>
        <w:footnoteReference w:id="1979"/>
      </w:r>
      <w:r>
        <w:rPr>
          <w:rFonts w:ascii="Amiri" w:hAnsi="Amiri" w:eastAsia="Amiri" w:cs="Amiri"/>
          <w:color w:val="111111"/>
          <w:sz w:val="28"/>
          <w:sz w:val="28"/>
          <w:szCs w:val="28"/>
          <w:rtl w:val="true"/>
          <w:lang w:bidi="ar-SA"/>
        </w:rPr>
        <w:t>، فإن كان المشتري عالما باشتغاله لم يكن قلعه إلّا مع الشرط لما فيه من إضرار البائع ، وليس له مطالبة الأجرة على الإبقاء أيضا كما نصّ عليه في التحرير وغيره فإن ذلك قضيّة تملك الزرع مع الإطلاق كما هو الحال فيما لو باعه الزرع وأطلق ، فكذا لو بقي على ملك المالك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خيار له أيضا ؛ لإقدامه عليه عالما بالحال ، ولو كان جاهلا به بأنّ اشتراه بالوصف من دون أن تبيّن له ذلك </w:t>
      </w:r>
      <w:r>
        <w:rPr>
          <w:rStyle w:val="FootnoteAnchor"/>
          <w:rtl w:val="true"/>
        </w:rPr>
        <w:footnoteReference w:id="1980"/>
      </w:r>
      <w:r>
        <w:rPr>
          <w:rFonts w:ascii="Amiri" w:hAnsi="Amiri" w:eastAsia="Amiri" w:cs="Amiri"/>
          <w:color w:val="111111"/>
          <w:sz w:val="28"/>
          <w:sz w:val="28"/>
          <w:szCs w:val="28"/>
          <w:rtl w:val="true"/>
          <w:lang w:bidi="ar-SA"/>
        </w:rPr>
        <w:t xml:space="preserve">بالرؤية القديمة حال خلوها من </w:t>
      </w:r>
      <w:r>
        <w:rPr>
          <w:rStyle w:val="FootnoteAnchor"/>
          <w:rtl w:val="true"/>
        </w:rPr>
        <w:footnoteReference w:id="1981"/>
      </w:r>
      <w:r>
        <w:rPr>
          <w:rFonts w:ascii="Amiri" w:hAnsi="Amiri" w:eastAsia="Amiri" w:cs="Amiri"/>
          <w:color w:val="111111"/>
          <w:sz w:val="28"/>
          <w:sz w:val="28"/>
          <w:szCs w:val="28"/>
          <w:rtl w:val="true"/>
          <w:lang w:bidi="ar-SA"/>
        </w:rPr>
        <w:t xml:space="preserve">ذلك ثبت له الخيار في فسخ العقد ؛ إذ لا سلطان له على قلع العين أيضا ؛ لما مرّ في الصورة الأولى ، وإبقاؤه فيه من دون أجرة ضرر عليه ، فينجبر </w:t>
      </w:r>
      <w:r>
        <w:rPr>
          <w:rStyle w:val="FootnoteAnchor"/>
          <w:rtl w:val="true"/>
        </w:rPr>
        <w:footnoteReference w:id="1982"/>
      </w:r>
      <w:r>
        <w:rPr>
          <w:rFonts w:ascii="Amiri" w:hAnsi="Amiri" w:eastAsia="Amiri" w:cs="Amiri"/>
          <w:color w:val="111111"/>
          <w:sz w:val="28"/>
          <w:sz w:val="28"/>
          <w:szCs w:val="28"/>
          <w:rtl w:val="true"/>
          <w:lang w:bidi="ar-SA"/>
        </w:rPr>
        <w:t xml:space="preserve">ذلك بالخيار بحمل </w:t>
      </w:r>
      <w:r>
        <w:rPr>
          <w:rStyle w:val="FootnoteAnchor"/>
          <w:rtl w:val="true"/>
        </w:rPr>
        <w:footnoteReference w:id="1983"/>
      </w:r>
      <w:r>
        <w:rPr>
          <w:rFonts w:ascii="Amiri" w:hAnsi="Amiri" w:eastAsia="Amiri" w:cs="Amiri"/>
          <w:color w:val="111111"/>
          <w:sz w:val="28"/>
          <w:sz w:val="28"/>
          <w:szCs w:val="28"/>
          <w:rtl w:val="true"/>
          <w:lang w:bidi="ar-SA"/>
        </w:rPr>
        <w:t>القول بتسليطه حينئذ على القلع ؛ لإقدام البائع على تسليطه على العين مع علمه بالحال ، بل وكذا مع جهله بها ؛ نظرا إلى وجوب التفريع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إلّا أنّه ينجبر ذلك بانجباره أيضا صورة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يخلو ذلك عن وجه ؛ نظرا إلى ظاهر الأصل إلّا أنّي لم أجد من أفتى بمقتضاه ، ومع </w:t>
      </w:r>
      <w:r>
        <w:rPr>
          <w:rStyle w:val="FootnoteAnchor"/>
          <w:rtl w:val="true"/>
        </w:rPr>
        <w:footnoteReference w:id="1984"/>
      </w:r>
      <w:r>
        <w:rPr>
          <w:rFonts w:ascii="Amiri" w:hAnsi="Amiri" w:eastAsia="Amiri" w:cs="Amiri"/>
          <w:color w:val="111111"/>
          <w:sz w:val="28"/>
          <w:sz w:val="28"/>
          <w:szCs w:val="28"/>
          <w:rtl w:val="true"/>
          <w:lang w:bidi="ar-SA"/>
        </w:rPr>
        <w:t>البناء عليه له مطالبته بأجرة الأرض لو رضي ببقائه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فلا سلطان له حينئذ على أخذ الأرش ؛ لعدم اندراج ذلك في العيب ودفع البائع إيّاه لا يسقط خياره كما هو الحال في نظائره من موارد الخيار ، فإن ذلك عطاء مستقلّ ، ولا يجب عليه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رضي المشتري بإسقاط الخيار عند بذل العوض كان ذلك من قبيل الصلح على إسقاط الخيار ، وكان ذلك معاملة جديدة لا مانع منها بعد تراضيهما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تركه البائع له احتمل في التذكرة </w:t>
      </w:r>
      <w:r>
        <w:rPr>
          <w:rStyle w:val="FootnoteAnchor"/>
          <w:rtl w:val="true"/>
        </w:rPr>
        <w:footnoteReference w:id="1985"/>
      </w:r>
      <w:r>
        <w:rPr>
          <w:rFonts w:ascii="Amiri" w:hAnsi="Amiri" w:eastAsia="Amiri" w:cs="Amiri"/>
          <w:color w:val="111111"/>
          <w:sz w:val="28"/>
          <w:sz w:val="28"/>
          <w:szCs w:val="28"/>
          <w:rtl w:val="true"/>
          <w:lang w:bidi="ar-SA"/>
        </w:rPr>
        <w:t xml:space="preserve">سقوط الخيار به حاكيا له عن الشافعي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فيه إشكال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ورجّحه بعض محقّقي المتأخرين مع ارتفاع الضرر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استشكل العلّامة في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أنّ مجرّد تركه </w:t>
      </w:r>
      <w:r>
        <w:rPr>
          <w:rStyle w:val="FootnoteAnchor"/>
          <w:rtl w:val="true"/>
        </w:rPr>
        <w:footnoteReference w:id="1986"/>
      </w:r>
      <w:r>
        <w:rPr>
          <w:rFonts w:ascii="Amiri" w:hAnsi="Amiri" w:eastAsia="Amiri" w:cs="Amiri"/>
          <w:color w:val="111111"/>
          <w:sz w:val="28"/>
          <w:sz w:val="28"/>
          <w:szCs w:val="28"/>
          <w:rtl w:val="true"/>
          <w:lang w:bidi="ar-SA"/>
        </w:rPr>
        <w:t>لا يقتضي بسقوط خياره وإن ارتفع الضرر به ؛ لعدم وجوب القبول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قطع النظر عنه وبنى عليه تفريغه وقلعه من دون أن يلحق المشتري ضرر بتفريغه سقط به خياره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جميع ما ذكرناه في صورة اشتغالها بالغرس أو البناء إلّا أن القول باستحقاقه أجرة الأرض من جهة اشتغالها بذلك في غاية القوة ولو كان عالما 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تأييد للحال لما ذكر احتملناه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 ويندرج فيه أصلها وأغصانها الرطبة واليابسة وعروقها كذلك ، وكذا أوراقها وإن كان الورق هو المقصود منها كورق التوت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 حينئذ نظير الثمرة لا يقضي بإلحاقها بها في الخروج مع اندراجه في الاسم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وتأمّل بعض محقّقي المتأخرين فيه ليس في محلّ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دخول الورد الحاصل في الشجر سيّما إذا كان المطلوب منه هو الورد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نصّ بعضهم بعدم الدخول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ينضج عنده </w:t>
      </w:r>
      <w:r>
        <w:rPr>
          <w:rStyle w:val="FootnoteAnchor"/>
          <w:rtl w:val="true"/>
        </w:rPr>
        <w:footnoteReference w:id="1987"/>
      </w:r>
      <w:r>
        <w:rPr>
          <w:rFonts w:ascii="Amiri" w:hAnsi="Amiri" w:eastAsia="Amiri" w:cs="Amiri"/>
          <w:color w:val="111111"/>
          <w:sz w:val="28"/>
          <w:sz w:val="28"/>
          <w:szCs w:val="28"/>
          <w:rtl w:val="true"/>
          <w:lang w:bidi="ar-SA"/>
        </w:rPr>
        <w:t xml:space="preserve">وعن الشيخ القول بالدخول حينئذ ولا يبعد القول بخروجه عن مسمّى الشجر لغة فإن لم يكن هناك شاهد عرفي على التبعيّة </w:t>
      </w:r>
      <w:r>
        <w:rPr>
          <w:rStyle w:val="FootnoteAnchor"/>
          <w:rtl w:val="true"/>
        </w:rPr>
        <w:footnoteReference w:id="1988"/>
      </w:r>
      <w:r>
        <w:rPr>
          <w:rFonts w:ascii="IRNazanin" w:hAnsi="IRNazanin" w:eastAsia="IRNazanin"/>
          <w:color w:val="111111"/>
          <w:sz w:val="28"/>
          <w:sz w:val="28"/>
          <w:szCs w:val="28"/>
          <w:rtl w:val="true"/>
          <w:lang w:bidi="fa-IR"/>
        </w:rPr>
        <w:t>فالأظهر الخروج</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الثمرة ونحوها فهي غير داخلة في الشجر من غير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ينتفي الخلاف عنه إلّا أنّه حكي عن الشيخ </w:t>
      </w:r>
      <w:r>
        <w:rPr>
          <w:rStyle w:val="FootnoteAnchor"/>
          <w:rtl w:val="true"/>
        </w:rPr>
        <w:footnoteReference w:id="1989"/>
      </w:r>
      <w:r>
        <w:rPr>
          <w:rFonts w:ascii="Amiri" w:hAnsi="Amiri" w:eastAsia="Amiri" w:cs="Amiri"/>
          <w:color w:val="111111"/>
          <w:sz w:val="28"/>
          <w:sz w:val="28"/>
          <w:szCs w:val="28"/>
          <w:rtl w:val="true"/>
          <w:lang w:bidi="ar-SA"/>
        </w:rPr>
        <w:t xml:space="preserve">والقاضي </w:t>
      </w:r>
      <w:r>
        <w:rPr>
          <w:rStyle w:val="FootnoteAnchor"/>
          <w:rtl w:val="true"/>
        </w:rPr>
        <w:footnoteReference w:id="1990"/>
      </w:r>
      <w:r>
        <w:rPr>
          <w:rFonts w:ascii="Amiri" w:hAnsi="Amiri" w:eastAsia="Amiri" w:cs="Amiri"/>
          <w:color w:val="111111"/>
          <w:sz w:val="28"/>
          <w:sz w:val="28"/>
          <w:szCs w:val="28"/>
          <w:rtl w:val="true"/>
          <w:lang w:bidi="ar-SA"/>
        </w:rPr>
        <w:t>اندراج نحو القطن بعد خروج جوزته وقبل الشقق في بيع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كذلك مع مساعدة العرف أو المقام ، وأمّا من دونهما فالظاهر عدم الاندراج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ظاهر فيما إذا كانت الثمرة ظاهرة بعد تناثر الورد ، ولو كانت في الورد مع تفتحه وظهوره فالظاهر أيضا ذلك ، ولو كان قبل تفتح النور وظهور الثمرة في جريان الحكم المذكور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فيه في التحرير </w:t>
      </w:r>
      <w:r>
        <w:rPr>
          <w:rStyle w:val="FootnoteAnchor"/>
          <w:rtl w:val="true"/>
        </w:rPr>
        <w:footnoteReference w:id="1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قيل بخروج الورد حينئذ فالظاهر عدم الإشكال في خروج الثمرة الحاصلة فيه ، وإلّا فالإشكال فيه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غير ثمر النخل ، وأمّا في النخل فإن كانت مؤبرة لم يندرج في بيعها ، بل هو باق على ملك البائع على المعروف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التذكرة </w:t>
      </w:r>
      <w:r>
        <w:rPr>
          <w:rStyle w:val="FootnoteAnchor"/>
          <w:rtl w:val="true"/>
        </w:rPr>
        <w:footnoteReference w:id="1992"/>
      </w:r>
      <w:r>
        <w:rPr>
          <w:rFonts w:ascii="Amiri" w:hAnsi="Amiri" w:eastAsia="Amiri" w:cs="Amiri"/>
          <w:color w:val="111111"/>
          <w:sz w:val="28"/>
          <w:sz w:val="28"/>
          <w:szCs w:val="28"/>
          <w:rtl w:val="true"/>
          <w:lang w:bidi="ar-SA"/>
        </w:rPr>
        <w:t>حكاية الإجماع عليه ؛ لما عرفت من الأصل نظرا إلى خروج الثمرة عن مفهوم الشجرة نخلا كانت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والنصوص المستفيضة المعتضدة بعمل الأصحاب والإجماع المنقول منها 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باع نخلا قد أبر فتمرته </w:t>
      </w:r>
      <w:r>
        <w:rPr>
          <w:rStyle w:val="FootnoteAnchor"/>
          <w:rtl w:val="true"/>
        </w:rPr>
        <w:footnoteReference w:id="1993"/>
      </w:r>
      <w:r>
        <w:rPr>
          <w:rFonts w:ascii="Amiri" w:hAnsi="Amiri" w:eastAsia="Amiri" w:cs="Amiri"/>
          <w:color w:val="111111"/>
          <w:sz w:val="28"/>
          <w:sz w:val="28"/>
          <w:szCs w:val="28"/>
          <w:rtl w:val="true"/>
          <w:lang w:bidi="ar-SA"/>
        </w:rPr>
        <w:t xml:space="preserve">للبائع إلّا أن يشترط المبتاع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وصّى </w:t>
      </w:r>
      <w:r>
        <w:rPr>
          <w:rStyle w:val="FootnoteAnchor"/>
          <w:rtl w:val="true"/>
        </w:rPr>
        <w:footnoteReference w:id="1994"/>
      </w:r>
      <w:r>
        <w:rPr>
          <w:rFonts w:ascii="Amiri" w:hAnsi="Amiri" w:eastAsia="Amiri" w:cs="Amiri"/>
          <w:color w:val="111111"/>
          <w:sz w:val="28"/>
          <w:sz w:val="28"/>
          <w:szCs w:val="28"/>
          <w:rtl w:val="true"/>
          <w:lang w:bidi="ar-SA"/>
        </w:rPr>
        <w:t xml:space="preserve">به رسول اللّه صلى‌اللّه‌عليه‌وآله </w:t>
      </w:r>
      <w:r>
        <w:rPr>
          <w:rFonts w:eastAsia="Amiri" w:cs="Amiri" w:ascii="Amiri" w:hAnsi="Amiri"/>
          <w:color w:val="111111"/>
          <w:sz w:val="28"/>
          <w:szCs w:val="28"/>
          <w:rtl w:val="true"/>
          <w:lang w:bidi="ar-SA"/>
        </w:rPr>
        <w:t xml:space="preserve">»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باع نخلا قد لقح فالثمرة للبائع إلّا أن يشترط المبتاع </w:t>
      </w:r>
      <w:r>
        <w:rPr>
          <w:rFonts w:eastAsia="Amiri" w:cs="Amiri" w:ascii="Amiri" w:hAnsi="Amiri"/>
          <w:color w:val="111111"/>
          <w:sz w:val="28"/>
          <w:szCs w:val="28"/>
          <w:rtl w:val="true"/>
          <w:lang w:bidi="ar-SA"/>
        </w:rPr>
        <w:t xml:space="preserve">» </w:t>
      </w:r>
      <w:r>
        <w:rPr>
          <w:rStyle w:val="FootnoteAnchor"/>
          <w:rtl w:val="true"/>
        </w:rPr>
        <w:footnoteReference w:id="1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أقضى به رسول اللّه صلى‌اللّه‌عليه‌وآله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رسول اللّه صلى‌اللّه‌عليه‌وآله أنّ ثمر النخل للذي أبرها إلا أن يشترط المبتاع </w:t>
      </w:r>
      <w:r>
        <w:rPr>
          <w:rFonts w:eastAsia="Amiri" w:cs="Amiri" w:ascii="Amiri" w:hAnsi="Amiri"/>
          <w:color w:val="111111"/>
          <w:sz w:val="28"/>
          <w:szCs w:val="28"/>
          <w:rtl w:val="true"/>
          <w:lang w:bidi="ar-SA"/>
        </w:rPr>
        <w:t xml:space="preserve">» )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خالف في ذلك الطوسي </w:t>
      </w:r>
      <w:r>
        <w:rPr>
          <w:rStyle w:val="FootnoteAnchor"/>
          <w:rtl w:val="true"/>
        </w:rPr>
        <w:footnoteReference w:id="1998"/>
      </w:r>
      <w:r>
        <w:rPr>
          <w:rFonts w:ascii="Amiri" w:hAnsi="Amiri" w:eastAsia="Amiri" w:cs="Amiri"/>
          <w:color w:val="111111"/>
          <w:sz w:val="28"/>
          <w:sz w:val="28"/>
          <w:szCs w:val="28"/>
          <w:rtl w:val="true"/>
          <w:lang w:bidi="ar-SA"/>
        </w:rPr>
        <w:t>، ففصّل بين ما إذا كان البيع بعد بدوّ صلاح الثمرة وقبله ، فعلى الأوّل يكون للبائع ، وعلى الثاني للمشتري إلّا أن يشترط للآخر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نقف له على 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يحتجّ له بكونها قبل بدوّ الصلاح بمنزلة جزء الشجرة ، ولا يعد شيئا آخر بخلاف ما إذا كان بعد البدو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تكن مؤبرة اندرجت في المبيع وكان للمشتري ، على المعروف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والمخالف هنا أيضا هو القاضي </w:t>
      </w:r>
      <w:r>
        <w:rPr>
          <w:rStyle w:val="FootnoteAnchor"/>
          <w:rtl w:val="true"/>
        </w:rPr>
        <w:footnoteReference w:id="1999"/>
      </w:r>
      <w:r>
        <w:rPr>
          <w:rFonts w:ascii="Amiri" w:hAnsi="Amiri" w:eastAsia="Amiri" w:cs="Amiri"/>
          <w:color w:val="111111"/>
          <w:sz w:val="28"/>
          <w:sz w:val="28"/>
          <w:szCs w:val="28"/>
          <w:rtl w:val="true"/>
          <w:lang w:bidi="ar-SA"/>
        </w:rPr>
        <w:t>في ظاهر كلامه حيث جعل المناط بدوّ الصلاح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الحكم المذكور مفهوم القيد المأخوذ في المستفيضة المتقدمة المعتضدة بفهم الأصحاب والإجماع على المسألة ، حكاه في التذكرة </w:t>
      </w:r>
      <w:r>
        <w:rPr>
          <w:rStyle w:val="FootnoteAnchor"/>
          <w:rtl w:val="true"/>
        </w:rPr>
        <w:footnoteReference w:id="2000"/>
      </w:r>
      <w:r>
        <w:rPr>
          <w:rFonts w:ascii="IRNazanin" w:hAnsi="IRNazanin" w:eastAsia="IRNazanin"/>
          <w:color w:val="111111"/>
          <w:sz w:val="28"/>
          <w:sz w:val="28"/>
          <w:szCs w:val="28"/>
          <w:rtl w:val="true"/>
          <w:lang w:bidi="fa-IR"/>
        </w:rPr>
        <w:t xml:space="preserve">والمختلف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دعواه من </w:t>
      </w:r>
      <w:r>
        <w:rPr>
          <w:rStyle w:val="FootnoteAnchor"/>
          <w:rtl w:val="true"/>
        </w:rPr>
        <w:footnoteReference w:id="2002"/>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ونفى عنه الخلاف بعض الأجلّة ، فيخرج بذلك عن مقتضى الأصل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خروج الثمرة عن مفهوم الشجرة ، فلا يحكم باندراجها في المبيع من غير قيام دليل عليه ، فظهر بذلك اختصاص الحكم المذكور </w:t>
      </w:r>
      <w:r>
        <w:rPr>
          <w:rFonts w:eastAsia="Amiri" w:cs="Amiri" w:ascii="Amiri" w:hAnsi="Amiri"/>
          <w:color w:val="111111"/>
          <w:sz w:val="28"/>
          <w:szCs w:val="28"/>
          <w:rtl w:val="true"/>
          <w:lang w:bidi="ar-SA"/>
        </w:rPr>
        <w:t xml:space="preserve">) </w:t>
      </w:r>
      <w:r>
        <w:rPr>
          <w:rStyle w:val="FootnoteAnchor"/>
          <w:rtl w:val="true"/>
        </w:rPr>
        <w:footnoteReference w:id="2003"/>
      </w:r>
      <w:r>
        <w:rPr>
          <w:rFonts w:ascii="Amiri" w:hAnsi="Amiri" w:eastAsia="Amiri" w:cs="Amiri"/>
          <w:color w:val="111111"/>
          <w:sz w:val="28"/>
          <w:sz w:val="28"/>
          <w:szCs w:val="28"/>
          <w:rtl w:val="true"/>
          <w:lang w:bidi="ar-SA"/>
        </w:rPr>
        <w:t>بالبيع ، فلا يجري في سائر وجوه الانتقالات من الصلح والهبة المعوضة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وجعله مهرا وعوضا من المنافع في الإجارة ونحوه مضافا إلى ما حكي عن البعض عن </w:t>
      </w:r>
      <w:r>
        <w:rPr>
          <w:rStyle w:val="FootnoteAnchor"/>
          <w:rtl w:val="true"/>
        </w:rPr>
        <w:footnoteReference w:id="2004"/>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خالف فيه الشيخ والقاضي </w:t>
      </w:r>
      <w:r>
        <w:rPr>
          <w:rStyle w:val="FootnoteAnchor"/>
          <w:rtl w:val="true"/>
        </w:rPr>
        <w:footnoteReference w:id="2005"/>
      </w:r>
      <w:r>
        <w:rPr>
          <w:rFonts w:ascii="Amiri" w:hAnsi="Amiri" w:eastAsia="Amiri" w:cs="Amiri"/>
          <w:color w:val="111111"/>
          <w:sz w:val="28"/>
          <w:sz w:val="28"/>
          <w:szCs w:val="28"/>
          <w:rtl w:val="true"/>
          <w:lang w:bidi="ar-SA"/>
        </w:rPr>
        <w:t xml:space="preserve">فضماه إلى الأصل في الجميع ، قال الحلى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الدليل </w:t>
      </w:r>
    </w:p>
    <w:p>
      <w:pPr>
        <w:pStyle w:val="BookText"/>
        <w:rPr/>
      </w:pPr>
      <w:r>
        <w:rPr>
          <w:rFonts w:ascii="Amiri" w:hAnsi="Amiri" w:eastAsia="Amiri" w:cs="Amiri"/>
          <w:color w:val="111111"/>
          <w:sz w:val="28"/>
          <w:sz w:val="28"/>
          <w:szCs w:val="28"/>
          <w:rtl w:val="true"/>
          <w:lang w:bidi="ar-SA"/>
        </w:rPr>
        <w:t>سوى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أبرتها الرياح بعد تشققها من نفسها ففي جريان حكم المؤبّر عليه وجهان ؛ من خروجه عن ظاهر الأخبار المذكورة وقضاء ظاهر التقييد بكونها للمشتري ، ومن </w:t>
      </w:r>
      <w:r>
        <w:rPr>
          <w:rStyle w:val="FootnoteAnchor"/>
          <w:rtl w:val="true"/>
        </w:rPr>
        <w:footnoteReference w:id="2006"/>
      </w:r>
      <w:r>
        <w:rPr>
          <w:rFonts w:ascii="Amiri" w:hAnsi="Amiri" w:eastAsia="Amiri" w:cs="Amiri"/>
          <w:color w:val="111111"/>
          <w:sz w:val="28"/>
          <w:sz w:val="28"/>
          <w:szCs w:val="28"/>
          <w:rtl w:val="true"/>
          <w:lang w:bidi="ar-SA"/>
        </w:rPr>
        <w:t>انّها في معنى التأبير ، فيجري حكم المؤبر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عرفت من الأصل ، فإنّ القدر المتيقّن من غير المؤبر هو ما لم يقع عليه التأبير أصلا ، فلا بدّ من الرجوع في ذلك إلى مقتضى الأصل من كونها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بعض النخيل مؤبرة دون البعض كان لكلّ حكمه سواء كانت من نوع واحد أو أنواع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البعض من شجرة واحدة مؤبرا دون البعض فهل يجري لكلّ حكمه أو يجعل غير المؤبر تابعا للمؤبّر؟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وتنظّر في التحرير </w:t>
      </w:r>
      <w:r>
        <w:rPr>
          <w:rStyle w:val="FootnoteAnchor"/>
          <w:rtl w:val="true"/>
        </w:rPr>
        <w:footnoteReference w:id="2007"/>
      </w:r>
      <w:r>
        <w:rPr>
          <w:rFonts w:ascii="Amiri" w:hAnsi="Amiri" w:eastAsia="Amiri" w:cs="Amiri"/>
          <w:color w:val="111111"/>
          <w:sz w:val="28"/>
          <w:sz w:val="28"/>
          <w:szCs w:val="28"/>
          <w:rtl w:val="true"/>
          <w:lang w:bidi="ar-SA"/>
        </w:rPr>
        <w:t>في الحكم بالتبعية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اشترى في نخلة مطلعة </w:t>
      </w:r>
      <w:r>
        <w:rPr>
          <w:rStyle w:val="FootnoteAnchor"/>
          <w:rtl w:val="true"/>
        </w:rPr>
        <w:footnoteReference w:id="2008"/>
      </w:r>
      <w:r>
        <w:rPr>
          <w:rFonts w:ascii="Amiri" w:hAnsi="Amiri" w:eastAsia="Amiri" w:cs="Amiri"/>
          <w:color w:val="111111"/>
          <w:sz w:val="28"/>
          <w:sz w:val="28"/>
          <w:szCs w:val="28"/>
          <w:rtl w:val="true"/>
          <w:lang w:bidi="ar-SA"/>
        </w:rPr>
        <w:t xml:space="preserve">وكانت مؤبرة ولم يعلم المشتري بتأبيرها ، ثمّ علم به فذهب الشيخ في المبسوط </w:t>
      </w:r>
      <w:r>
        <w:rPr>
          <w:rStyle w:val="FootnoteAnchor"/>
          <w:rtl w:val="true"/>
        </w:rPr>
        <w:footnoteReference w:id="2009"/>
      </w:r>
      <w:r>
        <w:rPr>
          <w:rFonts w:ascii="Amiri" w:hAnsi="Amiri" w:eastAsia="Amiri" w:cs="Amiri"/>
          <w:color w:val="111111"/>
          <w:sz w:val="28"/>
          <w:sz w:val="28"/>
          <w:szCs w:val="28"/>
          <w:rtl w:val="true"/>
          <w:lang w:bidi="ar-SA"/>
        </w:rPr>
        <w:t>إلى ثبوت الخيار له أو الثمرة حينئذ للبائع ويفوت على المشتري ثمر عامه ، فيتخيّر ذلك بخياره في الفسخ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عدم ثبوت الخيار له كما استقر به في المختلف </w:t>
      </w:r>
      <w:r>
        <w:rPr>
          <w:rStyle w:val="FootnoteAnchor"/>
          <w:rtl w:val="true"/>
        </w:rPr>
        <w:footnoteReference w:id="2010"/>
      </w:r>
      <w:r>
        <w:rPr>
          <w:rFonts w:ascii="Amiri" w:hAnsi="Amiri" w:eastAsia="Amiri" w:cs="Amiri"/>
          <w:color w:val="111111"/>
          <w:sz w:val="28"/>
          <w:sz w:val="28"/>
          <w:szCs w:val="28"/>
          <w:rtl w:val="true"/>
          <w:lang w:bidi="ar-SA"/>
        </w:rPr>
        <w:t>؛ إذ المبيع إنّما هو النخلة دون الثمرة ، والمفروض تعلّق البيع به بعد بروز الطلع ، وهو أعم من كونها مؤبرة أو غيرها ، فلا إقدام في المقام على شي‌ء ظهر خلافه لتخيّره بالخيار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إقدامه على أمر دائر بين الوجهين ، فإن كان هناك مانع فإنّما هو من جهة </w:t>
      </w:r>
    </w:p>
    <w:p>
      <w:pPr>
        <w:pStyle w:val="BookText"/>
        <w:rPr/>
      </w:pPr>
      <w:r>
        <w:rPr>
          <w:rFonts w:ascii="Amiri" w:hAnsi="Amiri" w:eastAsia="Amiri" w:cs="Amiri"/>
          <w:color w:val="111111"/>
          <w:sz w:val="28"/>
          <w:sz w:val="28"/>
          <w:szCs w:val="28"/>
          <w:rtl w:val="true"/>
          <w:lang w:bidi="ar-SA"/>
        </w:rPr>
        <w:t>الجهالة ، وهي إن حصلت في المبيع قضت بفساد المعاملة دون الانجبار بالخيار لكن الظاهر عدم قضائها هنا بالفساد ؛ إذ ليست الثمرة حينئذ جزء من المبيع لتكون الجهالة باندراجها فيه وعدمه قاضية بالجهالة في المبيع ، وإنّما هي تابعة للمبيع في حكم الشرع ، والجهالة بالتابع لا تمنع من صحّة العقد حسبما مرّ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اشتراه بشرط أن لا تكون مؤبّرة أو مع وصف عدم التأبير أو بشرط عدم ظهور الطلع كان له الخيار بعد انكشاف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أرش في المقام ، فإنّه إنّما يثبت من جهة العيب ، ولا عيب في الصورة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باعها على أنّها مؤبرة فظهر عدم التأبير فإن كان البائع عالما بالحال ثبت له الخيار ، وإن كان عالما وتعمّد الكذب في الوصف فلا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الثمرة لنفسه فلا فرق بين ظهورها مؤبّرة ، أو غير مؤبّرة ولا بين علمه بالتأبير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شرطها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اشترط التأبير في الثمرة فظهر عدمه ثبت الخيار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ما ذكر من عدم اندراجها في المبيع مع التأبير لو احتاجت إلى السقي لم يكن لمالك الأصل المنع فيه </w:t>
      </w:r>
      <w:r>
        <w:rPr>
          <w:rStyle w:val="FootnoteAnchor"/>
          <w:rtl w:val="true"/>
        </w:rPr>
        <w:footnoteReference w:id="2011"/>
      </w:r>
      <w:r>
        <w:rPr>
          <w:rFonts w:ascii="Amiri" w:hAnsi="Amiri" w:eastAsia="Amiri" w:cs="Amiri"/>
          <w:color w:val="111111"/>
          <w:sz w:val="28"/>
          <w:sz w:val="28"/>
          <w:szCs w:val="28"/>
          <w:rtl w:val="true"/>
          <w:lang w:bidi="ar-SA"/>
        </w:rPr>
        <w:t xml:space="preserve">كما أنه لو احتاجت الأصول إلى السقي </w:t>
      </w:r>
      <w:r>
        <w:rPr>
          <w:rStyle w:val="FootnoteAnchor"/>
          <w:rtl w:val="true"/>
        </w:rPr>
        <w:footnoteReference w:id="2012"/>
      </w:r>
      <w:r>
        <w:rPr>
          <w:rFonts w:ascii="Amiri" w:hAnsi="Amiri" w:eastAsia="Amiri" w:cs="Amiri"/>
          <w:color w:val="111111"/>
          <w:sz w:val="28"/>
          <w:sz w:val="28"/>
          <w:szCs w:val="28"/>
          <w:rtl w:val="true"/>
          <w:lang w:bidi="ar-SA"/>
        </w:rPr>
        <w:t>لم يكن للآخر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سقي الأصول مضرّا بالثمرة وسقي الثمرة مضرّا بالأصول وتعارضا </w:t>
      </w:r>
      <w:r>
        <w:rPr>
          <w:rStyle w:val="FootnoteAnchor"/>
          <w:rtl w:val="true"/>
        </w:rPr>
        <w:footnoteReference w:id="2013"/>
      </w:r>
      <w:r>
        <w:rPr>
          <w:rFonts w:ascii="Amiri" w:hAnsi="Amiri" w:eastAsia="Amiri" w:cs="Amiri"/>
          <w:color w:val="111111"/>
          <w:sz w:val="28"/>
          <w:sz w:val="28"/>
          <w:szCs w:val="28"/>
          <w:rtl w:val="true"/>
          <w:lang w:bidi="ar-SA"/>
        </w:rPr>
        <w:t>في ذلك فإن شرطا أحدهما على الآخر السقي عند حاجته دون الآخر كان متبعا ، ولم يكن للآخر مزاحمته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عدم الاشتراط ففي ثبوت الخيار لمن يرد الضرر عليه أو سلطان طالب السقي على الإسقاء فيجبر الممتنع عليه أو تقديم مصلحة المشتري حيث إنّ البائع هو الّذي أدخل على نفسه ذلك ،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واعتمد في المختلف </w:t>
      </w:r>
      <w:r>
        <w:rPr>
          <w:rStyle w:val="FootnoteAnchor"/>
          <w:rtl w:val="true"/>
        </w:rPr>
        <w:footnoteReference w:id="2014"/>
      </w:r>
      <w:r>
        <w:rPr>
          <w:rFonts w:ascii="Amiri" w:hAnsi="Amiri" w:eastAsia="Amiri" w:cs="Amiri"/>
          <w:color w:val="111111"/>
          <w:sz w:val="28"/>
          <w:sz w:val="28"/>
          <w:szCs w:val="28"/>
          <w:rtl w:val="true"/>
          <w:lang w:bidi="ar-SA"/>
        </w:rPr>
        <w:t>على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متّجه إن كان البائع عالما بالحال حين الإقدام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جاهلا به ففي ترجيح أحد الجانبين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هناك وجه رابع ، وهو سلطان كل منهما على السقي </w:t>
      </w:r>
      <w:r>
        <w:rPr>
          <w:rStyle w:val="FootnoteAnchor"/>
          <w:rtl w:val="true"/>
        </w:rPr>
        <w:footnoteReference w:id="2015"/>
      </w:r>
      <w:r>
        <w:rPr>
          <w:rFonts w:ascii="Amiri" w:hAnsi="Amiri" w:eastAsia="Amiri" w:cs="Amiri"/>
          <w:color w:val="111111"/>
          <w:sz w:val="28"/>
          <w:sz w:val="28"/>
          <w:szCs w:val="28"/>
          <w:rtl w:val="true"/>
          <w:lang w:bidi="ar-SA"/>
        </w:rPr>
        <w:t>في الصورتين مع تحمله ضرر الآخر لكونه جمعا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بسقي </w:t>
      </w:r>
      <w:r>
        <w:rPr>
          <w:rStyle w:val="FootnoteAnchor"/>
          <w:rtl w:val="true"/>
        </w:rPr>
        <w:footnoteReference w:id="2016"/>
      </w:r>
      <w:r>
        <w:rPr>
          <w:rFonts w:ascii="Amiri" w:hAnsi="Amiri" w:eastAsia="Amiri" w:cs="Amiri"/>
          <w:color w:val="111111"/>
          <w:sz w:val="28"/>
          <w:sz w:val="28"/>
          <w:szCs w:val="28"/>
          <w:rtl w:val="true"/>
          <w:lang w:bidi="ar-SA"/>
        </w:rPr>
        <w:t xml:space="preserve">الأشجار من جهة أصولها وأثمارها قاعدة معروفة يجري عليها في العرف ، فإذا تعلّق العقد بالأصول أو الثمار رجع في سقيها إلى القاعدة المفروضة ؛ لانصراف الإطلاق في ذلك إلى التعارف الشائع ، فللمشتري سقيها كذلك من دون أن يزاحمه البائع ، فإن اتفق هناك حاجة الأصول أو الثمار خارجا عن القاعدة المفروضة كان للآخر الامتناع عنه مع </w:t>
      </w:r>
      <w:r>
        <w:rPr>
          <w:rStyle w:val="FootnoteAnchor"/>
          <w:rtl w:val="true"/>
        </w:rPr>
        <w:footnoteReference w:id="2017"/>
      </w:r>
      <w:r>
        <w:rPr>
          <w:rFonts w:ascii="IRNazanin" w:hAnsi="IRNazanin" w:eastAsia="IRNazanin"/>
          <w:color w:val="111111"/>
          <w:sz w:val="28"/>
          <w:sz w:val="28"/>
          <w:szCs w:val="28"/>
          <w:rtl w:val="true"/>
          <w:lang w:bidi="fa-IR"/>
        </w:rPr>
        <w:t>إضراره به ؛ لما عرفت من صرف العقد إلى المتعارف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الثمرة إذا كانت للبائع كان له إبقاؤها إلى زمان جذاذها أو اقتطافها </w:t>
      </w:r>
      <w:r>
        <w:rPr>
          <w:rStyle w:val="FootnoteAnchor"/>
          <w:rtl w:val="true"/>
        </w:rPr>
        <w:footnoteReference w:id="2018"/>
      </w:r>
      <w:r>
        <w:rPr>
          <w:rFonts w:ascii="Amiri" w:hAnsi="Amiri" w:eastAsia="Amiri" w:cs="Amiri"/>
          <w:color w:val="111111"/>
          <w:sz w:val="28"/>
          <w:sz w:val="28"/>
          <w:szCs w:val="28"/>
          <w:rtl w:val="true"/>
          <w:lang w:bidi="ar-SA"/>
        </w:rPr>
        <w:t>على النحو المتعارف ، وليس للمشتري إلزامه بالجذاذ والاقتطاف قبل ذلك على ما هو الحال في بيع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اتفق انقطاع الماء وكان إبقاء الثمر على الشجر مضرا به فهل يتسلّط المشتري على قطعها؟ فيه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تسلّطه على البائع ، فإنه لما رضي ببيع الأصل منفردا عن الثمرة فقد رضي بما يتفرع عليه من الضرر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اجبار البائع على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تارة بأنّ الثمرة لا تخلو </w:t>
      </w:r>
      <w:r>
        <w:rPr>
          <w:rStyle w:val="FootnoteAnchor"/>
          <w:rtl w:val="true"/>
        </w:rPr>
        <w:footnoteReference w:id="2019"/>
      </w:r>
      <w:r>
        <w:rPr>
          <w:rFonts w:ascii="IRNazanin" w:hAnsi="IRNazanin" w:eastAsia="IRNazanin"/>
          <w:color w:val="111111"/>
          <w:sz w:val="28"/>
          <w:sz w:val="28"/>
          <w:szCs w:val="28"/>
          <w:rtl w:val="true"/>
          <w:lang w:bidi="fa-IR"/>
        </w:rPr>
        <w:t xml:space="preserve">من </w:t>
      </w:r>
      <w:r>
        <w:rPr>
          <w:rStyle w:val="FootnoteAnchor"/>
          <w:rtl w:val="true"/>
        </w:rPr>
        <w:footnoteReference w:id="2020"/>
      </w:r>
      <w:r>
        <w:rPr>
          <w:rFonts w:ascii="IRNazanin" w:hAnsi="IRNazanin" w:eastAsia="IRNazanin"/>
          <w:color w:val="111111"/>
          <w:sz w:val="28"/>
          <w:sz w:val="28"/>
          <w:szCs w:val="28"/>
          <w:rtl w:val="true"/>
          <w:lang w:bidi="fa-IR"/>
        </w:rPr>
        <w:t xml:space="preserve">ورود النقص </w:t>
      </w:r>
    </w:p>
    <w:p>
      <w:pPr>
        <w:pStyle w:val="BookText"/>
        <w:rPr/>
      </w:pPr>
      <w:r>
        <w:rPr>
          <w:rFonts w:ascii="Amiri" w:hAnsi="Amiri" w:eastAsia="Amiri" w:cs="Amiri"/>
          <w:color w:val="111111"/>
          <w:sz w:val="28"/>
          <w:sz w:val="28"/>
          <w:szCs w:val="28"/>
          <w:rtl w:val="true"/>
          <w:lang w:bidi="ar-SA"/>
        </w:rPr>
        <w:t xml:space="preserve">عليها أخذت أو مسكت </w:t>
      </w:r>
      <w:r>
        <w:rPr>
          <w:rStyle w:val="FootnoteAnchor"/>
          <w:rtl w:val="true"/>
        </w:rPr>
        <w:footnoteReference w:id="2021"/>
      </w:r>
      <w:r>
        <w:rPr>
          <w:rFonts w:ascii="Amiri" w:hAnsi="Amiri" w:eastAsia="Amiri" w:cs="Amiri"/>
          <w:color w:val="111111"/>
          <w:sz w:val="28"/>
          <w:sz w:val="28"/>
          <w:szCs w:val="28"/>
          <w:rtl w:val="true"/>
          <w:lang w:bidi="ar-SA"/>
        </w:rPr>
        <w:t>، فلا بدّ من ملاحظة حال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بأنّ المشتري يتسلّط على إلزام البائع بالتفريغ وإنّما وجبت التبقية في المقام لمصلحة البائع ، وحيث انتفت المصلحة المقتضية لاستحقاق التبقية رجعنا إلى أصالة وجوب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العلّامة في المختلف </w:t>
      </w:r>
      <w:r>
        <w:rPr>
          <w:rStyle w:val="FootnoteAnchor"/>
          <w:rtl w:val="true"/>
        </w:rPr>
        <w:footnoteReference w:id="2022"/>
      </w:r>
      <w:r>
        <w:rPr>
          <w:rFonts w:ascii="Amiri" w:hAnsi="Amiri" w:eastAsia="Amiri" w:cs="Amiri"/>
          <w:color w:val="111111"/>
          <w:sz w:val="28"/>
          <w:sz w:val="28"/>
          <w:szCs w:val="28"/>
          <w:rtl w:val="true"/>
          <w:lang w:bidi="ar-SA"/>
        </w:rPr>
        <w:t>واستقرب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إنّما يتمّ إذا لم يختلف الحال في ورود الضرر على الثمرة بين قطعها وإبقائها على حالها مع تضرّر مالك الشجرة بالإبقاء ، بل يمكن القول بسلطانه حينئذ على القطع مع عدم تضرّر مالك الأصل أيضا ؛ نظرا إلى العلّة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اختلف الحال في الصورتين بأن لم يترتّب عليه ضرر مع التبقية أو كان الضرر في التبقية أقل ، فلا يتمّ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يندرج المغرس في بيع الأشجار ، بل هي باقية على ملك البائع إن كانت له بلا خلاف يظهر فيه ، إذ لا قاضي باندراجه في المبيع لكن يستحق المشتري عليه تبقيتها في الأرض ، فليس له أن يطالبه بالقلع ولا بالأجرة ، وله مدى جرائدها وإن خالت بعد ذلك ، وكذا عروقها ، فليس لمالك الأرض قطع الأغصان المستطيلة ولا العروق المتباعدة ، وله الاستطراق إليها في الأرض المفروضة مهما شاء إن كان يجي‌ء إليها لإصلاحها أو إصلاح ثمرتها المملوكة له ، ولا سلطان لمالك الأرض على منعه منه ، ولا شغل الأرض بما يضرّ بالأشجار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وسلطان صاحب الشجر على ذلك كلّه على وجه الاستحقاق دون الملكيّة حسبما عرفت</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انقلعت الشجرة أو قطعها المشتري لم يكن له غرص آخر مكانها ، فإن استحقاقه في الأرض إنّما كان بتبعيّة </w:t>
      </w:r>
      <w:r>
        <w:rPr>
          <w:rStyle w:val="FootnoteAnchor"/>
          <w:rtl w:val="true"/>
        </w:rPr>
        <w:footnoteReference w:id="2023"/>
      </w:r>
      <w:r>
        <w:rPr>
          <w:rFonts w:ascii="Amiri" w:hAnsi="Amiri" w:eastAsia="Amiri" w:cs="Amiri"/>
          <w:color w:val="111111"/>
          <w:sz w:val="28"/>
          <w:sz w:val="28"/>
          <w:szCs w:val="28"/>
          <w:rtl w:val="true"/>
          <w:lang w:bidi="ar-SA"/>
        </w:rPr>
        <w:t xml:space="preserve">الشجر ، فإذا زال زال الاستحقاق إلّا أن يكون قد اشترط ذلك على مالك الأرض لو يبست </w:t>
      </w:r>
      <w:r>
        <w:rPr>
          <w:rStyle w:val="FootnoteAnchor"/>
          <w:rtl w:val="true"/>
        </w:rPr>
        <w:footnoteReference w:id="2024"/>
      </w:r>
      <w:r>
        <w:rPr>
          <w:rFonts w:ascii="Amiri" w:hAnsi="Amiri" w:eastAsia="Amiri" w:cs="Amiri"/>
          <w:color w:val="111111"/>
          <w:sz w:val="28"/>
          <w:sz w:val="28"/>
          <w:szCs w:val="28"/>
          <w:rtl w:val="true"/>
          <w:lang w:bidi="ar-SA"/>
        </w:rPr>
        <w:t xml:space="preserve">الشجرة كان له الأمر بقلعها ، وكذا لو يبست </w:t>
      </w:r>
      <w:r>
        <w:rPr>
          <w:rStyle w:val="FootnoteAnchor"/>
          <w:rtl w:val="true"/>
        </w:rPr>
        <w:footnoteReference w:id="2025"/>
      </w:r>
      <w:r>
        <w:rPr>
          <w:rFonts w:ascii="IRNazanin" w:hAnsi="IRNazanin" w:eastAsia="IRNazanin"/>
          <w:color w:val="111111"/>
          <w:sz w:val="28"/>
          <w:sz w:val="28"/>
          <w:szCs w:val="28"/>
          <w:rtl w:val="true"/>
          <w:lang w:bidi="fa-IR"/>
        </w:rPr>
        <w:t xml:space="preserve">بعض أغصانها </w:t>
      </w:r>
    </w:p>
    <w:p>
      <w:pPr>
        <w:pStyle w:val="BookText"/>
        <w:rPr/>
      </w:pPr>
      <w:r>
        <w:rPr>
          <w:rFonts w:ascii="Amiri" w:hAnsi="Amiri" w:eastAsia="Amiri" w:cs="Amiri"/>
          <w:color w:val="111111"/>
          <w:sz w:val="28"/>
          <w:sz w:val="28"/>
          <w:szCs w:val="28"/>
          <w:rtl w:val="true"/>
          <w:lang w:bidi="ar-SA"/>
        </w:rPr>
        <w:t>بالنسبة إلى القدر 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بلغت إلى حدّ يقطع في العادات كأشجار الأثمار إذا ذهب عنها قوة الإثمار ففي تسلّط المالك على الأمر بقلعها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اشتراه بشرط القلع للاحتطاب أو النجارة أو الوضع </w:t>
      </w:r>
      <w:r>
        <w:rPr>
          <w:rStyle w:val="FootnoteAnchor"/>
          <w:rtl w:val="true"/>
        </w:rPr>
        <w:footnoteReference w:id="2026"/>
      </w:r>
      <w:r>
        <w:rPr>
          <w:rFonts w:ascii="Amiri" w:hAnsi="Amiri" w:eastAsia="Amiri" w:cs="Amiri"/>
          <w:color w:val="111111"/>
          <w:sz w:val="28"/>
          <w:sz w:val="28"/>
          <w:szCs w:val="28"/>
          <w:rtl w:val="true"/>
          <w:lang w:bidi="ar-SA"/>
        </w:rPr>
        <w:t>قلعها مع أدائه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كان جاهلا بالحال فزعم كون الأرض ملكا للبائع في سلطانه على البائع بدفع الأجرة أو عدمه وثبوت الخيار </w:t>
      </w:r>
      <w:r>
        <w:rPr>
          <w:rStyle w:val="FootnoteAnchor"/>
          <w:rtl w:val="true"/>
        </w:rPr>
        <w:footnoteReference w:id="2027"/>
      </w:r>
      <w:r>
        <w:rPr>
          <w:rFonts w:ascii="Amiri" w:hAnsi="Amiri" w:eastAsia="Amiri" w:cs="Amiri"/>
          <w:color w:val="111111"/>
          <w:sz w:val="28"/>
          <w:sz w:val="28"/>
          <w:szCs w:val="28"/>
          <w:rtl w:val="true"/>
          <w:lang w:bidi="ar-SA"/>
        </w:rPr>
        <w:t>في الفسخ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هناك وجه ثالث ، وهو ثبوت الخيار له مطلقا ، فإن فسخ فلا كلام ، وإلّا استحقّ على البائع دفع الأجرة عن التبقية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يتسلّط مالك الأرض على المشتري في مطالبة الأجرة؟ الظاهر ذلك ؛ لاستيفائه منفعة الأرض بتبقيه ملكه فيها ، ولكن له الرجوع على البائع بناء على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عن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ولمّا كانت الأرض باقية على ملك البائع فله ذرعها بما لا يضرّ بالأشجار ، وكذا إجارتها لما لا يمانع حقّ المشتري ، ولكل منهما استيفاء ماله عند الحاجة إليه مع عدم إضراره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احتاجت الأشجار إلى السقي وكان مضرا بالزرع تسلّط المشتري على السقي بخلاف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ذلك فيما لو كانت الأرض ملكا لغير البائع إذا كانت التبقية مستحقة عليه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من عبد وأمة وغيرهما من الحيوانات ، فإن </w:t>
      </w:r>
      <w:r>
        <w:rPr>
          <w:rStyle w:val="FootnoteAnchor"/>
          <w:rtl w:val="true"/>
        </w:rPr>
        <w:footnoteReference w:id="2028"/>
      </w:r>
      <w:r>
        <w:rPr>
          <w:rFonts w:ascii="Amiri" w:hAnsi="Amiri" w:eastAsia="Amiri" w:cs="Amiri"/>
          <w:color w:val="111111"/>
          <w:sz w:val="28"/>
          <w:sz w:val="28"/>
          <w:szCs w:val="28"/>
          <w:rtl w:val="true"/>
          <w:lang w:bidi="ar-SA"/>
        </w:rPr>
        <w:t>باع حاملا سواء كان إنسانا أو حيوانا لم يندرج الحمل في المبيع على المعروف بين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وحكي القول به عن الشيخين في المقنعة </w:t>
      </w:r>
      <w:r>
        <w:rPr>
          <w:rStyle w:val="FootnoteAnchor"/>
          <w:rtl w:val="true"/>
        </w:rPr>
        <w:footnoteReference w:id="2029"/>
      </w:r>
      <w:r>
        <w:rPr>
          <w:rFonts w:ascii="Amiri" w:hAnsi="Amiri" w:eastAsia="Amiri" w:cs="Amiri"/>
          <w:color w:val="111111"/>
          <w:sz w:val="28"/>
          <w:sz w:val="28"/>
          <w:szCs w:val="28"/>
          <w:rtl w:val="true"/>
          <w:lang w:bidi="ar-SA"/>
        </w:rPr>
        <w:t xml:space="preserve">ونهاية </w:t>
      </w:r>
      <w:r>
        <w:rPr>
          <w:rStyle w:val="FootnoteAnchor"/>
          <w:rtl w:val="true"/>
        </w:rPr>
        <w:footnoteReference w:id="2030"/>
      </w:r>
      <w:r>
        <w:rPr>
          <w:rFonts w:ascii="Amiri" w:hAnsi="Amiri" w:eastAsia="Amiri" w:cs="Amiri"/>
          <w:color w:val="111111"/>
          <w:sz w:val="28"/>
          <w:sz w:val="28"/>
          <w:szCs w:val="28"/>
          <w:rtl w:val="true"/>
          <w:lang w:bidi="ar-SA"/>
        </w:rPr>
        <w:t xml:space="preserve">والديلمي والقاضي في الكامل والحلبي </w:t>
      </w:r>
      <w:r>
        <w:rPr>
          <w:rStyle w:val="FootnoteAnchor"/>
          <w:rtl w:val="true"/>
        </w:rPr>
        <w:footnoteReference w:id="2031"/>
      </w:r>
      <w:r>
        <w:rPr>
          <w:rFonts w:ascii="Amiri" w:hAnsi="Amiri" w:eastAsia="Amiri" w:cs="Amiri"/>
          <w:color w:val="111111"/>
          <w:sz w:val="28"/>
          <w:sz w:val="28"/>
          <w:szCs w:val="28"/>
          <w:rtl w:val="true"/>
          <w:lang w:bidi="ar-SA"/>
        </w:rPr>
        <w:t xml:space="preserve">والحلي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اشتراطه للمشتري على ما نصّ عليه جماعة منهم ، وكذا للبائع فيكون الشرط مؤكّدا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الإسكافي </w:t>
      </w:r>
      <w:r>
        <w:rPr>
          <w:rStyle w:val="FootnoteAnchor"/>
          <w:rtl w:val="true"/>
        </w:rPr>
        <w:footnoteReference w:id="2033"/>
      </w:r>
      <w:r>
        <w:rPr>
          <w:rFonts w:ascii="Amiri" w:hAnsi="Amiri" w:eastAsia="Amiri" w:cs="Amiri"/>
          <w:color w:val="111111"/>
          <w:sz w:val="28"/>
          <w:sz w:val="28"/>
          <w:szCs w:val="28"/>
          <w:rtl w:val="true"/>
          <w:lang w:bidi="ar-SA"/>
        </w:rPr>
        <w:t>أنه يجوز أن يستثنى الجنين في بطن أمّه من آدمي وحيوان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إلى اندراجه في المبيع لو لا الاستثناء كما هو المصرّح به في كلام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الشيخ في المبسوط </w:t>
      </w:r>
      <w:r>
        <w:rPr>
          <w:rStyle w:val="FootnoteAnchor"/>
          <w:rtl w:val="true"/>
        </w:rPr>
        <w:footnoteReference w:id="2034"/>
      </w:r>
      <w:r>
        <w:rPr>
          <w:rFonts w:ascii="Amiri" w:hAnsi="Amiri" w:eastAsia="Amiri" w:cs="Amiri"/>
          <w:color w:val="111111"/>
          <w:sz w:val="28"/>
          <w:sz w:val="28"/>
          <w:szCs w:val="28"/>
          <w:rtl w:val="true"/>
          <w:lang w:bidi="ar-SA"/>
        </w:rPr>
        <w:t xml:space="preserve">والقاضي في المهذّب </w:t>
      </w:r>
      <w:r>
        <w:rPr>
          <w:rStyle w:val="FootnoteAnchor"/>
          <w:rtl w:val="true"/>
        </w:rPr>
        <w:footnoteReference w:id="2035"/>
      </w:r>
      <w:r>
        <w:rPr>
          <w:rFonts w:ascii="IRNazanin" w:hAnsi="IRNazanin" w:eastAsia="IRNazanin"/>
          <w:color w:val="111111"/>
          <w:sz w:val="28"/>
          <w:sz w:val="28"/>
          <w:szCs w:val="28"/>
          <w:rtl w:val="true"/>
          <w:lang w:bidi="fa-IR"/>
        </w:rPr>
        <w:t xml:space="preserve">والجواهر </w:t>
      </w:r>
      <w:r>
        <w:rPr>
          <w:rStyle w:val="FootnoteAnchor"/>
          <w:rtl w:val="true"/>
        </w:rPr>
        <w:footnoteReference w:id="2036"/>
      </w:r>
      <w:r>
        <w:rPr>
          <w:rFonts w:ascii="Amiri" w:hAnsi="Amiri" w:eastAsia="Amiri" w:cs="Amiri"/>
          <w:color w:val="111111"/>
          <w:sz w:val="28"/>
          <w:sz w:val="28"/>
          <w:szCs w:val="28"/>
          <w:rtl w:val="true"/>
          <w:lang w:bidi="ar-SA"/>
        </w:rPr>
        <w:t xml:space="preserve">إلى أنّه للمشتري ، ولا يجوز اشتراطه </w:t>
      </w:r>
      <w:r>
        <w:rPr>
          <w:rStyle w:val="FootnoteAnchor"/>
          <w:rtl w:val="true"/>
        </w:rPr>
        <w:footnoteReference w:id="2037"/>
      </w:r>
      <w:r>
        <w:rPr>
          <w:rFonts w:ascii="IRNazanin" w:hAnsi="IRNazanin" w:eastAsia="IRNazanin"/>
          <w:color w:val="111111"/>
          <w:sz w:val="28"/>
          <w:sz w:val="28"/>
          <w:szCs w:val="28"/>
          <w:rtl w:val="true"/>
          <w:lang w:bidi="fa-IR"/>
        </w:rPr>
        <w:t>للبائع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حكي القول المذكور عن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الأوّل أنّ البيع إنّما تعلّق بالأمّ ، والحمل خارج عن مفهومه ، فلا يتناوله اللفظ مطابقة ولا تضمّنا ولا التزاما في المقام عقلا ولا عرفا ، فلا قاضي باندراجه في المبيع مع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شرط كونه للمشتري كان الشرط متّبعا ؛ للزوم الوفاء به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الثاني أنه بمنزلة الجزء من الأم ، فيتبعه في الانتقال إلّا أن يصرّح بخلافه ، فيتبع التصريح</w:t>
      </w:r>
      <w:r>
        <w:rPr>
          <w:rFonts w:eastAsia="Amiri" w:cs="Amiri" w:ascii="Amiri" w:hAnsi="Amiri"/>
          <w:color w:val="111111"/>
          <w:sz w:val="28"/>
          <w:szCs w:val="28"/>
          <w:rtl w:val="true"/>
          <w:lang w:bidi="ar-SA"/>
        </w:rPr>
        <w:t xml:space="preserve">.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وحجة الثالث أن الحمل يجري مجرى عضو من أعضاء الحامل </w:t>
      </w:r>
      <w:r>
        <w:rPr>
          <w:rStyle w:val="FootnoteAnchor"/>
          <w:rtl w:val="true"/>
        </w:rPr>
        <w:footnoteReference w:id="2038"/>
      </w:r>
      <w:r>
        <w:rPr>
          <w:rFonts w:ascii="Amiri" w:hAnsi="Amiri" w:eastAsia="Amiri" w:cs="Amiri"/>
          <w:color w:val="111111"/>
          <w:sz w:val="28"/>
          <w:sz w:val="28"/>
          <w:szCs w:val="28"/>
          <w:rtl w:val="true"/>
          <w:lang w:bidi="ar-SA"/>
        </w:rPr>
        <w:t xml:space="preserve">فكما لا يجوز استثناء عضو منه كذا لا يجوز استثناؤه ، وأيّد ذلك بما رواه السكوني ، عن جعفر ، عن أبيه عليهما‌السلام في رجل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 xml:space="preserve">[ ... ]. </w:t>
      </w:r>
    </w:p>
    <w:p>
      <w:pPr>
        <w:pStyle w:val="BookText"/>
        <w:rPr/>
      </w:pPr>
      <w:r>
        <w:rPr>
          <w:rFonts w:ascii="Amiri" w:hAnsi="Amiri" w:eastAsia="Amiri" w:cs="Amiri"/>
          <w:color w:val="111111"/>
          <w:sz w:val="28"/>
          <w:sz w:val="28"/>
          <w:szCs w:val="28"/>
          <w:rtl w:val="true"/>
          <w:lang w:bidi="ar-SA"/>
        </w:rPr>
        <w:t>هذا تمام ما وقع عليه أعين الناظرين ، وآخر ما وجد بخطه الشريف من كتاب التبصرة في الطهارة والصلاة والبيع والزكاة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مع اشتماله على قليل من المسائل الفقهية إمّا تامّا وإمّا ناقصا قد ذكر فيها فوائد جليلة وقواعد لطيفة يدلّ على مهارته وشدّة قوته في المطالب العلمية الفقهيّة والأصوليّة والرجاليّة ، وهو شيخنا ومولانا التقيّ الشيخ محمّد تقي أعلى اللّه مقامه ورفع درجته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على الإتمام وصلّى اللّه على سيّدنا محمّد وآله سادات الأنام وأبنائه المعصومين ينابيع العلوم ومصابيح الظلام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فرغت من تسويده في يوم الجمعة عاشر شهر جمادى الآخرة من شهور سنة إحدى وثمانين ومأتين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النبويّة على هاجرها ألف ألف ثناء وتحيّة ، وأنا أقل الخليفة بل لا شي‌ء في الحقيقة سميّ تاسع الأئمّة عليهم‌السلام ، حشرنا اللّه معهم يوم القيامة</w:t>
      </w:r>
      <w:r>
        <w:rPr>
          <w:rFonts w:eastAsia="Amiri" w:cs="Amiri" w:ascii="Amiri" w:hAnsi="Amiri"/>
          <w:color w:val="111111"/>
          <w:sz w:val="28"/>
          <w:szCs w:val="28"/>
          <w:rtl w:val="true"/>
          <w:lang w:bidi="ar-SA"/>
        </w:rPr>
        <w:t xml:space="preserve">. </w:t>
      </w:r>
      <w:bookmarkStart w:id="236" w:name="pg15853_153664"/>
    </w:p>
    <w:p>
      <w:pPr>
        <w:pStyle w:val="Heading2"/>
        <w:numPr>
          <w:ilvl w:val="1"/>
          <w:numId w:val="1"/>
        </w:numPr>
        <w:rPr/>
      </w:pPr>
      <w:bookmarkStart w:id="237" w:name="__RefHeading___Toc14587205_2142443653"/>
      <w:bookmarkStart w:id="238" w:name="_Toc85"/>
      <w:bookmarkEnd w:id="236"/>
      <w:bookmarkEnd w:id="237"/>
      <w:r>
        <w:rPr>
          <w:rtl w:val="true"/>
        </w:rPr>
        <w:t>فهرس المواضيع الجزء الثالث</w:t>
      </w:r>
      <w:bookmarkEnd w:id="238"/>
    </w:p>
    <w:p>
      <w:pPr>
        <w:pStyle w:val="BookText"/>
        <w:rPr/>
      </w:pPr>
      <w:r>
        <w:rPr>
          <w:rFonts w:ascii="Amiri" w:hAnsi="Amiri" w:eastAsia="Amiri" w:cs="Amiri"/>
          <w:color w:val="111111"/>
          <w:sz w:val="28"/>
          <w:sz w:val="28"/>
          <w:szCs w:val="28"/>
          <w:rtl w:val="true"/>
          <w:lang w:bidi="ar-SA"/>
        </w:rPr>
        <w:t>كتاب الزكاة</w:t>
      </w:r>
    </w:p>
    <w:p>
      <w:pPr>
        <w:pStyle w:val="BookText"/>
        <w:rPr/>
      </w:pP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وجوب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الحرية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التملك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التمكّن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النصاب في موضع الحظر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تعلّق الحق بعين النصاب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الثاني في بيان ما يجب الزكاة فيه وما يستحب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الشرائط المعتبرة في ثبوت الزكاة في كلّ منها وما يلحق بذلك من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يجب الزكاة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الفصل الأوّل في زكاة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البحث الأوّل في بيان شروط وجوب الزكاة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النصاب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نصاب البقر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نصاب الغنم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نصاب البقر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نصاب الغنم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أن لا تكون الإبل والبقر عوامل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البحث الثاني في اللواحق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مصاديق الغنم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المريضة والهرمة وذات العوار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الأكولة وفحل الضراب والرّبى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تعدّد ما هو بصفة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زكاة العين المستقرضة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أصناف المستحقين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مدّعي الفقر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الزكاة إلى غير المستحقّ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العاملين على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المؤلّفة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الباب الثاني في زكاة الفطرة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الفصل الأول في بيان شرائط وجوبها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الحرية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الغنى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إخراجها عند تكامل شرائطها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فطرة الضيف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أداء مال الفطرة عن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نيّة أداء الفطرة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الخروج عن المكيّة بالتعيين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إسلام 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كتاب البيع</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الفضولي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ما يملكه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ما يملكه المسلم وما لا يملكه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المواضيع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bookmarkStart w:id="239" w:name="pg15853_153668"/>
    </w:p>
    <w:p>
      <w:pPr>
        <w:pStyle w:val="Heading2"/>
        <w:numPr>
          <w:ilvl w:val="1"/>
          <w:numId w:val="1"/>
        </w:numPr>
        <w:rPr/>
      </w:pPr>
      <w:bookmarkStart w:id="240" w:name="__RefHeading___Toc14587207_2142443653"/>
      <w:bookmarkStart w:id="241" w:name="_Toc86"/>
      <w:bookmarkEnd w:id="239"/>
      <w:bookmarkEnd w:id="240"/>
      <w:r>
        <w:rPr>
          <w:rtl w:val="true"/>
        </w:rPr>
        <w:t xml:space="preserve">بعض إصدارات مجمع الذخائر الإسلامية </w:t>
      </w:r>
      <w:r>
        <w:rPr>
          <w:rtl w:val="true"/>
        </w:rPr>
        <w:t xml:space="preserve">- </w:t>
      </w:r>
      <w:r>
        <w:rPr>
          <w:rtl w:val="true"/>
        </w:rPr>
        <w:t>قم</w:t>
      </w:r>
      <w:bookmarkEnd w:id="2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تراجم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الإشكوري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التراجم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بحوث في الفقه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 مجلدات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حسن الجواهري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المعاصر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عما وقع في 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مضر حلو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الرجال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تبصرة المتعلمين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الفقه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التحرير الطاوسي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ابن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الرجال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ألقاب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صادق الحسيني الإشكوري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النسب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تعليقات على أجوبة المسائل المهنائية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تقي الموسوي الدشتستاني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الفقه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ثبت الأسانيد 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رضا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الإجازات والرجال</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الجموع والمصادر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استدراك القاموس المحيط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يحيى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الصرف واللغة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من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الطواري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الحديث</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الصادقية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باقر شريف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العقائد 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الحسيني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 العبرة في غبن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طاوس بتحقيق الشيخ الأركاني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الحديث والفضائل</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الفخري في أنساب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الغروية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الرودسري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الفقه والأصول</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اللّه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الفقه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الوسائل في الحاشية على 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 مجلدات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 اللّه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الفقه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الجابري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كشكول</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ملخص جامع المعارف والأحكام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 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الفقه والحديث</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المعاد الجسماني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الغروي الكمپاني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الحسيني الميبدي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 آداب</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الأرجوزة البطيخية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و أدب</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حديث رأس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الحسيني الميبدي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الحديث</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 أراجيز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الحسيني الميبدي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و أدب</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عصمة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الحسيني الميبدي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أجوبة المسائل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أ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 علوم القرآن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إنقاذ البشر من الجبر و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المرتضی أخو الشريف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و عقائد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جوابات المسائل التبانيات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المرتضی أخو الشريف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أجوبة</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جوابات المسائل الرازية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أخو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جوابات المسائل الميافارقيات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أخو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الأدبية والحديثية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أخو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وحديث</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القصيدة المذهبة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قصيدة الحميري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المرتضى أخو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الشهاب في الشيب والشباب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أخو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آخوند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الفقه</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الفقه</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مدارك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الفقه</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في شرح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الفقه</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مانزل من القرآن في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القرآن والحديث</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الأنوار المضية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على النيلي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وإمام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الشريف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المريد في آداب المفيد والمستفيد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المسترشدين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بياض تاج الدين أحمد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الدكتور زماني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وشعر وحديث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قصيدة البردة بالفارسية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الزواره 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وشعر</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صادق الحسيني الإشكوري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معاجم</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مخطوطات مكتبة النجومي كرمانشاه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أحمد الحسيني الإشكوري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فهرسة المخطوطات</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مخطوطات مكتبات دزفول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الإشكوري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فهرسة المخطوطات</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مخطوطات مكتبة عبد العظيم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الإشكوري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فهرسة المخطوطات</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مخطوطات مكتبة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الإشكوري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فهرسة المخطوطات</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مخطوطات مكتبة الإسماعيلية شاهرود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الإشكوري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فهرسة المخطوطات</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مخطوطات مكتبة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المشهد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فهرسة المخطوطات</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مخطوطات مكتبة الجزائري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الإشكوري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فهرسة المخطوطات</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مخطوطات مكتبة السيد الرضوي باكستان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الإشكوري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فهرسة المخطوطات</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مخطوطات مكتبة فحول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الإشكوري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فهرسة المخطوطات</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مخطوطات مكتبة البروجردي كرمانشاه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الإشكوري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فهرسة المخطوطات</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مخطوطات مكتبة المرتضوي المشهد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الإشكوري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فهرسة المخطوطات</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مخطوطات مكتبة الميبدي المشهد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الإشكوري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فهرسة المخطوطات</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المخطوطات العربية في مكتبة الفاتيكان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صادق الحسيني الإشكوري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فهرسة المخطوطات</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تلخیص كتاب او قلیدس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محمد الجغميني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هندسة</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الأربعينيات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تقي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فاطمة المعصومة سلام اللّه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أهل الكتاب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السعيدي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الفقه</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عصمة العقائد من أخطائها في شرح كشف المراد و تجريد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غلام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لتكليف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منفي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عدم الظهور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عدمه لظهور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عنهم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تقدير النصب في الذهب وما يجب في كل واحد منها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الأخبار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وضع رسول اللّه صلى اللّه عليه وعلى اهل بيته الزكاة عليه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لسان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لأوامر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مال اليتيم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وجوبها على البالغ العاقل وعدم وجوبها في مال الطفل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وجوبها على البالغ العاقل وعدم وجوبها في مال الطفل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وجوبها على البالغ العاقل وعدم وجوبها في مال الطفل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أموال الأطفال والمجانين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الوصي يزكي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الوصيّ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يربح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عدم وجوب الزكاة في مال المجنون ، واستحبابها إذا اتجر به وليه وإلّا لم تستحب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عدم وجوب الزكاة</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الروض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الزكاة في غلات اليتيم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مال اليتيم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وضع رسول اللّه صلى‌اللّه‌عليه‌وآله وعلى أهل بيته الزكاة عليه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تجب فيه الزكاة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لنتم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الوجوب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الاتّجار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زكاة مال اليتيم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من اتجر بما الطفل ح </w:t>
      </w:r>
      <w:r>
        <w:rPr>
          <w:rFonts w:eastAsia="IRNazanin" w:cs="IRNazanin"/>
          <w:b w:val="false"/>
          <w:bCs w:val="false"/>
          <w:i w:val="false"/>
          <w:iCs w:val="false"/>
          <w:color w:val="333333"/>
          <w:sz w:val="20"/>
          <w:szCs w:val="20"/>
        </w:rPr>
        <w:t>11587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تدل حينئذ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فدلالتها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زكاة اموال الاطفال والمجانين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وجوبها على البالغ العاقل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التقيّة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زكاة مال اليتيم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أموال الأطفال والمجانين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بالتاء المدوّرة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بحكم التبادر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الإجماع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الاعراض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الثاني في 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الولي في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لحيطة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الرابعة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التجارة في مال اليتيم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من اتجر بمال الطفل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كان مال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التجارة في مال اليتيم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بقاؤها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انتفاؤها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أخذ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يريد أن يزوج ابنته ويريد أبوه أن يزوجها رجلا آخر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إليه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منهىّ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وقع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ثبوت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السادسة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وعليه فهي من التتميمات السابقة ، إلّا أنه لا يبقى معنى لعبارة المصنف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وينبغي التنبيه على أمور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معه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حيث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ميتا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ما ذكره العلامة المجلسي قدس‌سره ، فراجع لعلّك تجده إن شاء اللّه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لم نلحقهما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فلا يبعد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 الأدوار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ثالثها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ثاني له ؛ وعلى الذي في المتن فلا ثالث ،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ثانيهما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تعليق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بعد عدم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بالزكاة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الاستمرار العقل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الزكاة وما يجب في المال من الحقوق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الأصناف التي تجب عليها الزكاة ، ح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مال اليتيم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وجوبها على البالغ العاقل ،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تمام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حال الصغر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بين البعض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ذلك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تصف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مال اليتيم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المتقدم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فيحمل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سقطا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الإطلاق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ظاهر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للحكم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جرى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له شعور ، وليس بسكران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زكاة مال المملوك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الزكاة على الحر وعدم وجوبها على المملوك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الزكاة على الحر وعدم وجوبها على المملوك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مال المملوك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لأنه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المملوك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لصراحتهما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نصّوا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عنوان الآخر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ولأجل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أنّ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بأنّه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مال المملوك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بل للرّق كيف وليس في تلك الإطلاقات تعليق وجوب الزكاة على الحرية حتى يتأمل في شمولها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المتأمّل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وهو لا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الولي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واستشكله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الوجوب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الواجب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المولى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مصرف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وسيجي‌ء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الملقط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سائر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قضاضة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عضانته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يرجع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بلده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وجب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مقتضى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نفصل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المديون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في المتن صحيح بقرينة ما سيجي‌ء</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متمكّنا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صاحبه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معقوذا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عندنا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الشيخ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فلا يكون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ومن الرد لا سبيل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الوديعة والذين مما لا يصل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 لها معنى</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متّصلة في النسخ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أنّما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ربه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لو وجبت الزكاة في النصاب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شرعا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باطل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ووجوب الإخراج عنه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جار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مال الغائب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زكاة مال الغائب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استراد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وما إذا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لانتظر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المجحود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وجوبها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المدعى عليه عليه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مال الغائب والدين والوديعة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وإذا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شكّ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مال الغائب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المال الذي لا يحول عليه الحول في يد صاحبه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المال الذي لا يحول عليه الحول في يد صاحبه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تقييده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مال الغائب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وكيل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أورجت في المتن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الغائب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واو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المغصوب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الغائب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ذيل الرواية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ذيل الرواية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المال الغائب والدين إذا رجع إلى صاحبه هل يجب عليه الزكاة أم لا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تجديدها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لا خلاف فيه ظاهرا ؛ لحصول الملكية لحصول سببها ، واحتمال زوالها لا يمنع من وجوب الزكاة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شرط عليه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والمفروض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ذمّة الآخر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القول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نظر أنّه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ولها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وهبه 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نصف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لهما والذاهب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الباقي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وقاء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الإشاعة كالزكاة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هناك مطموسة عليها قرأناها كذلك</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ليس إلّا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هلك النصف بتفريط كان للساعي أن يأخذ حقه من العين ويرجع الزوج عليها به ؛ لأنه مضمون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بالمجموع ولذا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وإنّما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وقبضت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نصفه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جنى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يعيّن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إليه ولا يضمنه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بالنسبة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الأدلّة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فجرى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فجرى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النقص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الفلس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وجوب الزكاة وظهور انتفائه في المقام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باعثا على سقوط الزكاة وإلّا لم يجب فيما إذا انحصر أداء الدّين في دفع النصاب إلى المديون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كذلك إجماعا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وضعفه ظاهر ممّا عرفت من اعتبار إمكان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ورد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الواو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عدم تعلّق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عدمه لتعلّق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حال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فامّا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المدارك ، والصحيح ما أدرجناه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نصيبه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 من المصدر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زيدت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دفعها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عنها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المقدار وغيره كاف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صادف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فتأمل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لصرفه في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بالمنذور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التعيّن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بياض الاصل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المصنف قدس‌سره عنوان الباب الأول ، فتدبّر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وضع رسول اللّه صلّى اللّه عليه وعلى أهل بيته الزكاة عليه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بأرض الخراج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يزكى من الحبوب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يزكّى من الحبوب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الزكاة فيما سوى الغلات الأربع من الحبوب التي تكال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كل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يزكى من الحيوب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يزكى من الحيوب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علس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علس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سلت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سلت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هامش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هامشى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نقلناه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بعدم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اختلاف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يزكى من الحبوب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واو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الحبوب بأسرها في الزكاة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يزكى من الحبوب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أقصاه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المقام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 التأنيث باعتبار التأويل في الإبل بالنفس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الأخير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النوم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الزكويين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الزكوي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العال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تينك الصحيحتين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لأربعة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صدقة الابل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ليس فيها شي‌ء حتى تبلغ خمسا وثلاثين فإذا بلغت خمسا وثلاثين ففيها ابنة لبون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أضيفت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أشهرهما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فراغ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أحضرناه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صدقة الإبل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صدقة الإبل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الذى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صدقة الإبل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صدقة الإبل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 المسألة الخامسة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بتعيّن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تينك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صدقة الإبل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صدقة الإبل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الاقاص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مفتاح الكرامة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صدقة البقر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زيدت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أحدها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الغنم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موافقتها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الغنم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وظاهره انه كتاب الشهيد الأول إلا أنه لم يصح إذ الشهيد الأول متأخر عن المحقق بكثير ، فلا يصح إسناد كلام المحقق إلى الدروس ، فتدبّر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الاختلاف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في نسخ الأصل</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التبصرة تكرار لما مرّ قبل صفحات بعبارات قريبة جدّا إلّا أنّنا حفظا للأمانة وحذرا من الحذف أدرجناها كما هي ، فلاحظ الفروق الطفيفة وزيادات ليست فيما سبق</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مفتاح الكرامة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حوليان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صدقة البقر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تزيد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المحقق الكركي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تجب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اسناد هذه الرواية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إسنادها في الرواية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التعيين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الشاملة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اختصاص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ويتفرغ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الواو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واو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وظاهره يعمّ الرعي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نيط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اضيفت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وما وجدناه في مستند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في صغار الإبل شي‌ء حتى يحول عليه الحول منذ يوم ينتج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الإبل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تجب فيه الزكاة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أدرجنا الواو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فوهبها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المال الذي لا يحول عليه الحول في يد صاحبه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غيرها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التحفة السنية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لشي‌ء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الأصناف التي تجب عليها الزكاة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كالمحقق الكركى في حاشيته على الشرائع والقواعد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كلمة قد تقرأ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نفى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تكافؤه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 ، فلا يثبت على ضعفه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ويضعّفه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سبعون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وإحدى وعشرين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والأظهر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والغنم اسم مؤنث موضوع لجنس الشاء يقع على الذكور والإناث وعليهما جميعا ، ولا واحد لها من لفظها ، وتصغيره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غنيمة ؛ لأن أسماء الجموع التي لا واحد لها من لفظها إذا كانت لغير الآدميين فالتأنيث لها 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 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غنم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يضم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استقلال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مما أضيفت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واو</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ولو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حول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المبسوط والتذكرة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سبعة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شابّين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جذع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النعجة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جذع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جذع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تاج العروس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جذع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جذع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جذع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أكثر هؤلاء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ثنى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ثنى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العبارة كلها في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نجده في النهاية المطبوع</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الغنم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تتعلق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العراب البخاتي نوعان من الإبل كما في 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لؤخذ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صدقة الانعام ح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زيدت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صدقة الغنم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عبيد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الازهري في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نجده في المصباح المنير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وضعت حديثا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ربى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صدقة الغنم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الصريحة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أحدها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فريضة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أمه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الكلّ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الحكم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الاطلاقات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يستشكل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إبقاء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يقتضيه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تعيين الواجب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الصفة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غير تامة ، وفي الأصل بياض</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زيدت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التصرف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الباقى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حينئذ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لجوازه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تجب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مال الغائب والدين والوديعة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القرض</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في الأصل</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بينها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في المبسوط و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واختار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ابن السكيت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حكي عن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زيد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ذكروه هؤلاء الأعلام يطابق ما حكي عن ابن السكيت لا ابن عرفة ، فراجع</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فقر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فقر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الزكاة وما يجب في المال من الحقوق من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الزكاة وما يجب في المال من الحقوق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أصناف المستحقين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الرحانة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غلط</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يستقلها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أدرجناه من المصدر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الفنوى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اختار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فافصل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تملك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مسكنه أو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حكاه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يتملكوا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لهما ولعيالهما أو عن نصاب أو قيمته على اختلاف القولين وبما يؤل كلام الشيخ بحمل الدوام فيه على خصوص السنة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أجر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زيدت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ويجب الفطرة على من عنده قوت السنة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يحلّ له أن يأخذ الزكاة ومن لا يحلّ 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والرواية إما صحيحة أو موثقة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يحلّ له أن يأخذ الزكاة ومن لا يحلّ 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الإطلاقات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حسن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يحل له أن يأخذ الزكاة ومن لا يحل له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يحل له أن يأخذ الزكاة ومن لا يحل له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يحمل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يحل له أن يأخذ الزكاة ومن لا يحل 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زيدت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يحل له أن يأخذ الزكاة ومن لا يحل له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المعايش والمكاسب والفوائد</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العلو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زيدت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ملاحظة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يريد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زيدت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ودابّة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إشكال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يحل له أن يأخذ الزكاة ومن لا يحل له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يحل له أن يأخذ الزكاة ومن لا يحل له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مستحق الزكاة للفقر والمسكنة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يحل له أن يأخذ الزكاة ومن لا يحل 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وزّعه وقسّمه عليهم</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يحل له أن يأخذ الزكاة ومن لا يحل له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اعطاء الزكاة للولد والقرابة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لأدمهم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يحل له أن يأخذ الزكاة ومن لا يحل له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حكاه الفاضل في شرح الروضة عنه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أختار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ذكر القولين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أقل ما يعطى من الزكاة وأكثر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أقل ما يعطى من الزكاة وأكثر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وأغنه إن قدرت أن تغنيه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أن يخرج من الصدقة وأقل ما يعطى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يحل له أن يأخذ الزكاة ومن لا يحل له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ومما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يحل له أن يأخذ الزكاة ومن لا يحل له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يحل له أن يأخذ الزكاة ومن لا يحل له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أدرجناها من المصدر</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جواز أخذ الفقير للزكاة وإن كان له خادم ودابة ودار مما يحتاج إليه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إشكال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عليها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واليسير ، والنضّ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المتيسّر ، وقد يقال للمكروه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نضض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أمرا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ثمن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وأخبرها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بأن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الأخبار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القبول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أضيفت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وأما إذا جهل بحاله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أعطى زكاة ماله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توجب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الحلبي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يعطي من الزكاة من يظن أنه معسر ثم يجده موسرا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غولها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لو راعى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أصناف أهل الزكاة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بيت المال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وكذا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المتعلّقة بالصدقات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لا يتوقّف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إدراك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ذاك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والتعليل تجده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حتى يستحقه المالك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المستحقة المالك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حرمة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الصدقة لبني هاشم ومواليهم وصلتهم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مدارك الاحكام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حبواها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جوها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عنبسة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عينية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أصناف أهل الزكاة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المؤلفة قلوبهم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أشهدوا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وإعطاء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المؤلفة قلوبهم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ليس على ما ينبغي ، وأما الثاني فلا خلاف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نبوته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ثبوته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حينئذ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الحضور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ذلك بر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 هي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والشرعية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المؤلفة قلوبهم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المؤلفة قلوبهم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المكاتبة ح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خصوصيّته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يحج من الزكاة أو يعتق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تباع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المستحقين للزكاة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أصناف مستحق الزكاة وأحكامهم ،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النافع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تفضيل القرابة في الزكاة ومن لا يجوز منهم أن يعطوا من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أضيفت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للصورتين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الصورتين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يحج من الزكاة أو يعتق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قول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يحج من الزكاة أو يعتق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مقام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وضع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سهل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ويؤيد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يشكل الحال الحكم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ابراهيم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أصناف مستحق الزكاة وأحكامهم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العتق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ذمة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البيان والروضة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لسدّ دفع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المولى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المكاتب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يرتد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فاستحقاق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لفقهاء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والإشكال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وعزاه في المدارك الى الأصحاب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من حق الإمام على الرعية وحق الرعية على الإمام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الزكاة دينهم 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عدم جواز دفع الزكاة إلى الغارم في معصية ، ح </w:t>
      </w:r>
      <w:r>
        <w:rPr>
          <w:rFonts w:eastAsia="IRNazanin" w:cs="IRNazanin"/>
          <w:b w:val="false"/>
          <w:bCs w:val="false"/>
          <w:i w:val="false"/>
          <w:iCs w:val="false"/>
          <w:color w:val="333333"/>
          <w:sz w:val="20"/>
          <w:szCs w:val="20"/>
        </w:rPr>
        <w:t>12063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أصناف مستحق الزكاة وأحكامهم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يبالون و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أصناف أهل الزكاة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وحصول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المعصية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يكتفى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الإجماع المعلوم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نجاد</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وقد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سبيل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للأجل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الصناعة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ماضيان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في الأصول المخطوطة</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المقام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مال اليتيم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حيلولتهما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الفطرة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مال المملوك والمكاتب والمجنون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أعليه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مال المملوك والمكاتب والمجنون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للمملوك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عدم وجوب الفطرة على غير البالغ العاقل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قابلين </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وبه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المكاتب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الفطرة ح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الأخبار </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الاستناد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واو </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قدر الفطرة ومن تجب عليه أن يؤدى عنه ومستحق الفطرة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وإن لم يجز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أن له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فالاحتجاج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ففي </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ثبوت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زيدت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التبعض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اشاعة التصرف </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اسائة </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أعليه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سقوط الفطرة عن الفقير والمحتاج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سقوط الفطرة عن الفقير والمحتاج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الفطرة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تحرم</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الفقر الذي يجوز معه أخذ الزكاة أن لا يملك مئونة السنة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الفطرة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أعلى </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سقوط الفطرة عن الفقير والمحتاج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سقوط الفطرة عن الفقير والمحتاج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نرى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فيه إن شاء اللّه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تلك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قوة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محل </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تلك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حسبما </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تبصرة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الفطرة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كمية زكاة الفطرة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الفطرة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الفطرة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عياله صدقة </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الإيجاب</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واو </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واو </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صاحبا </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زيدت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ببذله </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أثبتناه في المتن</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نظرا </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استحقاق </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الوجه </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الشارع </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دعوى </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واو </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الفطرة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عبدين </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فيهم </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زكاة الفطرة على السيد إذ اكمل له رأس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بين قوم عليهم فيه </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أضفعفها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وما في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الضيف من </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الفطرة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أيؤدّي حر أو مملوك </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الحكاية في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الضيف </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الحكاية في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الحكاية في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الحكاية في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بصدق </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يفل </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لصدق </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العنوانين </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اختبار </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هذه </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الفتاوى النادرة المنسوب بابن ادريس</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الانتفاء </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المعيال </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تعلّق </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أحدها </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زيدت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يتحمل </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غير أن أريد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تعقب </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الواو زيدت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واو </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يتأدّى </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للصرف </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فيتخلص ماله عن حق الزكاة ويبرء </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الزكاة تبعث من بلد إلى بلد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ماله فذهبت </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الزكاة تبعث من بلد إلى بلد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الفطرة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إخراج القيمة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الأخيرة ما </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عزل الفطرة عند الوجوب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التأمل </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حينئذ </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مالك </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تعين </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بياض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وهكذا في بقية النسخ ، وبهذا يتم كتاب الزكاة ناقصا في تأليفه</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القديمين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جنيد وابن أبى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الرموز والإشارات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الحلبي </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يرون </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كما </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الزكاة في مال اليتيم الصامت إذا اتجر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وضمنه </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الزكاة في مال اليتيم الصامت إذا اتجر به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بكون </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فقد </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تخطى </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بنصف </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الولد لاحق بالحر من الأبوين أيهما كان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أجيرا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أخيرا </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فلو </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وردت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المتاع وشرائه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نقض </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جهة </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أبيت أخذه حتى استطلع</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وظاهر </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النّبيّ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عتق إلّا فيها يملك </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الكلاء والزرع والأشجار والأرضيين ح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الأرضين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قل </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من باع سلعة بثمن حالّا وبأزيد منه مؤجّلا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فيما </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فلانه </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محرما </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صحة </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تعقب </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واو </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الواو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المتواردة </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اعواضه </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 نر </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يمضي </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وتسليمها </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ودعوى </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يعتمل </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تعقب </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أوقع </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يتخيّر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غير </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لنفسه </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فالإنشاء </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يكون </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إليه </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يزالون </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يبنوا </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عنها </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ذلك العقد الخاص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يقتضيه </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الخاصّ من دونه إذا المفروض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أصل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بالعوض المعلوم و </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نفوذ </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وكذا الحال في الصورة الثانية ، فإن عدم تنفيذه خصوصية نقله إلى المشتري لا ينافي تنفيذه اصل </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فإن قلنا </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المبيع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نقل المبيع </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 النقل </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عقلا </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بين المثمن والثمن </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الثمن </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فلا </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منعقدا </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ليتحقق العتق </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يصحّحه </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تعقبه </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يتبين </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الآخر </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تلفها نعم </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لقبضه </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يستلزم العقد لعلم </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لتبعض </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ظن </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زيدت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زيدت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أوقع </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فضولا على ماله </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 </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هلكه </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الفضول </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 العطف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فيجيز </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الهلاليين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أبي جنيد </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الاكتفاء </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كانوا </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جهلها </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الاستجماع 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باعتبار </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خارجية </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يتعلّق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يتعلق به </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تفرق </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وقع </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أضيفت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بالوفاء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عملا بالأمر </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بمقتضا </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فالصحة </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وبالصحة </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حق الغير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الغير </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إلى قيمتها </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 منفردا </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يستحقه </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فيعرف </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توقف </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ولسقوطه </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منفردين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قيمتها </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الضيغة </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قمية </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ببذل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يبذل </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منعه </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استحقاقها </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القيمتين </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بنسبته </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زيادة واو</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اذا </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مولى عليه </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أجازه </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المال </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ودار </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والتفاضل </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فلا كلا </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لآخر </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لآخر </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فيبطل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وأقرره </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حينئذ </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نصف </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اختلفت </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فيسقط </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المذكور منهيّ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اتّحاد البيع </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التعلقة </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تقسطه </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بقبول </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المتقارب </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امارة </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اعتبرا </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الرقبة </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المعنيين </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نلحقها </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سلّم </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غيره الثمرة </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زمنا </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بيع المتمول من الحنطة </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يتقسط </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للمنفعة </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لصلح </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غير </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البيوع ح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المضمون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لم يكن </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المضمون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فيعطهم </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شراء الطعام وبيعه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المضمون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البيوع ح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المضمون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جواز بيع المبيع قبل قبضه على الكراهة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شراء الطعام وبيعه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المضمون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تبعه </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المضمون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تكيله </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المضمون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وورد </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أدرجت في المتن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ومشوش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الأصحاب </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يكون </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الاخيرين </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عمّن </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الفضولي </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حصة </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المضمون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بحيث تنصرف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وكراهة للوضعية </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ملازمة </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سلطنة بتركه عليه </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التفريع </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التفريع </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البقاء </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نافعا </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تسليطه </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يد </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أقر </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تحصل </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المنصوب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كان المنسوب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المغصوب </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إذا قبضه المستأجر </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المنسوب </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التصرف </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الغير </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لكون </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دفع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يسقط حقّ الآخر </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إليه وتصرّف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البائع </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دفع </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قطعا </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فيما </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رفع 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معنى لزيادة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تكون العبارة الآتية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الموكّل يده </w:t>
      </w:r>
      <w:r>
        <w:rPr>
          <w:rFonts w:eastAsia="IRNazanin" w:cs="IRNazanin"/>
          <w:b w:val="false"/>
          <w:bCs w:val="false"/>
          <w:i w:val="false"/>
          <w:iCs w:val="false"/>
          <w:color w:val="333333"/>
          <w:sz w:val="20"/>
          <w:szCs w:val="20"/>
          <w:rtl w:val="true"/>
        </w:rPr>
        <w:t>.. ».</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رفعه </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مسببا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سببا من </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رفعه </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رفع </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وظيفة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الحاكم </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تراخيهما </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وذلك </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لك </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يعقد </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دفعه </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يكون </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تعلّق </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الهبة </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خلافا </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لوجب </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أضيفت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المضمون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تلفها </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وذلك ليس </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واو العطف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أضيفت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ليقينهم </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وما ورد </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المتعاقدان </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لم ترد إلّا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ثمرة </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فيندرج </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حسبما </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تمام </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الايجاب على القبول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تقديم </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رافق </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والسقوف </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الشبابيك </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كونه </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مجمع الفائدة والبرهان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كانت </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المثبتة </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والرشاد الدلو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والرشا والدلو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البستان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الدلو ،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أرشية ، وفي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أتبع الدلو رشاءها ، يضرب في اتباع أحد الصاحبين للآخر</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زيدت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بيت </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ثبت </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حينئذ </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لم ترد إلّا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اخر </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ولوضعه </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بعوض </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يتصرّف </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إليه </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غاية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غاية الأمر تخييره من جهة الضرر فإذا أمضاه كان له المنفعة على مقتضى ظاهر العقد </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يفصل </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أضيفت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وضع </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والنقاع </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وحينئذ </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فيجيز </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يحتمل </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وأن ينفتح خبذه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ينضج عنده </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البقية </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أبره فثمرته </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قضى </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الثمار وشرائها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الثمار وشرائها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أضيفت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مما زيدت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مطلقة </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إلى السقي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السقى </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تعاسرا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تعارضا </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لسقي </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اقتضائها </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يخلو </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مكست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سكت </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تبقية </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ينبت </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ينبت </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السيوف والأبنية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يؤديها وليس لصاحب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فلو </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اشتراط </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الحائل </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القيامة </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وقد فرغت من تسويده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حشرنا اللّه معهم يوم القيامة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image" Target="media/image2.jpeg"/><Relationship Id="rId447" Type="http://schemas.openxmlformats.org/officeDocument/2006/relationships/image" Target="media/image2.jpeg"/><Relationship Id="rId448" Type="http://schemas.openxmlformats.org/officeDocument/2006/relationships/footer" Target="footer441.xml"/><Relationship Id="rId449" Type="http://schemas.openxmlformats.org/officeDocument/2006/relationships/footnotes" Target="footnotes.xml"/><Relationship Id="rId450" Type="http://schemas.openxmlformats.org/officeDocument/2006/relationships/numbering" Target="numbering.xml"/><Relationship Id="rId451" Type="http://schemas.openxmlformats.org/officeDocument/2006/relationships/fontTable" Target="fontTable.xml"/><Relationship Id="rId452" Type="http://schemas.openxmlformats.org/officeDocument/2006/relationships/settings" Target="settings.xml"/><Relationship Id="rId4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447</Pages>
  <Words>108365</Words>
  <Characters>420957</Characters>
  <CharactersWithSpaces>525443</CharactersWithSpaces>
  <Paragraphs>6348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2026-08-25T05:16:52Z</dcterms:created>
  <dc:creator>ghaemiyeh.com</dc:creator>
  <dc:description/>
  <dc:language>en-US</dc:language>
  <cp:lastModifiedBy/>
  <dcterms:modified xsi:type="dcterms:W3CDTF">2026-08-25T08:47:06Z</dcterms:modified>
  <cp:revision>1</cp:revision>
  <dc:subject/>
  <dc:title>تبصرة الفقهاء جلد 3</dc:title>
</cp:coreProperties>
</file>

<file path=docProps/custom.xml><?xml version="1.0" encoding="utf-8"?>
<Properties xmlns="http://schemas.openxmlformats.org/officeDocument/2006/custom-properties" xmlns:vt="http://schemas.openxmlformats.org/officeDocument/2006/docPropsVTypes"/>
</file>