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تبصرة الفقهاء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38297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4338299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338301_2142443653">
            <w:r>
              <w:rPr>
                <w:webHidden/>
                <w:rStyle w:val="IndexLink"/>
                <w:rtl w:val="true"/>
              </w:rPr>
              <w:t>البحث الثالث</w:t>
            </w:r>
            <w:r>
              <w:rPr>
                <w:rStyle w:val="IndexLink"/>
                <w:rtl w:val="true"/>
              </w:rPr>
              <w:t xml:space="preserve">: </w:t>
            </w:r>
            <w:r>
              <w:rPr>
                <w:rStyle w:val="IndexLink"/>
                <w:rtl w:val="true"/>
              </w:rPr>
              <w:t>في شرائط الوضوء</w:t>
            </w:r>
            <w:r>
              <w:rPr>
                <w:rStyle w:val="IndexLink"/>
                <w:rtl w:val="true"/>
              </w:rPr>
              <w:tab/>
            </w:r>
            <w:r>
              <w:rPr>
                <w:rStyle w:val="IndexLink"/>
              </w:rPr>
              <w:t>11</w:t>
            </w:r>
          </w:hyperlink>
        </w:p>
        <w:p>
          <w:pPr>
            <w:pStyle w:val="Contents3"/>
            <w:tabs>
              <w:tab w:val="clear" w:pos="8459"/>
              <w:tab w:val="right" w:pos="9026" w:leader="dot"/>
            </w:tabs>
            <w:rPr/>
          </w:pPr>
          <w:hyperlink w:anchor="__RefHeading___Toc14338303_2142443653">
            <w:r>
              <w:rPr>
                <w:webHidden/>
                <w:rStyle w:val="IndexLink"/>
                <w:rtl w:val="true"/>
              </w:rPr>
              <w:t>تبصرة</w:t>
            </w:r>
            <w:r>
              <w:rPr>
                <w:rStyle w:val="IndexLink"/>
                <w:rtl w:val="true"/>
              </w:rPr>
              <w:t xml:space="preserve">: [ </w:t>
            </w:r>
            <w:r>
              <w:rPr>
                <w:rStyle w:val="IndexLink"/>
                <w:rtl w:val="true"/>
              </w:rPr>
              <w:t xml:space="preserve">في اعتبار البدء من الأعلى في الغسلات الثلاث </w:t>
            </w:r>
            <w:r>
              <w:rPr>
                <w:rStyle w:val="IndexLink"/>
                <w:rtl w:val="true"/>
              </w:rPr>
              <w:t>]</w:t>
              <w:tab/>
            </w:r>
            <w:r>
              <w:rPr>
                <w:rStyle w:val="IndexLink"/>
              </w:rPr>
              <w:t>11</w:t>
            </w:r>
          </w:hyperlink>
        </w:p>
        <w:p>
          <w:pPr>
            <w:pStyle w:val="Contents3"/>
            <w:tabs>
              <w:tab w:val="clear" w:pos="8459"/>
              <w:tab w:val="right" w:pos="9026" w:leader="dot"/>
            </w:tabs>
            <w:rPr/>
          </w:pPr>
          <w:hyperlink w:anchor="__RefHeading___Toc14338305_2142443653">
            <w:r>
              <w:rPr>
                <w:webHidden/>
                <w:rStyle w:val="IndexLink"/>
                <w:rtl w:val="true"/>
              </w:rPr>
              <w:t>تبصرة</w:t>
            </w:r>
            <w:r>
              <w:rPr>
                <w:rStyle w:val="IndexLink"/>
                <w:rtl w:val="true"/>
              </w:rPr>
              <w:t xml:space="preserve">: [ </w:t>
            </w:r>
            <w:r>
              <w:rPr>
                <w:rStyle w:val="IndexLink"/>
                <w:rtl w:val="true"/>
              </w:rPr>
              <w:t xml:space="preserve">في اعتبار المباشرة في الأفعال </w:t>
            </w:r>
            <w:r>
              <w:rPr>
                <w:rStyle w:val="IndexLink"/>
                <w:rtl w:val="true"/>
              </w:rPr>
              <w:t>]</w:t>
              <w:tab/>
            </w:r>
            <w:r>
              <w:rPr>
                <w:rStyle w:val="IndexLink"/>
              </w:rPr>
              <w:t>19</w:t>
            </w:r>
          </w:hyperlink>
        </w:p>
        <w:p>
          <w:pPr>
            <w:pStyle w:val="Contents3"/>
            <w:tabs>
              <w:tab w:val="clear" w:pos="8459"/>
              <w:tab w:val="right" w:pos="9026" w:leader="dot"/>
            </w:tabs>
            <w:rPr/>
          </w:pPr>
          <w:hyperlink w:anchor="__RefHeading___Toc14338307_2142443653">
            <w:r>
              <w:rPr>
                <w:webHidden/>
                <w:rStyle w:val="IndexLink"/>
                <w:rtl w:val="true"/>
              </w:rPr>
              <w:t>تبصرة</w:t>
            </w:r>
            <w:r>
              <w:rPr>
                <w:rStyle w:val="IndexLink"/>
                <w:rtl w:val="true"/>
              </w:rPr>
              <w:t xml:space="preserve">: [ </w:t>
            </w:r>
            <w:r>
              <w:rPr>
                <w:rStyle w:val="IndexLink"/>
                <w:rtl w:val="true"/>
              </w:rPr>
              <w:t xml:space="preserve">في مراعاة الترتيب </w:t>
            </w:r>
            <w:r>
              <w:rPr>
                <w:rStyle w:val="IndexLink"/>
                <w:rtl w:val="true"/>
              </w:rPr>
              <w:t>]</w:t>
              <w:tab/>
            </w:r>
            <w:r>
              <w:rPr>
                <w:rStyle w:val="IndexLink"/>
              </w:rPr>
              <w:t>22</w:t>
            </w:r>
          </w:hyperlink>
        </w:p>
        <w:p>
          <w:pPr>
            <w:pStyle w:val="Contents3"/>
            <w:tabs>
              <w:tab w:val="clear" w:pos="8459"/>
              <w:tab w:val="right" w:pos="9026" w:leader="dot"/>
            </w:tabs>
            <w:rPr/>
          </w:pPr>
          <w:hyperlink w:anchor="__RefHeading___Toc14338309_2142443653">
            <w:r>
              <w:rPr>
                <w:webHidden/>
                <w:rStyle w:val="IndexLink"/>
                <w:rtl w:val="true"/>
              </w:rPr>
              <w:t>تبصرة</w:t>
            </w:r>
            <w:r>
              <w:rPr>
                <w:rStyle w:val="IndexLink"/>
                <w:rtl w:val="true"/>
              </w:rPr>
              <w:t xml:space="preserve">: [ </w:t>
            </w:r>
            <w:r>
              <w:rPr>
                <w:rStyle w:val="IndexLink"/>
                <w:rtl w:val="true"/>
              </w:rPr>
              <w:t xml:space="preserve">في اشتراط الموالاة </w:t>
            </w:r>
            <w:r>
              <w:rPr>
                <w:rStyle w:val="IndexLink"/>
                <w:rtl w:val="true"/>
              </w:rPr>
              <w:t>]</w:t>
              <w:tab/>
            </w:r>
            <w:r>
              <w:rPr>
                <w:rStyle w:val="IndexLink"/>
              </w:rPr>
              <w:t>26</w:t>
            </w:r>
          </w:hyperlink>
        </w:p>
        <w:p>
          <w:pPr>
            <w:pStyle w:val="Contents4"/>
            <w:tabs>
              <w:tab w:val="clear" w:pos="8176"/>
              <w:tab w:val="right" w:pos="9026" w:leader="dot"/>
            </w:tabs>
            <w:rPr/>
          </w:pPr>
          <w:hyperlink w:anchor="__RefHeading___Toc14338311_2142443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338313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29</w:t>
            </w:r>
          </w:hyperlink>
        </w:p>
        <w:p>
          <w:pPr>
            <w:pStyle w:val="Contents3"/>
            <w:tabs>
              <w:tab w:val="clear" w:pos="8459"/>
              <w:tab w:val="right" w:pos="9026" w:leader="dot"/>
            </w:tabs>
            <w:rPr/>
          </w:pPr>
          <w:hyperlink w:anchor="__RefHeading___Toc14338315_2142443653">
            <w:r>
              <w:rPr>
                <w:webHidden/>
                <w:rStyle w:val="IndexLink"/>
                <w:rtl w:val="true"/>
              </w:rPr>
              <w:t>تبصرة</w:t>
            </w:r>
            <w:r>
              <w:rPr>
                <w:rStyle w:val="IndexLink"/>
                <w:rtl w:val="true"/>
              </w:rPr>
              <w:t xml:space="preserve">: [ </w:t>
            </w:r>
            <w:r>
              <w:rPr>
                <w:rStyle w:val="IndexLink"/>
                <w:rtl w:val="true"/>
              </w:rPr>
              <w:t xml:space="preserve">في اشتراط طهورية ماء الوضوء </w:t>
            </w:r>
            <w:r>
              <w:rPr>
                <w:rStyle w:val="IndexLink"/>
                <w:rtl w:val="true"/>
              </w:rPr>
              <w:t>]</w:t>
              <w:tab/>
            </w:r>
            <w:r>
              <w:rPr>
                <w:rStyle w:val="IndexLink"/>
              </w:rPr>
              <w:t>31</w:t>
            </w:r>
          </w:hyperlink>
        </w:p>
        <w:p>
          <w:pPr>
            <w:pStyle w:val="Contents3"/>
            <w:tabs>
              <w:tab w:val="clear" w:pos="8459"/>
              <w:tab w:val="right" w:pos="9026" w:leader="dot"/>
            </w:tabs>
            <w:rPr/>
          </w:pPr>
          <w:hyperlink w:anchor="__RefHeading___Toc14338317_2142443653">
            <w:r>
              <w:rPr>
                <w:webHidden/>
                <w:rStyle w:val="IndexLink"/>
                <w:rtl w:val="true"/>
              </w:rPr>
              <w:t>تبصرة</w:t>
            </w:r>
            <w:r>
              <w:rPr>
                <w:rStyle w:val="IndexLink"/>
                <w:rtl w:val="true"/>
              </w:rPr>
              <w:t xml:space="preserve">: [ </w:t>
            </w:r>
            <w:r>
              <w:rPr>
                <w:rStyle w:val="IndexLink"/>
                <w:rtl w:val="true"/>
              </w:rPr>
              <w:t xml:space="preserve">في اشتراط جواز التصرف في الماء </w:t>
            </w:r>
            <w:r>
              <w:rPr>
                <w:rStyle w:val="IndexLink"/>
                <w:rtl w:val="true"/>
              </w:rPr>
              <w:t>]</w:t>
              <w:tab/>
            </w:r>
            <w:r>
              <w:rPr>
                <w:rStyle w:val="IndexLink"/>
              </w:rPr>
              <w:t>35</w:t>
            </w:r>
          </w:hyperlink>
        </w:p>
        <w:p>
          <w:pPr>
            <w:pStyle w:val="Contents3"/>
            <w:tabs>
              <w:tab w:val="clear" w:pos="8459"/>
              <w:tab w:val="right" w:pos="9026" w:leader="dot"/>
            </w:tabs>
            <w:rPr/>
          </w:pPr>
          <w:hyperlink w:anchor="__RefHeading___Toc14338319_2142443653">
            <w:r>
              <w:rPr>
                <w:webHidden/>
                <w:rStyle w:val="IndexLink"/>
                <w:rtl w:val="true"/>
              </w:rPr>
              <w:t>تبصرة</w:t>
            </w:r>
            <w:r>
              <w:rPr>
                <w:rStyle w:val="IndexLink"/>
                <w:rtl w:val="true"/>
              </w:rPr>
              <w:t xml:space="preserve">: [ </w:t>
            </w:r>
            <w:r>
              <w:rPr>
                <w:rStyle w:val="IndexLink"/>
                <w:rtl w:val="true"/>
              </w:rPr>
              <w:t xml:space="preserve">في اشتراط إباحة المكان </w:t>
            </w:r>
            <w:r>
              <w:rPr>
                <w:rStyle w:val="IndexLink"/>
                <w:rtl w:val="true"/>
              </w:rPr>
              <w:t>]</w:t>
              <w:tab/>
            </w:r>
            <w:r>
              <w:rPr>
                <w:rStyle w:val="IndexLink"/>
              </w:rPr>
              <w:t>38</w:t>
            </w:r>
          </w:hyperlink>
        </w:p>
        <w:p>
          <w:pPr>
            <w:pStyle w:val="Contents3"/>
            <w:tabs>
              <w:tab w:val="clear" w:pos="8459"/>
              <w:tab w:val="right" w:pos="9026" w:leader="dot"/>
            </w:tabs>
            <w:rPr/>
          </w:pPr>
          <w:hyperlink w:anchor="__RefHeading___Toc14338321_2142443653">
            <w:r>
              <w:rPr>
                <w:webHidden/>
                <w:rStyle w:val="IndexLink"/>
                <w:rtl w:val="true"/>
              </w:rPr>
              <w:t>تبصرة</w:t>
            </w:r>
            <w:r>
              <w:rPr>
                <w:rStyle w:val="IndexLink"/>
                <w:rtl w:val="true"/>
              </w:rPr>
              <w:t xml:space="preserve">: [ </w:t>
            </w:r>
            <w:r>
              <w:rPr>
                <w:rStyle w:val="IndexLink"/>
                <w:rtl w:val="true"/>
              </w:rPr>
              <w:t xml:space="preserve">في طهارة أعضاء الوضوء </w:t>
            </w:r>
            <w:r>
              <w:rPr>
                <w:rStyle w:val="IndexLink"/>
                <w:rtl w:val="true"/>
              </w:rPr>
              <w:t>]</w:t>
              <w:tab/>
            </w:r>
            <w:r>
              <w:rPr>
                <w:rStyle w:val="IndexLink"/>
              </w:rPr>
              <w:t>40</w:t>
            </w:r>
          </w:hyperlink>
        </w:p>
        <w:p>
          <w:pPr>
            <w:pStyle w:val="Contents3"/>
            <w:tabs>
              <w:tab w:val="clear" w:pos="8459"/>
              <w:tab w:val="right" w:pos="9026" w:leader="dot"/>
            </w:tabs>
            <w:rPr/>
          </w:pPr>
          <w:hyperlink w:anchor="__RefHeading___Toc14338323_2142443653">
            <w:r>
              <w:rPr>
                <w:webHidden/>
                <w:rStyle w:val="IndexLink"/>
                <w:rtl w:val="true"/>
              </w:rPr>
              <w:t>تبصرة</w:t>
            </w:r>
            <w:r>
              <w:rPr>
                <w:rStyle w:val="IndexLink"/>
                <w:rtl w:val="true"/>
              </w:rPr>
              <w:t xml:space="preserve">: [ </w:t>
            </w:r>
            <w:r>
              <w:rPr>
                <w:rStyle w:val="IndexLink"/>
                <w:rtl w:val="true"/>
              </w:rPr>
              <w:t xml:space="preserve">في اشتراط الإسلام والإيمان </w:t>
            </w:r>
            <w:r>
              <w:rPr>
                <w:rStyle w:val="IndexLink"/>
                <w:rtl w:val="true"/>
              </w:rPr>
              <w:t>]</w:t>
              <w:tab/>
            </w:r>
            <w:r>
              <w:rPr>
                <w:rStyle w:val="IndexLink"/>
              </w:rPr>
              <w:t>42</w:t>
            </w:r>
          </w:hyperlink>
        </w:p>
        <w:p>
          <w:pPr>
            <w:pStyle w:val="Contents2"/>
            <w:tabs>
              <w:tab w:val="clear" w:pos="8743"/>
              <w:tab w:val="right" w:pos="9026" w:leader="dot"/>
            </w:tabs>
            <w:rPr/>
          </w:pPr>
          <w:hyperlink w:anchor="__RefHeading___Toc14338325_2142443653">
            <w:r>
              <w:rPr>
                <w:webHidden/>
                <w:rStyle w:val="IndexLink"/>
                <w:rtl w:val="true"/>
              </w:rPr>
              <w:t>البحث الرابع</w:t>
            </w:r>
            <w:r>
              <w:rPr>
                <w:rStyle w:val="IndexLink"/>
                <w:rtl w:val="true"/>
              </w:rPr>
              <w:t xml:space="preserve">: </w:t>
            </w:r>
            <w:r>
              <w:rPr>
                <w:rStyle w:val="IndexLink"/>
                <w:rtl w:val="true"/>
              </w:rPr>
              <w:t>في مندوبات الوضوء ومكروهاته</w:t>
            </w:r>
            <w:r>
              <w:rPr>
                <w:rStyle w:val="IndexLink"/>
                <w:rtl w:val="true"/>
              </w:rPr>
              <w:tab/>
            </w:r>
            <w:r>
              <w:rPr>
                <w:rStyle w:val="IndexLink"/>
              </w:rPr>
              <w:t>44</w:t>
            </w:r>
          </w:hyperlink>
        </w:p>
        <w:p>
          <w:pPr>
            <w:pStyle w:val="Contents3"/>
            <w:tabs>
              <w:tab w:val="clear" w:pos="8459"/>
              <w:tab w:val="right" w:pos="9026" w:leader="dot"/>
            </w:tabs>
            <w:rPr/>
          </w:pPr>
          <w:hyperlink w:anchor="__RefHeading___Toc14338327_2142443653">
            <w:r>
              <w:rPr>
                <w:webHidden/>
                <w:rStyle w:val="IndexLink"/>
                <w:rtl w:val="true"/>
              </w:rPr>
              <w:t>تبصرة</w:t>
            </w:r>
            <w:r>
              <w:rPr>
                <w:rStyle w:val="IndexLink"/>
                <w:rtl w:val="true"/>
              </w:rPr>
              <w:t xml:space="preserve">: [ </w:t>
            </w:r>
            <w:r>
              <w:rPr>
                <w:rStyle w:val="IndexLink"/>
                <w:rtl w:val="true"/>
              </w:rPr>
              <w:t xml:space="preserve">في بعض مندوباته </w:t>
            </w:r>
            <w:r>
              <w:rPr>
                <w:rStyle w:val="IndexLink"/>
                <w:rtl w:val="true"/>
              </w:rPr>
              <w:t>]</w:t>
              <w:tab/>
            </w:r>
            <w:r>
              <w:rPr>
                <w:rStyle w:val="IndexLink"/>
              </w:rPr>
              <w:t>44</w:t>
            </w:r>
          </w:hyperlink>
        </w:p>
        <w:p>
          <w:pPr>
            <w:pStyle w:val="Contents2"/>
            <w:tabs>
              <w:tab w:val="clear" w:pos="8743"/>
              <w:tab w:val="right" w:pos="9026" w:leader="dot"/>
            </w:tabs>
            <w:rPr/>
          </w:pPr>
          <w:hyperlink w:anchor="__RefHeading___Toc14338329_2142443653">
            <w:r>
              <w:rPr>
                <w:webHidden/>
                <w:rStyle w:val="IndexLink"/>
                <w:rtl w:val="true"/>
              </w:rPr>
              <w:t>البحث الخامس</w:t>
            </w:r>
            <w:r>
              <w:rPr>
                <w:rStyle w:val="IndexLink"/>
                <w:rtl w:val="true"/>
              </w:rPr>
              <w:t xml:space="preserve">: </w:t>
            </w:r>
            <w:r>
              <w:rPr>
                <w:rStyle w:val="IndexLink"/>
                <w:rtl w:val="true"/>
              </w:rPr>
              <w:t>في الوضوء الاضطراري</w:t>
            </w:r>
            <w:r>
              <w:rPr>
                <w:rStyle w:val="IndexLink"/>
                <w:rtl w:val="true"/>
              </w:rPr>
              <w:tab/>
            </w:r>
            <w:r>
              <w:rPr>
                <w:rStyle w:val="IndexLink"/>
              </w:rPr>
              <w:t>47</w:t>
            </w:r>
          </w:hyperlink>
        </w:p>
        <w:p>
          <w:pPr>
            <w:pStyle w:val="Contents3"/>
            <w:tabs>
              <w:tab w:val="clear" w:pos="8459"/>
              <w:tab w:val="right" w:pos="9026" w:leader="dot"/>
            </w:tabs>
            <w:rPr/>
          </w:pPr>
          <w:hyperlink w:anchor="__RefHeading___Toc14338331_2142443653">
            <w:r>
              <w:rPr>
                <w:webHidden/>
                <w:rStyle w:val="IndexLink"/>
                <w:rtl w:val="true"/>
              </w:rPr>
              <w:t>تبصرة</w:t>
            </w:r>
            <w:r>
              <w:rPr>
                <w:rStyle w:val="IndexLink"/>
                <w:rtl w:val="true"/>
              </w:rPr>
              <w:t xml:space="preserve">: [ </w:t>
            </w:r>
            <w:r>
              <w:rPr>
                <w:rStyle w:val="IndexLink"/>
                <w:rtl w:val="true"/>
              </w:rPr>
              <w:t xml:space="preserve">في وضوء مقطوع اليد </w:t>
            </w:r>
            <w:r>
              <w:rPr>
                <w:rStyle w:val="IndexLink"/>
                <w:rtl w:val="true"/>
              </w:rPr>
              <w:t>]</w:t>
              <w:tab/>
            </w:r>
            <w:r>
              <w:rPr>
                <w:rStyle w:val="IndexLink"/>
              </w:rPr>
              <w:t>47</w:t>
            </w:r>
          </w:hyperlink>
        </w:p>
        <w:p>
          <w:pPr>
            <w:pStyle w:val="Contents3"/>
            <w:tabs>
              <w:tab w:val="clear" w:pos="8459"/>
              <w:tab w:val="right" w:pos="9026" w:leader="dot"/>
            </w:tabs>
            <w:rPr/>
          </w:pPr>
          <w:hyperlink w:anchor="__RefHeading___Toc14338333_2142443653">
            <w:r>
              <w:rPr>
                <w:webHidden/>
                <w:rStyle w:val="IndexLink"/>
                <w:rtl w:val="true"/>
              </w:rPr>
              <w:t>تبصرة</w:t>
            </w:r>
            <w:r>
              <w:rPr>
                <w:rStyle w:val="IndexLink"/>
                <w:rtl w:val="true"/>
              </w:rPr>
              <w:t xml:space="preserve">: [ </w:t>
            </w:r>
            <w:r>
              <w:rPr>
                <w:rStyle w:val="IndexLink"/>
                <w:rtl w:val="true"/>
              </w:rPr>
              <w:t xml:space="preserve">في وضوء التقيّة </w:t>
            </w:r>
            <w:r>
              <w:rPr>
                <w:rStyle w:val="IndexLink"/>
                <w:rtl w:val="true"/>
              </w:rPr>
              <w:t>]</w:t>
              <w:tab/>
            </w:r>
            <w:r>
              <w:rPr>
                <w:rStyle w:val="IndexLink"/>
              </w:rPr>
              <w:t>50</w:t>
            </w:r>
          </w:hyperlink>
        </w:p>
        <w:p>
          <w:pPr>
            <w:pStyle w:val="Contents4"/>
            <w:tabs>
              <w:tab w:val="clear" w:pos="8176"/>
              <w:tab w:val="right" w:pos="9026" w:leader="dot"/>
            </w:tabs>
            <w:rPr/>
          </w:pPr>
          <w:hyperlink w:anchor="__RefHeading___Toc14338335_2142443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338337_2142443653">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جواز إتيان الفعل على غير النحو المشروع من جهة التقيّة</w:t>
            </w:r>
            <w:r>
              <w:rPr>
                <w:rStyle w:val="IndexLink"/>
                <w:rtl w:val="true"/>
              </w:rPr>
              <w:tab/>
            </w:r>
            <w:r>
              <w:rPr>
                <w:rStyle w:val="IndexLink"/>
              </w:rPr>
              <w:t>50</w:t>
            </w:r>
          </w:hyperlink>
        </w:p>
        <w:p>
          <w:pPr>
            <w:pStyle w:val="Contents4"/>
            <w:tabs>
              <w:tab w:val="clear" w:pos="8176"/>
              <w:tab w:val="right" w:pos="9026" w:leader="dot"/>
            </w:tabs>
            <w:rPr/>
          </w:pPr>
          <w:hyperlink w:anchor="__RefHeading___Toc14338339_2142443653">
            <w:r>
              <w:rPr>
                <w:webHidden/>
                <w:rStyle w:val="IndexLink"/>
                <w:rtl w:val="true"/>
              </w:rPr>
              <w:t>المقام الثاني</w:t>
            </w:r>
            <w:r>
              <w:rPr>
                <w:rStyle w:val="IndexLink"/>
                <w:rtl w:val="true"/>
              </w:rPr>
              <w:t xml:space="preserve">: </w:t>
            </w:r>
            <w:r>
              <w:rPr>
                <w:rStyle w:val="IndexLink"/>
                <w:rtl w:val="true"/>
              </w:rPr>
              <w:t>في أجزاء الفعل المعمول على جهة التقيّة وعدمه</w:t>
            </w:r>
            <w:r>
              <w:rPr>
                <w:rStyle w:val="IndexLink"/>
                <w:rtl w:val="true"/>
              </w:rPr>
              <w:tab/>
            </w:r>
            <w:r>
              <w:rPr>
                <w:rStyle w:val="IndexLink"/>
              </w:rPr>
              <w:t>52</w:t>
            </w:r>
          </w:hyperlink>
        </w:p>
        <w:p>
          <w:pPr>
            <w:pStyle w:val="Contents3"/>
            <w:tabs>
              <w:tab w:val="clear" w:pos="8459"/>
              <w:tab w:val="right" w:pos="9026" w:leader="dot"/>
            </w:tabs>
            <w:rPr/>
          </w:pPr>
          <w:hyperlink w:anchor="__RefHeading___Toc14338341_2142443653">
            <w:r>
              <w:rPr>
                <w:webHidden/>
                <w:rStyle w:val="IndexLink"/>
                <w:rtl w:val="true"/>
              </w:rPr>
              <w:t>تبصرة</w:t>
            </w:r>
            <w:r>
              <w:rPr>
                <w:rStyle w:val="IndexLink"/>
                <w:rtl w:val="true"/>
              </w:rPr>
              <w:t xml:space="preserve">: [ </w:t>
            </w:r>
            <w:r>
              <w:rPr>
                <w:rStyle w:val="IndexLink"/>
                <w:rtl w:val="true"/>
              </w:rPr>
              <w:t xml:space="preserve">في عدم التمكن من إيصال الماء إلى تمام العضو </w:t>
            </w:r>
            <w:r>
              <w:rPr>
                <w:rStyle w:val="IndexLink"/>
                <w:rtl w:val="true"/>
              </w:rPr>
              <w:t>]</w:t>
              <w:tab/>
            </w:r>
            <w:r>
              <w:rPr>
                <w:rStyle w:val="IndexLink"/>
              </w:rPr>
              <w:t>55</w:t>
            </w:r>
          </w:hyperlink>
        </w:p>
        <w:p>
          <w:pPr>
            <w:pStyle w:val="Contents4"/>
            <w:tabs>
              <w:tab w:val="clear" w:pos="8176"/>
              <w:tab w:val="right" w:pos="9026" w:leader="dot"/>
            </w:tabs>
            <w:rPr/>
          </w:pPr>
          <w:hyperlink w:anchor="__RefHeading___Toc14338343_2142443653">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33834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59</w:t>
            </w:r>
          </w:hyperlink>
        </w:p>
        <w:p>
          <w:pPr>
            <w:pStyle w:val="Contents3"/>
            <w:tabs>
              <w:tab w:val="clear" w:pos="8459"/>
              <w:tab w:val="right" w:pos="9026" w:leader="dot"/>
            </w:tabs>
            <w:rPr/>
          </w:pPr>
          <w:hyperlink w:anchor="__RefHeading___Toc14338347_2142443653">
            <w:r>
              <w:rPr>
                <w:webHidden/>
                <w:rStyle w:val="IndexLink"/>
                <w:rtl w:val="true"/>
              </w:rPr>
              <w:t>تبصرة</w:t>
            </w:r>
            <w:r>
              <w:rPr>
                <w:rStyle w:val="IndexLink"/>
                <w:rtl w:val="true"/>
              </w:rPr>
              <w:t xml:space="preserve">: [ </w:t>
            </w:r>
            <w:r>
              <w:rPr>
                <w:rStyle w:val="IndexLink"/>
                <w:rtl w:val="true"/>
              </w:rPr>
              <w:t xml:space="preserve">في وضوء المسلوس والمبطون </w:t>
            </w:r>
            <w:r>
              <w:rPr>
                <w:rStyle w:val="IndexLink"/>
                <w:rtl w:val="true"/>
              </w:rPr>
              <w:t>]</w:t>
              <w:tab/>
            </w:r>
            <w:r>
              <w:rPr>
                <w:rStyle w:val="IndexLink"/>
              </w:rPr>
              <w:t>64</w:t>
            </w:r>
          </w:hyperlink>
        </w:p>
        <w:p>
          <w:pPr>
            <w:pStyle w:val="Contents2"/>
            <w:tabs>
              <w:tab w:val="clear" w:pos="8743"/>
              <w:tab w:val="right" w:pos="9026" w:leader="dot"/>
            </w:tabs>
            <w:rPr/>
          </w:pPr>
          <w:hyperlink w:anchor="__RefHeading___Toc14338349_2142443653">
            <w:r>
              <w:rPr>
                <w:webHidden/>
                <w:rStyle w:val="IndexLink"/>
                <w:rtl w:val="true"/>
              </w:rPr>
              <w:t>البحث السادس</w:t>
            </w:r>
            <w:r>
              <w:rPr>
                <w:rStyle w:val="IndexLink"/>
                <w:rtl w:val="true"/>
              </w:rPr>
              <w:t xml:space="preserve">: </w:t>
            </w:r>
            <w:r>
              <w:rPr>
                <w:rStyle w:val="IndexLink"/>
                <w:rtl w:val="true"/>
              </w:rPr>
              <w:t>في اللواحق</w:t>
            </w:r>
            <w:r>
              <w:rPr>
                <w:rStyle w:val="IndexLink"/>
                <w:rtl w:val="true"/>
              </w:rPr>
              <w:tab/>
            </w:r>
            <w:r>
              <w:rPr>
                <w:rStyle w:val="IndexLink"/>
              </w:rPr>
              <w:t>69</w:t>
            </w:r>
          </w:hyperlink>
        </w:p>
        <w:p>
          <w:pPr>
            <w:pStyle w:val="Contents3"/>
            <w:tabs>
              <w:tab w:val="clear" w:pos="8459"/>
              <w:tab w:val="right" w:pos="9026" w:leader="dot"/>
            </w:tabs>
            <w:rPr/>
          </w:pPr>
          <w:hyperlink w:anchor="__RefHeading___Toc14338351_2142443653">
            <w:r>
              <w:rPr>
                <w:webHidden/>
                <w:rStyle w:val="IndexLink"/>
                <w:rtl w:val="true"/>
              </w:rPr>
              <w:t>تبصرة</w:t>
            </w:r>
            <w:r>
              <w:rPr>
                <w:rStyle w:val="IndexLink"/>
                <w:rtl w:val="true"/>
              </w:rPr>
              <w:t xml:space="preserve">: [ </w:t>
            </w:r>
            <w:r>
              <w:rPr>
                <w:rStyle w:val="IndexLink"/>
                <w:rtl w:val="true"/>
              </w:rPr>
              <w:t xml:space="preserve">في الشك في أفعال الوضوء </w:t>
            </w:r>
            <w:r>
              <w:rPr>
                <w:rStyle w:val="IndexLink"/>
                <w:rtl w:val="true"/>
              </w:rPr>
              <w:t>]</w:t>
              <w:tab/>
            </w:r>
            <w:r>
              <w:rPr>
                <w:rStyle w:val="IndexLink"/>
              </w:rPr>
              <w:t>69</w:t>
            </w:r>
          </w:hyperlink>
        </w:p>
        <w:p>
          <w:pPr>
            <w:pStyle w:val="Contents4"/>
            <w:tabs>
              <w:tab w:val="clear" w:pos="8176"/>
              <w:tab w:val="right" w:pos="9026" w:leader="dot"/>
            </w:tabs>
            <w:rPr/>
          </w:pPr>
          <w:hyperlink w:anchor="__RefHeading___Toc14338353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433835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72</w:t>
            </w:r>
          </w:hyperlink>
        </w:p>
        <w:p>
          <w:pPr>
            <w:pStyle w:val="Contents3"/>
            <w:tabs>
              <w:tab w:val="clear" w:pos="8459"/>
              <w:tab w:val="right" w:pos="9026" w:leader="dot"/>
            </w:tabs>
            <w:rPr/>
          </w:pPr>
          <w:hyperlink w:anchor="__RefHeading___Toc14338357_2142443653">
            <w:r>
              <w:rPr>
                <w:webHidden/>
                <w:rStyle w:val="IndexLink"/>
                <w:rtl w:val="true"/>
              </w:rPr>
              <w:t>تبصرة</w:t>
            </w:r>
            <w:r>
              <w:rPr>
                <w:rStyle w:val="IndexLink"/>
                <w:rtl w:val="true"/>
              </w:rPr>
              <w:t xml:space="preserve">: [ </w:t>
            </w:r>
            <w:r>
              <w:rPr>
                <w:rStyle w:val="IndexLink"/>
                <w:rtl w:val="true"/>
              </w:rPr>
              <w:t xml:space="preserve">في الشك في تأخّر الطهارة أو الحدث </w:t>
            </w:r>
            <w:r>
              <w:rPr>
                <w:rStyle w:val="IndexLink"/>
                <w:rtl w:val="true"/>
              </w:rPr>
              <w:t>]</w:t>
              <w:tab/>
            </w:r>
            <w:r>
              <w:rPr>
                <w:rStyle w:val="IndexLink"/>
              </w:rPr>
              <w:t>79</w:t>
            </w:r>
          </w:hyperlink>
        </w:p>
        <w:p>
          <w:pPr>
            <w:pStyle w:val="Contents3"/>
            <w:tabs>
              <w:tab w:val="clear" w:pos="8459"/>
              <w:tab w:val="right" w:pos="9026" w:leader="dot"/>
            </w:tabs>
            <w:rPr/>
          </w:pPr>
          <w:hyperlink w:anchor="__RefHeading___Toc14338359_2142443653">
            <w:r>
              <w:rPr>
                <w:webHidden/>
                <w:rStyle w:val="IndexLink"/>
                <w:rtl w:val="true"/>
              </w:rPr>
              <w:t>تبصرة</w:t>
            </w:r>
            <w:r>
              <w:rPr>
                <w:rStyle w:val="IndexLink"/>
                <w:rtl w:val="true"/>
              </w:rPr>
              <w:t xml:space="preserve">: [ </w:t>
            </w:r>
            <w:r>
              <w:rPr>
                <w:rStyle w:val="IndexLink"/>
                <w:rtl w:val="true"/>
              </w:rPr>
              <w:t xml:space="preserve">في الشك في كون الناقض أصغر أو اكبر </w:t>
            </w:r>
            <w:r>
              <w:rPr>
                <w:rStyle w:val="IndexLink"/>
                <w:rtl w:val="true"/>
              </w:rPr>
              <w:t>]</w:t>
              <w:tab/>
            </w:r>
            <w:r>
              <w:rPr>
                <w:rStyle w:val="IndexLink"/>
              </w:rPr>
              <w:t>84</w:t>
            </w:r>
          </w:hyperlink>
        </w:p>
        <w:p>
          <w:pPr>
            <w:pStyle w:val="Contents3"/>
            <w:tabs>
              <w:tab w:val="clear" w:pos="8459"/>
              <w:tab w:val="right" w:pos="9026" w:leader="dot"/>
            </w:tabs>
            <w:rPr/>
          </w:pPr>
          <w:hyperlink w:anchor="__RefHeading___Toc14338361_2142443653">
            <w:r>
              <w:rPr>
                <w:webHidden/>
                <w:rStyle w:val="IndexLink"/>
                <w:rtl w:val="true"/>
              </w:rPr>
              <w:t>تبصرة</w:t>
            </w:r>
            <w:r>
              <w:rPr>
                <w:rStyle w:val="IndexLink"/>
                <w:rtl w:val="true"/>
              </w:rPr>
              <w:t xml:space="preserve">: [ </w:t>
            </w:r>
            <w:r>
              <w:rPr>
                <w:rStyle w:val="IndexLink"/>
                <w:rtl w:val="true"/>
              </w:rPr>
              <w:t xml:space="preserve">في الخلل </w:t>
            </w:r>
            <w:r>
              <w:rPr>
                <w:rStyle w:val="IndexLink"/>
                <w:rtl w:val="true"/>
              </w:rPr>
              <w:t>]</w:t>
              <w:tab/>
            </w:r>
            <w:r>
              <w:rPr>
                <w:rStyle w:val="IndexLink"/>
              </w:rPr>
              <w:t>85</w:t>
            </w:r>
          </w:hyperlink>
        </w:p>
        <w:p>
          <w:pPr>
            <w:pStyle w:val="Contents2"/>
            <w:tabs>
              <w:tab w:val="clear" w:pos="8743"/>
              <w:tab w:val="right" w:pos="9026" w:leader="dot"/>
            </w:tabs>
            <w:rPr/>
          </w:pPr>
          <w:hyperlink w:anchor="__RefHeading___Toc14338363_2142443653">
            <w:r>
              <w:rPr>
                <w:webHidden/>
                <w:rStyle w:val="IndexLink"/>
                <w:rtl w:val="true"/>
              </w:rPr>
              <w:t>الباب الثالث</w:t>
            </w:r>
            <w:r>
              <w:rPr>
                <w:rStyle w:val="IndexLink"/>
                <w:rtl w:val="true"/>
              </w:rPr>
              <w:t xml:space="preserve">: </w:t>
            </w:r>
            <w:r>
              <w:rPr>
                <w:rStyle w:val="IndexLink"/>
                <w:rtl w:val="true"/>
              </w:rPr>
              <w:t>في الغسل</w:t>
            </w:r>
            <w:r>
              <w:rPr>
                <w:rStyle w:val="IndexLink"/>
                <w:rtl w:val="true"/>
              </w:rPr>
              <w:tab/>
            </w:r>
            <w:r>
              <w:rPr>
                <w:rStyle w:val="IndexLink"/>
              </w:rPr>
              <w:t>87</w:t>
            </w:r>
          </w:hyperlink>
        </w:p>
        <w:p>
          <w:pPr>
            <w:pStyle w:val="Contents3"/>
            <w:tabs>
              <w:tab w:val="clear" w:pos="8459"/>
              <w:tab w:val="right" w:pos="9026" w:leader="dot"/>
            </w:tabs>
            <w:rPr/>
          </w:pPr>
          <w:hyperlink w:anchor="__RefHeading___Toc14338365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4338367_2142443653">
            <w:r>
              <w:rPr>
                <w:webHidden/>
                <w:rStyle w:val="IndexLink"/>
                <w:rtl w:val="true"/>
              </w:rPr>
              <w:t>الفصل الأوّل</w:t>
            </w:r>
            <w:r>
              <w:rPr>
                <w:rStyle w:val="IndexLink"/>
                <w:rtl w:val="true"/>
              </w:rPr>
              <w:t xml:space="preserve">: </w:t>
            </w:r>
            <w:r>
              <w:rPr>
                <w:rStyle w:val="IndexLink"/>
                <w:rtl w:val="true"/>
              </w:rPr>
              <w:t>في غسل الجنابة</w:t>
            </w:r>
            <w:r>
              <w:rPr>
                <w:rStyle w:val="IndexLink"/>
                <w:rtl w:val="true"/>
              </w:rPr>
              <w:tab/>
            </w:r>
            <w:r>
              <w:rPr>
                <w:rStyle w:val="IndexLink"/>
              </w:rPr>
              <w:t>88</w:t>
            </w:r>
          </w:hyperlink>
        </w:p>
        <w:p>
          <w:pPr>
            <w:pStyle w:val="Contents4"/>
            <w:tabs>
              <w:tab w:val="clear" w:pos="8176"/>
              <w:tab w:val="right" w:pos="9026" w:leader="dot"/>
            </w:tabs>
            <w:rPr/>
          </w:pPr>
          <w:hyperlink w:anchor="__RefHeading___Toc14338369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4338371_2142443653">
            <w:r>
              <w:rPr>
                <w:webHidden/>
                <w:rStyle w:val="IndexLink"/>
                <w:rtl w:val="true"/>
              </w:rPr>
              <w:t>البحث الأوّل</w:t>
            </w:r>
            <w:r>
              <w:rPr>
                <w:rStyle w:val="IndexLink"/>
                <w:rtl w:val="true"/>
              </w:rPr>
              <w:t xml:space="preserve">: </w:t>
            </w:r>
            <w:r>
              <w:rPr>
                <w:rStyle w:val="IndexLink"/>
                <w:rtl w:val="true"/>
              </w:rPr>
              <w:t>في بيان ما يتحقّق به الجنابة</w:t>
            </w:r>
            <w:r>
              <w:rPr>
                <w:rStyle w:val="IndexLink"/>
                <w:rtl w:val="true"/>
              </w:rPr>
              <w:tab/>
            </w:r>
            <w:r>
              <w:rPr>
                <w:rStyle w:val="IndexLink"/>
              </w:rPr>
              <w:t>88</w:t>
            </w:r>
          </w:hyperlink>
        </w:p>
        <w:p>
          <w:pPr>
            <w:pStyle w:val="Contents5"/>
            <w:tabs>
              <w:tab w:val="clear" w:pos="7892"/>
              <w:tab w:val="right" w:pos="9026" w:leader="dot"/>
            </w:tabs>
            <w:rPr/>
          </w:pPr>
          <w:hyperlink w:anchor="__RefHeading___Toc14338373_2142443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4338375_2142443653">
            <w:r>
              <w:rPr>
                <w:webHidden/>
                <w:rStyle w:val="IndexLink"/>
                <w:rtl w:val="true"/>
              </w:rPr>
              <w:t>تبصرة</w:t>
            </w:r>
            <w:r>
              <w:rPr>
                <w:rStyle w:val="IndexLink"/>
                <w:rtl w:val="true"/>
              </w:rPr>
              <w:t xml:space="preserve">: [ </w:t>
            </w:r>
            <w:r>
              <w:rPr>
                <w:rStyle w:val="IndexLink"/>
                <w:rtl w:val="true"/>
              </w:rPr>
              <w:t xml:space="preserve">في تحقق الجنابة بالإنزال </w:t>
            </w:r>
            <w:r>
              <w:rPr>
                <w:rStyle w:val="IndexLink"/>
                <w:rtl w:val="true"/>
              </w:rPr>
              <w:t>]</w:t>
              <w:tab/>
            </w:r>
            <w:r>
              <w:rPr>
                <w:rStyle w:val="IndexLink"/>
              </w:rPr>
              <w:t>88</w:t>
            </w:r>
          </w:hyperlink>
        </w:p>
        <w:p>
          <w:pPr>
            <w:pStyle w:val="Contents6"/>
            <w:tabs>
              <w:tab w:val="clear" w:pos="7609"/>
              <w:tab w:val="right" w:pos="9026" w:leader="dot"/>
            </w:tabs>
            <w:rPr/>
          </w:pPr>
          <w:hyperlink w:anchor="__RefHeading___Toc14338377_2142443653">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433837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89</w:t>
            </w:r>
          </w:hyperlink>
        </w:p>
        <w:p>
          <w:pPr>
            <w:pStyle w:val="Contents5"/>
            <w:tabs>
              <w:tab w:val="clear" w:pos="7892"/>
              <w:tab w:val="right" w:pos="9026" w:leader="dot"/>
            </w:tabs>
            <w:rPr/>
          </w:pPr>
          <w:hyperlink w:anchor="__RefHeading___Toc14338381_2142443653">
            <w:r>
              <w:rPr>
                <w:webHidden/>
                <w:rStyle w:val="IndexLink"/>
                <w:rtl w:val="true"/>
              </w:rPr>
              <w:t xml:space="preserve">تبصرة </w:t>
            </w:r>
            <w:r>
              <w:rPr>
                <w:rStyle w:val="IndexLink"/>
                <w:rtl w:val="true"/>
              </w:rPr>
              <w:t xml:space="preserve">[ </w:t>
            </w:r>
            <w:r>
              <w:rPr>
                <w:rStyle w:val="IndexLink"/>
                <w:rtl w:val="true"/>
              </w:rPr>
              <w:t xml:space="preserve">في تحقق الجنابة بإدخال الحشفة </w:t>
            </w:r>
            <w:r>
              <w:rPr>
                <w:rStyle w:val="IndexLink"/>
                <w:rtl w:val="true"/>
              </w:rPr>
              <w:t>]</w:t>
              <w:tab/>
            </w:r>
            <w:r>
              <w:rPr>
                <w:rStyle w:val="IndexLink"/>
              </w:rPr>
              <w:t>100</w:t>
            </w:r>
          </w:hyperlink>
        </w:p>
        <w:p>
          <w:pPr>
            <w:pStyle w:val="Contents4"/>
            <w:tabs>
              <w:tab w:val="clear" w:pos="8176"/>
              <w:tab w:val="right" w:pos="9026" w:leader="dot"/>
            </w:tabs>
            <w:rPr/>
          </w:pPr>
          <w:hyperlink w:anchor="__RefHeading___Toc14338383_2142443653">
            <w:r>
              <w:rPr>
                <w:webHidden/>
                <w:rStyle w:val="IndexLink"/>
                <w:rtl w:val="true"/>
              </w:rPr>
              <w:t>البحث الثاني</w:t>
            </w:r>
            <w:r>
              <w:rPr>
                <w:rStyle w:val="IndexLink"/>
                <w:rtl w:val="true"/>
              </w:rPr>
              <w:t xml:space="preserve">: </w:t>
            </w:r>
            <w:r>
              <w:rPr>
                <w:rStyle w:val="IndexLink"/>
                <w:rtl w:val="true"/>
              </w:rPr>
              <w:t>في غايات غسل الجنابة</w:t>
            </w:r>
            <w:r>
              <w:rPr>
                <w:rStyle w:val="IndexLink"/>
                <w:rtl w:val="true"/>
              </w:rPr>
              <w:tab/>
            </w:r>
            <w:r>
              <w:rPr>
                <w:rStyle w:val="IndexLink"/>
              </w:rPr>
              <w:t>106</w:t>
            </w:r>
          </w:hyperlink>
        </w:p>
        <w:p>
          <w:pPr>
            <w:pStyle w:val="Contents5"/>
            <w:tabs>
              <w:tab w:val="clear" w:pos="7892"/>
              <w:tab w:val="right" w:pos="9026" w:leader="dot"/>
            </w:tabs>
            <w:rPr/>
          </w:pPr>
          <w:hyperlink w:anchor="__RefHeading___Toc14338385_2142443653">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4338387_2142443653">
            <w:r>
              <w:rPr>
                <w:webHidden/>
                <w:rStyle w:val="IndexLink"/>
                <w:rtl w:val="true"/>
              </w:rPr>
              <w:t>تبصرة</w:t>
            </w:r>
            <w:r>
              <w:rPr>
                <w:rStyle w:val="IndexLink"/>
                <w:rtl w:val="true"/>
              </w:rPr>
              <w:t xml:space="preserve">: [ </w:t>
            </w:r>
            <w:r>
              <w:rPr>
                <w:rStyle w:val="IndexLink"/>
                <w:rtl w:val="true"/>
              </w:rPr>
              <w:t xml:space="preserve">فيما حرّم على الجنب </w:t>
            </w:r>
            <w:r>
              <w:rPr>
                <w:rStyle w:val="IndexLink"/>
                <w:rtl w:val="true"/>
              </w:rPr>
              <w:t>]</w:t>
              <w:tab/>
            </w:r>
            <w:r>
              <w:rPr>
                <w:rStyle w:val="IndexLink"/>
              </w:rPr>
              <w:t>106</w:t>
            </w:r>
          </w:hyperlink>
        </w:p>
        <w:p>
          <w:pPr>
            <w:pStyle w:val="Contents5"/>
            <w:tabs>
              <w:tab w:val="clear" w:pos="7892"/>
              <w:tab w:val="right" w:pos="9026" w:leader="dot"/>
            </w:tabs>
            <w:rPr/>
          </w:pPr>
          <w:hyperlink w:anchor="__RefHeading___Toc14338389_2142443653">
            <w:r>
              <w:rPr>
                <w:webHidden/>
                <w:rStyle w:val="IndexLink"/>
                <w:rtl w:val="true"/>
              </w:rPr>
              <w:t>تبصرة</w:t>
            </w:r>
            <w:r>
              <w:rPr>
                <w:rStyle w:val="IndexLink"/>
                <w:rtl w:val="true"/>
              </w:rPr>
              <w:t xml:space="preserve">: [ </w:t>
            </w:r>
            <w:r>
              <w:rPr>
                <w:rStyle w:val="IndexLink"/>
                <w:rtl w:val="true"/>
              </w:rPr>
              <w:t xml:space="preserve">في تحريم قراءة العزائم </w:t>
            </w:r>
            <w:r>
              <w:rPr>
                <w:rStyle w:val="IndexLink"/>
                <w:rtl w:val="true"/>
              </w:rPr>
              <w:t>]</w:t>
              <w:tab/>
            </w:r>
            <w:r>
              <w:rPr>
                <w:rStyle w:val="IndexLink"/>
              </w:rPr>
              <w:t>107</w:t>
            </w:r>
          </w:hyperlink>
        </w:p>
        <w:p>
          <w:pPr>
            <w:pStyle w:val="Contents5"/>
            <w:tabs>
              <w:tab w:val="clear" w:pos="7892"/>
              <w:tab w:val="right" w:pos="9026" w:leader="dot"/>
            </w:tabs>
            <w:rPr/>
          </w:pPr>
          <w:hyperlink w:anchor="__RefHeading___Toc14338391_2142443653">
            <w:r>
              <w:rPr>
                <w:webHidden/>
                <w:rStyle w:val="IndexLink"/>
                <w:rtl w:val="true"/>
              </w:rPr>
              <w:t>تبصرة</w:t>
            </w:r>
            <w:r>
              <w:rPr>
                <w:rStyle w:val="IndexLink"/>
                <w:rtl w:val="true"/>
              </w:rPr>
              <w:t xml:space="preserve">: [ </w:t>
            </w:r>
            <w:r>
              <w:rPr>
                <w:rStyle w:val="IndexLink"/>
                <w:rtl w:val="true"/>
              </w:rPr>
              <w:t xml:space="preserve">في حرمة اللبث في المساجد على الجنب </w:t>
            </w:r>
            <w:r>
              <w:rPr>
                <w:rStyle w:val="IndexLink"/>
                <w:rtl w:val="true"/>
              </w:rPr>
              <w:t>]</w:t>
              <w:tab/>
            </w:r>
            <w:r>
              <w:rPr>
                <w:rStyle w:val="IndexLink"/>
              </w:rPr>
              <w:t>110</w:t>
            </w:r>
          </w:hyperlink>
        </w:p>
        <w:p>
          <w:pPr>
            <w:pStyle w:val="Contents5"/>
            <w:tabs>
              <w:tab w:val="clear" w:pos="7892"/>
              <w:tab w:val="right" w:pos="9026" w:leader="dot"/>
            </w:tabs>
            <w:rPr/>
          </w:pPr>
          <w:hyperlink w:anchor="__RefHeading___Toc14338393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112</w:t>
            </w:r>
          </w:hyperlink>
        </w:p>
        <w:p>
          <w:pPr>
            <w:pStyle w:val="Contents5"/>
            <w:tabs>
              <w:tab w:val="clear" w:pos="7892"/>
              <w:tab w:val="right" w:pos="9026" w:leader="dot"/>
            </w:tabs>
            <w:rPr/>
          </w:pPr>
          <w:hyperlink w:anchor="__RefHeading___Toc14338395_2142443653">
            <w:r>
              <w:rPr>
                <w:webHidden/>
                <w:rStyle w:val="IndexLink"/>
                <w:rtl w:val="true"/>
              </w:rPr>
              <w:t>تبصرة</w:t>
            </w:r>
            <w:r>
              <w:rPr>
                <w:rStyle w:val="IndexLink"/>
                <w:rtl w:val="true"/>
              </w:rPr>
              <w:t xml:space="preserve">: [ </w:t>
            </w:r>
            <w:r>
              <w:rPr>
                <w:rStyle w:val="IndexLink"/>
                <w:rtl w:val="true"/>
              </w:rPr>
              <w:t xml:space="preserve">في تحريم وضع شي‌ء في المساجد </w:t>
            </w:r>
            <w:r>
              <w:rPr>
                <w:rStyle w:val="IndexLink"/>
                <w:rtl w:val="true"/>
              </w:rPr>
              <w:t>]</w:t>
              <w:tab/>
            </w:r>
            <w:r>
              <w:rPr>
                <w:rStyle w:val="IndexLink"/>
              </w:rPr>
              <w:t>116</w:t>
            </w:r>
          </w:hyperlink>
        </w:p>
        <w:p>
          <w:pPr>
            <w:pStyle w:val="Contents5"/>
            <w:tabs>
              <w:tab w:val="clear" w:pos="7892"/>
              <w:tab w:val="right" w:pos="9026" w:leader="dot"/>
            </w:tabs>
            <w:rPr/>
          </w:pPr>
          <w:hyperlink w:anchor="__RefHeading___Toc14338397_2142443653">
            <w:r>
              <w:rPr>
                <w:webHidden/>
                <w:rStyle w:val="IndexLink"/>
                <w:rtl w:val="true"/>
              </w:rPr>
              <w:t>تبصرة</w:t>
            </w:r>
            <w:r>
              <w:rPr>
                <w:rStyle w:val="IndexLink"/>
                <w:rtl w:val="true"/>
              </w:rPr>
              <w:t xml:space="preserve">: [ </w:t>
            </w:r>
            <w:r>
              <w:rPr>
                <w:rStyle w:val="IndexLink"/>
                <w:rtl w:val="true"/>
              </w:rPr>
              <w:t xml:space="preserve">في مسّ كتابة القرآن واسم اللّه تعالى </w:t>
            </w:r>
            <w:r>
              <w:rPr>
                <w:rStyle w:val="IndexLink"/>
                <w:rtl w:val="true"/>
              </w:rPr>
              <w:t>]</w:t>
              <w:tab/>
            </w:r>
            <w:r>
              <w:rPr>
                <w:rStyle w:val="IndexLink"/>
              </w:rPr>
              <w:t>118</w:t>
            </w:r>
          </w:hyperlink>
        </w:p>
        <w:p>
          <w:pPr>
            <w:pStyle w:val="Contents5"/>
            <w:tabs>
              <w:tab w:val="clear" w:pos="7892"/>
              <w:tab w:val="right" w:pos="9026" w:leader="dot"/>
            </w:tabs>
            <w:rPr/>
          </w:pPr>
          <w:hyperlink w:anchor="__RefHeading___Toc14338399_2142443653">
            <w:r>
              <w:rPr>
                <w:webHidden/>
                <w:rStyle w:val="IndexLink"/>
                <w:rtl w:val="true"/>
              </w:rPr>
              <w:t>تبصرة</w:t>
            </w:r>
            <w:r>
              <w:rPr>
                <w:rStyle w:val="IndexLink"/>
                <w:rtl w:val="true"/>
              </w:rPr>
              <w:t xml:space="preserve">: [ </w:t>
            </w:r>
            <w:r>
              <w:rPr>
                <w:rStyle w:val="IndexLink"/>
                <w:rtl w:val="true"/>
              </w:rPr>
              <w:t xml:space="preserve">في تغسيل الجنب ليلا لأجل الصوم </w:t>
            </w:r>
            <w:r>
              <w:rPr>
                <w:rStyle w:val="IndexLink"/>
                <w:rtl w:val="true"/>
              </w:rPr>
              <w:t>]</w:t>
              <w:tab/>
            </w:r>
            <w:r>
              <w:rPr>
                <w:rStyle w:val="IndexLink"/>
              </w:rPr>
              <w:t>121</w:t>
            </w:r>
          </w:hyperlink>
        </w:p>
        <w:p>
          <w:pPr>
            <w:pStyle w:val="Contents5"/>
            <w:tabs>
              <w:tab w:val="clear" w:pos="7892"/>
              <w:tab w:val="right" w:pos="9026" w:leader="dot"/>
            </w:tabs>
            <w:rPr/>
          </w:pPr>
          <w:hyperlink w:anchor="__RefHeading___Toc14338401_2142443653">
            <w:r>
              <w:rPr>
                <w:webHidden/>
                <w:rStyle w:val="IndexLink"/>
                <w:rtl w:val="true"/>
              </w:rPr>
              <w:t>تبصرة</w:t>
            </w:r>
            <w:r>
              <w:rPr>
                <w:rStyle w:val="IndexLink"/>
                <w:rtl w:val="true"/>
              </w:rPr>
              <w:t xml:space="preserve">: [ </w:t>
            </w:r>
            <w:r>
              <w:rPr>
                <w:rStyle w:val="IndexLink"/>
                <w:rtl w:val="true"/>
              </w:rPr>
              <w:t xml:space="preserve">في المكروهات على الجنب </w:t>
            </w:r>
            <w:r>
              <w:rPr>
                <w:rStyle w:val="IndexLink"/>
                <w:rtl w:val="true"/>
              </w:rPr>
              <w:t>]</w:t>
              <w:tab/>
            </w:r>
            <w:r>
              <w:rPr>
                <w:rStyle w:val="IndexLink"/>
              </w:rPr>
              <w:t>127</w:t>
            </w:r>
          </w:hyperlink>
        </w:p>
        <w:p>
          <w:pPr>
            <w:pStyle w:val="Contents4"/>
            <w:tabs>
              <w:tab w:val="clear" w:pos="8176"/>
              <w:tab w:val="right" w:pos="9026" w:leader="dot"/>
            </w:tabs>
            <w:rPr/>
          </w:pPr>
          <w:hyperlink w:anchor="__RefHeading___Toc14338403_2142443653">
            <w:r>
              <w:rPr>
                <w:webHidden/>
                <w:rStyle w:val="IndexLink"/>
                <w:rtl w:val="true"/>
              </w:rPr>
              <w:t>البحث الثالث</w:t>
            </w:r>
            <w:r>
              <w:rPr>
                <w:rStyle w:val="IndexLink"/>
                <w:rtl w:val="true"/>
              </w:rPr>
              <w:t xml:space="preserve">: </w:t>
            </w:r>
            <w:r>
              <w:rPr>
                <w:rStyle w:val="IndexLink"/>
                <w:rtl w:val="true"/>
              </w:rPr>
              <w:t>في بيان كيفية غسل الجنابة من واجباتها ومندوبها وما يتعلّق بها</w:t>
            </w:r>
            <w:r>
              <w:rPr>
                <w:rStyle w:val="IndexLink"/>
                <w:rtl w:val="true"/>
              </w:rPr>
              <w:tab/>
            </w:r>
            <w:r>
              <w:rPr>
                <w:rStyle w:val="IndexLink"/>
              </w:rPr>
              <w:t>138</w:t>
            </w:r>
          </w:hyperlink>
        </w:p>
        <w:p>
          <w:pPr>
            <w:pStyle w:val="Contents5"/>
            <w:tabs>
              <w:tab w:val="clear" w:pos="7892"/>
              <w:tab w:val="right" w:pos="9026" w:leader="dot"/>
            </w:tabs>
            <w:rPr/>
          </w:pPr>
          <w:hyperlink w:anchor="__RefHeading___Toc14338405_2142443653">
            <w:r>
              <w:rPr>
                <w:webHidden/>
                <w:rStyle w:val="IndexLink"/>
                <w:rtl w:val="true"/>
              </w:rPr>
              <w:t>تبصرة</w:t>
            </w:r>
            <w:r>
              <w:rPr>
                <w:rStyle w:val="IndexLink"/>
                <w:rtl w:val="true"/>
              </w:rPr>
              <w:t xml:space="preserve">: [ </w:t>
            </w:r>
            <w:r>
              <w:rPr>
                <w:rStyle w:val="IndexLink"/>
                <w:rtl w:val="true"/>
              </w:rPr>
              <w:t xml:space="preserve">في كيفية الغسل </w:t>
            </w:r>
            <w:r>
              <w:rPr>
                <w:rStyle w:val="IndexLink"/>
                <w:rtl w:val="true"/>
              </w:rPr>
              <w:t>]</w:t>
              <w:tab/>
            </w:r>
            <w:r>
              <w:rPr>
                <w:rStyle w:val="IndexLink"/>
              </w:rPr>
              <w:t>138</w:t>
            </w:r>
          </w:hyperlink>
        </w:p>
        <w:p>
          <w:pPr>
            <w:pStyle w:val="Contents5"/>
            <w:tabs>
              <w:tab w:val="clear" w:pos="7892"/>
              <w:tab w:val="right" w:pos="9026" w:leader="dot"/>
            </w:tabs>
            <w:rPr/>
          </w:pPr>
          <w:hyperlink w:anchor="__RefHeading___Toc14338407_2142443653">
            <w:r>
              <w:rPr>
                <w:webHidden/>
                <w:rStyle w:val="IndexLink"/>
                <w:rtl w:val="true"/>
              </w:rPr>
              <w:t>تبصرة</w:t>
            </w:r>
            <w:r>
              <w:rPr>
                <w:rStyle w:val="IndexLink"/>
                <w:rtl w:val="true"/>
              </w:rPr>
              <w:t xml:space="preserve">: [ </w:t>
            </w:r>
            <w:r>
              <w:rPr>
                <w:rStyle w:val="IndexLink"/>
                <w:rtl w:val="true"/>
              </w:rPr>
              <w:t xml:space="preserve">في الغسل الارتماسي </w:t>
            </w:r>
            <w:r>
              <w:rPr>
                <w:rStyle w:val="IndexLink"/>
                <w:rtl w:val="true"/>
              </w:rPr>
              <w:t>]</w:t>
              <w:tab/>
            </w:r>
            <w:r>
              <w:rPr>
                <w:rStyle w:val="IndexLink"/>
              </w:rPr>
              <w:t>143</w:t>
            </w:r>
          </w:hyperlink>
        </w:p>
        <w:p>
          <w:pPr>
            <w:pStyle w:val="Contents5"/>
            <w:tabs>
              <w:tab w:val="clear" w:pos="7892"/>
              <w:tab w:val="right" w:pos="9026" w:leader="dot"/>
            </w:tabs>
            <w:rPr/>
          </w:pPr>
          <w:hyperlink w:anchor="__RefHeading___Toc14338409_2142443653">
            <w:r>
              <w:rPr>
                <w:webHidden/>
                <w:rStyle w:val="IndexLink"/>
                <w:rtl w:val="true"/>
              </w:rPr>
              <w:t>تبصرة</w:t>
            </w:r>
            <w:r>
              <w:rPr>
                <w:rStyle w:val="IndexLink"/>
                <w:rtl w:val="true"/>
              </w:rPr>
              <w:t xml:space="preserve">: [ </w:t>
            </w:r>
            <w:r>
              <w:rPr>
                <w:rStyle w:val="IndexLink"/>
                <w:rtl w:val="true"/>
              </w:rPr>
              <w:t xml:space="preserve">في غسل البشرة والتخليل </w:t>
            </w:r>
            <w:r>
              <w:rPr>
                <w:rStyle w:val="IndexLink"/>
                <w:rtl w:val="true"/>
              </w:rPr>
              <w:t>]</w:t>
              <w:tab/>
            </w:r>
            <w:r>
              <w:rPr>
                <w:rStyle w:val="IndexLink"/>
              </w:rPr>
              <w:t>146</w:t>
            </w:r>
          </w:hyperlink>
        </w:p>
        <w:p>
          <w:pPr>
            <w:pStyle w:val="Contents5"/>
            <w:tabs>
              <w:tab w:val="clear" w:pos="7892"/>
              <w:tab w:val="right" w:pos="9026" w:leader="dot"/>
            </w:tabs>
            <w:rPr/>
          </w:pPr>
          <w:hyperlink w:anchor="__RefHeading___Toc14338411_2142443653">
            <w:r>
              <w:rPr>
                <w:webHidden/>
                <w:rStyle w:val="IndexLink"/>
                <w:rtl w:val="true"/>
              </w:rPr>
              <w:t>تبصرة</w:t>
            </w:r>
            <w:r>
              <w:rPr>
                <w:rStyle w:val="IndexLink"/>
                <w:rtl w:val="true"/>
              </w:rPr>
              <w:t xml:space="preserve">: [ </w:t>
            </w:r>
            <w:r>
              <w:rPr>
                <w:rStyle w:val="IndexLink"/>
                <w:rtl w:val="true"/>
              </w:rPr>
              <w:t xml:space="preserve">تنبيهات حول الارتماس </w:t>
            </w:r>
            <w:r>
              <w:rPr>
                <w:rStyle w:val="IndexLink"/>
                <w:rtl w:val="true"/>
              </w:rPr>
              <w:t>]</w:t>
              <w:tab/>
            </w:r>
            <w:r>
              <w:rPr>
                <w:rStyle w:val="IndexLink"/>
              </w:rPr>
              <w:t>149</w:t>
            </w:r>
          </w:hyperlink>
        </w:p>
        <w:p>
          <w:pPr>
            <w:pStyle w:val="Contents5"/>
            <w:tabs>
              <w:tab w:val="clear" w:pos="7892"/>
              <w:tab w:val="right" w:pos="9026" w:leader="dot"/>
            </w:tabs>
            <w:rPr/>
          </w:pPr>
          <w:hyperlink w:anchor="__RefHeading___Toc14338413_2142443653">
            <w:r>
              <w:rPr>
                <w:webHidden/>
                <w:rStyle w:val="IndexLink"/>
                <w:rtl w:val="true"/>
              </w:rPr>
              <w:t>تبصرة</w:t>
            </w:r>
            <w:r>
              <w:rPr>
                <w:rStyle w:val="IndexLink"/>
                <w:rtl w:val="true"/>
              </w:rPr>
              <w:t xml:space="preserve">: [ </w:t>
            </w:r>
            <w:r>
              <w:rPr>
                <w:rStyle w:val="IndexLink"/>
                <w:rtl w:val="true"/>
              </w:rPr>
              <w:t xml:space="preserve">في سائر شرائط الغسل </w:t>
            </w:r>
            <w:r>
              <w:rPr>
                <w:rStyle w:val="IndexLink"/>
                <w:rtl w:val="true"/>
              </w:rPr>
              <w:t>]</w:t>
              <w:tab/>
            </w:r>
            <w:r>
              <w:rPr>
                <w:rStyle w:val="IndexLink"/>
              </w:rPr>
              <w:t>153</w:t>
            </w:r>
          </w:hyperlink>
        </w:p>
        <w:p>
          <w:pPr>
            <w:pStyle w:val="Contents5"/>
            <w:tabs>
              <w:tab w:val="clear" w:pos="7892"/>
              <w:tab w:val="right" w:pos="9026" w:leader="dot"/>
            </w:tabs>
            <w:rPr/>
          </w:pPr>
          <w:hyperlink w:anchor="__RefHeading___Toc14338415_2142443653">
            <w:r>
              <w:rPr>
                <w:webHidden/>
                <w:rStyle w:val="IndexLink"/>
                <w:rtl w:val="true"/>
              </w:rPr>
              <w:t>تبصرة</w:t>
            </w:r>
            <w:r>
              <w:rPr>
                <w:rStyle w:val="IndexLink"/>
                <w:rtl w:val="true"/>
              </w:rPr>
              <w:t xml:space="preserve">: [ </w:t>
            </w:r>
            <w:r>
              <w:rPr>
                <w:rStyle w:val="IndexLink"/>
                <w:rtl w:val="true"/>
              </w:rPr>
              <w:t xml:space="preserve">في الاستبراء قبل الغسل </w:t>
            </w:r>
            <w:r>
              <w:rPr>
                <w:rStyle w:val="IndexLink"/>
                <w:rtl w:val="true"/>
              </w:rPr>
              <w:t>]</w:t>
              <w:tab/>
            </w:r>
            <w:r>
              <w:rPr>
                <w:rStyle w:val="IndexLink"/>
              </w:rPr>
              <w:t>156</w:t>
            </w:r>
          </w:hyperlink>
        </w:p>
        <w:p>
          <w:pPr>
            <w:pStyle w:val="Contents5"/>
            <w:tabs>
              <w:tab w:val="clear" w:pos="7892"/>
              <w:tab w:val="right" w:pos="9026" w:leader="dot"/>
            </w:tabs>
            <w:rPr/>
          </w:pPr>
          <w:hyperlink w:anchor="__RefHeading___Toc14338417_2142443653">
            <w:r>
              <w:rPr>
                <w:webHidden/>
                <w:rStyle w:val="IndexLink"/>
                <w:rtl w:val="true"/>
              </w:rPr>
              <w:t>تبصرة</w:t>
            </w:r>
            <w:r>
              <w:rPr>
                <w:rStyle w:val="IndexLink"/>
                <w:rtl w:val="true"/>
              </w:rPr>
              <w:t xml:space="preserve">: [ </w:t>
            </w:r>
            <w:r>
              <w:rPr>
                <w:rStyle w:val="IndexLink"/>
                <w:rtl w:val="true"/>
              </w:rPr>
              <w:t xml:space="preserve">في التسمية على الغسل </w:t>
            </w:r>
            <w:r>
              <w:rPr>
                <w:rStyle w:val="IndexLink"/>
                <w:rtl w:val="true"/>
              </w:rPr>
              <w:t>]</w:t>
              <w:tab/>
            </w:r>
            <w:r>
              <w:rPr>
                <w:rStyle w:val="IndexLink"/>
              </w:rPr>
              <w:t>160</w:t>
            </w:r>
          </w:hyperlink>
        </w:p>
        <w:p>
          <w:pPr>
            <w:pStyle w:val="Contents5"/>
            <w:tabs>
              <w:tab w:val="clear" w:pos="7892"/>
              <w:tab w:val="right" w:pos="9026" w:leader="dot"/>
            </w:tabs>
            <w:rPr/>
          </w:pPr>
          <w:hyperlink w:anchor="__RefHeading___Toc14338419_2142443653">
            <w:r>
              <w:rPr>
                <w:webHidden/>
                <w:rStyle w:val="IndexLink"/>
                <w:rtl w:val="true"/>
              </w:rPr>
              <w:t>تبصرة</w:t>
            </w:r>
            <w:r>
              <w:rPr>
                <w:rStyle w:val="IndexLink"/>
                <w:rtl w:val="true"/>
              </w:rPr>
              <w:t xml:space="preserve">: [ </w:t>
            </w:r>
            <w:r>
              <w:rPr>
                <w:rStyle w:val="IndexLink"/>
                <w:rtl w:val="true"/>
              </w:rPr>
              <w:t xml:space="preserve">في غسل اليد قبل إدخالها في الإناء </w:t>
            </w:r>
            <w:r>
              <w:rPr>
                <w:rStyle w:val="IndexLink"/>
                <w:rtl w:val="true"/>
              </w:rPr>
              <w:t>]</w:t>
              <w:tab/>
            </w:r>
            <w:r>
              <w:rPr>
                <w:rStyle w:val="IndexLink"/>
              </w:rPr>
              <w:t>162</w:t>
            </w:r>
          </w:hyperlink>
        </w:p>
        <w:p>
          <w:pPr>
            <w:pStyle w:val="Contents4"/>
            <w:tabs>
              <w:tab w:val="clear" w:pos="8176"/>
              <w:tab w:val="right" w:pos="9026" w:leader="dot"/>
            </w:tabs>
            <w:rPr/>
          </w:pPr>
          <w:hyperlink w:anchor="__RefHeading___Toc14338421_2142443653">
            <w:r>
              <w:rPr>
                <w:webHidden/>
                <w:rStyle w:val="IndexLink"/>
                <w:rtl w:val="true"/>
              </w:rPr>
              <w:t>البحث</w:t>
            </w:r>
            <w:r>
              <w:rPr>
                <w:rStyle w:val="IndexLink"/>
                <w:rtl w:val="true"/>
              </w:rPr>
              <w:t xml:space="preserve">: </w:t>
            </w:r>
            <w:r>
              <w:rPr>
                <w:rStyle w:val="IndexLink"/>
                <w:rtl w:val="true"/>
              </w:rPr>
              <w:t>في بيان الأغسال المسنونة</w:t>
            </w:r>
            <w:r>
              <w:rPr>
                <w:rStyle w:val="IndexLink"/>
                <w:rtl w:val="true"/>
              </w:rPr>
              <w:tab/>
            </w:r>
            <w:r>
              <w:rPr>
                <w:rStyle w:val="IndexLink"/>
              </w:rPr>
              <w:t>168</w:t>
            </w:r>
          </w:hyperlink>
        </w:p>
        <w:p>
          <w:pPr>
            <w:pStyle w:val="Contents5"/>
            <w:tabs>
              <w:tab w:val="clear" w:pos="7892"/>
              <w:tab w:val="right" w:pos="9026" w:leader="dot"/>
            </w:tabs>
            <w:rPr/>
          </w:pPr>
          <w:hyperlink w:anchor="__RefHeading___Toc14338423_2142443653">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4338425_2142443653">
            <w:r>
              <w:rPr>
                <w:webHidden/>
                <w:rStyle w:val="IndexLink"/>
                <w:rtl w:val="true"/>
              </w:rPr>
              <w:t>تبصرة</w:t>
            </w:r>
            <w:r>
              <w:rPr>
                <w:rStyle w:val="IndexLink"/>
                <w:rtl w:val="true"/>
              </w:rPr>
              <w:t xml:space="preserve">: [ </w:t>
            </w:r>
            <w:r>
              <w:rPr>
                <w:rStyle w:val="IndexLink"/>
                <w:rtl w:val="true"/>
              </w:rPr>
              <w:t xml:space="preserve">في غسل الجمعة </w:t>
            </w:r>
            <w:r>
              <w:rPr>
                <w:rStyle w:val="IndexLink"/>
                <w:rtl w:val="true"/>
              </w:rPr>
              <w:t>]</w:t>
              <w:tab/>
            </w:r>
            <w:r>
              <w:rPr>
                <w:rStyle w:val="IndexLink"/>
              </w:rPr>
              <w:t>169</w:t>
            </w:r>
          </w:hyperlink>
        </w:p>
        <w:p>
          <w:pPr>
            <w:pStyle w:val="Contents5"/>
            <w:tabs>
              <w:tab w:val="clear" w:pos="7892"/>
              <w:tab w:val="right" w:pos="9026" w:leader="dot"/>
            </w:tabs>
            <w:rPr/>
          </w:pPr>
          <w:hyperlink w:anchor="__RefHeading___Toc14338427_2142443653">
            <w:r>
              <w:rPr>
                <w:webHidden/>
                <w:rStyle w:val="IndexLink"/>
                <w:rtl w:val="true"/>
              </w:rPr>
              <w:t>تبصرة</w:t>
            </w:r>
            <w:r>
              <w:rPr>
                <w:rStyle w:val="IndexLink"/>
                <w:rtl w:val="true"/>
              </w:rPr>
              <w:t xml:space="preserve">: [ </w:t>
            </w:r>
            <w:r>
              <w:rPr>
                <w:rStyle w:val="IndexLink"/>
                <w:rtl w:val="true"/>
              </w:rPr>
              <w:t xml:space="preserve">في وقت غسل الجمعة </w:t>
            </w:r>
            <w:r>
              <w:rPr>
                <w:rStyle w:val="IndexLink"/>
                <w:rtl w:val="true"/>
              </w:rPr>
              <w:t>]</w:t>
              <w:tab/>
            </w:r>
            <w:r>
              <w:rPr>
                <w:rStyle w:val="IndexLink"/>
              </w:rPr>
              <w:t>175</w:t>
            </w:r>
          </w:hyperlink>
        </w:p>
        <w:p>
          <w:pPr>
            <w:pStyle w:val="Contents5"/>
            <w:tabs>
              <w:tab w:val="clear" w:pos="7892"/>
              <w:tab w:val="right" w:pos="9026" w:leader="dot"/>
            </w:tabs>
            <w:rPr/>
          </w:pPr>
          <w:hyperlink w:anchor="__RefHeading___Toc14338429_2142443653">
            <w:r>
              <w:rPr>
                <w:webHidden/>
                <w:rStyle w:val="IndexLink"/>
                <w:rtl w:val="true"/>
              </w:rPr>
              <w:t>تبصرة</w:t>
            </w:r>
            <w:r>
              <w:rPr>
                <w:rStyle w:val="IndexLink"/>
                <w:rtl w:val="true"/>
              </w:rPr>
              <w:t xml:space="preserve">: [ </w:t>
            </w:r>
            <w:r>
              <w:rPr>
                <w:rStyle w:val="IndexLink"/>
                <w:rtl w:val="true"/>
              </w:rPr>
              <w:t xml:space="preserve">في قضاء الغسل </w:t>
            </w:r>
            <w:r>
              <w:rPr>
                <w:rStyle w:val="IndexLink"/>
                <w:rtl w:val="true"/>
              </w:rPr>
              <w:t>]</w:t>
              <w:tab/>
            </w:r>
            <w:r>
              <w:rPr>
                <w:rStyle w:val="IndexLink"/>
              </w:rPr>
              <w:t>181</w:t>
            </w:r>
          </w:hyperlink>
        </w:p>
        <w:p>
          <w:pPr>
            <w:pStyle w:val="Contents5"/>
            <w:tabs>
              <w:tab w:val="clear" w:pos="7892"/>
              <w:tab w:val="right" w:pos="9026" w:leader="dot"/>
            </w:tabs>
            <w:rPr/>
          </w:pPr>
          <w:hyperlink w:anchor="__RefHeading___Toc14338431_2142443653">
            <w:r>
              <w:rPr>
                <w:webHidden/>
                <w:rStyle w:val="IndexLink"/>
                <w:rtl w:val="true"/>
              </w:rPr>
              <w:t>تبصرة</w:t>
            </w:r>
            <w:r>
              <w:rPr>
                <w:rStyle w:val="IndexLink"/>
                <w:rtl w:val="true"/>
              </w:rPr>
              <w:t xml:space="preserve">: [ </w:t>
            </w:r>
            <w:r>
              <w:rPr>
                <w:rStyle w:val="IndexLink"/>
                <w:rtl w:val="true"/>
              </w:rPr>
              <w:t xml:space="preserve">في تقديم غسل الجمعة </w:t>
            </w:r>
            <w:r>
              <w:rPr>
                <w:rStyle w:val="IndexLink"/>
                <w:rtl w:val="true"/>
              </w:rPr>
              <w:t>]</w:t>
              <w:tab/>
            </w:r>
            <w:r>
              <w:rPr>
                <w:rStyle w:val="IndexLink"/>
              </w:rPr>
              <w:t>186</w:t>
            </w:r>
          </w:hyperlink>
        </w:p>
        <w:p>
          <w:pPr>
            <w:pStyle w:val="Contents5"/>
            <w:tabs>
              <w:tab w:val="clear" w:pos="7892"/>
              <w:tab w:val="right" w:pos="9026" w:leader="dot"/>
            </w:tabs>
            <w:rPr/>
          </w:pPr>
          <w:hyperlink w:anchor="__RefHeading___Toc14338433_2142443653">
            <w:r>
              <w:rPr>
                <w:webHidden/>
                <w:rStyle w:val="IndexLink"/>
                <w:rtl w:val="true"/>
              </w:rPr>
              <w:t>تبصرة</w:t>
            </w:r>
            <w:r>
              <w:rPr>
                <w:rStyle w:val="IndexLink"/>
                <w:rtl w:val="true"/>
              </w:rPr>
              <w:t xml:space="preserve">: [ </w:t>
            </w:r>
            <w:r>
              <w:rPr>
                <w:rStyle w:val="IndexLink"/>
                <w:rtl w:val="true"/>
              </w:rPr>
              <w:t xml:space="preserve">في غسل عيد الفطر وعيد الأضحى </w:t>
            </w:r>
            <w:r>
              <w:rPr>
                <w:rStyle w:val="IndexLink"/>
                <w:rtl w:val="true"/>
              </w:rPr>
              <w:t>]</w:t>
              <w:tab/>
            </w:r>
            <w:r>
              <w:rPr>
                <w:rStyle w:val="IndexLink"/>
              </w:rPr>
              <w:t>190</w:t>
            </w:r>
          </w:hyperlink>
        </w:p>
        <w:p>
          <w:pPr>
            <w:pStyle w:val="Contents5"/>
            <w:tabs>
              <w:tab w:val="clear" w:pos="7892"/>
              <w:tab w:val="right" w:pos="9026" w:leader="dot"/>
            </w:tabs>
            <w:rPr/>
          </w:pPr>
          <w:hyperlink w:anchor="__RefHeading___Toc14338435_2142443653">
            <w:r>
              <w:rPr>
                <w:webHidden/>
                <w:rStyle w:val="IndexLink"/>
                <w:rtl w:val="true"/>
              </w:rPr>
              <w:t>تبصرة</w:t>
            </w:r>
            <w:r>
              <w:rPr>
                <w:rStyle w:val="IndexLink"/>
                <w:rtl w:val="true"/>
              </w:rPr>
              <w:t xml:space="preserve">: [ </w:t>
            </w:r>
            <w:r>
              <w:rPr>
                <w:rStyle w:val="IndexLink"/>
                <w:rtl w:val="true"/>
              </w:rPr>
              <w:t xml:space="preserve">في الأغسال المكانية </w:t>
            </w:r>
            <w:r>
              <w:rPr>
                <w:rStyle w:val="IndexLink"/>
                <w:rtl w:val="true"/>
              </w:rPr>
              <w:t>]</w:t>
              <w:tab/>
            </w:r>
            <w:r>
              <w:rPr>
                <w:rStyle w:val="IndexLink"/>
              </w:rPr>
              <w:t>204</w:t>
            </w:r>
          </w:hyperlink>
        </w:p>
        <w:p>
          <w:pPr>
            <w:pStyle w:val="Contents5"/>
            <w:tabs>
              <w:tab w:val="clear" w:pos="7892"/>
              <w:tab w:val="right" w:pos="9026" w:leader="dot"/>
            </w:tabs>
            <w:rPr/>
          </w:pPr>
          <w:hyperlink w:anchor="__RefHeading___Toc14338437_2142443653">
            <w:r>
              <w:rPr>
                <w:webHidden/>
                <w:rStyle w:val="IndexLink"/>
                <w:rtl w:val="true"/>
              </w:rPr>
              <w:t>تبصرة</w:t>
            </w:r>
            <w:r>
              <w:rPr>
                <w:rStyle w:val="IndexLink"/>
                <w:rtl w:val="true"/>
              </w:rPr>
              <w:t xml:space="preserve">: [ </w:t>
            </w:r>
            <w:r>
              <w:rPr>
                <w:rStyle w:val="IndexLink"/>
                <w:rtl w:val="true"/>
              </w:rPr>
              <w:t xml:space="preserve">في الأغسال الفعلية </w:t>
            </w:r>
            <w:r>
              <w:rPr>
                <w:rStyle w:val="IndexLink"/>
                <w:rtl w:val="true"/>
              </w:rPr>
              <w:t>]</w:t>
              <w:tab/>
            </w:r>
            <w:r>
              <w:rPr>
                <w:rStyle w:val="IndexLink"/>
              </w:rPr>
              <w:t>206</w:t>
            </w:r>
          </w:hyperlink>
        </w:p>
        <w:p>
          <w:pPr>
            <w:pStyle w:val="Contents6"/>
            <w:tabs>
              <w:tab w:val="clear" w:pos="7609"/>
              <w:tab w:val="right" w:pos="9026" w:leader="dot"/>
            </w:tabs>
            <w:rPr/>
          </w:pPr>
          <w:hyperlink w:anchor="__RefHeading___Toc14338439_2142443653">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433844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221</w:t>
            </w:r>
          </w:hyperlink>
        </w:p>
        <w:p>
          <w:pPr>
            <w:pStyle w:val="Contents5"/>
            <w:tabs>
              <w:tab w:val="clear" w:pos="7892"/>
              <w:tab w:val="right" w:pos="9026" w:leader="dot"/>
            </w:tabs>
            <w:rPr/>
          </w:pPr>
          <w:hyperlink w:anchor="__RefHeading___Toc14338443_2142443653">
            <w:r>
              <w:rPr>
                <w:webHidden/>
                <w:rStyle w:val="IndexLink"/>
                <w:rtl w:val="true"/>
              </w:rPr>
              <w:t>تبصرة</w:t>
            </w:r>
            <w:r>
              <w:rPr>
                <w:rStyle w:val="IndexLink"/>
                <w:rtl w:val="true"/>
              </w:rPr>
              <w:t xml:space="preserve">: [ </w:t>
            </w:r>
            <w:r>
              <w:rPr>
                <w:rStyle w:val="IndexLink"/>
                <w:rtl w:val="true"/>
              </w:rPr>
              <w:t xml:space="preserve">في الأغسال السببيّة </w:t>
            </w:r>
            <w:r>
              <w:rPr>
                <w:rStyle w:val="IndexLink"/>
                <w:rtl w:val="true"/>
              </w:rPr>
              <w:t>]</w:t>
              <w:tab/>
            </w:r>
            <w:r>
              <w:rPr>
                <w:rStyle w:val="IndexLink"/>
              </w:rPr>
              <w:t>223</w:t>
            </w:r>
          </w:hyperlink>
        </w:p>
        <w:p>
          <w:pPr>
            <w:pStyle w:val="Contents5"/>
            <w:tabs>
              <w:tab w:val="clear" w:pos="7892"/>
              <w:tab w:val="right" w:pos="9026" w:leader="dot"/>
            </w:tabs>
            <w:rPr/>
          </w:pPr>
          <w:hyperlink w:anchor="__RefHeading___Toc14338445_2142443653">
            <w:r>
              <w:rPr>
                <w:webHidden/>
                <w:rStyle w:val="IndexLink"/>
                <w:rtl w:val="true"/>
              </w:rPr>
              <w:t>تبصرة</w:t>
            </w:r>
            <w:r>
              <w:rPr>
                <w:rStyle w:val="IndexLink"/>
                <w:rtl w:val="true"/>
              </w:rPr>
              <w:t xml:space="preserve">: [ </w:t>
            </w:r>
            <w:r>
              <w:rPr>
                <w:rStyle w:val="IndexLink"/>
                <w:rtl w:val="true"/>
              </w:rPr>
              <w:t xml:space="preserve">في الاغتسال لقتل الوزع </w:t>
            </w:r>
            <w:r>
              <w:rPr>
                <w:rStyle w:val="IndexLink"/>
                <w:rtl w:val="true"/>
              </w:rPr>
              <w:t>]</w:t>
              <w:tab/>
            </w:r>
            <w:r>
              <w:rPr>
                <w:rStyle w:val="IndexLink"/>
              </w:rPr>
              <w:t>227</w:t>
            </w:r>
          </w:hyperlink>
        </w:p>
        <w:p>
          <w:pPr>
            <w:pStyle w:val="Contents5"/>
            <w:tabs>
              <w:tab w:val="clear" w:pos="7892"/>
              <w:tab w:val="right" w:pos="9026" w:leader="dot"/>
            </w:tabs>
            <w:rPr/>
          </w:pPr>
          <w:hyperlink w:anchor="__RefHeading___Toc14338447_2142443653">
            <w:r>
              <w:rPr>
                <w:webHidden/>
                <w:rStyle w:val="IndexLink"/>
                <w:rtl w:val="true"/>
              </w:rPr>
              <w:t xml:space="preserve">[ </w:t>
            </w:r>
            <w:r>
              <w:rPr>
                <w:rStyle w:val="IndexLink"/>
                <w:rtl w:val="true"/>
              </w:rPr>
              <w:t xml:space="preserve">تبصرة </w:t>
            </w:r>
            <w:r>
              <w:rPr>
                <w:rStyle w:val="IndexLink"/>
                <w:rtl w:val="true"/>
              </w:rPr>
              <w:t xml:space="preserve">]: [ </w:t>
            </w:r>
            <w:r>
              <w:rPr>
                <w:rStyle w:val="IndexLink"/>
                <w:rtl w:val="true"/>
              </w:rPr>
              <w:t xml:space="preserve">في الاغتسال لرؤية المصلوب </w:t>
            </w:r>
            <w:r>
              <w:rPr>
                <w:rStyle w:val="IndexLink"/>
                <w:rtl w:val="true"/>
              </w:rPr>
              <w:t>]</w:t>
              <w:tab/>
            </w:r>
            <w:r>
              <w:rPr>
                <w:rStyle w:val="IndexLink"/>
              </w:rPr>
              <w:t>229</w:t>
            </w:r>
          </w:hyperlink>
        </w:p>
        <w:p>
          <w:pPr>
            <w:pStyle w:val="Contents6"/>
            <w:tabs>
              <w:tab w:val="clear" w:pos="7609"/>
              <w:tab w:val="right" w:pos="9026" w:leader="dot"/>
            </w:tabs>
            <w:rPr/>
          </w:pPr>
          <w:hyperlink w:anchor="__RefHeading___Toc14338449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433845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230</w:t>
            </w:r>
          </w:hyperlink>
        </w:p>
        <w:p>
          <w:pPr>
            <w:pStyle w:val="Contents5"/>
            <w:tabs>
              <w:tab w:val="clear" w:pos="7892"/>
              <w:tab w:val="right" w:pos="9026" w:leader="dot"/>
            </w:tabs>
            <w:rPr/>
          </w:pPr>
          <w:hyperlink w:anchor="__RefHeading___Toc14338453_2142443653">
            <w:r>
              <w:rPr>
                <w:webHidden/>
                <w:rStyle w:val="IndexLink"/>
                <w:rtl w:val="true"/>
              </w:rPr>
              <w:t>تبصرة</w:t>
            </w:r>
            <w:r>
              <w:rPr>
                <w:rStyle w:val="IndexLink"/>
                <w:rtl w:val="true"/>
              </w:rPr>
              <w:t xml:space="preserve">: [ </w:t>
            </w:r>
            <w:r>
              <w:rPr>
                <w:rStyle w:val="IndexLink"/>
                <w:rtl w:val="true"/>
              </w:rPr>
              <w:t xml:space="preserve">في غسل مسّ الميت </w:t>
            </w:r>
            <w:r>
              <w:rPr>
                <w:rStyle w:val="IndexLink"/>
                <w:rtl w:val="true"/>
              </w:rPr>
              <w:t>]</w:t>
              <w:tab/>
            </w:r>
            <w:r>
              <w:rPr>
                <w:rStyle w:val="IndexLink"/>
              </w:rPr>
              <w:t>233</w:t>
            </w:r>
          </w:hyperlink>
        </w:p>
        <w:p>
          <w:pPr>
            <w:pStyle w:val="Contents5"/>
            <w:tabs>
              <w:tab w:val="clear" w:pos="7892"/>
              <w:tab w:val="right" w:pos="9026" w:leader="dot"/>
            </w:tabs>
            <w:rPr/>
          </w:pPr>
          <w:hyperlink w:anchor="__RefHeading___Toc14338455_2142443653">
            <w:r>
              <w:rPr>
                <w:webHidden/>
                <w:rStyle w:val="IndexLink"/>
                <w:rtl w:val="true"/>
              </w:rPr>
              <w:t>تبصرة</w:t>
            </w:r>
            <w:r>
              <w:rPr>
                <w:rStyle w:val="IndexLink"/>
                <w:rtl w:val="true"/>
              </w:rPr>
              <w:t xml:space="preserve">: [ </w:t>
            </w:r>
            <w:r>
              <w:rPr>
                <w:rStyle w:val="IndexLink"/>
                <w:rtl w:val="true"/>
              </w:rPr>
              <w:t xml:space="preserve">في تأخّر الأغسال السببية </w:t>
            </w:r>
            <w:r>
              <w:rPr>
                <w:rStyle w:val="IndexLink"/>
                <w:rtl w:val="true"/>
              </w:rPr>
              <w:t>]</w:t>
              <w:tab/>
            </w:r>
            <w:r>
              <w:rPr>
                <w:rStyle w:val="IndexLink"/>
              </w:rPr>
              <w:t>237</w:t>
            </w:r>
          </w:hyperlink>
        </w:p>
        <w:p>
          <w:pPr>
            <w:pStyle w:val="Contents5"/>
            <w:tabs>
              <w:tab w:val="clear" w:pos="7892"/>
              <w:tab w:val="right" w:pos="9026" w:leader="dot"/>
            </w:tabs>
            <w:rPr/>
          </w:pPr>
          <w:hyperlink w:anchor="__RefHeading___Toc14338457_2142443653">
            <w:r>
              <w:rPr>
                <w:webHidden/>
                <w:rStyle w:val="IndexLink"/>
                <w:rtl w:val="true"/>
              </w:rPr>
              <w:t>تبصرة</w:t>
            </w:r>
            <w:r>
              <w:rPr>
                <w:rStyle w:val="IndexLink"/>
                <w:rtl w:val="true"/>
              </w:rPr>
              <w:t xml:space="preserve">: [ </w:t>
            </w:r>
            <w:r>
              <w:rPr>
                <w:rStyle w:val="IndexLink"/>
                <w:rtl w:val="true"/>
              </w:rPr>
              <w:t xml:space="preserve">في تجديد الغسل </w:t>
            </w:r>
            <w:r>
              <w:rPr>
                <w:rStyle w:val="IndexLink"/>
                <w:rtl w:val="true"/>
              </w:rPr>
              <w:t>]</w:t>
              <w:tab/>
            </w:r>
            <w:r>
              <w:rPr>
                <w:rStyle w:val="IndexLink"/>
              </w:rPr>
              <w:t>238</w:t>
            </w:r>
          </w:hyperlink>
        </w:p>
        <w:p>
          <w:pPr>
            <w:pStyle w:val="Contents5"/>
            <w:tabs>
              <w:tab w:val="clear" w:pos="7892"/>
              <w:tab w:val="right" w:pos="9026" w:leader="dot"/>
            </w:tabs>
            <w:rPr/>
          </w:pPr>
          <w:hyperlink w:anchor="__RefHeading___Toc14338459_2142443653">
            <w:r>
              <w:rPr>
                <w:webHidden/>
                <w:rStyle w:val="IndexLink"/>
                <w:rtl w:val="true"/>
              </w:rPr>
              <w:t>تبصرة</w:t>
            </w:r>
            <w:r>
              <w:rPr>
                <w:rStyle w:val="IndexLink"/>
                <w:rtl w:val="true"/>
              </w:rPr>
              <w:t xml:space="preserve">: [ </w:t>
            </w:r>
            <w:r>
              <w:rPr>
                <w:rStyle w:val="IndexLink"/>
                <w:rtl w:val="true"/>
              </w:rPr>
              <w:t xml:space="preserve">في مشروعية الغسل بأحد أسبابها </w:t>
            </w:r>
            <w:r>
              <w:rPr>
                <w:rStyle w:val="IndexLink"/>
                <w:rtl w:val="true"/>
              </w:rPr>
              <w:t>]</w:t>
              <w:tab/>
            </w:r>
            <w:r>
              <w:rPr>
                <w:rStyle w:val="IndexLink"/>
              </w:rPr>
              <w:t>240</w:t>
            </w:r>
          </w:hyperlink>
        </w:p>
        <w:p>
          <w:pPr>
            <w:pStyle w:val="Contents5"/>
            <w:tabs>
              <w:tab w:val="clear" w:pos="7892"/>
              <w:tab w:val="right" w:pos="9026" w:leader="dot"/>
            </w:tabs>
            <w:rPr/>
          </w:pPr>
          <w:hyperlink w:anchor="__RefHeading___Toc14338461_2142443653">
            <w:r>
              <w:rPr>
                <w:webHidden/>
                <w:rStyle w:val="IndexLink"/>
                <w:rtl w:val="true"/>
              </w:rPr>
              <w:t>تبصرة</w:t>
            </w:r>
            <w:r>
              <w:rPr>
                <w:rStyle w:val="IndexLink"/>
                <w:rtl w:val="true"/>
              </w:rPr>
              <w:t xml:space="preserve">: [ </w:t>
            </w:r>
            <w:r>
              <w:rPr>
                <w:rStyle w:val="IndexLink"/>
                <w:rtl w:val="true"/>
              </w:rPr>
              <w:t xml:space="preserve">في امتداد وقت الأغسال </w:t>
            </w:r>
            <w:r>
              <w:rPr>
                <w:rStyle w:val="IndexLink"/>
                <w:rtl w:val="true"/>
              </w:rPr>
              <w:t>]</w:t>
              <w:tab/>
            </w:r>
            <w:r>
              <w:rPr>
                <w:rStyle w:val="IndexLink"/>
              </w:rPr>
              <w:t>242</w:t>
            </w:r>
          </w:hyperlink>
        </w:p>
        <w:p>
          <w:pPr>
            <w:pStyle w:val="Contents2"/>
            <w:tabs>
              <w:tab w:val="clear" w:pos="8743"/>
              <w:tab w:val="right" w:pos="9026" w:leader="dot"/>
            </w:tabs>
            <w:rPr/>
          </w:pPr>
          <w:hyperlink w:anchor="__RefHeading___Toc14338463_2142443653">
            <w:r>
              <w:rPr>
                <w:webHidden/>
                <w:rStyle w:val="IndexLink"/>
                <w:rtl w:val="true"/>
              </w:rPr>
              <w:t>الباب</w:t>
            </w:r>
            <w:r>
              <w:rPr>
                <w:rStyle w:val="IndexLink"/>
                <w:rtl w:val="true"/>
              </w:rPr>
              <w:t xml:space="preserve">: </w:t>
            </w:r>
            <w:r>
              <w:rPr>
                <w:rStyle w:val="IndexLink"/>
                <w:rtl w:val="true"/>
              </w:rPr>
              <w:t>في التيمّم</w:t>
            </w:r>
            <w:r>
              <w:rPr>
                <w:rStyle w:val="IndexLink"/>
                <w:rtl w:val="true"/>
              </w:rPr>
              <w:tab/>
            </w:r>
            <w:r>
              <w:rPr>
                <w:rStyle w:val="IndexLink"/>
              </w:rPr>
              <w:t>245</w:t>
            </w:r>
          </w:hyperlink>
        </w:p>
        <w:p>
          <w:pPr>
            <w:pStyle w:val="Contents3"/>
            <w:tabs>
              <w:tab w:val="clear" w:pos="8459"/>
              <w:tab w:val="right" w:pos="9026" w:leader="dot"/>
            </w:tabs>
            <w:rPr/>
          </w:pPr>
          <w:hyperlink w:anchor="__RefHeading___Toc14338465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4338467_2142443653">
            <w:r>
              <w:rPr>
                <w:webHidden/>
                <w:rStyle w:val="IndexLink"/>
                <w:rtl w:val="true"/>
              </w:rPr>
              <w:t>تبصرة</w:t>
            </w:r>
            <w:r>
              <w:rPr>
                <w:rStyle w:val="IndexLink"/>
                <w:rtl w:val="true"/>
              </w:rPr>
              <w:t xml:space="preserve">: [ </w:t>
            </w:r>
            <w:r>
              <w:rPr>
                <w:rStyle w:val="IndexLink"/>
                <w:rtl w:val="true"/>
              </w:rPr>
              <w:t xml:space="preserve">في أسباب التيمّم وغاياته </w:t>
            </w:r>
            <w:r>
              <w:rPr>
                <w:rStyle w:val="IndexLink"/>
                <w:rtl w:val="true"/>
              </w:rPr>
              <w:t>]</w:t>
              <w:tab/>
            </w:r>
            <w:r>
              <w:rPr>
                <w:rStyle w:val="IndexLink"/>
              </w:rPr>
              <w:t>246</w:t>
            </w:r>
          </w:hyperlink>
        </w:p>
        <w:p>
          <w:pPr>
            <w:pStyle w:val="Contents4"/>
            <w:tabs>
              <w:tab w:val="clear" w:pos="8176"/>
              <w:tab w:val="right" w:pos="9026" w:leader="dot"/>
            </w:tabs>
            <w:rPr/>
          </w:pPr>
          <w:hyperlink w:anchor="__RefHeading___Toc14338469_2142443653">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33847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250</w:t>
            </w:r>
          </w:hyperlink>
        </w:p>
        <w:p>
          <w:pPr>
            <w:pStyle w:val="Contents3"/>
            <w:tabs>
              <w:tab w:val="clear" w:pos="8459"/>
              <w:tab w:val="right" w:pos="9026" w:leader="dot"/>
            </w:tabs>
            <w:rPr/>
          </w:pPr>
          <w:hyperlink w:anchor="__RefHeading___Toc14338473_2142443653">
            <w:r>
              <w:rPr>
                <w:webHidden/>
                <w:rStyle w:val="IndexLink"/>
                <w:rtl w:val="true"/>
              </w:rPr>
              <w:t>الفصل الثاني</w:t>
            </w:r>
            <w:r>
              <w:rPr>
                <w:rStyle w:val="IndexLink"/>
                <w:rtl w:val="true"/>
              </w:rPr>
              <w:t xml:space="preserve">: </w:t>
            </w:r>
            <w:r>
              <w:rPr>
                <w:rStyle w:val="IndexLink"/>
                <w:rtl w:val="true"/>
              </w:rPr>
              <w:t>فيما يسوغ التيمّم معه ويوجب انتقال الحكم من الوضوء والغسل إليه</w:t>
            </w:r>
            <w:r>
              <w:rPr>
                <w:rStyle w:val="IndexLink"/>
                <w:rtl w:val="true"/>
              </w:rPr>
              <w:tab/>
            </w:r>
            <w:r>
              <w:rPr>
                <w:rStyle w:val="IndexLink"/>
              </w:rPr>
              <w:t>252</w:t>
            </w:r>
          </w:hyperlink>
        </w:p>
        <w:p>
          <w:pPr>
            <w:pStyle w:val="Contents4"/>
            <w:tabs>
              <w:tab w:val="clear" w:pos="8176"/>
              <w:tab w:val="right" w:pos="9026" w:leader="dot"/>
            </w:tabs>
            <w:rPr/>
          </w:pPr>
          <w:hyperlink w:anchor="__RefHeading___Toc14338475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4338477_2142443653">
            <w:r>
              <w:rPr>
                <w:webHidden/>
                <w:rStyle w:val="IndexLink"/>
                <w:rtl w:val="true"/>
              </w:rPr>
              <w:t>تبصرة</w:t>
            </w:r>
            <w:r>
              <w:rPr>
                <w:rStyle w:val="IndexLink"/>
                <w:rtl w:val="true"/>
              </w:rPr>
              <w:t xml:space="preserve">: [ </w:t>
            </w:r>
            <w:r>
              <w:rPr>
                <w:rStyle w:val="IndexLink"/>
                <w:rtl w:val="true"/>
              </w:rPr>
              <w:t xml:space="preserve">في عدم وجود الماء </w:t>
            </w:r>
            <w:r>
              <w:rPr>
                <w:rStyle w:val="IndexLink"/>
                <w:rtl w:val="true"/>
              </w:rPr>
              <w:t>]</w:t>
              <w:tab/>
            </w:r>
            <w:r>
              <w:rPr>
                <w:rStyle w:val="IndexLink"/>
              </w:rPr>
              <w:t>252</w:t>
            </w:r>
          </w:hyperlink>
        </w:p>
        <w:p>
          <w:pPr>
            <w:pStyle w:val="Contents5"/>
            <w:tabs>
              <w:tab w:val="clear" w:pos="7892"/>
              <w:tab w:val="right" w:pos="9026" w:leader="dot"/>
            </w:tabs>
            <w:rPr/>
          </w:pPr>
          <w:hyperlink w:anchor="__RefHeading___Toc14338479_2142443653">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433848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254</w:t>
            </w:r>
          </w:hyperlink>
        </w:p>
        <w:p>
          <w:pPr>
            <w:pStyle w:val="Contents5"/>
            <w:tabs>
              <w:tab w:val="clear" w:pos="7892"/>
              <w:tab w:val="right" w:pos="9026" w:leader="dot"/>
            </w:tabs>
            <w:rPr/>
          </w:pPr>
          <w:hyperlink w:anchor="__RefHeading___Toc14338483_2142443653">
            <w:r>
              <w:rPr>
                <w:webHidden/>
                <w:rStyle w:val="IndexLink"/>
                <w:rtl w:val="true"/>
              </w:rPr>
              <w:t>تبصرة</w:t>
            </w:r>
            <w:r>
              <w:rPr>
                <w:rStyle w:val="IndexLink"/>
                <w:rtl w:val="true"/>
              </w:rPr>
              <w:t xml:space="preserve">: [ </w:t>
            </w:r>
            <w:r>
              <w:rPr>
                <w:rStyle w:val="IndexLink"/>
                <w:rtl w:val="true"/>
              </w:rPr>
              <w:t xml:space="preserve">في عدم الوصول إلى الماء </w:t>
            </w:r>
            <w:r>
              <w:rPr>
                <w:rStyle w:val="IndexLink"/>
                <w:rtl w:val="true"/>
              </w:rPr>
              <w:t>]</w:t>
              <w:tab/>
            </w:r>
            <w:r>
              <w:rPr>
                <w:rStyle w:val="IndexLink"/>
              </w:rPr>
              <w:t>269</w:t>
            </w:r>
          </w:hyperlink>
        </w:p>
        <w:p>
          <w:pPr>
            <w:pStyle w:val="Contents5"/>
            <w:tabs>
              <w:tab w:val="clear" w:pos="7892"/>
              <w:tab w:val="right" w:pos="9026" w:leader="dot"/>
            </w:tabs>
            <w:rPr/>
          </w:pPr>
          <w:hyperlink w:anchor="__RefHeading___Toc14338485_2142443653">
            <w:r>
              <w:rPr>
                <w:webHidden/>
                <w:rStyle w:val="IndexLink"/>
                <w:rtl w:val="true"/>
              </w:rPr>
              <w:t>تبصرة</w:t>
            </w:r>
            <w:r>
              <w:rPr>
                <w:rStyle w:val="IndexLink"/>
                <w:rtl w:val="true"/>
              </w:rPr>
              <w:t xml:space="preserve">: [ </w:t>
            </w:r>
            <w:r>
              <w:rPr>
                <w:rStyle w:val="IndexLink"/>
                <w:rtl w:val="true"/>
              </w:rPr>
              <w:t xml:space="preserve">في خوف الضرر من استعمال الماء </w:t>
            </w:r>
            <w:r>
              <w:rPr>
                <w:rStyle w:val="IndexLink"/>
                <w:rtl w:val="true"/>
              </w:rPr>
              <w:t>]</w:t>
              <w:tab/>
            </w:r>
            <w:r>
              <w:rPr>
                <w:rStyle w:val="IndexLink"/>
              </w:rPr>
              <w:t>278</w:t>
            </w:r>
          </w:hyperlink>
        </w:p>
        <w:p>
          <w:pPr>
            <w:pStyle w:val="Contents4"/>
            <w:tabs>
              <w:tab w:val="clear" w:pos="8176"/>
              <w:tab w:val="right" w:pos="9026" w:leader="dot"/>
            </w:tabs>
            <w:rPr/>
          </w:pPr>
          <w:hyperlink w:anchor="__RefHeading___Toc14338487_2142443653">
            <w:r>
              <w:rPr>
                <w:webHidden/>
                <w:rStyle w:val="IndexLink"/>
                <w:rtl w:val="true"/>
              </w:rPr>
              <w:t xml:space="preserve">[ </w:t>
            </w:r>
            <w:r>
              <w:rPr>
                <w:rStyle w:val="IndexLink"/>
                <w:rtl w:val="true"/>
              </w:rPr>
              <w:t xml:space="preserve">تتمة في القروح والجروح </w:t>
            </w:r>
            <w:r>
              <w:rPr>
                <w:rStyle w:val="IndexLink"/>
                <w:rtl w:val="true"/>
              </w:rPr>
              <w:t>]:</w:t>
              <w:tab/>
            </w:r>
            <w:r>
              <w:rPr>
                <w:rStyle w:val="IndexLink"/>
              </w:rPr>
              <w:t>285</w:t>
            </w:r>
          </w:hyperlink>
        </w:p>
        <w:p>
          <w:pPr>
            <w:pStyle w:val="Contents5"/>
            <w:tabs>
              <w:tab w:val="clear" w:pos="7892"/>
              <w:tab w:val="right" w:pos="9026" w:leader="dot"/>
            </w:tabs>
            <w:rPr/>
          </w:pPr>
          <w:hyperlink w:anchor="__RefHeading___Toc14338489_2142443653">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4338491_2142443653">
            <w:r>
              <w:rPr>
                <w:webHidden/>
                <w:rStyle w:val="IndexLink"/>
                <w:rtl w:val="true"/>
              </w:rPr>
              <w:t>تبصرة</w:t>
            </w:r>
            <w:r>
              <w:rPr>
                <w:rStyle w:val="IndexLink"/>
                <w:rtl w:val="true"/>
              </w:rPr>
              <w:t xml:space="preserve">: [ </w:t>
            </w:r>
            <w:r>
              <w:rPr>
                <w:rStyle w:val="IndexLink"/>
                <w:rtl w:val="true"/>
              </w:rPr>
              <w:t xml:space="preserve">في المرض المسوغ للتيمّم </w:t>
            </w:r>
            <w:r>
              <w:rPr>
                <w:rStyle w:val="IndexLink"/>
                <w:rtl w:val="true"/>
              </w:rPr>
              <w:t>]</w:t>
              <w:tab/>
            </w:r>
            <w:r>
              <w:rPr>
                <w:rStyle w:val="IndexLink"/>
              </w:rPr>
              <w:t>288</w:t>
            </w:r>
          </w:hyperlink>
        </w:p>
        <w:p>
          <w:pPr>
            <w:pStyle w:val="Contents5"/>
            <w:tabs>
              <w:tab w:val="clear" w:pos="7892"/>
              <w:tab w:val="right" w:pos="9026" w:leader="dot"/>
            </w:tabs>
            <w:rPr/>
          </w:pPr>
          <w:hyperlink w:anchor="__RefHeading___Toc14338493_2142443653">
            <w:r>
              <w:rPr>
                <w:webHidden/>
                <w:rStyle w:val="IndexLink"/>
                <w:rtl w:val="true"/>
              </w:rPr>
              <w:t>تبصرة</w:t>
            </w:r>
            <w:r>
              <w:rPr>
                <w:rStyle w:val="IndexLink"/>
                <w:rtl w:val="true"/>
              </w:rPr>
              <w:t xml:space="preserve">: [ </w:t>
            </w:r>
            <w:r>
              <w:rPr>
                <w:rStyle w:val="IndexLink"/>
                <w:rtl w:val="true"/>
              </w:rPr>
              <w:t xml:space="preserve">في خوف العطش لو استعمل الماء الطهارة </w:t>
            </w:r>
            <w:r>
              <w:rPr>
                <w:rStyle w:val="IndexLink"/>
                <w:rtl w:val="true"/>
              </w:rPr>
              <w:t>]</w:t>
              <w:tab/>
            </w:r>
            <w:r>
              <w:rPr>
                <w:rStyle w:val="IndexLink"/>
              </w:rPr>
              <w:t>291</w:t>
            </w:r>
          </w:hyperlink>
        </w:p>
        <w:p>
          <w:pPr>
            <w:pStyle w:val="Contents6"/>
            <w:tabs>
              <w:tab w:val="clear" w:pos="7609"/>
              <w:tab w:val="right" w:pos="9026" w:leader="dot"/>
            </w:tabs>
            <w:rPr/>
          </w:pPr>
          <w:hyperlink w:anchor="__RefHeading___Toc14338495_2142443653">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433849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293</w:t>
            </w:r>
          </w:hyperlink>
        </w:p>
        <w:p>
          <w:pPr>
            <w:pStyle w:val="Contents3"/>
            <w:tabs>
              <w:tab w:val="clear" w:pos="8459"/>
              <w:tab w:val="right" w:pos="9026" w:leader="dot"/>
            </w:tabs>
            <w:rPr/>
          </w:pPr>
          <w:hyperlink w:anchor="__RefHeading___Toc14338499_2142443653">
            <w:r>
              <w:rPr>
                <w:webHidden/>
                <w:rStyle w:val="IndexLink"/>
                <w:rtl w:val="true"/>
              </w:rPr>
              <w:t>الفصل الثالث</w:t>
            </w:r>
            <w:r>
              <w:rPr>
                <w:rStyle w:val="IndexLink"/>
                <w:rtl w:val="true"/>
              </w:rPr>
              <w:t xml:space="preserve">: </w:t>
            </w:r>
            <w:r>
              <w:rPr>
                <w:rStyle w:val="IndexLink"/>
                <w:rtl w:val="true"/>
              </w:rPr>
              <w:t>في بيان الأمور التي يصحّ معها التيمّم مع الاختيار أو الاضطرار</w:t>
            </w:r>
            <w:r>
              <w:rPr>
                <w:rStyle w:val="IndexLink"/>
                <w:rtl w:val="true"/>
              </w:rPr>
              <w:tab/>
            </w:r>
            <w:r>
              <w:rPr>
                <w:rStyle w:val="IndexLink"/>
              </w:rPr>
              <w:t>297</w:t>
            </w:r>
          </w:hyperlink>
        </w:p>
        <w:p>
          <w:pPr>
            <w:pStyle w:val="Contents4"/>
            <w:tabs>
              <w:tab w:val="clear" w:pos="8176"/>
              <w:tab w:val="right" w:pos="9026" w:leader="dot"/>
            </w:tabs>
            <w:rPr/>
          </w:pPr>
          <w:hyperlink w:anchor="__RefHeading___Toc14338501_2142443653">
            <w:r>
              <w:rPr>
                <w:webHidden/>
                <w:rStyle w:val="IndexLink"/>
                <w:rtl w:val="true"/>
              </w:rPr>
              <w:t>تبصرة</w:t>
            </w:r>
            <w:r>
              <w:rPr>
                <w:rStyle w:val="IndexLink"/>
                <w:rtl w:val="true"/>
              </w:rPr>
              <w:t xml:space="preserve">: [ </w:t>
            </w:r>
            <w:r>
              <w:rPr>
                <w:rStyle w:val="IndexLink"/>
                <w:rtl w:val="true"/>
              </w:rPr>
              <w:t xml:space="preserve">في التيمّم على الأرض </w:t>
            </w:r>
            <w:r>
              <w:rPr>
                <w:rStyle w:val="IndexLink"/>
                <w:rtl w:val="true"/>
              </w:rPr>
              <w:t>]</w:t>
              <w:tab/>
            </w:r>
            <w:r>
              <w:rPr>
                <w:rStyle w:val="IndexLink"/>
              </w:rPr>
              <w:t>297</w:t>
            </w:r>
          </w:hyperlink>
        </w:p>
        <w:p>
          <w:pPr>
            <w:pStyle w:val="Contents5"/>
            <w:tabs>
              <w:tab w:val="clear" w:pos="7892"/>
              <w:tab w:val="right" w:pos="9026" w:leader="dot"/>
            </w:tabs>
            <w:rPr/>
          </w:pPr>
          <w:hyperlink w:anchor="__RefHeading___Toc14338503_2142443653">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4338505_2142443653">
            <w:r>
              <w:rPr>
                <w:webHidden/>
                <w:rStyle w:val="IndexLink"/>
                <w:rtl w:val="true"/>
              </w:rPr>
              <w:t xml:space="preserve">[ </w:t>
            </w:r>
            <w:r>
              <w:rPr>
                <w:rStyle w:val="IndexLink"/>
                <w:rtl w:val="true"/>
              </w:rPr>
              <w:t xml:space="preserve">تتميم </w:t>
            </w:r>
            <w:r>
              <w:rPr>
                <w:rStyle w:val="IndexLink"/>
                <w:rtl w:val="true"/>
              </w:rPr>
              <w:t>]</w:t>
              <w:tab/>
            </w:r>
            <w:r>
              <w:rPr>
                <w:rStyle w:val="IndexLink"/>
              </w:rPr>
              <w:t>303</w:t>
            </w:r>
          </w:hyperlink>
        </w:p>
        <w:p>
          <w:pPr>
            <w:pStyle w:val="Contents4"/>
            <w:tabs>
              <w:tab w:val="clear" w:pos="8176"/>
              <w:tab w:val="right" w:pos="9026" w:leader="dot"/>
            </w:tabs>
            <w:rPr/>
          </w:pPr>
          <w:hyperlink w:anchor="__RefHeading___Toc14338507_2142443653">
            <w:r>
              <w:rPr>
                <w:webHidden/>
                <w:rStyle w:val="IndexLink"/>
                <w:rtl w:val="true"/>
              </w:rPr>
              <w:t>تبصرة</w:t>
            </w:r>
            <w:r>
              <w:rPr>
                <w:rStyle w:val="IndexLink"/>
                <w:rtl w:val="true"/>
              </w:rPr>
              <w:t xml:space="preserve">: [ </w:t>
            </w:r>
            <w:r>
              <w:rPr>
                <w:rStyle w:val="IndexLink"/>
                <w:rtl w:val="true"/>
              </w:rPr>
              <w:t xml:space="preserve">التيمّم بغبار الثوب ونحوه </w:t>
            </w:r>
            <w:r>
              <w:rPr>
                <w:rStyle w:val="IndexLink"/>
                <w:rtl w:val="true"/>
              </w:rPr>
              <w:t>]</w:t>
              <w:tab/>
            </w:r>
            <w:r>
              <w:rPr>
                <w:rStyle w:val="IndexLink"/>
              </w:rPr>
              <w:t>312</w:t>
            </w:r>
          </w:hyperlink>
        </w:p>
        <w:p>
          <w:pPr>
            <w:pStyle w:val="Contents4"/>
            <w:tabs>
              <w:tab w:val="clear" w:pos="8176"/>
              <w:tab w:val="right" w:pos="9026" w:leader="dot"/>
            </w:tabs>
            <w:rPr/>
          </w:pPr>
          <w:hyperlink w:anchor="__RefHeading___Toc14338509_2142443653">
            <w:r>
              <w:rPr>
                <w:webHidden/>
                <w:rStyle w:val="IndexLink"/>
                <w:rtl w:val="true"/>
              </w:rPr>
              <w:t>تبصرة</w:t>
            </w:r>
            <w:r>
              <w:rPr>
                <w:rStyle w:val="IndexLink"/>
                <w:rtl w:val="true"/>
              </w:rPr>
              <w:t xml:space="preserve">: [ </w:t>
            </w:r>
            <w:r>
              <w:rPr>
                <w:rStyle w:val="IndexLink"/>
                <w:rtl w:val="true"/>
              </w:rPr>
              <w:t xml:space="preserve">في واجد الثلج دون غيره </w:t>
            </w:r>
            <w:r>
              <w:rPr>
                <w:rStyle w:val="IndexLink"/>
                <w:rtl w:val="true"/>
              </w:rPr>
              <w:t>]</w:t>
              <w:tab/>
            </w:r>
            <w:r>
              <w:rPr>
                <w:rStyle w:val="IndexLink"/>
              </w:rPr>
              <w:t>319</w:t>
            </w:r>
          </w:hyperlink>
        </w:p>
        <w:p>
          <w:pPr>
            <w:pStyle w:val="Contents4"/>
            <w:tabs>
              <w:tab w:val="clear" w:pos="8176"/>
              <w:tab w:val="right" w:pos="9026" w:leader="dot"/>
            </w:tabs>
            <w:rPr/>
          </w:pPr>
          <w:hyperlink w:anchor="__RefHeading___Toc14338511_2142443653">
            <w:r>
              <w:rPr>
                <w:webHidden/>
                <w:rStyle w:val="IndexLink"/>
                <w:rtl w:val="true"/>
              </w:rPr>
              <w:t>تبصرة</w:t>
            </w:r>
            <w:r>
              <w:rPr>
                <w:rStyle w:val="IndexLink"/>
                <w:rtl w:val="true"/>
              </w:rPr>
              <w:t xml:space="preserve">: [ </w:t>
            </w:r>
            <w:r>
              <w:rPr>
                <w:rStyle w:val="IndexLink"/>
                <w:rtl w:val="true"/>
              </w:rPr>
              <w:t xml:space="preserve">في اشتراط طهارة التراب </w:t>
            </w:r>
            <w:r>
              <w:rPr>
                <w:rStyle w:val="IndexLink"/>
                <w:rtl w:val="true"/>
              </w:rPr>
              <w:t>]</w:t>
              <w:tab/>
            </w:r>
            <w:r>
              <w:rPr>
                <w:rStyle w:val="IndexLink"/>
              </w:rPr>
              <w:t>323</w:t>
            </w:r>
          </w:hyperlink>
        </w:p>
        <w:p>
          <w:pPr>
            <w:pStyle w:val="Contents4"/>
            <w:tabs>
              <w:tab w:val="clear" w:pos="8176"/>
              <w:tab w:val="right" w:pos="9026" w:leader="dot"/>
            </w:tabs>
            <w:rPr/>
          </w:pPr>
          <w:hyperlink w:anchor="__RefHeading___Toc14338513_2142443653">
            <w:r>
              <w:rPr>
                <w:webHidden/>
                <w:rStyle w:val="IndexLink"/>
                <w:rtl w:val="true"/>
              </w:rPr>
              <w:t>تبصرة</w:t>
            </w:r>
            <w:r>
              <w:rPr>
                <w:rStyle w:val="IndexLink"/>
                <w:rtl w:val="true"/>
              </w:rPr>
              <w:t xml:space="preserve">: [ </w:t>
            </w:r>
            <w:r>
              <w:rPr>
                <w:rStyle w:val="IndexLink"/>
                <w:rtl w:val="true"/>
              </w:rPr>
              <w:t xml:space="preserve">في التيمّم بالمغصوب </w:t>
            </w:r>
            <w:r>
              <w:rPr>
                <w:rStyle w:val="IndexLink"/>
                <w:rtl w:val="true"/>
              </w:rPr>
              <w:t>]</w:t>
              <w:tab/>
            </w:r>
            <w:r>
              <w:rPr>
                <w:rStyle w:val="IndexLink"/>
              </w:rPr>
              <w:t>326</w:t>
            </w:r>
          </w:hyperlink>
        </w:p>
        <w:p>
          <w:pPr>
            <w:pStyle w:val="Contents4"/>
            <w:tabs>
              <w:tab w:val="clear" w:pos="8176"/>
              <w:tab w:val="right" w:pos="9026" w:leader="dot"/>
            </w:tabs>
            <w:rPr/>
          </w:pPr>
          <w:hyperlink w:anchor="__RefHeading___Toc14338515_2142443653">
            <w:r>
              <w:rPr>
                <w:webHidden/>
                <w:rStyle w:val="IndexLink"/>
                <w:rtl w:val="true"/>
              </w:rPr>
              <w:t>تبصرة</w:t>
            </w:r>
            <w:r>
              <w:rPr>
                <w:rStyle w:val="IndexLink"/>
                <w:rtl w:val="true"/>
              </w:rPr>
              <w:t xml:space="preserve">: [ </w:t>
            </w:r>
            <w:r>
              <w:rPr>
                <w:rStyle w:val="IndexLink"/>
                <w:rtl w:val="true"/>
              </w:rPr>
              <w:t xml:space="preserve">في التيمّم بالممتزج </w:t>
            </w:r>
            <w:r>
              <w:rPr>
                <w:rStyle w:val="IndexLink"/>
                <w:rtl w:val="true"/>
              </w:rPr>
              <w:t>]</w:t>
              <w:tab/>
            </w:r>
            <w:r>
              <w:rPr>
                <w:rStyle w:val="IndexLink"/>
              </w:rPr>
              <w:t>330</w:t>
            </w:r>
          </w:hyperlink>
        </w:p>
        <w:p>
          <w:pPr>
            <w:pStyle w:val="Contents4"/>
            <w:tabs>
              <w:tab w:val="clear" w:pos="8176"/>
              <w:tab w:val="right" w:pos="9026" w:leader="dot"/>
            </w:tabs>
            <w:rPr/>
          </w:pPr>
          <w:hyperlink w:anchor="__RefHeading___Toc14338517_2142443653">
            <w:r>
              <w:rPr>
                <w:webHidden/>
                <w:rStyle w:val="IndexLink"/>
                <w:rtl w:val="true"/>
              </w:rPr>
              <w:t>تبصرة</w:t>
            </w:r>
            <w:r>
              <w:rPr>
                <w:rStyle w:val="IndexLink"/>
                <w:rtl w:val="true"/>
              </w:rPr>
              <w:t xml:space="preserve">: [ </w:t>
            </w:r>
            <w:r>
              <w:rPr>
                <w:rStyle w:val="IndexLink"/>
                <w:rtl w:val="true"/>
              </w:rPr>
              <w:t xml:space="preserve">في فاقد الطهورين </w:t>
            </w:r>
            <w:r>
              <w:rPr>
                <w:rStyle w:val="IndexLink"/>
                <w:rtl w:val="true"/>
              </w:rPr>
              <w:t>]</w:t>
              <w:tab/>
            </w:r>
            <w:r>
              <w:rPr>
                <w:rStyle w:val="IndexLink"/>
              </w:rPr>
              <w:t>332</w:t>
            </w:r>
          </w:hyperlink>
        </w:p>
        <w:p>
          <w:pPr>
            <w:pStyle w:val="Contents3"/>
            <w:tabs>
              <w:tab w:val="clear" w:pos="8459"/>
              <w:tab w:val="right" w:pos="9026" w:leader="dot"/>
            </w:tabs>
            <w:rPr/>
          </w:pPr>
          <w:hyperlink w:anchor="__RefHeading___Toc14338519_2142443653">
            <w:r>
              <w:rPr>
                <w:webHidden/>
                <w:rStyle w:val="IndexLink"/>
                <w:rtl w:val="true"/>
              </w:rPr>
              <w:t>الفصل الرابع</w:t>
            </w:r>
            <w:r>
              <w:rPr>
                <w:rStyle w:val="IndexLink"/>
                <w:rtl w:val="true"/>
              </w:rPr>
              <w:t xml:space="preserve">: </w:t>
            </w:r>
            <w:r>
              <w:rPr>
                <w:rStyle w:val="IndexLink"/>
                <w:rtl w:val="true"/>
              </w:rPr>
              <w:t>في بيان كيفية التيمّم</w:t>
            </w:r>
            <w:r>
              <w:rPr>
                <w:rStyle w:val="IndexLink"/>
                <w:rtl w:val="true"/>
              </w:rPr>
              <w:tab/>
            </w:r>
            <w:r>
              <w:rPr>
                <w:rStyle w:val="IndexLink"/>
              </w:rPr>
              <w:t>338</w:t>
            </w:r>
          </w:hyperlink>
        </w:p>
        <w:p>
          <w:pPr>
            <w:pStyle w:val="Contents4"/>
            <w:tabs>
              <w:tab w:val="clear" w:pos="8176"/>
              <w:tab w:val="right" w:pos="9026" w:leader="dot"/>
            </w:tabs>
            <w:rPr/>
          </w:pPr>
          <w:hyperlink w:anchor="__RefHeading___Toc14338521_2142443653">
            <w:r>
              <w:rPr>
                <w:webHidden/>
                <w:rStyle w:val="IndexLink"/>
                <w:rtl w:val="true"/>
              </w:rPr>
              <w:t>تبصرة</w:t>
            </w:r>
            <w:r>
              <w:rPr>
                <w:rStyle w:val="IndexLink"/>
                <w:rtl w:val="true"/>
              </w:rPr>
              <w:t xml:space="preserve">: [ </w:t>
            </w:r>
            <w:r>
              <w:rPr>
                <w:rStyle w:val="IndexLink"/>
                <w:rtl w:val="true"/>
              </w:rPr>
              <w:t xml:space="preserve">في النيّة </w:t>
            </w:r>
            <w:r>
              <w:rPr>
                <w:rStyle w:val="IndexLink"/>
                <w:rtl w:val="true"/>
              </w:rPr>
              <w:t>]</w:t>
              <w:tab/>
            </w:r>
            <w:r>
              <w:rPr>
                <w:rStyle w:val="IndexLink"/>
              </w:rPr>
              <w:t>338</w:t>
            </w:r>
          </w:hyperlink>
        </w:p>
        <w:p>
          <w:pPr>
            <w:pStyle w:val="Contents5"/>
            <w:tabs>
              <w:tab w:val="clear" w:pos="7892"/>
              <w:tab w:val="right" w:pos="9026" w:leader="dot"/>
            </w:tabs>
            <w:rPr/>
          </w:pPr>
          <w:hyperlink w:anchor="__RefHeading___Toc14338523_2142443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4338525_2142443653">
            <w:r>
              <w:rPr>
                <w:webHidden/>
                <w:rStyle w:val="IndexLink"/>
                <w:rtl w:val="true"/>
              </w:rPr>
              <w:t xml:space="preserve">[ </w:t>
            </w:r>
            <w:r>
              <w:rPr>
                <w:rStyle w:val="IndexLink"/>
                <w:rtl w:val="true"/>
              </w:rPr>
              <w:t xml:space="preserve">في قصد البدلية </w:t>
            </w:r>
            <w:r>
              <w:rPr>
                <w:rStyle w:val="IndexLink"/>
                <w:rtl w:val="true"/>
              </w:rPr>
              <w:t>]</w:t>
              <w:tab/>
            </w:r>
            <w:r>
              <w:rPr>
                <w:rStyle w:val="IndexLink"/>
              </w:rPr>
              <w:t>341</w:t>
            </w:r>
          </w:hyperlink>
        </w:p>
        <w:p>
          <w:pPr>
            <w:pStyle w:val="Contents4"/>
            <w:tabs>
              <w:tab w:val="clear" w:pos="8176"/>
              <w:tab w:val="right" w:pos="9026" w:leader="dot"/>
            </w:tabs>
            <w:rPr/>
          </w:pPr>
          <w:hyperlink w:anchor="__RefHeading___Toc14338527_2142443653">
            <w:r>
              <w:rPr>
                <w:webHidden/>
                <w:rStyle w:val="IndexLink"/>
                <w:rtl w:val="true"/>
              </w:rPr>
              <w:t>تبصرة</w:t>
            </w:r>
            <w:r>
              <w:rPr>
                <w:rStyle w:val="IndexLink"/>
                <w:rtl w:val="true"/>
              </w:rPr>
              <w:t xml:space="preserve">: [ </w:t>
            </w:r>
            <w:r>
              <w:rPr>
                <w:rStyle w:val="IndexLink"/>
                <w:rtl w:val="true"/>
              </w:rPr>
              <w:t xml:space="preserve">في ضرب اليدين على التراب </w:t>
            </w:r>
            <w:r>
              <w:rPr>
                <w:rStyle w:val="IndexLink"/>
                <w:rtl w:val="true"/>
              </w:rPr>
              <w:t>]</w:t>
              <w:tab/>
            </w:r>
            <w:r>
              <w:rPr>
                <w:rStyle w:val="IndexLink"/>
              </w:rPr>
              <w:t>345</w:t>
            </w:r>
          </w:hyperlink>
        </w:p>
        <w:p>
          <w:pPr>
            <w:pStyle w:val="Contents4"/>
            <w:tabs>
              <w:tab w:val="clear" w:pos="8176"/>
              <w:tab w:val="right" w:pos="9026" w:leader="dot"/>
            </w:tabs>
            <w:rPr/>
          </w:pPr>
          <w:hyperlink w:anchor="__RefHeading___Toc14338529_2142443653">
            <w:r>
              <w:rPr>
                <w:webHidden/>
                <w:rStyle w:val="IndexLink"/>
                <w:rtl w:val="true"/>
              </w:rPr>
              <w:t>تبصرة</w:t>
            </w:r>
            <w:r>
              <w:rPr>
                <w:rStyle w:val="IndexLink"/>
                <w:rtl w:val="true"/>
              </w:rPr>
              <w:t xml:space="preserve">: [ </w:t>
            </w:r>
            <w:r>
              <w:rPr>
                <w:rStyle w:val="IndexLink"/>
                <w:rtl w:val="true"/>
              </w:rPr>
              <w:t xml:space="preserve">في الضرب على الأرض </w:t>
            </w:r>
            <w:r>
              <w:rPr>
                <w:rStyle w:val="IndexLink"/>
                <w:rtl w:val="true"/>
              </w:rPr>
              <w:t>]</w:t>
              <w:tab/>
            </w:r>
            <w:r>
              <w:rPr>
                <w:rStyle w:val="IndexLink"/>
              </w:rPr>
              <w:t>348</w:t>
            </w:r>
          </w:hyperlink>
        </w:p>
        <w:p>
          <w:pPr>
            <w:pStyle w:val="Contents4"/>
            <w:tabs>
              <w:tab w:val="clear" w:pos="8176"/>
              <w:tab w:val="right" w:pos="9026" w:leader="dot"/>
            </w:tabs>
            <w:rPr/>
          </w:pPr>
          <w:hyperlink w:anchor="__RefHeading___Toc14338531_2142443653">
            <w:r>
              <w:rPr>
                <w:webHidden/>
                <w:rStyle w:val="IndexLink"/>
                <w:rtl w:val="true"/>
              </w:rPr>
              <w:t>تبصرة</w:t>
            </w:r>
            <w:r>
              <w:rPr>
                <w:rStyle w:val="IndexLink"/>
                <w:rtl w:val="true"/>
              </w:rPr>
              <w:t xml:space="preserve">: [ </w:t>
            </w:r>
            <w:r>
              <w:rPr>
                <w:rStyle w:val="IndexLink"/>
                <w:rtl w:val="true"/>
              </w:rPr>
              <w:t xml:space="preserve">في علوق المسح </w:t>
            </w:r>
            <w:r>
              <w:rPr>
                <w:rStyle w:val="IndexLink"/>
                <w:rtl w:val="true"/>
              </w:rPr>
              <w:t>]</w:t>
              <w:tab/>
            </w:r>
            <w:r>
              <w:rPr>
                <w:rStyle w:val="IndexLink"/>
              </w:rPr>
              <w:t>351</w:t>
            </w:r>
          </w:hyperlink>
        </w:p>
        <w:p>
          <w:pPr>
            <w:pStyle w:val="Contents4"/>
            <w:tabs>
              <w:tab w:val="clear" w:pos="8176"/>
              <w:tab w:val="right" w:pos="9026" w:leader="dot"/>
            </w:tabs>
            <w:rPr/>
          </w:pPr>
          <w:hyperlink w:anchor="__RefHeading___Toc14338533_2142443653">
            <w:r>
              <w:rPr>
                <w:webHidden/>
                <w:rStyle w:val="IndexLink"/>
                <w:rtl w:val="true"/>
              </w:rPr>
              <w:t>تبصرة</w:t>
            </w:r>
            <w:r>
              <w:rPr>
                <w:rStyle w:val="IndexLink"/>
                <w:rtl w:val="true"/>
              </w:rPr>
              <w:t xml:space="preserve">: [ </w:t>
            </w:r>
            <w:r>
              <w:rPr>
                <w:rStyle w:val="IndexLink"/>
                <w:rtl w:val="true"/>
              </w:rPr>
              <w:t xml:space="preserve">في عدد الضربات </w:t>
            </w:r>
            <w:r>
              <w:rPr>
                <w:rStyle w:val="IndexLink"/>
                <w:rtl w:val="true"/>
              </w:rPr>
              <w:t>]</w:t>
              <w:tab/>
            </w:r>
            <w:r>
              <w:rPr>
                <w:rStyle w:val="IndexLink"/>
              </w:rPr>
              <w:t>356</w:t>
            </w:r>
          </w:hyperlink>
        </w:p>
        <w:p>
          <w:pPr>
            <w:pStyle w:val="Contents4"/>
            <w:tabs>
              <w:tab w:val="clear" w:pos="8176"/>
              <w:tab w:val="right" w:pos="9026" w:leader="dot"/>
            </w:tabs>
            <w:rPr/>
          </w:pPr>
          <w:hyperlink w:anchor="__RefHeading___Toc14338535_2142443653">
            <w:r>
              <w:rPr>
                <w:webHidden/>
                <w:rStyle w:val="IndexLink"/>
                <w:rtl w:val="true"/>
              </w:rPr>
              <w:t>تبصرة</w:t>
            </w:r>
            <w:r>
              <w:rPr>
                <w:rStyle w:val="IndexLink"/>
                <w:rtl w:val="true"/>
              </w:rPr>
              <w:t xml:space="preserve">: [ </w:t>
            </w:r>
            <w:r>
              <w:rPr>
                <w:rStyle w:val="IndexLink"/>
                <w:rtl w:val="true"/>
              </w:rPr>
              <w:t xml:space="preserve">في مسح الوجه </w:t>
            </w:r>
            <w:r>
              <w:rPr>
                <w:rStyle w:val="IndexLink"/>
                <w:rtl w:val="true"/>
              </w:rPr>
              <w:t>]</w:t>
              <w:tab/>
            </w:r>
            <w:r>
              <w:rPr>
                <w:rStyle w:val="IndexLink"/>
              </w:rPr>
              <w:t>366</w:t>
            </w:r>
          </w:hyperlink>
        </w:p>
        <w:p>
          <w:pPr>
            <w:pStyle w:val="Contents4"/>
            <w:tabs>
              <w:tab w:val="clear" w:pos="8176"/>
              <w:tab w:val="right" w:pos="9026" w:leader="dot"/>
            </w:tabs>
            <w:rPr/>
          </w:pPr>
          <w:hyperlink w:anchor="__RefHeading___Toc14338537_2142443653">
            <w:r>
              <w:rPr>
                <w:webHidden/>
                <w:rStyle w:val="IndexLink"/>
                <w:rtl w:val="true"/>
              </w:rPr>
              <w:t>تبصرة</w:t>
            </w:r>
            <w:r>
              <w:rPr>
                <w:rStyle w:val="IndexLink"/>
                <w:rtl w:val="true"/>
              </w:rPr>
              <w:t xml:space="preserve">: [ </w:t>
            </w:r>
            <w:r>
              <w:rPr>
                <w:rStyle w:val="IndexLink"/>
                <w:rtl w:val="true"/>
              </w:rPr>
              <w:t xml:space="preserve">في التيمّم قبل الوقت </w:t>
            </w:r>
            <w:r>
              <w:rPr>
                <w:rStyle w:val="IndexLink"/>
                <w:rtl w:val="true"/>
              </w:rPr>
              <w:t>]</w:t>
              <w:tab/>
            </w:r>
            <w:r>
              <w:rPr>
                <w:rStyle w:val="IndexLink"/>
              </w:rPr>
              <w:t>370</w:t>
            </w:r>
          </w:hyperlink>
        </w:p>
        <w:p>
          <w:pPr>
            <w:pStyle w:val="Contents5"/>
            <w:tabs>
              <w:tab w:val="clear" w:pos="7892"/>
              <w:tab w:val="right" w:pos="9026" w:leader="dot"/>
            </w:tabs>
            <w:rPr/>
          </w:pPr>
          <w:hyperlink w:anchor="__RefHeading___Toc14338539_2142443653">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433854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374</w:t>
            </w:r>
          </w:hyperlink>
        </w:p>
        <w:p>
          <w:pPr>
            <w:pStyle w:val="Contents2"/>
            <w:tabs>
              <w:tab w:val="clear" w:pos="8743"/>
              <w:tab w:val="right" w:pos="9026" w:leader="dot"/>
            </w:tabs>
            <w:rPr/>
          </w:pPr>
          <w:hyperlink w:anchor="__RefHeading___Toc14338543_2142443653">
            <w:r>
              <w:rPr>
                <w:webHidden/>
                <w:rStyle w:val="IndexLink"/>
                <w:rtl w:val="true"/>
              </w:rPr>
              <w:t>الباب الخامس</w:t>
            </w:r>
            <w:r>
              <w:rPr>
                <w:rStyle w:val="IndexLink"/>
                <w:rtl w:val="true"/>
              </w:rPr>
              <w:t xml:space="preserve">: </w:t>
            </w:r>
            <w:r>
              <w:rPr>
                <w:rStyle w:val="IndexLink"/>
                <w:rtl w:val="true"/>
              </w:rPr>
              <w:t>في أحكام الأموات</w:t>
            </w:r>
            <w:r>
              <w:rPr>
                <w:rStyle w:val="IndexLink"/>
                <w:rtl w:val="true"/>
              </w:rPr>
              <w:tab/>
            </w:r>
            <w:r>
              <w:rPr>
                <w:rStyle w:val="IndexLink"/>
              </w:rPr>
              <w:t>376</w:t>
            </w:r>
          </w:hyperlink>
        </w:p>
        <w:p>
          <w:pPr>
            <w:pStyle w:val="Contents3"/>
            <w:tabs>
              <w:tab w:val="clear" w:pos="8459"/>
              <w:tab w:val="right" w:pos="9026" w:leader="dot"/>
            </w:tabs>
            <w:rPr/>
          </w:pPr>
          <w:hyperlink w:anchor="__RefHeading___Toc14338545_2142443653">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14338547_2142443653">
            <w:r>
              <w:rPr>
                <w:webHidden/>
                <w:rStyle w:val="IndexLink"/>
                <w:rtl w:val="true"/>
              </w:rPr>
              <w:t>المقدمة</w:t>
            </w:r>
            <w:r>
              <w:rPr>
                <w:rStyle w:val="IndexLink"/>
                <w:rtl w:val="true"/>
              </w:rPr>
              <w:t xml:space="preserve">: </w:t>
            </w:r>
            <w:r>
              <w:rPr>
                <w:rStyle w:val="IndexLink"/>
                <w:rtl w:val="true"/>
              </w:rPr>
              <w:t>في بيان أحكام المرض والاحتضار</w:t>
            </w:r>
            <w:r>
              <w:rPr>
                <w:rStyle w:val="IndexLink"/>
                <w:rtl w:val="true"/>
              </w:rPr>
              <w:tab/>
            </w:r>
            <w:r>
              <w:rPr>
                <w:rStyle w:val="IndexLink"/>
              </w:rPr>
              <w:t>376</w:t>
            </w:r>
          </w:hyperlink>
        </w:p>
        <w:p>
          <w:pPr>
            <w:pStyle w:val="Contents4"/>
            <w:tabs>
              <w:tab w:val="clear" w:pos="8176"/>
              <w:tab w:val="right" w:pos="9026" w:leader="dot"/>
            </w:tabs>
            <w:rPr/>
          </w:pPr>
          <w:hyperlink w:anchor="__RefHeading___Toc14338549_2142443653">
            <w:r>
              <w:rPr>
                <w:webHidden/>
                <w:rStyle w:val="IndexLink"/>
                <w:rtl w:val="true"/>
              </w:rPr>
              <w:t>تبصرة</w:t>
            </w:r>
            <w:r>
              <w:rPr>
                <w:rStyle w:val="IndexLink"/>
                <w:rtl w:val="true"/>
              </w:rPr>
              <w:t xml:space="preserve">: [ </w:t>
            </w:r>
            <w:r>
              <w:rPr>
                <w:rStyle w:val="IndexLink"/>
                <w:rtl w:val="true"/>
              </w:rPr>
              <w:t xml:space="preserve">في الصبر على المرض </w:t>
            </w:r>
            <w:r>
              <w:rPr>
                <w:rStyle w:val="IndexLink"/>
                <w:rtl w:val="true"/>
              </w:rPr>
              <w:t>]</w:t>
              <w:tab/>
            </w:r>
            <w:r>
              <w:rPr>
                <w:rStyle w:val="IndexLink"/>
              </w:rPr>
              <w:t>376</w:t>
            </w:r>
          </w:hyperlink>
        </w:p>
        <w:p>
          <w:pPr>
            <w:pStyle w:val="Contents4"/>
            <w:tabs>
              <w:tab w:val="clear" w:pos="8176"/>
              <w:tab w:val="right" w:pos="9026" w:leader="dot"/>
            </w:tabs>
            <w:rPr/>
          </w:pPr>
          <w:hyperlink w:anchor="__RefHeading___Toc14338551_2142443653">
            <w:r>
              <w:rPr>
                <w:webHidden/>
                <w:rStyle w:val="IndexLink"/>
                <w:rtl w:val="true"/>
              </w:rPr>
              <w:t>تبصرة</w:t>
            </w:r>
            <w:r>
              <w:rPr>
                <w:rStyle w:val="IndexLink"/>
                <w:rtl w:val="true"/>
              </w:rPr>
              <w:t xml:space="preserve">: [ </w:t>
            </w:r>
            <w:r>
              <w:rPr>
                <w:rStyle w:val="IndexLink"/>
                <w:rtl w:val="true"/>
              </w:rPr>
              <w:t xml:space="preserve">في عيادة المريض </w:t>
            </w:r>
            <w:r>
              <w:rPr>
                <w:rStyle w:val="IndexLink"/>
                <w:rtl w:val="true"/>
              </w:rPr>
              <w:t>]</w:t>
              <w:tab/>
            </w:r>
            <w:r>
              <w:rPr>
                <w:rStyle w:val="IndexLink"/>
              </w:rPr>
              <w:t>385</w:t>
            </w:r>
          </w:hyperlink>
        </w:p>
        <w:p>
          <w:pPr>
            <w:pStyle w:val="Contents4"/>
            <w:tabs>
              <w:tab w:val="clear" w:pos="8176"/>
              <w:tab w:val="right" w:pos="9026" w:leader="dot"/>
            </w:tabs>
            <w:rPr/>
          </w:pPr>
          <w:hyperlink w:anchor="__RefHeading___Toc14338553_2142443653">
            <w:r>
              <w:rPr>
                <w:webHidden/>
                <w:rStyle w:val="IndexLink"/>
                <w:rtl w:val="true"/>
              </w:rPr>
              <w:t>تبصرة</w:t>
            </w:r>
            <w:r>
              <w:rPr>
                <w:rStyle w:val="IndexLink"/>
                <w:rtl w:val="true"/>
              </w:rPr>
              <w:t xml:space="preserve">: [ </w:t>
            </w:r>
            <w:r>
              <w:rPr>
                <w:rStyle w:val="IndexLink"/>
                <w:rtl w:val="true"/>
              </w:rPr>
              <w:t xml:space="preserve">في الوصية </w:t>
            </w:r>
            <w:r>
              <w:rPr>
                <w:rStyle w:val="IndexLink"/>
                <w:rtl w:val="true"/>
              </w:rPr>
              <w:t>]</w:t>
              <w:tab/>
            </w:r>
            <w:r>
              <w:rPr>
                <w:rStyle w:val="IndexLink"/>
              </w:rPr>
              <w:t>393</w:t>
            </w:r>
          </w:hyperlink>
        </w:p>
        <w:p>
          <w:pPr>
            <w:pStyle w:val="Contents4"/>
            <w:tabs>
              <w:tab w:val="clear" w:pos="8176"/>
              <w:tab w:val="right" w:pos="9026" w:leader="dot"/>
            </w:tabs>
            <w:rPr/>
          </w:pPr>
          <w:hyperlink w:anchor="__RefHeading___Toc14338555_2142443653">
            <w:r>
              <w:rPr>
                <w:webHidden/>
                <w:rStyle w:val="IndexLink"/>
                <w:rtl w:val="true"/>
              </w:rPr>
              <w:t>تبصرة</w:t>
            </w:r>
            <w:r>
              <w:rPr>
                <w:rStyle w:val="IndexLink"/>
                <w:rtl w:val="true"/>
              </w:rPr>
              <w:t xml:space="preserve">: [ </w:t>
            </w:r>
            <w:r>
              <w:rPr>
                <w:rStyle w:val="IndexLink"/>
                <w:rtl w:val="true"/>
              </w:rPr>
              <w:t xml:space="preserve">في التوبة والإنابة </w:t>
            </w:r>
            <w:r>
              <w:rPr>
                <w:rStyle w:val="IndexLink"/>
                <w:rtl w:val="true"/>
              </w:rPr>
              <w:t>]</w:t>
              <w:tab/>
            </w:r>
            <w:r>
              <w:rPr>
                <w:rStyle w:val="IndexLink"/>
              </w:rPr>
              <w:t>398</w:t>
            </w:r>
          </w:hyperlink>
        </w:p>
        <w:p>
          <w:pPr>
            <w:pStyle w:val="Contents4"/>
            <w:tabs>
              <w:tab w:val="clear" w:pos="8176"/>
              <w:tab w:val="right" w:pos="9026" w:leader="dot"/>
            </w:tabs>
            <w:rPr/>
          </w:pPr>
          <w:hyperlink w:anchor="__RefHeading___Toc14338557_2142443653">
            <w:r>
              <w:rPr>
                <w:webHidden/>
                <w:rStyle w:val="IndexLink"/>
                <w:rtl w:val="true"/>
              </w:rPr>
              <w:t>تبصرة</w:t>
            </w:r>
            <w:r>
              <w:rPr>
                <w:rStyle w:val="IndexLink"/>
                <w:rtl w:val="true"/>
              </w:rPr>
              <w:t xml:space="preserve">: [ </w:t>
            </w:r>
            <w:r>
              <w:rPr>
                <w:rStyle w:val="IndexLink"/>
                <w:rtl w:val="true"/>
              </w:rPr>
              <w:t xml:space="preserve">في توجيه المؤمن إلى القبلة حال الاحتضار </w:t>
            </w:r>
            <w:r>
              <w:rPr>
                <w:rStyle w:val="IndexLink"/>
                <w:rtl w:val="true"/>
              </w:rPr>
              <w:t>]</w:t>
              <w:tab/>
            </w:r>
            <w:r>
              <w:rPr>
                <w:rStyle w:val="IndexLink"/>
              </w:rPr>
              <w:t>401</w:t>
            </w:r>
          </w:hyperlink>
        </w:p>
        <w:p>
          <w:pPr>
            <w:pStyle w:val="Contents5"/>
            <w:tabs>
              <w:tab w:val="clear" w:pos="7892"/>
              <w:tab w:val="right" w:pos="9026" w:leader="dot"/>
            </w:tabs>
            <w:rPr/>
          </w:pPr>
          <w:hyperlink w:anchor="__RefHeading___Toc14338559_2142443653">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433856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406</w:t>
            </w:r>
          </w:hyperlink>
        </w:p>
        <w:p>
          <w:pPr>
            <w:pStyle w:val="Contents2"/>
            <w:tabs>
              <w:tab w:val="clear" w:pos="8743"/>
              <w:tab w:val="right" w:pos="9026" w:leader="dot"/>
            </w:tabs>
            <w:rPr/>
          </w:pPr>
          <w:hyperlink w:anchor="__RefHeading___Toc14338563_2142443653">
            <w:r>
              <w:rPr>
                <w:webHidden/>
                <w:rStyle w:val="IndexLink"/>
                <w:rtl w:val="true"/>
              </w:rPr>
              <w:t>الباب</w:t>
            </w:r>
            <w:r>
              <w:rPr>
                <w:rStyle w:val="IndexLink"/>
                <w:rtl w:val="true"/>
              </w:rPr>
              <w:t xml:space="preserve">: </w:t>
            </w:r>
            <w:r>
              <w:rPr>
                <w:rStyle w:val="IndexLink"/>
                <w:rtl w:val="true"/>
              </w:rPr>
              <w:t>في بيان النجاسات والمطهّرات ، وأحكام النجاسات</w:t>
            </w:r>
            <w:r>
              <w:rPr>
                <w:rStyle w:val="IndexLink"/>
                <w:rtl w:val="true"/>
              </w:rPr>
              <w:tab/>
            </w:r>
            <w:r>
              <w:rPr>
                <w:rStyle w:val="IndexLink"/>
              </w:rPr>
              <w:t>415</w:t>
            </w:r>
          </w:hyperlink>
        </w:p>
        <w:p>
          <w:pPr>
            <w:pStyle w:val="Contents3"/>
            <w:tabs>
              <w:tab w:val="clear" w:pos="8459"/>
              <w:tab w:val="right" w:pos="9026" w:leader="dot"/>
            </w:tabs>
            <w:rPr/>
          </w:pPr>
          <w:hyperlink w:anchor="__RefHeading___Toc14338565_2142443653">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4338567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أعداد النجاسات</w:t>
            </w:r>
            <w:r>
              <w:rPr>
                <w:rStyle w:val="IndexLink"/>
                <w:rtl w:val="true"/>
              </w:rPr>
              <w:tab/>
            </w:r>
            <w:r>
              <w:rPr>
                <w:rStyle w:val="IndexLink"/>
              </w:rPr>
              <w:t>415</w:t>
            </w:r>
          </w:hyperlink>
        </w:p>
        <w:p>
          <w:pPr>
            <w:pStyle w:val="Contents4"/>
            <w:tabs>
              <w:tab w:val="clear" w:pos="8176"/>
              <w:tab w:val="right" w:pos="9026" w:leader="dot"/>
            </w:tabs>
            <w:rPr/>
          </w:pPr>
          <w:hyperlink w:anchor="__RefHeading___Toc14338569_2142443653">
            <w:r>
              <w:rPr>
                <w:webHidden/>
                <w:rStyle w:val="IndexLink"/>
                <w:rtl w:val="true"/>
              </w:rPr>
              <w:t>تبصرة</w:t>
            </w:r>
            <w:r>
              <w:rPr>
                <w:rStyle w:val="IndexLink"/>
                <w:rtl w:val="true"/>
              </w:rPr>
              <w:t xml:space="preserve">: [ </w:t>
            </w:r>
            <w:r>
              <w:rPr>
                <w:rStyle w:val="IndexLink"/>
                <w:rtl w:val="true"/>
              </w:rPr>
              <w:t xml:space="preserve">في نجاسة البول والغائط مما لا يؤكل لحمه </w:t>
            </w:r>
            <w:r>
              <w:rPr>
                <w:rStyle w:val="IndexLink"/>
                <w:rtl w:val="true"/>
              </w:rPr>
              <w:t>]</w:t>
              <w:tab/>
            </w:r>
            <w:r>
              <w:rPr>
                <w:rStyle w:val="IndexLink"/>
              </w:rPr>
              <w:t>415</w:t>
            </w:r>
          </w:hyperlink>
        </w:p>
        <w:p>
          <w:pPr>
            <w:pStyle w:val="Contents4"/>
            <w:tabs>
              <w:tab w:val="clear" w:pos="8176"/>
              <w:tab w:val="right" w:pos="9026" w:leader="dot"/>
            </w:tabs>
            <w:rPr/>
          </w:pPr>
          <w:hyperlink w:anchor="__RefHeading___Toc14338571_2142443653">
            <w:r>
              <w:rPr>
                <w:webHidden/>
                <w:rStyle w:val="IndexLink"/>
                <w:rtl w:val="true"/>
              </w:rPr>
              <w:t>تبصرة</w:t>
            </w:r>
            <w:r>
              <w:rPr>
                <w:rStyle w:val="IndexLink"/>
                <w:rtl w:val="true"/>
              </w:rPr>
              <w:t xml:space="preserve">: [ </w:t>
            </w:r>
            <w:r>
              <w:rPr>
                <w:rStyle w:val="IndexLink"/>
                <w:rtl w:val="true"/>
              </w:rPr>
              <w:t xml:space="preserve">في نجاسة الدم </w:t>
            </w:r>
            <w:r>
              <w:rPr>
                <w:rStyle w:val="IndexLink"/>
                <w:rtl w:val="true"/>
              </w:rPr>
              <w:t>]</w:t>
              <w:tab/>
            </w:r>
            <w:r>
              <w:rPr>
                <w:rStyle w:val="IndexLink"/>
              </w:rPr>
              <w:t>420</w:t>
            </w:r>
          </w:hyperlink>
        </w:p>
        <w:p>
          <w:pPr>
            <w:pStyle w:val="Contents5"/>
            <w:tabs>
              <w:tab w:val="clear" w:pos="7892"/>
              <w:tab w:val="right" w:pos="9026" w:leader="dot"/>
            </w:tabs>
            <w:rPr/>
          </w:pPr>
          <w:hyperlink w:anchor="__RefHeading___Toc14338573_2142443653">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433857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421</w:t>
            </w:r>
          </w:hyperlink>
        </w:p>
        <w:p>
          <w:pPr>
            <w:pStyle w:val="Contents4"/>
            <w:tabs>
              <w:tab w:val="clear" w:pos="8176"/>
              <w:tab w:val="right" w:pos="9026" w:leader="dot"/>
            </w:tabs>
            <w:rPr/>
          </w:pPr>
          <w:hyperlink w:anchor="__RefHeading___Toc14338577_2142443653">
            <w:r>
              <w:rPr>
                <w:webHidden/>
                <w:rStyle w:val="IndexLink"/>
                <w:rtl w:val="true"/>
              </w:rPr>
              <w:t>تبصرة</w:t>
            </w:r>
            <w:r>
              <w:rPr>
                <w:rStyle w:val="IndexLink"/>
                <w:rtl w:val="true"/>
              </w:rPr>
              <w:t xml:space="preserve">: </w:t>
            </w:r>
            <w:r>
              <w:rPr>
                <w:rStyle w:val="IndexLink"/>
                <w:rtl w:val="true"/>
              </w:rPr>
              <w:t>في نجاسة الكافر وأقسامه</w:t>
            </w:r>
            <w:r>
              <w:rPr>
                <w:rStyle w:val="IndexLink"/>
                <w:rtl w:val="true"/>
              </w:rPr>
              <w:tab/>
            </w:r>
            <w:r>
              <w:rPr>
                <w:rStyle w:val="IndexLink"/>
              </w:rPr>
              <w:t>424</w:t>
            </w:r>
          </w:hyperlink>
        </w:p>
        <w:p>
          <w:pPr>
            <w:pStyle w:val="Contents4"/>
            <w:tabs>
              <w:tab w:val="clear" w:pos="8176"/>
              <w:tab w:val="right" w:pos="9026" w:leader="dot"/>
            </w:tabs>
            <w:rPr/>
          </w:pPr>
          <w:hyperlink w:anchor="__RefHeading___Toc14338579_2142443653">
            <w:r>
              <w:rPr>
                <w:webHidden/>
                <w:rStyle w:val="IndexLink"/>
                <w:rtl w:val="true"/>
              </w:rPr>
              <w:t>تبصرة</w:t>
            </w:r>
            <w:r>
              <w:rPr>
                <w:rStyle w:val="IndexLink"/>
                <w:rtl w:val="true"/>
              </w:rPr>
              <w:t xml:space="preserve">: [ </w:t>
            </w:r>
            <w:r>
              <w:rPr>
                <w:rStyle w:val="IndexLink"/>
                <w:rtl w:val="true"/>
              </w:rPr>
              <w:t xml:space="preserve">في حكم سائر الكفّار </w:t>
            </w:r>
            <w:r>
              <w:rPr>
                <w:rStyle w:val="IndexLink"/>
                <w:rtl w:val="true"/>
              </w:rPr>
              <w:t>]</w:t>
              <w:tab/>
            </w:r>
            <w:r>
              <w:rPr>
                <w:rStyle w:val="IndexLink"/>
              </w:rPr>
              <w:t>428</w:t>
            </w:r>
          </w:hyperlink>
        </w:p>
        <w:p>
          <w:pPr>
            <w:pStyle w:val="Contents4"/>
            <w:tabs>
              <w:tab w:val="clear" w:pos="8176"/>
              <w:tab w:val="right" w:pos="9026" w:leader="dot"/>
            </w:tabs>
            <w:rPr/>
          </w:pPr>
          <w:hyperlink w:anchor="__RefHeading___Toc14338581_2142443653">
            <w:r>
              <w:rPr>
                <w:webHidden/>
                <w:rStyle w:val="IndexLink"/>
                <w:rtl w:val="true"/>
              </w:rPr>
              <w:t>تبصرة</w:t>
            </w:r>
            <w:r>
              <w:rPr>
                <w:rStyle w:val="IndexLink"/>
                <w:rtl w:val="true"/>
              </w:rPr>
              <w:t xml:space="preserve">: [ </w:t>
            </w:r>
            <w:r>
              <w:rPr>
                <w:rStyle w:val="IndexLink"/>
                <w:rtl w:val="true"/>
              </w:rPr>
              <w:t xml:space="preserve">فيما يعفى عنه نجاسته </w:t>
            </w:r>
            <w:r>
              <w:rPr>
                <w:rStyle w:val="IndexLink"/>
                <w:rtl w:val="true"/>
              </w:rPr>
              <w:t>]</w:t>
              <w:tab/>
            </w:r>
            <w:r>
              <w:rPr>
                <w:rStyle w:val="IndexLink"/>
              </w:rPr>
              <w:t>430</w:t>
            </w:r>
          </w:hyperlink>
        </w:p>
        <w:p>
          <w:pPr>
            <w:pStyle w:val="Contents4"/>
            <w:tabs>
              <w:tab w:val="clear" w:pos="8176"/>
              <w:tab w:val="right" w:pos="9026" w:leader="dot"/>
            </w:tabs>
            <w:rPr/>
          </w:pPr>
          <w:hyperlink w:anchor="__RefHeading___Toc14338583_2142443653">
            <w:r>
              <w:rPr>
                <w:webHidden/>
                <w:rStyle w:val="IndexLink"/>
                <w:rtl w:val="true"/>
              </w:rPr>
              <w:t>تبصرة</w:t>
            </w:r>
            <w:r>
              <w:rPr>
                <w:rStyle w:val="IndexLink"/>
                <w:rtl w:val="true"/>
              </w:rPr>
              <w:t xml:space="preserve">: [ </w:t>
            </w:r>
            <w:r>
              <w:rPr>
                <w:rStyle w:val="IndexLink"/>
                <w:rtl w:val="true"/>
              </w:rPr>
              <w:t xml:space="preserve">في نجاسة ثوب المرأة المربّية </w:t>
            </w:r>
            <w:r>
              <w:rPr>
                <w:rStyle w:val="IndexLink"/>
                <w:rtl w:val="true"/>
              </w:rPr>
              <w:t>]</w:t>
              <w:tab/>
            </w:r>
            <w:r>
              <w:rPr>
                <w:rStyle w:val="IndexLink"/>
              </w:rPr>
              <w:t>434</w:t>
            </w:r>
          </w:hyperlink>
        </w:p>
        <w:p>
          <w:pPr>
            <w:pStyle w:val="Contents5"/>
            <w:tabs>
              <w:tab w:val="clear" w:pos="7892"/>
              <w:tab w:val="right" w:pos="9026" w:leader="dot"/>
            </w:tabs>
            <w:rPr/>
          </w:pPr>
          <w:hyperlink w:anchor="__RefHeading___Toc14338585_2142443653">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433858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436</w:t>
            </w:r>
          </w:hyperlink>
        </w:p>
        <w:p>
          <w:pPr>
            <w:pStyle w:val="Contents4"/>
            <w:tabs>
              <w:tab w:val="clear" w:pos="8176"/>
              <w:tab w:val="right" w:pos="9026" w:leader="dot"/>
            </w:tabs>
            <w:rPr/>
          </w:pPr>
          <w:hyperlink w:anchor="__RefHeading___Toc14338589_2142443653">
            <w:r>
              <w:rPr>
                <w:webHidden/>
                <w:rStyle w:val="IndexLink"/>
                <w:rtl w:val="true"/>
              </w:rPr>
              <w:t>تبصرة</w:t>
            </w:r>
            <w:r>
              <w:rPr>
                <w:rStyle w:val="IndexLink"/>
                <w:rtl w:val="true"/>
              </w:rPr>
              <w:t xml:space="preserve">: [ </w:t>
            </w:r>
            <w:r>
              <w:rPr>
                <w:rStyle w:val="IndexLink"/>
                <w:rtl w:val="true"/>
              </w:rPr>
              <w:t xml:space="preserve">في نجاسة ملاقي الملاقي </w:t>
            </w:r>
            <w:r>
              <w:rPr>
                <w:rStyle w:val="IndexLink"/>
                <w:rtl w:val="true"/>
              </w:rPr>
              <w:t>]</w:t>
              <w:tab/>
            </w:r>
            <w:r>
              <w:rPr>
                <w:rStyle w:val="IndexLink"/>
              </w:rPr>
              <w:t>440</w:t>
            </w:r>
          </w:hyperlink>
        </w:p>
        <w:p>
          <w:pPr>
            <w:pStyle w:val="Contents4"/>
            <w:tabs>
              <w:tab w:val="clear" w:pos="8176"/>
              <w:tab w:val="right" w:pos="9026" w:leader="dot"/>
            </w:tabs>
            <w:rPr/>
          </w:pPr>
          <w:hyperlink w:anchor="__RefHeading___Toc14338591_2142443653">
            <w:r>
              <w:rPr>
                <w:webHidden/>
                <w:rStyle w:val="IndexLink"/>
                <w:rtl w:val="true"/>
              </w:rPr>
              <w:t>تبصرة</w:t>
            </w:r>
            <w:r>
              <w:rPr>
                <w:rStyle w:val="IndexLink"/>
                <w:rtl w:val="true"/>
              </w:rPr>
              <w:t xml:space="preserve">: [ </w:t>
            </w:r>
            <w:r>
              <w:rPr>
                <w:rStyle w:val="IndexLink"/>
                <w:rtl w:val="true"/>
              </w:rPr>
              <w:t xml:space="preserve">في أصالة الطهارة </w:t>
            </w:r>
            <w:r>
              <w:rPr>
                <w:rStyle w:val="IndexLink"/>
                <w:rtl w:val="true"/>
              </w:rPr>
              <w:t>]</w:t>
              <w:tab/>
            </w:r>
            <w:r>
              <w:rPr>
                <w:rStyle w:val="IndexLink"/>
              </w:rPr>
              <w:t>447</w:t>
            </w:r>
          </w:hyperlink>
        </w:p>
        <w:p>
          <w:pPr>
            <w:pStyle w:val="Contents5"/>
            <w:tabs>
              <w:tab w:val="clear" w:pos="7892"/>
              <w:tab w:val="right" w:pos="9026" w:leader="dot"/>
            </w:tabs>
            <w:rPr/>
          </w:pPr>
          <w:hyperlink w:anchor="__RefHeading___Toc14338593_2142443653">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4338595_2142443653">
            <w:r>
              <w:rPr>
                <w:webHidden/>
                <w:rStyle w:val="IndexLink"/>
                <w:rtl w:val="true"/>
              </w:rPr>
              <w:t>فروع</w:t>
            </w:r>
            <w:r>
              <w:rPr>
                <w:rStyle w:val="IndexLink"/>
                <w:rtl w:val="true"/>
              </w:rPr>
              <w:tab/>
            </w:r>
            <w:r>
              <w:rPr>
                <w:rStyle w:val="IndexLink"/>
              </w:rPr>
              <w:t>455</w:t>
            </w:r>
          </w:hyperlink>
        </w:p>
        <w:p>
          <w:pPr>
            <w:pStyle w:val="Contents5"/>
            <w:tabs>
              <w:tab w:val="clear" w:pos="7892"/>
              <w:tab w:val="right" w:pos="9026" w:leader="dot"/>
            </w:tabs>
            <w:rPr/>
          </w:pPr>
          <w:hyperlink w:anchor="__RefHeading___Toc1433859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457</w:t>
            </w:r>
          </w:hyperlink>
        </w:p>
        <w:p>
          <w:pPr>
            <w:pStyle w:val="Contents3"/>
            <w:tabs>
              <w:tab w:val="clear" w:pos="8459"/>
              <w:tab w:val="right" w:pos="9026" w:leader="dot"/>
            </w:tabs>
            <w:rPr/>
          </w:pPr>
          <w:hyperlink w:anchor="__RefHeading___Toc14338599_2142443653">
            <w:r>
              <w:rPr>
                <w:webHidden/>
                <w:rStyle w:val="IndexLink"/>
                <w:rtl w:val="true"/>
              </w:rPr>
              <w:t>الفصل</w:t>
            </w:r>
            <w:r>
              <w:rPr>
                <w:rStyle w:val="IndexLink"/>
                <w:rtl w:val="true"/>
              </w:rPr>
              <w:t xml:space="preserve">: </w:t>
            </w:r>
            <w:r>
              <w:rPr>
                <w:rStyle w:val="IndexLink"/>
                <w:rtl w:val="true"/>
              </w:rPr>
              <w:t>في بيان المطهّرات</w:t>
            </w:r>
            <w:r>
              <w:rPr>
                <w:rStyle w:val="IndexLink"/>
                <w:rtl w:val="true"/>
              </w:rPr>
              <w:tab/>
            </w:r>
            <w:r>
              <w:rPr>
                <w:rStyle w:val="IndexLink"/>
              </w:rPr>
              <w:t>462</w:t>
            </w:r>
          </w:hyperlink>
        </w:p>
        <w:p>
          <w:pPr>
            <w:pStyle w:val="Contents4"/>
            <w:tabs>
              <w:tab w:val="clear" w:pos="8176"/>
              <w:tab w:val="right" w:pos="9026" w:leader="dot"/>
            </w:tabs>
            <w:rPr/>
          </w:pPr>
          <w:hyperlink w:anchor="__RefHeading___Toc14338601_2142443653">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4338603_2142443653">
            <w:r>
              <w:rPr>
                <w:webHidden/>
                <w:rStyle w:val="IndexLink"/>
                <w:rtl w:val="true"/>
              </w:rPr>
              <w:t>تبصرة</w:t>
            </w:r>
            <w:r>
              <w:rPr>
                <w:rStyle w:val="IndexLink"/>
                <w:rtl w:val="true"/>
              </w:rPr>
              <w:t xml:space="preserve">: [ </w:t>
            </w:r>
            <w:r>
              <w:rPr>
                <w:rStyle w:val="IndexLink"/>
                <w:rtl w:val="true"/>
              </w:rPr>
              <w:t xml:space="preserve">في الاكتفاء بالمرة في غسل الأشياء </w:t>
            </w:r>
            <w:r>
              <w:rPr>
                <w:rStyle w:val="IndexLink"/>
                <w:rtl w:val="true"/>
              </w:rPr>
              <w:t>]</w:t>
              <w:tab/>
            </w:r>
            <w:r>
              <w:rPr>
                <w:rStyle w:val="IndexLink"/>
              </w:rPr>
              <w:t>462</w:t>
            </w:r>
          </w:hyperlink>
        </w:p>
        <w:p>
          <w:pPr>
            <w:pStyle w:val="Contents5"/>
            <w:tabs>
              <w:tab w:val="clear" w:pos="7892"/>
              <w:tab w:val="right" w:pos="9026" w:leader="dot"/>
            </w:tabs>
            <w:rPr/>
          </w:pPr>
          <w:hyperlink w:anchor="__RefHeading___Toc14338605_2142443653">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4338607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467</w:t>
            </w:r>
          </w:hyperlink>
        </w:p>
        <w:p>
          <w:pPr>
            <w:pStyle w:val="Contents4"/>
            <w:tabs>
              <w:tab w:val="clear" w:pos="8176"/>
              <w:tab w:val="right" w:pos="9026" w:leader="dot"/>
            </w:tabs>
            <w:rPr/>
          </w:pPr>
          <w:hyperlink w:anchor="__RefHeading___Toc14338609_2142443653">
            <w:r>
              <w:rPr>
                <w:webHidden/>
                <w:rStyle w:val="IndexLink"/>
                <w:rtl w:val="true"/>
              </w:rPr>
              <w:t>تبصرة</w:t>
            </w:r>
            <w:r>
              <w:rPr>
                <w:rStyle w:val="IndexLink"/>
                <w:rtl w:val="true"/>
              </w:rPr>
              <w:t xml:space="preserve">: [ </w:t>
            </w:r>
            <w:r>
              <w:rPr>
                <w:rStyle w:val="IndexLink"/>
                <w:rtl w:val="true"/>
              </w:rPr>
              <w:t xml:space="preserve">في اعتبار العصر </w:t>
            </w:r>
            <w:r>
              <w:rPr>
                <w:rStyle w:val="IndexLink"/>
                <w:rtl w:val="true"/>
              </w:rPr>
              <w:t>]</w:t>
              <w:tab/>
            </w:r>
            <w:r>
              <w:rPr>
                <w:rStyle w:val="IndexLink"/>
              </w:rPr>
              <w:t>471</w:t>
            </w:r>
          </w:hyperlink>
        </w:p>
        <w:p>
          <w:pPr>
            <w:pStyle w:val="Contents4"/>
            <w:tabs>
              <w:tab w:val="clear" w:pos="8176"/>
              <w:tab w:val="right" w:pos="9026" w:leader="dot"/>
            </w:tabs>
            <w:rPr/>
          </w:pPr>
          <w:hyperlink w:anchor="__RefHeading___Toc1433861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475</w:t>
            </w:r>
          </w:hyperlink>
        </w:p>
        <w:p>
          <w:pPr>
            <w:pStyle w:val="Contents2"/>
            <w:tabs>
              <w:tab w:val="clear" w:pos="8743"/>
              <w:tab w:val="right" w:pos="9026" w:leader="dot"/>
            </w:tabs>
            <w:rPr/>
          </w:pPr>
          <w:hyperlink w:anchor="__RefHeading___Toc14338613_2142443653">
            <w:r>
              <w:rPr>
                <w:webHidden/>
                <w:rStyle w:val="IndexLink"/>
                <w:rtl w:val="true"/>
              </w:rPr>
              <w:t>كتاب الصّلاة</w:t>
            </w:r>
            <w:r>
              <w:rPr>
                <w:rStyle w:val="IndexLink"/>
                <w:rtl w:val="true"/>
              </w:rPr>
              <w:tab/>
            </w:r>
            <w:r>
              <w:rPr>
                <w:rStyle w:val="IndexLink"/>
              </w:rPr>
              <w:t>477</w:t>
            </w:r>
          </w:hyperlink>
        </w:p>
        <w:p>
          <w:pPr>
            <w:pStyle w:val="Contents3"/>
            <w:tabs>
              <w:tab w:val="clear" w:pos="8459"/>
              <w:tab w:val="right" w:pos="9026" w:leader="dot"/>
            </w:tabs>
            <w:rPr/>
          </w:pPr>
          <w:hyperlink w:anchor="__RefHeading___Toc14338615_2142443653">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14338617_2142443653">
            <w:r>
              <w:rPr>
                <w:webHidden/>
                <w:rStyle w:val="IndexLink"/>
                <w:rtl w:val="true"/>
              </w:rPr>
              <w:t>الباب الأول</w:t>
            </w:r>
            <w:r>
              <w:rPr>
                <w:rStyle w:val="IndexLink"/>
                <w:rtl w:val="true"/>
              </w:rPr>
              <w:t xml:space="preserve">: </w:t>
            </w:r>
            <w:r>
              <w:rPr>
                <w:rStyle w:val="IndexLink"/>
                <w:rtl w:val="true"/>
              </w:rPr>
              <w:t>في اليومية</w:t>
            </w:r>
            <w:r>
              <w:rPr>
                <w:rStyle w:val="IndexLink"/>
                <w:rtl w:val="true"/>
              </w:rPr>
              <w:tab/>
            </w:r>
            <w:r>
              <w:rPr>
                <w:rStyle w:val="IndexLink"/>
              </w:rPr>
              <w:t>481</w:t>
            </w:r>
          </w:hyperlink>
        </w:p>
        <w:p>
          <w:pPr>
            <w:pStyle w:val="Contents4"/>
            <w:tabs>
              <w:tab w:val="clear" w:pos="8176"/>
              <w:tab w:val="right" w:pos="9026" w:leader="dot"/>
            </w:tabs>
            <w:rPr/>
          </w:pPr>
          <w:hyperlink w:anchor="__RefHeading___Toc14338619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4338621_2142443653">
            <w:r>
              <w:rPr>
                <w:webHidden/>
                <w:rStyle w:val="IndexLink"/>
                <w:rtl w:val="true"/>
              </w:rPr>
              <w:t xml:space="preserve">الفصل الأول </w:t>
            </w:r>
            <w:r>
              <w:rPr>
                <w:rStyle w:val="IndexLink"/>
                <w:rtl w:val="true"/>
              </w:rPr>
              <w:t xml:space="preserve">: </w:t>
            </w:r>
            <w:r>
              <w:rPr>
                <w:rStyle w:val="IndexLink"/>
                <w:rtl w:val="true"/>
              </w:rPr>
              <w:t>في المقدمات</w:t>
            </w:r>
            <w:r>
              <w:rPr>
                <w:rStyle w:val="IndexLink"/>
                <w:rtl w:val="true"/>
              </w:rPr>
              <w:tab/>
            </w:r>
            <w:r>
              <w:rPr>
                <w:rStyle w:val="IndexLink"/>
              </w:rPr>
              <w:t>481</w:t>
            </w:r>
          </w:hyperlink>
        </w:p>
        <w:p>
          <w:pPr>
            <w:pStyle w:val="Contents5"/>
            <w:tabs>
              <w:tab w:val="clear" w:pos="7892"/>
              <w:tab w:val="right" w:pos="9026" w:leader="dot"/>
            </w:tabs>
            <w:rPr/>
          </w:pPr>
          <w:hyperlink w:anchor="__RefHeading___Toc14338623_2142443653">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14338625_2142443653">
            <w:r>
              <w:rPr>
                <w:webHidden/>
                <w:rStyle w:val="IndexLink"/>
                <w:rtl w:val="true"/>
              </w:rPr>
              <w:t xml:space="preserve">القول </w:t>
            </w:r>
            <w:r>
              <w:rPr>
                <w:rStyle w:val="IndexLink"/>
                <w:rtl w:val="true"/>
              </w:rPr>
              <w:t xml:space="preserve">: </w:t>
            </w:r>
            <w:r>
              <w:rPr>
                <w:rStyle w:val="IndexLink"/>
                <w:rtl w:val="true"/>
              </w:rPr>
              <w:t>في الوقت</w:t>
            </w:r>
            <w:r>
              <w:rPr>
                <w:rStyle w:val="IndexLink"/>
                <w:rtl w:val="true"/>
              </w:rPr>
              <w:tab/>
            </w:r>
            <w:r>
              <w:rPr>
                <w:rStyle w:val="IndexLink"/>
              </w:rPr>
              <w:t>481</w:t>
            </w:r>
          </w:hyperlink>
        </w:p>
        <w:p>
          <w:pPr>
            <w:pStyle w:val="Contents5"/>
            <w:tabs>
              <w:tab w:val="clear" w:pos="7892"/>
              <w:tab w:val="right" w:pos="9026" w:leader="dot"/>
            </w:tabs>
            <w:rPr/>
          </w:pPr>
          <w:hyperlink w:anchor="__RefHeading___Toc14338627_2142443653">
            <w:r>
              <w:rPr>
                <w:webHidden/>
                <w:rStyle w:val="IndexLink"/>
                <w:rtl w:val="true"/>
              </w:rPr>
              <w:t>تبصرة</w:t>
            </w:r>
            <w:r>
              <w:rPr>
                <w:rStyle w:val="IndexLink"/>
                <w:rtl w:val="true"/>
              </w:rPr>
              <w:t xml:space="preserve">: [ </w:t>
            </w:r>
            <w:r>
              <w:rPr>
                <w:rStyle w:val="IndexLink"/>
                <w:rtl w:val="true"/>
              </w:rPr>
              <w:t xml:space="preserve">في وقت الفرائض اليومية </w:t>
            </w:r>
            <w:r>
              <w:rPr>
                <w:rStyle w:val="IndexLink"/>
                <w:rtl w:val="true"/>
              </w:rPr>
              <w:t>]</w:t>
              <w:tab/>
            </w:r>
            <w:r>
              <w:rPr>
                <w:rStyle w:val="IndexLink"/>
              </w:rPr>
              <w:t>482</w:t>
            </w:r>
          </w:hyperlink>
        </w:p>
        <w:p>
          <w:pPr>
            <w:pStyle w:val="Contents5"/>
            <w:tabs>
              <w:tab w:val="clear" w:pos="7892"/>
              <w:tab w:val="right" w:pos="9026" w:leader="dot"/>
            </w:tabs>
            <w:rPr/>
          </w:pPr>
          <w:hyperlink w:anchor="__RefHeading___Toc14338629_2142443653">
            <w:r>
              <w:rPr>
                <w:webHidden/>
                <w:rStyle w:val="IndexLink"/>
                <w:rtl w:val="true"/>
              </w:rPr>
              <w:t>تبصرة</w:t>
            </w:r>
            <w:r>
              <w:rPr>
                <w:rStyle w:val="IndexLink"/>
                <w:rtl w:val="true"/>
              </w:rPr>
              <w:t xml:space="preserve">: [ </w:t>
            </w:r>
            <w:r>
              <w:rPr>
                <w:rStyle w:val="IndexLink"/>
                <w:rtl w:val="true"/>
              </w:rPr>
              <w:t xml:space="preserve">في وقت الظهر </w:t>
            </w:r>
            <w:r>
              <w:rPr>
                <w:rStyle w:val="IndexLink"/>
                <w:rtl w:val="true"/>
              </w:rPr>
              <w:t>]</w:t>
              <w:tab/>
            </w:r>
            <w:r>
              <w:rPr>
                <w:rStyle w:val="IndexLink"/>
              </w:rPr>
              <w:t>491</w:t>
            </w:r>
          </w:hyperlink>
        </w:p>
        <w:p>
          <w:pPr>
            <w:pStyle w:val="Contents5"/>
            <w:tabs>
              <w:tab w:val="clear" w:pos="7892"/>
              <w:tab w:val="right" w:pos="9026" w:leader="dot"/>
            </w:tabs>
            <w:rPr/>
          </w:pPr>
          <w:hyperlink w:anchor="__RefHeading___Toc14338631_2142443653">
            <w:r>
              <w:rPr>
                <w:webHidden/>
                <w:rStyle w:val="IndexLink"/>
                <w:rtl w:val="true"/>
              </w:rPr>
              <w:t>تبصرة</w:t>
            </w:r>
            <w:r>
              <w:rPr>
                <w:rStyle w:val="IndexLink"/>
                <w:rtl w:val="true"/>
              </w:rPr>
              <w:t xml:space="preserve">: [ </w:t>
            </w:r>
            <w:r>
              <w:rPr>
                <w:rStyle w:val="IndexLink"/>
                <w:rtl w:val="true"/>
              </w:rPr>
              <w:t xml:space="preserve">في وقت العصر </w:t>
            </w:r>
            <w:r>
              <w:rPr>
                <w:rStyle w:val="IndexLink"/>
                <w:rtl w:val="true"/>
              </w:rPr>
              <w:t>]</w:t>
              <w:tab/>
            </w:r>
            <w:r>
              <w:rPr>
                <w:rStyle w:val="IndexLink"/>
              </w:rPr>
              <w:t>501</w:t>
            </w:r>
          </w:hyperlink>
        </w:p>
        <w:p>
          <w:pPr>
            <w:pStyle w:val="Contents5"/>
            <w:tabs>
              <w:tab w:val="clear" w:pos="7892"/>
              <w:tab w:val="right" w:pos="9026" w:leader="dot"/>
            </w:tabs>
            <w:rPr/>
          </w:pPr>
          <w:hyperlink w:anchor="__RefHeading___Toc14338633_2142443653">
            <w:r>
              <w:rPr>
                <w:webHidden/>
                <w:rStyle w:val="IndexLink"/>
                <w:rtl w:val="true"/>
              </w:rPr>
              <w:t>تبصرة</w:t>
            </w:r>
            <w:r>
              <w:rPr>
                <w:rStyle w:val="IndexLink"/>
                <w:rtl w:val="true"/>
              </w:rPr>
              <w:t xml:space="preserve">: [ </w:t>
            </w:r>
            <w:r>
              <w:rPr>
                <w:rStyle w:val="IndexLink"/>
                <w:rtl w:val="true"/>
              </w:rPr>
              <w:t xml:space="preserve">في وقت المغرب </w:t>
            </w:r>
            <w:r>
              <w:rPr>
                <w:rStyle w:val="IndexLink"/>
                <w:rtl w:val="true"/>
              </w:rPr>
              <w:t>]</w:t>
              <w:tab/>
            </w:r>
            <w:r>
              <w:rPr>
                <w:rStyle w:val="IndexLink"/>
              </w:rPr>
              <w:t>507</w:t>
            </w:r>
          </w:hyperlink>
        </w:p>
        <w:p>
          <w:pPr>
            <w:pStyle w:val="Contents5"/>
            <w:tabs>
              <w:tab w:val="clear" w:pos="7892"/>
              <w:tab w:val="right" w:pos="9026" w:leader="dot"/>
            </w:tabs>
            <w:rPr/>
          </w:pPr>
          <w:hyperlink w:anchor="__RefHeading___Toc14338635_2142443653">
            <w:r>
              <w:rPr>
                <w:webHidden/>
                <w:rStyle w:val="IndexLink"/>
                <w:rtl w:val="true"/>
              </w:rPr>
              <w:t>تبصرة</w:t>
            </w:r>
            <w:r>
              <w:rPr>
                <w:rStyle w:val="IndexLink"/>
                <w:rtl w:val="true"/>
              </w:rPr>
              <w:t xml:space="preserve">: [ </w:t>
            </w:r>
            <w:r>
              <w:rPr>
                <w:rStyle w:val="IndexLink"/>
                <w:rtl w:val="true"/>
              </w:rPr>
              <w:t xml:space="preserve">في وقت العشاء </w:t>
            </w:r>
            <w:r>
              <w:rPr>
                <w:rStyle w:val="IndexLink"/>
                <w:rtl w:val="true"/>
              </w:rPr>
              <w:t>]</w:t>
              <w:tab/>
            </w:r>
            <w:r>
              <w:rPr>
                <w:rStyle w:val="IndexLink"/>
              </w:rPr>
              <w:t>512</w:t>
            </w:r>
          </w:hyperlink>
        </w:p>
        <w:p>
          <w:pPr>
            <w:pStyle w:val="Contents5"/>
            <w:tabs>
              <w:tab w:val="clear" w:pos="7892"/>
              <w:tab w:val="right" w:pos="9026" w:leader="dot"/>
            </w:tabs>
            <w:rPr/>
          </w:pPr>
          <w:hyperlink w:anchor="__RefHeading___Toc14338637_2142443653">
            <w:r>
              <w:rPr>
                <w:webHidden/>
                <w:rStyle w:val="IndexLink"/>
                <w:rtl w:val="true"/>
              </w:rPr>
              <w:t>تبصرة</w:t>
            </w:r>
            <w:r>
              <w:rPr>
                <w:rStyle w:val="IndexLink"/>
                <w:rtl w:val="true"/>
              </w:rPr>
              <w:t xml:space="preserve">: [ </w:t>
            </w:r>
            <w:r>
              <w:rPr>
                <w:rStyle w:val="IndexLink"/>
                <w:rtl w:val="true"/>
              </w:rPr>
              <w:t xml:space="preserve">في وقت الفجر </w:t>
            </w:r>
            <w:r>
              <w:rPr>
                <w:rStyle w:val="IndexLink"/>
                <w:rtl w:val="true"/>
              </w:rPr>
              <w:t>]</w:t>
              <w:tab/>
            </w:r>
            <w:r>
              <w:rPr>
                <w:rStyle w:val="IndexLink"/>
              </w:rPr>
              <w:t>525</w:t>
            </w:r>
          </w:hyperlink>
        </w:p>
        <w:p>
          <w:pPr>
            <w:pStyle w:val="Contents5"/>
            <w:tabs>
              <w:tab w:val="clear" w:pos="7892"/>
              <w:tab w:val="right" w:pos="9026" w:leader="dot"/>
            </w:tabs>
            <w:rPr/>
          </w:pPr>
          <w:hyperlink w:anchor="__RefHeading___Toc14338639_2142443653">
            <w:r>
              <w:rPr>
                <w:webHidden/>
                <w:rStyle w:val="IndexLink"/>
                <w:rtl w:val="true"/>
              </w:rPr>
              <w:t>تبصرة</w:t>
            </w:r>
            <w:r>
              <w:rPr>
                <w:rStyle w:val="IndexLink"/>
                <w:rtl w:val="true"/>
              </w:rPr>
              <w:t xml:space="preserve">: [ </w:t>
            </w:r>
            <w:r>
              <w:rPr>
                <w:rStyle w:val="IndexLink"/>
                <w:rtl w:val="true"/>
              </w:rPr>
              <w:t xml:space="preserve">في معرفة الزوال </w:t>
            </w:r>
            <w:r>
              <w:rPr>
                <w:rStyle w:val="IndexLink"/>
                <w:rtl w:val="true"/>
              </w:rPr>
              <w:t>]</w:t>
              <w:tab/>
            </w:r>
            <w:r>
              <w:rPr>
                <w:rStyle w:val="IndexLink"/>
              </w:rPr>
              <w:t>532</w:t>
            </w:r>
          </w:hyperlink>
        </w:p>
        <w:p>
          <w:pPr>
            <w:pStyle w:val="Contents5"/>
            <w:tabs>
              <w:tab w:val="clear" w:pos="7892"/>
              <w:tab w:val="right" w:pos="9026" w:leader="dot"/>
            </w:tabs>
            <w:rPr/>
          </w:pPr>
          <w:hyperlink w:anchor="__RefHeading___Toc14338641_2142443653">
            <w:r>
              <w:rPr>
                <w:webHidden/>
                <w:rStyle w:val="IndexLink"/>
                <w:rtl w:val="true"/>
              </w:rPr>
              <w:t>تبصرة</w:t>
            </w:r>
            <w:r>
              <w:rPr>
                <w:rStyle w:val="IndexLink"/>
                <w:rtl w:val="true"/>
              </w:rPr>
              <w:t xml:space="preserve">: [ </w:t>
            </w:r>
            <w:r>
              <w:rPr>
                <w:rStyle w:val="IndexLink"/>
                <w:rtl w:val="true"/>
              </w:rPr>
              <w:t xml:space="preserve">في معرفة المغرب </w:t>
            </w:r>
            <w:r>
              <w:rPr>
                <w:rStyle w:val="IndexLink"/>
                <w:rtl w:val="true"/>
              </w:rPr>
              <w:t>]</w:t>
              <w:tab/>
            </w:r>
            <w:r>
              <w:rPr>
                <w:rStyle w:val="IndexLink"/>
              </w:rPr>
              <w:t>535</w:t>
            </w:r>
          </w:hyperlink>
        </w:p>
        <w:p>
          <w:pPr>
            <w:pStyle w:val="Contents5"/>
            <w:tabs>
              <w:tab w:val="clear" w:pos="7892"/>
              <w:tab w:val="right" w:pos="9026" w:leader="dot"/>
            </w:tabs>
            <w:rPr/>
          </w:pPr>
          <w:hyperlink w:anchor="__RefHeading___Toc14338643_2142443653">
            <w:r>
              <w:rPr>
                <w:webHidden/>
                <w:rStyle w:val="IndexLink"/>
                <w:rtl w:val="true"/>
              </w:rPr>
              <w:t>تبصرة</w:t>
            </w:r>
            <w:r>
              <w:rPr>
                <w:rStyle w:val="IndexLink"/>
                <w:rtl w:val="true"/>
              </w:rPr>
              <w:t xml:space="preserve">: [ </w:t>
            </w:r>
            <w:r>
              <w:rPr>
                <w:rStyle w:val="IndexLink"/>
                <w:rtl w:val="true"/>
              </w:rPr>
              <w:t xml:space="preserve">في الحمرة </w:t>
            </w:r>
            <w:r>
              <w:rPr>
                <w:rStyle w:val="IndexLink"/>
                <w:rtl w:val="true"/>
              </w:rPr>
              <w:t>]</w:t>
              <w:tab/>
            </w:r>
            <w:r>
              <w:rPr>
                <w:rStyle w:val="IndexLink"/>
              </w:rPr>
              <w:t>542</w:t>
            </w:r>
          </w:hyperlink>
        </w:p>
        <w:p>
          <w:pPr>
            <w:pStyle w:val="Contents3"/>
            <w:tabs>
              <w:tab w:val="clear" w:pos="8459"/>
              <w:tab w:val="right" w:pos="9026" w:leader="dot"/>
            </w:tabs>
            <w:rPr/>
          </w:pPr>
          <w:hyperlink w:anchor="__RefHeading___Toc14338645_2142443653">
            <w:r>
              <w:rPr>
                <w:webHidden/>
                <w:rStyle w:val="IndexLink"/>
                <w:rtl w:val="true"/>
              </w:rPr>
              <w:t>الثاني</w:t>
            </w:r>
            <w:r>
              <w:rPr>
                <w:rStyle w:val="IndexLink"/>
                <w:rtl w:val="true"/>
              </w:rPr>
              <w:t xml:space="preserve">: </w:t>
            </w:r>
            <w:r>
              <w:rPr>
                <w:rStyle w:val="IndexLink"/>
                <w:rtl w:val="true"/>
              </w:rPr>
              <w:t>في بيان الأحكام</w:t>
            </w:r>
            <w:r>
              <w:rPr>
                <w:rStyle w:val="IndexLink"/>
                <w:rtl w:val="true"/>
              </w:rPr>
              <w:tab/>
            </w:r>
            <w:r>
              <w:rPr>
                <w:rStyle w:val="IndexLink"/>
              </w:rPr>
              <w:t>544</w:t>
            </w:r>
          </w:hyperlink>
        </w:p>
        <w:p>
          <w:pPr>
            <w:pStyle w:val="Contents4"/>
            <w:tabs>
              <w:tab w:val="clear" w:pos="8176"/>
              <w:tab w:val="right" w:pos="9026" w:leader="dot"/>
            </w:tabs>
            <w:rPr/>
          </w:pPr>
          <w:hyperlink w:anchor="__RefHeading___Toc14338647_2142443653">
            <w:r>
              <w:rPr>
                <w:webHidden/>
                <w:rStyle w:val="IndexLink"/>
                <w:rtl w:val="true"/>
              </w:rPr>
              <w:t>تبصرة</w:t>
            </w:r>
            <w:r>
              <w:rPr>
                <w:rStyle w:val="IndexLink"/>
                <w:rtl w:val="true"/>
              </w:rPr>
              <w:t xml:space="preserve">: [ </w:t>
            </w:r>
            <w:r>
              <w:rPr>
                <w:rStyle w:val="IndexLink"/>
                <w:rtl w:val="true"/>
              </w:rPr>
              <w:t xml:space="preserve">في اليقين بدخول الوقت </w:t>
            </w:r>
            <w:r>
              <w:rPr>
                <w:rStyle w:val="IndexLink"/>
                <w:rtl w:val="true"/>
              </w:rPr>
              <w:t>]</w:t>
              <w:tab/>
            </w:r>
            <w:r>
              <w:rPr>
                <w:rStyle w:val="IndexLink"/>
              </w:rPr>
              <w:t>544</w:t>
            </w:r>
          </w:hyperlink>
        </w:p>
        <w:p>
          <w:pPr>
            <w:pStyle w:val="Contents4"/>
            <w:tabs>
              <w:tab w:val="clear" w:pos="8176"/>
              <w:tab w:val="right" w:pos="9026" w:leader="dot"/>
            </w:tabs>
            <w:rPr/>
          </w:pPr>
          <w:hyperlink w:anchor="__RefHeading___Toc14338649_2142443653">
            <w:r>
              <w:rPr>
                <w:webHidden/>
                <w:rStyle w:val="IndexLink"/>
                <w:rtl w:val="true"/>
              </w:rPr>
              <w:t>تبصرة</w:t>
            </w:r>
            <w:r>
              <w:rPr>
                <w:rStyle w:val="IndexLink"/>
                <w:rtl w:val="true"/>
              </w:rPr>
              <w:t xml:space="preserve">: [ </w:t>
            </w:r>
            <w:r>
              <w:rPr>
                <w:rStyle w:val="IndexLink"/>
                <w:rtl w:val="true"/>
              </w:rPr>
              <w:t xml:space="preserve">في التعويل على الظن مع عدم تمكن العلم </w:t>
            </w:r>
            <w:r>
              <w:rPr>
                <w:rStyle w:val="IndexLink"/>
                <w:rtl w:val="true"/>
              </w:rPr>
              <w:t>]</w:t>
              <w:tab/>
            </w:r>
            <w:r>
              <w:rPr>
                <w:rStyle w:val="IndexLink"/>
              </w:rPr>
              <w:t>549</w:t>
            </w:r>
          </w:hyperlink>
        </w:p>
        <w:p>
          <w:pPr>
            <w:pStyle w:val="Contents4"/>
            <w:tabs>
              <w:tab w:val="clear" w:pos="8176"/>
              <w:tab w:val="right" w:pos="9026" w:leader="dot"/>
            </w:tabs>
            <w:rPr/>
          </w:pPr>
          <w:hyperlink w:anchor="__RefHeading___Toc14338651_2142443653">
            <w:r>
              <w:rPr>
                <w:webHidden/>
                <w:rStyle w:val="IndexLink"/>
                <w:rtl w:val="true"/>
              </w:rPr>
              <w:t>تبصرة</w:t>
            </w:r>
            <w:r>
              <w:rPr>
                <w:rStyle w:val="IndexLink"/>
                <w:rtl w:val="true"/>
              </w:rPr>
              <w:t xml:space="preserve">: [ </w:t>
            </w:r>
            <w:r>
              <w:rPr>
                <w:rStyle w:val="IndexLink"/>
                <w:rtl w:val="true"/>
              </w:rPr>
              <w:t xml:space="preserve">في الصلاة قبل دخول الوقت </w:t>
            </w:r>
            <w:r>
              <w:rPr>
                <w:rStyle w:val="IndexLink"/>
                <w:rtl w:val="true"/>
              </w:rPr>
              <w:t>]</w:t>
              <w:tab/>
            </w:r>
            <w:r>
              <w:rPr>
                <w:rStyle w:val="IndexLink"/>
              </w:rPr>
              <w:t>554</w:t>
            </w:r>
          </w:hyperlink>
        </w:p>
        <w:p>
          <w:pPr>
            <w:pStyle w:val="Contents4"/>
            <w:tabs>
              <w:tab w:val="clear" w:pos="8176"/>
              <w:tab w:val="right" w:pos="9026" w:leader="dot"/>
            </w:tabs>
            <w:rPr/>
          </w:pPr>
          <w:hyperlink w:anchor="__RefHeading___Toc14338653_2142443653">
            <w:r>
              <w:rPr>
                <w:webHidden/>
                <w:rStyle w:val="IndexLink"/>
                <w:rtl w:val="true"/>
              </w:rPr>
              <w:t>تبصرة</w:t>
            </w:r>
            <w:r>
              <w:rPr>
                <w:rStyle w:val="IndexLink"/>
                <w:rtl w:val="true"/>
              </w:rPr>
              <w:t xml:space="preserve">: [ </w:t>
            </w:r>
            <w:r>
              <w:rPr>
                <w:rStyle w:val="IndexLink"/>
                <w:rtl w:val="true"/>
              </w:rPr>
              <w:t xml:space="preserve">في إدراك المكلّف من أول وقت الصلاة بمقدار الأداء </w:t>
            </w:r>
            <w:r>
              <w:rPr>
                <w:rStyle w:val="IndexLink"/>
                <w:rtl w:val="true"/>
              </w:rPr>
              <w:t>]</w:t>
              <w:tab/>
            </w:r>
            <w:r>
              <w:rPr>
                <w:rStyle w:val="IndexLink"/>
              </w:rPr>
              <w:t>563</w:t>
            </w:r>
          </w:hyperlink>
        </w:p>
        <w:p>
          <w:pPr>
            <w:pStyle w:val="Contents4"/>
            <w:tabs>
              <w:tab w:val="clear" w:pos="8176"/>
              <w:tab w:val="right" w:pos="9026" w:leader="dot"/>
            </w:tabs>
            <w:rPr/>
          </w:pPr>
          <w:hyperlink w:anchor="__RefHeading___Toc14338655_2142443653">
            <w:r>
              <w:rPr>
                <w:webHidden/>
                <w:rStyle w:val="IndexLink"/>
                <w:rtl w:val="true"/>
              </w:rPr>
              <w:t>تبصرة</w:t>
            </w:r>
            <w:r>
              <w:rPr>
                <w:rStyle w:val="IndexLink"/>
                <w:rtl w:val="true"/>
              </w:rPr>
              <w:t xml:space="preserve">: [ </w:t>
            </w:r>
            <w:r>
              <w:rPr>
                <w:rStyle w:val="IndexLink"/>
                <w:rtl w:val="true"/>
              </w:rPr>
              <w:t xml:space="preserve">في إدراك آخر الوقت بمقدار ركعة </w:t>
            </w:r>
            <w:r>
              <w:rPr>
                <w:rStyle w:val="IndexLink"/>
                <w:rtl w:val="true"/>
              </w:rPr>
              <w:t>]</w:t>
              <w:tab/>
            </w:r>
            <w:r>
              <w:rPr>
                <w:rStyle w:val="IndexLink"/>
              </w:rPr>
              <w:t>571</w:t>
            </w:r>
          </w:hyperlink>
        </w:p>
        <w:p>
          <w:pPr>
            <w:pStyle w:val="Contents5"/>
            <w:tabs>
              <w:tab w:val="clear" w:pos="7892"/>
              <w:tab w:val="right" w:pos="9026" w:leader="dot"/>
            </w:tabs>
            <w:rPr/>
          </w:pPr>
          <w:hyperlink w:anchor="__RefHeading___Toc14338657_2142443653">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14338659_2142443653">
            <w:r>
              <w:rPr>
                <w:webHidden/>
                <w:rStyle w:val="IndexLink"/>
                <w:rtl w:val="true"/>
              </w:rPr>
              <w:t xml:space="preserve">[ </w:t>
            </w:r>
            <w:r>
              <w:rPr>
                <w:rStyle w:val="IndexLink"/>
                <w:rtl w:val="true"/>
              </w:rPr>
              <w:t xml:space="preserve">تتمّة </w:t>
            </w:r>
            <w:r>
              <w:rPr>
                <w:rStyle w:val="IndexLink"/>
                <w:rtl w:val="true"/>
              </w:rPr>
              <w:t>]</w:t>
              <w:tab/>
            </w:r>
            <w:r>
              <w:rPr>
                <w:rStyle w:val="IndexLink"/>
              </w:rPr>
              <w:t>576</w:t>
            </w:r>
          </w:hyperlink>
        </w:p>
        <w:p>
          <w:pPr>
            <w:pStyle w:val="Contents4"/>
            <w:tabs>
              <w:tab w:val="clear" w:pos="8176"/>
              <w:tab w:val="right" w:pos="9026" w:leader="dot"/>
            </w:tabs>
            <w:rPr/>
          </w:pPr>
          <w:hyperlink w:anchor="__RefHeading___Toc14338661_2142443653">
            <w:r>
              <w:rPr>
                <w:webHidden/>
                <w:rStyle w:val="IndexLink"/>
                <w:rtl w:val="true"/>
              </w:rPr>
              <w:t>تبصرة</w:t>
            </w:r>
            <w:r>
              <w:rPr>
                <w:rStyle w:val="IndexLink"/>
                <w:rtl w:val="true"/>
              </w:rPr>
              <w:t xml:space="preserve">: [ </w:t>
            </w:r>
            <w:r>
              <w:rPr>
                <w:rStyle w:val="IndexLink"/>
                <w:rtl w:val="true"/>
              </w:rPr>
              <w:t xml:space="preserve">في الإتيان بالنافلة في وقت الفريضة </w:t>
            </w:r>
            <w:r>
              <w:rPr>
                <w:rStyle w:val="IndexLink"/>
                <w:rtl w:val="true"/>
              </w:rPr>
              <w:t>]</w:t>
              <w:tab/>
            </w:r>
            <w:r>
              <w:rPr>
                <w:rStyle w:val="IndexLink"/>
              </w:rPr>
              <w:t>587</w:t>
            </w:r>
          </w:hyperlink>
        </w:p>
        <w:p>
          <w:pPr>
            <w:pStyle w:val="Contents2"/>
            <w:tabs>
              <w:tab w:val="clear" w:pos="8743"/>
              <w:tab w:val="right" w:pos="9026" w:leader="dot"/>
            </w:tabs>
            <w:rPr/>
          </w:pPr>
          <w:hyperlink w:anchor="__RefHeading___Toc14338663_2142443653">
            <w:r>
              <w:rPr>
                <w:webHidden/>
                <w:rStyle w:val="IndexLink"/>
                <w:rtl w:val="true"/>
              </w:rPr>
              <w:t>فهرس المواضيع الجزء الثاني</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9_360579"/>
      <w:bookmarkStart w:id="1" w:name="pg15839_360579"/>
      <w:bookmarkEnd w:id="1"/>
    </w:p>
    <w:p>
      <w:pPr>
        <w:pStyle w:val="Heading2"/>
        <w:numPr>
          <w:ilvl w:val="1"/>
          <w:numId w:val="1"/>
        </w:numPr>
        <w:rPr/>
      </w:pPr>
      <w:bookmarkStart w:id="2" w:name="pg15839_360579"/>
      <w:bookmarkStart w:id="3" w:name="__RefHeading___Toc1433829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الكوثر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تبصرة الفقهاء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3829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تبصرة الفقهاء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و الأصولي المدقق الشيخ محمد تقي الرازي النجفي الإصفهاني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الإشكوري </w:t>
      </w:r>
    </w:p>
    <w:p>
      <w:pPr>
        <w:pStyle w:val="BookText"/>
        <w:rPr/>
      </w:pPr>
      <w:r>
        <w:rPr>
          <w:rFonts w:ascii="IRNazanin" w:hAnsi="IRNazanin" w:eastAsia="IRNazanin"/>
          <w:color w:val="111111"/>
          <w:sz w:val="28"/>
          <w:sz w:val="28"/>
          <w:szCs w:val="28"/>
          <w:rtl w:val="true"/>
          <w:lang w:bidi="fa-IR"/>
        </w:rPr>
        <w:t xml:space="preserve">رازی نجفی اصفهانی، محمد تقی، </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تقی رازی نجفی اصفهانی؛ تحقیق سید صادق حسینی اشكوری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 978-988-003-7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اشكوری، سید صادق،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297/3</w:t>
      </w:r>
    </w:p>
    <w:p>
      <w:pPr>
        <w:pStyle w:val="BookText"/>
        <w:rPr/>
      </w:pP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طبعة الكوثر، الطبعة الأولی</w:t>
      </w:r>
    </w:p>
    <w:p>
      <w:pPr>
        <w:pStyle w:val="BookText"/>
        <w:rPr/>
      </w:pPr>
      <w:r>
        <w:rPr>
          <w:rFonts w:ascii="Amiri" w:hAnsi="Amiri" w:eastAsia="Amiri" w:cs="Amiri"/>
          <w:color w:val="111111"/>
          <w:sz w:val="28"/>
          <w:sz w:val="28"/>
          <w:szCs w:val="28"/>
          <w:rtl w:val="true"/>
          <w:lang w:bidi="ar-SA"/>
        </w:rPr>
        <w:t>ليتوغراف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قمشارع آذرزقاق</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09122524335</w:t>
      </w:r>
    </w:p>
    <w:p>
      <w:pPr>
        <w:pStyle w:val="BookText"/>
        <w:rPr/>
      </w:pPr>
      <w:r>
        <w:rPr>
          <w:rFonts w:eastAsia="Times New Roman" w:cs="Times New Roman" w:ascii="Times New Roman" w:hAnsi="Times New Roman"/>
          <w:color w:val="111111"/>
          <w:sz w:val="28"/>
          <w:szCs w:val="28"/>
          <w:lang w:val="en-US" w:bidi="en-US"/>
        </w:rPr>
        <w:t>www.ismajma.com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www.zakhair.net</w:t>
      </w:r>
      <w:r>
        <w:rPr>
          <w:rFonts w:eastAsia="Times New Roman" w:cs="Times New Roman" w:ascii="Times New Roman" w:hAnsi="Times New Roman"/>
          <w:color w:val="111111"/>
          <w:sz w:val="28"/>
          <w:szCs w:val="28"/>
          <w:rtl w:val="true"/>
          <w:lang w:val="en-US" w:bidi="en-US"/>
        </w:rPr>
        <w:t xml:space="preserve"> </w:t>
      </w:r>
      <w:bookmarkStart w:id="7" w:name="pg15839_360583"/>
    </w:p>
    <w:p>
      <w:pPr>
        <w:pStyle w:val="Heading2"/>
        <w:numPr>
          <w:ilvl w:val="1"/>
          <w:numId w:val="1"/>
        </w:numPr>
        <w:rPr/>
      </w:pPr>
      <w:bookmarkStart w:id="8" w:name="__RefHeading___Toc14338301_2142443653"/>
      <w:bookmarkStart w:id="9" w:name="_Toc3"/>
      <w:bookmarkEnd w:id="7"/>
      <w:bookmarkEnd w:id="8"/>
      <w:r>
        <w:rPr>
          <w:rtl w:val="true"/>
        </w:rPr>
        <w:t>البحث الثالث</w:t>
      </w:r>
      <w:r>
        <w:rPr>
          <w:rtl w:val="true"/>
        </w:rPr>
        <w:t xml:space="preserve">: </w:t>
      </w:r>
      <w:r>
        <w:rPr>
          <w:rtl w:val="true"/>
        </w:rPr>
        <w:t>في شرائط الوضوء</w:t>
      </w:r>
      <w:bookmarkEnd w:id="9"/>
    </w:p>
    <w:p>
      <w:pPr>
        <w:pStyle w:val="Heading3"/>
        <w:numPr>
          <w:ilvl w:val="2"/>
          <w:numId w:val="1"/>
        </w:numPr>
        <w:rPr/>
      </w:pPr>
      <w:bookmarkStart w:id="10" w:name="__RefHeading___Toc14338303_2142443653"/>
      <w:bookmarkStart w:id="11" w:name="_Toc4"/>
      <w:bookmarkEnd w:id="10"/>
      <w:r>
        <w:rPr>
          <w:rtl w:val="true"/>
        </w:rPr>
        <w:t>تبصرة</w:t>
      </w:r>
      <w:r>
        <w:rPr>
          <w:rtl w:val="true"/>
        </w:rPr>
        <w:t xml:space="preserve">: [ </w:t>
      </w:r>
      <w:r>
        <w:rPr>
          <w:rtl w:val="true"/>
        </w:rPr>
        <w:t xml:space="preserve">في اعتبار البدء من الأعلى في الغسلات الثلاث </w:t>
      </w:r>
      <w:r>
        <w:rPr>
          <w:rtl w:val="true"/>
        </w:rPr>
        <w:t>]</w:t>
      </w:r>
      <w:bookmarkEnd w:id="11"/>
    </w:p>
    <w:p>
      <w:pPr>
        <w:pStyle w:val="BookText"/>
        <w:rPr/>
      </w:pPr>
      <w:r>
        <w:rPr>
          <w:rFonts w:ascii="Amiri" w:hAnsi="Amiri" w:eastAsia="Amiri" w:cs="Amiri"/>
          <w:color w:val="111111"/>
          <w:sz w:val="28"/>
          <w:sz w:val="28"/>
          <w:szCs w:val="28"/>
          <w:rtl w:val="true"/>
          <w:lang w:bidi="ar-SA"/>
        </w:rPr>
        <w:t>يعتبر البدأة من الأعلى في الغسلات الثّلاث على المعروف من المذهب ، فلا يجزي النكس ولا الغسل دفعة ولا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جواز الوجهين في المسحات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
      </w:r>
      <w:r>
        <w:rPr>
          <w:rFonts w:ascii="Amiri" w:hAnsi="Amiri" w:eastAsia="Amiri" w:cs="Amiri"/>
          <w:color w:val="111111"/>
          <w:sz w:val="28"/>
          <w:sz w:val="28"/>
          <w:szCs w:val="28"/>
          <w:rtl w:val="true"/>
          <w:lang w:bidi="ar-SA"/>
        </w:rPr>
        <w:t xml:space="preserve">والحلّي </w:t>
      </w:r>
      <w:r>
        <w:rPr>
          <w:rStyle w:val="FootnoteAnchor"/>
          <w:rtl w:val="true"/>
        </w:rPr>
        <w:footnoteReference w:id="3"/>
      </w:r>
      <w:r>
        <w:rPr>
          <w:rFonts w:ascii="Amiri" w:hAnsi="Amiri" w:eastAsia="Amiri" w:cs="Amiri"/>
          <w:color w:val="111111"/>
          <w:sz w:val="28"/>
          <w:sz w:val="28"/>
          <w:szCs w:val="28"/>
          <w:rtl w:val="true"/>
          <w:lang w:bidi="ar-SA"/>
        </w:rPr>
        <w:t>الخلاف في الموضعين ، فجوّز الوجهين في الغسل وأوجبا الإقبال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ابن سعيد بين غسل الوجه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الأمرين في الوجه دون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المتأخّرين القول به في الوجه والميل إليه في اليدين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الصدوق </w:t>
      </w:r>
      <w:r>
        <w:rPr>
          <w:rStyle w:val="FootnoteAnchor"/>
          <w:rtl w:val="true"/>
        </w:rPr>
        <w:footnoteReference w:id="5"/>
      </w:r>
      <w:r>
        <w:rPr>
          <w:rFonts w:ascii="Amiri" w:hAnsi="Amiri" w:eastAsia="Amiri" w:cs="Amiri"/>
          <w:color w:val="111111"/>
          <w:sz w:val="28"/>
          <w:sz w:val="28"/>
          <w:szCs w:val="28"/>
          <w:rtl w:val="true"/>
          <w:lang w:bidi="ar-SA"/>
        </w:rPr>
        <w:t>عدم الجواز في شي‌ء من الغسلات والمسحات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يعطي عدم جواز النكس مطلقا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الحلي </w:t>
      </w:r>
      <w:r>
        <w:rPr>
          <w:rStyle w:val="FootnoteAnchor"/>
          <w:rtl w:val="true"/>
        </w:rPr>
        <w:footnoteReference w:id="6"/>
      </w:r>
      <w:r>
        <w:rPr>
          <w:rFonts w:ascii="Amiri" w:hAnsi="Amiri" w:eastAsia="Amiri" w:cs="Amiri"/>
          <w:color w:val="111111"/>
          <w:sz w:val="28"/>
          <w:sz w:val="28"/>
          <w:szCs w:val="28"/>
          <w:rtl w:val="true"/>
          <w:lang w:bidi="ar-SA"/>
        </w:rPr>
        <w:t>بين مسح الرأس والرجلين ، فجوّز الوجهين في الأوّل دون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ويلوح ذلك من الشيخ في التهذيب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في المختلف </w:t>
      </w:r>
      <w:r>
        <w:rPr>
          <w:rStyle w:val="FootnoteAnchor"/>
          <w:rtl w:val="true"/>
        </w:rPr>
        <w:footnoteReference w:id="8"/>
      </w:r>
      <w:r>
        <w:rPr>
          <w:rFonts w:ascii="Amiri" w:hAnsi="Amiri" w:eastAsia="Amiri" w:cs="Amiri"/>
          <w:color w:val="111111"/>
          <w:sz w:val="28"/>
          <w:sz w:val="28"/>
          <w:szCs w:val="28"/>
          <w:rtl w:val="true"/>
          <w:lang w:bidi="ar-SA"/>
        </w:rPr>
        <w:t>في مسح الرجلين ، ثمّ استوجه البناء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الشيخ في الاستبصار التفصيل بعكس المذكور حيث خصّ الرواية الدالّة على جواز الوجهين بمسح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المشهور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 البدأة بالأعلى في الوجه قويّة أبي جرير الرقاشي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من أعلى وجهك إلى أسفله بالماء مسحا ، وكذلك فامسح الماء على ذراعيك ورأسك وقدميك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وجهالة أبي جرير و </w:t>
      </w:r>
      <w:r>
        <w:rPr>
          <w:rStyle w:val="FootnoteAnchor"/>
          <w:rtl w:val="true"/>
        </w:rPr>
        <w:footnoteReference w:id="10"/>
      </w:r>
      <w:r>
        <w:rPr>
          <w:rFonts w:ascii="Amiri" w:hAnsi="Amiri" w:eastAsia="Amiri" w:cs="Amiri"/>
          <w:color w:val="111111"/>
          <w:sz w:val="28"/>
          <w:sz w:val="28"/>
          <w:szCs w:val="28"/>
          <w:rtl w:val="true"/>
          <w:lang w:bidi="ar-SA"/>
        </w:rPr>
        <w:t>اشتراكه لا يمنع العمل به بعد كون الراوي عنه الحسن بن محبوب الّذي هو من أصحاب الإجماع ، مع اعتضاده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 الخصوصيّة المذكورة فيه بالخصوص لا يقتضي عدم تعين البدأة بالأعلى أيضا لقيام الدليل عليه دون ذلك ، وكأنّه بيان لأقل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واتّحاد الصيغة الدالّة عليهما لا يمنع منه بناء على ما تقرّر من ظهور الطلب في الوجوب مع قطع النظر عن خصوصيّة الصيغة كما يشهد به ملاحظة الخطابات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واشتمالها على مساواة اليدين والرجلين في الاكتفاء فيها بمجرد المسح محمول على المبالغة في تقليل صرف الماء كما ورد من الاكتفاء به في الغسل بنحو الدّهن ؛ فإنّه محمول على إرادة أقلّ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منافاة فيها بمجرّد نصّ الكتاب ، وما أجمعت عليه الأصحاب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أيضا عدّة من المعتبرة المستفيضة الحاكية للوضوء البياني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غرف ملأها ماء فوضعها على جبينه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وسدله على أطراف </w:t>
      </w:r>
    </w:p>
    <w:p>
      <w:pPr>
        <w:pStyle w:val="BookText"/>
        <w:rPr/>
      </w:pPr>
      <w:r>
        <w:rPr>
          <w:rFonts w:ascii="Amiri" w:hAnsi="Amiri" w:eastAsia="Amiri" w:cs="Amiri"/>
          <w:color w:val="111111"/>
          <w:sz w:val="28"/>
          <w:sz w:val="28"/>
          <w:szCs w:val="28"/>
          <w:rtl w:val="true"/>
          <w:lang w:bidi="ar-SA"/>
        </w:rPr>
        <w:t xml:space="preserve">لحيته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كفّا من ماء فأسدلها على وجهه من أعلى الوجه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اتحاد المحكي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روايته الأخرى فيما رواها العياشي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فغرف منها غرفة فصبّها على جبهته فغسل وجهه بها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انّه المنساق من عدّة أخرى من الأخبار الواردة في بيان الوضوء كالمشتمل على لفظ الصبّ على الوجه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من الجائز أن يكون ابتداءه عليه‌السلام بالأعلى من جهة كونه إحدى جزئيات الغسل مدفوع بأنّ الظاهر من أدلّة وجوب التأسّي معين ما فعله سيّما في مقام البيان ، والقول بانتفاء الإجمال في الآية وسائر الإطلاقات ليحتاج إلى البيان يضعّفه أنّ قضيّة وجوب التأسّي تعيين الوجه المذكور ، فيقيّد به الإطلاقات ، ويكون ذلك شاهدا على انّه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اعتباره في اليدين القويّة ومرسلة علي بن ابراهيم في حديث ذكر فيه ابتداء النبوّة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فعلّمه جبرئيل عليه‌السلام الوضوء على الوجه واليدين من المرافق ومسح الرأس والرجلين إلى الكعبين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الهيثم ، عن الصادق عليه‌السلام بعد ما سأله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w:t>
      </w:r>
      <w:r>
        <w:rPr>
          <w:rFonts w:eastAsia="Amiri" w:cs="Amiri" w:ascii="Amiri" w:hAnsi="Amiri"/>
          <w:color w:val="111111"/>
          <w:sz w:val="28"/>
          <w:szCs w:val="28"/>
          <w:rtl w:val="true"/>
          <w:lang w:bidi="ar-SA"/>
        </w:rPr>
        <w:t xml:space="preserve">.. ) </w:t>
      </w:r>
      <w:r>
        <w:rPr>
          <w:rStyle w:val="FootnoteAnchor"/>
          <w:rtl w:val="true"/>
        </w:rPr>
        <w:footnoteReference w:id="15"/>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دلالتها على كون الغسل من قبل الأصابع إلى المرافق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هكذا تنزيلها </w:t>
      </w:r>
    </w:p>
    <w:p>
      <w:pPr>
        <w:pStyle w:val="BookText"/>
        <w:rPr/>
      </w:pPr>
      <w:r>
        <w:rPr>
          <w:rFonts w:ascii="Amiri" w:hAnsi="Amiri" w:eastAsia="Amiri" w:cs="Amiri"/>
          <w:color w:val="111111"/>
          <w:sz w:val="28"/>
          <w:sz w:val="28"/>
          <w:szCs w:val="28"/>
          <w:rtl w:val="true"/>
          <w:lang w:bidi="ar-SA"/>
        </w:rPr>
        <w:t xml:space="preserve">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 xml:space="preserve">) » </w:t>
      </w:r>
      <w:r>
        <w:rPr>
          <w:rStyle w:val="FootnoteAnchor"/>
          <w:rtl w:val="true"/>
        </w:rPr>
        <w:footnoteReference w:id="16"/>
      </w:r>
      <w:r>
        <w:rPr>
          <w:rFonts w:ascii="Amiri" w:hAnsi="Amiri" w:eastAsia="Amiri" w:cs="Amiri"/>
          <w:color w:val="111111"/>
          <w:sz w:val="28"/>
          <w:sz w:val="28"/>
          <w:szCs w:val="28"/>
          <w:rtl w:val="true"/>
          <w:lang w:bidi="ar-SA"/>
        </w:rPr>
        <w:t>ثمّ أمرّ يده من مرفقه إلى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العياشي ، وفيها بعد الحكم بالاكتفاء بآية المائدة ، وقول السائل بعد ذكر الآية فكيف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يأخذ الماء بيده اليمنى فيصبّه في اليسرى ، ثمّ يصبّه إلى المرفق ثمّ يمسح إلى الكف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جملة من الأخبار البيانيّة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غمس يده اليسرى فغرف بها ملاءها ثمّ وضعه على مرفقه وأمّر بكفّه على ساعده حتّى جرى الماء على أطراف أصابعه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في اليسرى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الآخرين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بها ذراعه من المرفق إلى الكفّ لا يردّها </w:t>
      </w:r>
      <w:r>
        <w:rPr>
          <w:rStyle w:val="FootnoteAnchor"/>
          <w:rtl w:val="true"/>
        </w:rPr>
        <w:footnoteReference w:id="2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واصنع باليسرى مثل ما تصنع باليمنى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موثقة الآخرين </w:t>
      </w:r>
      <w:r>
        <w:rPr>
          <w:rStyle w:val="FootnoteAnchor"/>
          <w:rtl w:val="true"/>
        </w:rPr>
        <w:footnoteReference w:id="2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بما ذكرنا ضعف ما يستند إليه المجوز من إطلاق الآية وجملة من الأخبار من المناقشة في دلالة جملة من الروايات المذكورة على وجوب البدأة بالأعلى ، وضعف إسناد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يتّضح الوجه في التفصيل ؛ إذ دلالة الأخبار على لزوم البدأة بالمرافق أوضح منها في الوجه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كلّ من الوجهين في مسح الرأس والرجلين بعد الإطلاقات خصوص </w:t>
      </w:r>
    </w:p>
    <w:p>
      <w:pPr>
        <w:pStyle w:val="BookText"/>
        <w:rPr/>
      </w:pPr>
      <w:r>
        <w:rPr>
          <w:rFonts w:ascii="Amiri" w:hAnsi="Amiri" w:eastAsia="Amiri" w:cs="Amiri"/>
          <w:color w:val="111111"/>
          <w:sz w:val="28"/>
          <w:sz w:val="28"/>
          <w:szCs w:val="28"/>
          <w:rtl w:val="true"/>
          <w:lang w:bidi="ar-SA"/>
        </w:rPr>
        <w:t xml:space="preserve">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الوضوء مقبلا ومدبرا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خصوص الرجلين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بمسح القدمين مقبلا ومدبرا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 أخبرني من رأى أبا الحسن عليه‌السلام بمنى يمسح ظهر قدميه من أعلى القدم إلى الكعب ، ومن الكعب إلى أعلى القدم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في مسح الرجلين موسّع من شاء مسح مقبلا ومن شاء مدبرا ، فإنّه من الأمر الموسّع إن شاء اللّه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والاحتجاج للمنع مطلقا بأنّه مع الإقبال مجز إجماعا بخلاف الإدبار ، فلا بدّ من العمل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وللمنع في الرأس خاصّة برواية يونس المتقدّمة حيث خصّ التوسّع بمسح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الرجلين خاصّة بظاهر الآية وجملة من الأخبار البيانيّة بيّن الضعف ، مضافا إلى عدم مقاومتها للنصّ الصحيح المعتضد بالشهرة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النكس في تمام العضو في المسح يجوز النكس في البعض دون البعض كما هو قضية الإطلاقات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ما اخترناه من لزوم الغسل من الأعلى إلى الأسفل عدم جواز الغسل </w:t>
      </w:r>
      <w:r>
        <w:rPr>
          <w:rStyle w:val="FootnoteAnchor"/>
          <w:rtl w:val="true"/>
        </w:rPr>
        <w:footnoteReference w:id="25"/>
      </w:r>
      <w:r>
        <w:rPr>
          <w:rFonts w:ascii="Amiri" w:hAnsi="Amiri" w:eastAsia="Amiri" w:cs="Amiri"/>
          <w:color w:val="111111"/>
          <w:sz w:val="28"/>
          <w:sz w:val="28"/>
          <w:szCs w:val="28"/>
          <w:rtl w:val="true"/>
          <w:lang w:bidi="ar-SA"/>
        </w:rPr>
        <w:t xml:space="preserve">عرضا ، وإلّا كان ذلك أقرب إلى مراعاة غسل الأعلى فالأعلى في بعض الفروض ؛ إذ هو خلاف ظواهر الأخبار الواردة في الوضوءات البيانيّة خلافه ، وقد يتأمّل فيه من جهة قضاء الإطلاقات بالجواز و </w:t>
      </w:r>
      <w:r>
        <w:rPr>
          <w:rStyle w:val="FootnoteAnchor"/>
          <w:rtl w:val="true"/>
        </w:rPr>
        <w:footnoteReference w:id="26"/>
      </w:r>
      <w:r>
        <w:rPr>
          <w:rFonts w:ascii="Amiri" w:hAnsi="Amiri" w:eastAsia="Amiri" w:cs="Amiri"/>
          <w:color w:val="111111"/>
          <w:sz w:val="28"/>
          <w:sz w:val="28"/>
          <w:szCs w:val="28"/>
          <w:rtl w:val="true"/>
          <w:lang w:bidi="ar-SA"/>
        </w:rPr>
        <w:t xml:space="preserve">حصول الترتيب في العضو مع عدم صراحة الأخبار في المنع منه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في المسح جوازه ؛ أخذا بالإطلاقات ، والحكم بالتوسعة فيه في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ورود جواز الوجهين خاصّة ؛ إذ لا دلالة فيه على المنع من غيرهما إلّا أنّ الوقوف عليه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من الأعلى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غسل كلّ جزء من الأعلى قبل الأسفل ممّا يجاوز أو غيره حقيقة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غسل كلّ جزء من الأعلى قبل ما يحاذيه من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البدأة بالأعلى من دون ملاحظة ذلك في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البدأة بالأعلى مع صدق الغسل من الأعلى إلى الأسفل عرفا من دون اعتبار تقدّم غسل كلّ جزء على لا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الأخبار ، وفيما دلّ على المنع عن ردّ الماء دلالة صريحة على عدم جواز النكس في البعض ، فالواجب إنّما هو الغسل من الأعلى إلى الأسفل وإن اتّفق غسل شي‌ء من الأسفل قبل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سهل بن اليسع ، وقد سأل الرضا عليه‌السلام عن الرجل يبقى من وجهه إذا توضّأ موضع لم يصبه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يجزيه أن يبلّه من بعض جسده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مرسلة الصدوق عن الكاظم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الغسل الأعلى فالأعلى ، لكن لا حقيقة لتعسّره أو تعذّره ، بل عرفا فلا يضرّ المخالفة اليسيرة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بكون كلّ جزء من العضو لا يغسل قبل ما فوقه على خطه وإن غسل قبل ما فوقه على غير جهته وجه وجيه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يذهب عليك أنّ شيئا من أخبار الباب لا يساعد على </w:t>
      </w:r>
      <w:r>
        <w:rPr>
          <w:rStyle w:val="FootnoteAnchor"/>
          <w:rtl w:val="true"/>
        </w:rPr>
        <w:footnoteReference w:id="30"/>
      </w:r>
      <w:r>
        <w:rPr>
          <w:rFonts w:ascii="Amiri" w:hAnsi="Amiri" w:eastAsia="Amiri" w:cs="Amiri"/>
          <w:color w:val="111111"/>
          <w:sz w:val="28"/>
          <w:sz w:val="28"/>
          <w:szCs w:val="28"/>
          <w:rtl w:val="true"/>
          <w:lang w:bidi="ar-SA"/>
        </w:rPr>
        <w:t xml:space="preserve">شي‌ء من الوجهين المذكورين ، وكأنّ الوجه فيه مراعاة الاحتياط بتحصيل اليقين بالفراغ بعد تيقّن الغسل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اقصى ما يستفاد من الأخبار وكلام الأصحاب وجوب البدأة بالأعلى بمعنى صبّ الماء على الوجه واتباعه بغسل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ذلك عن إجمال ، فإن عني به الاكتفاء بمجرّد البداءة بالأعلى وإن غسل الباقي أو بعضه على العكس فهو 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ما تخيّله بعض القاصرين من عدم جواز غسل الوجه من الأسفل قبل غسل الأعلى وإن لم يكن في سمته </w:t>
      </w:r>
      <w:r>
        <w:rPr>
          <w:rStyle w:val="FootnoteAnchor"/>
          <w:rtl w:val="true"/>
        </w:rPr>
        <w:footnoteReference w:id="33"/>
      </w:r>
      <w:r>
        <w:rPr>
          <w:rFonts w:ascii="Amiri" w:hAnsi="Amiri" w:eastAsia="Amiri" w:cs="Amiri"/>
          <w:color w:val="111111"/>
          <w:sz w:val="28"/>
          <w:sz w:val="28"/>
          <w:szCs w:val="28"/>
          <w:rtl w:val="true"/>
          <w:lang w:bidi="ar-SA"/>
        </w:rPr>
        <w:t>، فهو من الخرافات الباردة والأوهام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ذكره إلّا أنّ من الغريب ذهاب جدّه إليه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القول به أيضا حيث فصّل في المختلف </w:t>
      </w:r>
      <w:r>
        <w:rPr>
          <w:rStyle w:val="FootnoteAnchor"/>
          <w:rtl w:val="true"/>
        </w:rPr>
        <w:footnoteReference w:id="34"/>
      </w:r>
      <w:r>
        <w:rPr>
          <w:rFonts w:ascii="Amiri" w:hAnsi="Amiri" w:eastAsia="Amiri" w:cs="Amiri"/>
          <w:color w:val="111111"/>
          <w:sz w:val="28"/>
          <w:sz w:val="28"/>
          <w:szCs w:val="28"/>
          <w:rtl w:val="true"/>
          <w:lang w:bidi="ar-SA"/>
        </w:rPr>
        <w:t>فيما إذا نسي غسل موضع من الأعضاء فأوجب غسل ذلك الموضع وما بعده من ذلك العضو على القول بعدم جواز النكس ، والاكتفاء بغسله خاصّة من ذلك العضو على القول بجوازه ؛ إذ لو لا بيانه على وجوب مراعاة الأعلى فالأعلى مطلق لما صحّ إطلاقه المذكور ، بل ظاهر فهمه ذلك من كلام جميع القائلين بعدم جواز النكس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بعض متأخري المتأخرين البناء عليه ؛ استظهارا لها من الأخبار المشتملة على الوضوءات البيانية ، فادّعى بعد ذكر عدّة منها صراحتها في الترتيب في نفس العضو على الوجه المذكور في كلام 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الحرج في ذلك كما أورده الشهيد على </w:t>
      </w:r>
    </w:p>
    <w:p>
      <w:pPr>
        <w:pStyle w:val="BookText"/>
        <w:rPr/>
      </w:pPr>
      <w:r>
        <w:rPr>
          <w:rFonts w:ascii="Amiri" w:hAnsi="Amiri" w:eastAsia="Amiri" w:cs="Amiri"/>
          <w:color w:val="111111"/>
          <w:sz w:val="28"/>
          <w:sz w:val="28"/>
          <w:szCs w:val="28"/>
          <w:rtl w:val="true"/>
          <w:lang w:bidi="ar-SA"/>
        </w:rPr>
        <w:t>العلّامة غير واضح ، وليس في الأخبار ما يفيد جواز غسل بعض الأجزاء السافلة قبل العالية سواء كانت في سمتها أو لا ، غاية بعضها الإطلاق ، فيقيّد بما يفيد الترتيب كما هو مقتضى القاعدة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ذلك كلّه ، بل دعوى دلالة الأخبار عليه وانتفاء الحرج فيه من الغرائب كما لا يخفى</w:t>
      </w:r>
      <w:r>
        <w:rPr>
          <w:rFonts w:eastAsia="Amiri" w:cs="Amiri" w:ascii="Amiri" w:hAnsi="Amiri"/>
          <w:color w:val="111111"/>
          <w:sz w:val="28"/>
          <w:szCs w:val="28"/>
          <w:rtl w:val="true"/>
          <w:lang w:bidi="ar-SA"/>
        </w:rPr>
        <w:t xml:space="preserve">. </w:t>
      </w:r>
      <w:bookmarkStart w:id="12" w:name="pg15839_360591"/>
    </w:p>
    <w:p>
      <w:pPr>
        <w:pStyle w:val="Heading3"/>
        <w:numPr>
          <w:ilvl w:val="2"/>
          <w:numId w:val="1"/>
        </w:numPr>
        <w:rPr/>
      </w:pPr>
      <w:bookmarkStart w:id="13" w:name="__RefHeading___Toc14338305_2142443653"/>
      <w:bookmarkStart w:id="14" w:name="_Toc5"/>
      <w:bookmarkEnd w:id="12"/>
      <w:bookmarkEnd w:id="13"/>
      <w:r>
        <w:rPr>
          <w:rtl w:val="true"/>
        </w:rPr>
        <w:t>تبصرة</w:t>
      </w:r>
      <w:r>
        <w:rPr>
          <w:rtl w:val="true"/>
        </w:rPr>
        <w:t xml:space="preserve">: [ </w:t>
      </w:r>
      <w:r>
        <w:rPr>
          <w:rtl w:val="true"/>
        </w:rPr>
        <w:t xml:space="preserve">في اعتبار المباشرة في الأفعال </w:t>
      </w:r>
      <w:r>
        <w:rPr>
          <w:rtl w:val="true"/>
        </w:rPr>
        <w:t>]</w:t>
      </w:r>
      <w:bookmarkEnd w:id="14"/>
    </w:p>
    <w:p>
      <w:pPr>
        <w:pStyle w:val="BookText"/>
        <w:rPr/>
      </w:pPr>
      <w:r>
        <w:rPr>
          <w:rFonts w:ascii="Amiri" w:hAnsi="Amiri" w:eastAsia="Amiri" w:cs="Amiri"/>
          <w:color w:val="111111"/>
          <w:sz w:val="28"/>
          <w:sz w:val="28"/>
          <w:szCs w:val="28"/>
          <w:rtl w:val="true"/>
          <w:lang w:bidi="ar-SA"/>
        </w:rPr>
        <w:t>اتفقت كلمة الأصحاب على اعتبار المباشرة في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ويعزى إلى الإسكافي في عبارة يوهم عدم اعتباره ذلك حيث عدّ من المندوب أن لا يشرك الإنسان في وضوئه غيره بأن </w:t>
      </w:r>
      <w:r>
        <w:rPr>
          <w:rStyle w:val="FootnoteAnchor"/>
          <w:rtl w:val="true"/>
        </w:rPr>
        <w:footnoteReference w:id="35"/>
      </w:r>
      <w:r>
        <w:rPr>
          <w:rFonts w:ascii="Amiri" w:hAnsi="Amiri" w:eastAsia="Amiri" w:cs="Amiri"/>
          <w:color w:val="111111"/>
          <w:sz w:val="28"/>
          <w:sz w:val="28"/>
          <w:szCs w:val="28"/>
          <w:rtl w:val="true"/>
          <w:lang w:bidi="ar-SA"/>
        </w:rPr>
        <w:t>يوضّيه أو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خلافه في ذلك فهو شاذّ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 المباشرة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ومنقولا في الانتصار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الأوامر الواردة المتوجّه إلى المكلّف ، وقيام فعل الغير مقام فعله خلاف الأصل ، بل مخالف لقضيّة كونه عبادة ؛ إذ حصول العبوديّة بشي‌ء إنّما يكون بمباشرة العبد إيّاه ، مضافا إلى ظواهر جملة من الأخبار كقول الرضا عليه‌السلام وقد دخل على المأمون وهو يتوضّأ للصلاة والغلام يصبّ على يده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تشرك يا أمير المؤمنين بعبادة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فصرف المأمون الغلام وتولّى تمام الوضوء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عدّة أخبار مرجوحيّة أن يشرك أحدا في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الاستدلال بالآية الشريفة إلّا أنّ الاحتجاج بها كذلك </w:t>
      </w:r>
      <w:r>
        <w:rPr>
          <w:rStyle w:val="FootnoteAnchor"/>
          <w:rtl w:val="true"/>
        </w:rPr>
        <w:footnoteReference w:id="36"/>
      </w:r>
      <w:r>
        <w:rPr>
          <w:rFonts w:ascii="Amiri" w:hAnsi="Amiri" w:eastAsia="Amiri" w:cs="Amiri"/>
          <w:color w:val="111111"/>
          <w:sz w:val="28"/>
          <w:sz w:val="28"/>
          <w:szCs w:val="28"/>
          <w:rtl w:val="true"/>
          <w:lang w:bidi="ar-SA"/>
        </w:rPr>
        <w:t>لذلك لا يخلو من خفاء كما سيأتي القول فيه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هو مباشرة نفس الأفعال ، وأمّا مقدّماتها كإحضار الماء والصبّ على العضو إذا اعتبر الغسل بإمرار اليد عليه فلا مانع منه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يكره ذلك في المقدمات القريبة كما يأتي القول فيه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الاختيار ، أمّا مع عدم التمكّن من المباشرة فلا بدّ من تولية الغير كما سيأتي القول فيه عند بيان الوضوء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يعتبر المباشرة باليد في شي‌ء من الغسلات ، بل المقصود حصول مسمّى الغسل كيف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خالف فيه شذوذ من الأصحاب ، وقد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المسحات فيعتبر مباشرة الماسح للممسوح ، فلا يجزي المسح بالحائل ، ولا عليه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المسح على الخفّين ، والنصوص </w:t>
      </w:r>
      <w:r>
        <w:rPr>
          <w:rStyle w:val="FootnoteAnchor"/>
          <w:rtl w:val="true"/>
        </w:rPr>
        <w:footnoteReference w:id="37"/>
      </w:r>
      <w:r>
        <w:rPr>
          <w:rFonts w:ascii="Amiri" w:hAnsi="Amiri" w:eastAsia="Amiri" w:cs="Amiri"/>
          <w:color w:val="111111"/>
          <w:sz w:val="28"/>
          <w:sz w:val="28"/>
          <w:szCs w:val="28"/>
          <w:rtl w:val="true"/>
          <w:lang w:bidi="ar-SA"/>
        </w:rPr>
        <w:t>بالمنع عنه بالخصوص مستفيضة ، بل الظاهر أنّه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يتمكّن من نزعه جاز المسح عليه ، وربّما تأمّل فيه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كما 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كلام جماعة من الأصحاب لزوم المسح على بشرة الرجلين ، وقد يفيد ذلك عدم الاكتفاء بالمسح على الشعر المختصّ بها لو نبت عليها شعر حاجب وإن جاز ذلك بالنسبة إلى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الشهيد الثاني بذلك مبدأ للفرق بينهما ، وذكر أنّ قضية المسح بالرأس والرجلين هو المسح على بشرتهما ؛ إذ لا يعد الشعر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الرواية في الرأس على جواز المسح على الشعر ، مضافا إلى قيام الضرورة عليه بخلاف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بعدم الاكتفاء أيضا لا يخلو من إشكال ، ولا </w:t>
      </w:r>
      <w:r>
        <w:rPr>
          <w:rStyle w:val="FootnoteAnchor"/>
          <w:rtl w:val="true"/>
        </w:rPr>
        <w:footnoteReference w:id="38"/>
      </w:r>
      <w:r>
        <w:rPr>
          <w:rFonts w:ascii="Amiri" w:hAnsi="Amiri" w:eastAsia="Amiri" w:cs="Amiri"/>
          <w:color w:val="111111"/>
          <w:sz w:val="28"/>
          <w:sz w:val="28"/>
          <w:szCs w:val="28"/>
          <w:rtl w:val="true"/>
          <w:lang w:bidi="ar-SA"/>
        </w:rPr>
        <w:t>بعد في صدق المسح على اسم الرجل بالمسح على الشعر المختصّ بها ، كيف وقد أطبقوا على وجوب غسل الشعر في اليدين معلّلين باندراجه في المتعارف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استصحاب بقاء الشغل ، وقد يجعل ذلك وجها في تخصيصهم المسح فيهما </w:t>
      </w:r>
    </w:p>
    <w:p>
      <w:pPr>
        <w:pStyle w:val="BookText"/>
        <w:rPr/>
      </w:pPr>
      <w:r>
        <w:rPr>
          <w:rFonts w:ascii="Amiri" w:hAnsi="Amiri" w:eastAsia="Amiri" w:cs="Amiri"/>
          <w:color w:val="111111"/>
          <w:sz w:val="28"/>
          <w:sz w:val="28"/>
          <w:szCs w:val="28"/>
          <w:rtl w:val="true"/>
          <w:lang w:bidi="ar-SA"/>
        </w:rPr>
        <w:t>بالبشرة ، فلا يستفاد من كلماتهم المنع من المسح على الشعر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فمع البناء على عدم الاكتفاء بمسح ظاهر الشعر لا يكتفي أيضا بتخليله بحيث تصل الرطوبة إلى البشرة ؛ لعدم حصول المباشرة المعتبرة</w:t>
      </w:r>
      <w:r>
        <w:rPr>
          <w:rFonts w:eastAsia="Amiri" w:cs="Amiri" w:ascii="Amiri" w:hAnsi="Amiri"/>
          <w:color w:val="111111"/>
          <w:sz w:val="28"/>
          <w:szCs w:val="28"/>
          <w:rtl w:val="true"/>
          <w:lang w:bidi="ar-SA"/>
        </w:rPr>
        <w:t xml:space="preserve">. </w:t>
      </w:r>
      <w:bookmarkStart w:id="15" w:name="pg15839_360594"/>
    </w:p>
    <w:p>
      <w:pPr>
        <w:pStyle w:val="Heading3"/>
        <w:numPr>
          <w:ilvl w:val="2"/>
          <w:numId w:val="1"/>
        </w:numPr>
        <w:rPr/>
      </w:pPr>
      <w:bookmarkStart w:id="16" w:name="__RefHeading___Toc14338307_2142443653"/>
      <w:bookmarkStart w:id="17" w:name="_Toc6"/>
      <w:bookmarkEnd w:id="15"/>
      <w:bookmarkEnd w:id="16"/>
      <w:r>
        <w:rPr>
          <w:rtl w:val="true"/>
        </w:rPr>
        <w:t>تبصرة</w:t>
      </w:r>
      <w:r>
        <w:rPr>
          <w:rtl w:val="true"/>
        </w:rPr>
        <w:t xml:space="preserve">: [ </w:t>
      </w:r>
      <w:r>
        <w:rPr>
          <w:rtl w:val="true"/>
        </w:rPr>
        <w:t xml:space="preserve">في مراعاة الترتيب </w:t>
      </w:r>
      <w:r>
        <w:rPr>
          <w:rtl w:val="true"/>
        </w:rPr>
        <w:t>]</w:t>
      </w:r>
      <w:bookmarkEnd w:id="17"/>
    </w:p>
    <w:p>
      <w:pPr>
        <w:pStyle w:val="BookText"/>
        <w:rPr/>
      </w:pPr>
      <w:r>
        <w:rPr>
          <w:rFonts w:ascii="Amiri" w:hAnsi="Amiri" w:eastAsia="Amiri" w:cs="Amiri"/>
          <w:color w:val="111111"/>
          <w:sz w:val="28"/>
          <w:sz w:val="28"/>
          <w:szCs w:val="28"/>
          <w:rtl w:val="true"/>
          <w:lang w:bidi="ar-SA"/>
        </w:rPr>
        <w:t>لا خلاف بين علمائنا في وجوب مراعاة الترتيب في أفعال الوضوء سوى بين القدمين واشتراطه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الإجماع محصّلا ومنقولا عدّة من الأخبار المعتبرة القوليّة والفعليّة ، فلو خالف الترتيب عمدا أو سهوا أو جهلا وجب عليه الرجوع بما يحصل معه الترتيب إلّا أن يجي‌ء هناك مفسد كفوات الموالاة أو عزوب النيّة كما إذا قدّم اليمين على غسل الوجه ، فعزبت عنه النيّة حين غسله ، فإنّه لا يكتفي إذن بغسله بناء على اعتبار الإخطار ، فيكفي إذن تغسيله ما حقّه التأخير خاصّة كما نصّ عليه الفاضلان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بلزوم اعادة الأمرين لوقوعه كذلك في غير محلّه ، ولظاهر غير واحد من الأخبار كالموثق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فغسلت ذراعك قبل وجهك </w:t>
      </w:r>
      <w:r>
        <w:rPr>
          <w:rStyle w:val="FootnoteAnchor"/>
          <w:rtl w:val="true"/>
        </w:rPr>
        <w:footnoteReference w:id="39"/>
      </w:r>
      <w:r>
        <w:rPr>
          <w:rFonts w:ascii="Amiri" w:hAnsi="Amiri" w:eastAsia="Amiri" w:cs="Amiri"/>
          <w:color w:val="111111"/>
          <w:sz w:val="28"/>
          <w:sz w:val="28"/>
          <w:szCs w:val="28"/>
          <w:rtl w:val="true"/>
          <w:lang w:bidi="ar-SA"/>
        </w:rPr>
        <w:t xml:space="preserve">ثمّ اغسل ذراعك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جدّا ؛ إذ لا مقتضي لإعادة ما حقّه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41"/>
      </w:r>
      <w:r>
        <w:rPr>
          <w:rFonts w:ascii="Amiri" w:hAnsi="Amiri" w:eastAsia="Amiri" w:cs="Amiri"/>
          <w:color w:val="111111"/>
          <w:sz w:val="28"/>
          <w:sz w:val="28"/>
          <w:szCs w:val="28"/>
          <w:rtl w:val="true"/>
          <w:lang w:bidi="ar-SA"/>
        </w:rPr>
        <w:t xml:space="preserve">بعد ذكر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المذكورة وما بمعناها ليست صريحة في ذلك ، مضافا إلى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بدأت بيسارك قبل يمينك ومسحت رأسك ورجليك ثمّ استيقنت أنّك بدأت بها غسلت يسارك ثمّ مسحت رأسك ورجليك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أصرح دلالة ممّا يخالفها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ظاهر التحرير </w:t>
      </w:r>
      <w:r>
        <w:rPr>
          <w:rStyle w:val="FootnoteAnchor"/>
          <w:rtl w:val="true"/>
        </w:rPr>
        <w:footnoteReference w:id="43"/>
      </w:r>
      <w:r>
        <w:rPr>
          <w:rFonts w:ascii="Amiri" w:hAnsi="Amiri" w:eastAsia="Amiri" w:cs="Amiri"/>
          <w:color w:val="111111"/>
          <w:sz w:val="28"/>
          <w:sz w:val="28"/>
          <w:szCs w:val="28"/>
          <w:rtl w:val="true"/>
          <w:lang w:bidi="ar-SA"/>
        </w:rPr>
        <w:t xml:space="preserve">لزوم إعادة الوضوء من رأس وإن لم يخف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إن حمل على ظاهره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بفوات الموالاة بمعنى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أنّها ليست شرطا في الصحة عندهم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على صورة قصده الوضوء كذلك ؛ إذ لا يبعد البناء فيه على الفساد مطلقا ؛ لعدم مشروعيّة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بلزوم إعادة كلّ من المقدم والمؤخر مع تعمّد المخالفة ؛ لعدم استدامة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تفصيله في التذكرة </w:t>
      </w:r>
      <w:r>
        <w:rPr>
          <w:rStyle w:val="FootnoteAnchor"/>
          <w:rtl w:val="true"/>
        </w:rPr>
        <w:footnoteReference w:id="45"/>
      </w:r>
      <w:r>
        <w:rPr>
          <w:rFonts w:ascii="Amiri" w:hAnsi="Amiri" w:eastAsia="Amiri" w:cs="Amiri"/>
          <w:color w:val="111111"/>
          <w:sz w:val="28"/>
          <w:sz w:val="28"/>
          <w:szCs w:val="28"/>
          <w:rtl w:val="true"/>
          <w:lang w:bidi="ar-SA"/>
        </w:rPr>
        <w:t>بين العمد والسهو ، فحكم بالصحّة في الأوّل مع عدم الجفاف ، فيعود إلى ما يحصل به الترتيب ، وحكم بالفساد في الأخير مع أنّ حكمه بعكس ذلك أولى ، وإن كان إطلاق الفساد فاسدا فيه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الأعضاء فقد صحّ غسل وجهه إن لم يجعل في نواه خصوص تلك الأفعال المتقاربة ، وإلّا فسد مع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السهو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في التذكرة صحّة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حمله على ما قلناها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وأمّا القدمان ففي اعتبار الترتيب بينهما خلاف بين الأصحاب ، فالأكثر على عدم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الشهرة عليه مستفيضة في كلماتهم ، و </w:t>
      </w:r>
      <w:r>
        <w:rPr>
          <w:rStyle w:val="FootnoteAnchor"/>
          <w:rtl w:val="true"/>
        </w:rPr>
        <w:footnoteReference w:id="46"/>
      </w:r>
      <w:r>
        <w:rPr>
          <w:rFonts w:ascii="Amiri" w:hAnsi="Amiri" w:eastAsia="Amiri" w:cs="Amiri"/>
          <w:color w:val="111111"/>
          <w:sz w:val="28"/>
          <w:sz w:val="28"/>
          <w:szCs w:val="28"/>
          <w:rtl w:val="true"/>
          <w:lang w:bidi="ar-SA"/>
        </w:rPr>
        <w:t>لا يخلو من وجه قوّة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اعتبار الترتيب بينهما ، وعزي إلى الصدوقين والإسكافي والديلمي 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من تقدّم اليسار على اليمين خاصّة وجوّز </w:t>
      </w:r>
    </w:p>
    <w:p>
      <w:pPr>
        <w:pStyle w:val="BookText"/>
        <w:rPr/>
      </w:pPr>
      <w:r>
        <w:rPr>
          <w:rFonts w:ascii="Amiri" w:hAnsi="Amiri" w:eastAsia="Amiri" w:cs="Amiri"/>
          <w:color w:val="111111"/>
          <w:sz w:val="28"/>
          <w:sz w:val="28"/>
          <w:szCs w:val="28"/>
          <w:rtl w:val="true"/>
          <w:lang w:bidi="ar-SA"/>
        </w:rPr>
        <w:t>الوجهين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الكتاب ومعظم الأخبار المبيّنة للوضوء سيّما الحاكية للبناء الفعليّة مع التصريح فيها بمراعاة الترتيب بين سائر الأعضاء سوى القدمين ، فإن ذلك كالصريح في عدم اعتبار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وجب ذلك لاعتبره الإمام في البيان ، ولزم حكاية الراوي لها كذلك ، فإطباق الروايات الحاكية إليها كذلك على عدمه صريح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 بالأصل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خصوص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على القدمين وابدء بالشقّ الأيمن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أحدكم للصلاة فليبدأ باليمين قبل الشمال جسده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وفي رواية أخرى أنّه عليه‌السلام كان إذا توضّأ بدأ بميامنه </w:t>
      </w:r>
      <w:r>
        <w:rPr>
          <w:rStyle w:val="FootnoteAnchor"/>
          <w:rtl w:val="true"/>
        </w:rPr>
        <w:footnoteReference w:id="49"/>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اعتضادها بالاحتياط في تحصيل اليقين بالفراغ سيّما مع القول بكون العبادات اسامي للصحيحة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الأخبار المذكورة ليس صريحا في الوجوب ، فليحمل على الندب </w:t>
      </w:r>
      <w:r>
        <w:rPr>
          <w:rStyle w:val="FootnoteAnchor"/>
          <w:rtl w:val="true"/>
        </w:rPr>
        <w:footnoteReference w:id="50"/>
      </w:r>
      <w:r>
        <w:rPr>
          <w:rFonts w:ascii="Amiri" w:hAnsi="Amiri" w:eastAsia="Amiri" w:cs="Amiri"/>
          <w:color w:val="111111"/>
          <w:sz w:val="28"/>
          <w:sz w:val="28"/>
          <w:szCs w:val="28"/>
          <w:rtl w:val="true"/>
          <w:lang w:bidi="ar-SA"/>
        </w:rPr>
        <w:t>، مضافا إلى ما في الأخيرين من الإطلاق والضعف في الإسناد ، ولا معوّل على الاحتياط بعد قضاء الأدلّة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استدلّ به على عدم الترتيب مطلقة والصحيحة المذكورة مقيّدة ، فلا بدّ من حملها عليها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مساق تلك الأخبار يأبى عن الحمل المذكور ، بل هي بمنزلة النصوص على عدم اعتبار الترتيب سيّما مع اعتضادها بفهم الأكثر ، وإعراضهم عن العمل بظاهر الصحيحة ، فالبناء على وجوب الترتيب بينهما بمجرّد ذلك مشكل جدا إلّا أنّ الاحتياط في أمثال هذه </w:t>
      </w:r>
    </w:p>
    <w:p>
      <w:pPr>
        <w:pStyle w:val="BookText"/>
        <w:rPr/>
      </w:pPr>
      <w:r>
        <w:rPr>
          <w:rFonts w:ascii="Amiri" w:hAnsi="Amiri" w:eastAsia="Amiri" w:cs="Amiri"/>
          <w:color w:val="111111"/>
          <w:sz w:val="28"/>
          <w:sz w:val="28"/>
          <w:szCs w:val="28"/>
          <w:rtl w:val="true"/>
          <w:lang w:bidi="ar-SA"/>
        </w:rPr>
        <w:t>المقامات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الحميري المرويّة في الاحتجاج عن القائم عليه‌السلام ، وقد سأله عن البدأة باليمنى في المسح على الرجلين أو أنّه يمسحهما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بدأ بأحدهما قبل الاخرى فلا يبدأ إلّا باليمين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الإسناد مع انتفاء الجائز ، فلا ينهض حجّة على أنّه يمكن حملها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دلّ عليه من جواز المعيّة في المسح مجبور بفتوى الأصحاب ، فينهض دليلا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يتعارض الصحيحة المتقدّمة الآمرة بتقديم الأيمن ، فيتعيّن حملها على الندب ، وما دلّ عليه من عدم جواز تقديم اليسار غير منجبر ، فلا يقوم حجّة على المنع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دليل على عدم جوازه بعد حمل الصحيحة على الندب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8" w:name="pg15839_360598"/>
    </w:p>
    <w:p>
      <w:pPr>
        <w:pStyle w:val="Heading3"/>
        <w:numPr>
          <w:ilvl w:val="2"/>
          <w:numId w:val="1"/>
        </w:numPr>
        <w:rPr/>
      </w:pPr>
      <w:bookmarkStart w:id="19" w:name="__RefHeading___Toc14338309_2142443653"/>
      <w:bookmarkStart w:id="20" w:name="_Toc7"/>
      <w:bookmarkEnd w:id="18"/>
      <w:bookmarkEnd w:id="19"/>
      <w:r>
        <w:rPr>
          <w:rtl w:val="true"/>
        </w:rPr>
        <w:t>تبصرة</w:t>
      </w:r>
      <w:r>
        <w:rPr>
          <w:rtl w:val="true"/>
        </w:rPr>
        <w:t xml:space="preserve">: [ </w:t>
      </w:r>
      <w:r>
        <w:rPr>
          <w:rtl w:val="true"/>
        </w:rPr>
        <w:t xml:space="preserve">في اشتراط الموالاة </w:t>
      </w:r>
      <w:r>
        <w:rPr>
          <w:rtl w:val="true"/>
        </w:rPr>
        <w:t>]</w:t>
      </w:r>
      <w:bookmarkEnd w:id="20"/>
    </w:p>
    <w:p>
      <w:pPr>
        <w:pStyle w:val="Heading4"/>
        <w:numPr>
          <w:ilvl w:val="3"/>
          <w:numId w:val="1"/>
        </w:numPr>
        <w:rPr/>
      </w:pPr>
      <w:bookmarkStart w:id="21" w:name="__RefHeading___Toc14338311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لا خلاف بين الأصحاب في اشتراط الوضوء بالموالاة ، واختلفوا في تفسيرها مع إطباقهم على اعتبار عدم تأخير الفعل اللاحق بحيث يجفّ ما أتى به من السابق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الموالاة المعتبرة بمعنى أن يكون تلبّسه باللاحق مع بقاء الرطوبة في السابق عليه ، وحكي الشهرة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Style w:val="FootnoteAnchor"/>
          <w:rtl w:val="true"/>
        </w:rPr>
        <w:footnoteReference w:id="53"/>
      </w:r>
      <w:r>
        <w:rPr>
          <w:rFonts w:ascii="Amiri" w:hAnsi="Amiri" w:eastAsia="Amiri" w:cs="Amiri"/>
          <w:color w:val="111111"/>
          <w:sz w:val="28"/>
          <w:sz w:val="28"/>
          <w:szCs w:val="28"/>
          <w:rtl w:val="true"/>
          <w:lang w:bidi="ar-SA"/>
        </w:rPr>
        <w:t>وجماعة منهم العلّامة في جملة من كتبه أنّها المتابعة بين الأفعال بحيث يشتغل بكلّ فعل منها عقيب فراغه من الآخر مع اعتبار عدم جفاف العضو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الصحّة إنّما هو الثاني دون الأوّل فلا يترتّب على مخالفته سوى العصيان على ما حكى بعض الأجلاء الشهرة عليه بين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نصّ عليه العلّامة في النهاية </w:t>
      </w:r>
      <w:r>
        <w:rPr>
          <w:rStyle w:val="FootnoteAnchor"/>
          <w:rtl w:val="true"/>
        </w:rPr>
        <w:footnoteReference w:id="5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المبسوط </w:t>
      </w:r>
      <w:r>
        <w:rPr>
          <w:rStyle w:val="FootnoteAnchor"/>
          <w:rtl w:val="true"/>
        </w:rPr>
        <w:footnoteReference w:id="55"/>
      </w:r>
      <w:r>
        <w:rPr>
          <w:rFonts w:ascii="Amiri" w:hAnsi="Amiri" w:eastAsia="Amiri" w:cs="Amiri"/>
          <w:color w:val="111111"/>
          <w:sz w:val="28"/>
          <w:sz w:val="28"/>
          <w:szCs w:val="28"/>
          <w:rtl w:val="true"/>
          <w:lang w:bidi="ar-SA"/>
        </w:rPr>
        <w:t>فساد العمل بفوته مع الاختيار كما هو قضية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 </w:t>
      </w:r>
      <w:r>
        <w:rPr>
          <w:rStyle w:val="FootnoteAnchor"/>
          <w:rtl w:val="true"/>
        </w:rPr>
        <w:footnoteReference w:id="56"/>
      </w:r>
      <w:r>
        <w:rPr>
          <w:rFonts w:ascii="IRNazanin" w:hAnsi="IRNazanin" w:eastAsia="IRNazanin"/>
          <w:color w:val="111111"/>
          <w:sz w:val="28"/>
          <w:sz w:val="28"/>
          <w:szCs w:val="28"/>
          <w:rtl w:val="true"/>
          <w:lang w:bidi="fa-IR"/>
        </w:rPr>
        <w:t xml:space="preserve">مع </w:t>
      </w:r>
      <w:r>
        <w:rPr>
          <w:rStyle w:val="FootnoteAnchor"/>
          <w:rtl w:val="true"/>
        </w:rPr>
        <w:footnoteReference w:id="57"/>
      </w:r>
      <w:r>
        <w:rPr>
          <w:rFonts w:ascii="Amiri" w:hAnsi="Amiri" w:eastAsia="Amiri" w:cs="Amiri"/>
          <w:color w:val="111111"/>
          <w:sz w:val="28"/>
          <w:sz w:val="28"/>
          <w:szCs w:val="28"/>
          <w:rtl w:val="true"/>
          <w:lang w:bidi="ar-SA"/>
        </w:rPr>
        <w:t xml:space="preserve">تفسيره الموالاة لمراعاة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أفرط في التأخير عن المعتاد فالأقرب التحريم ، أمّا البطلان فلا إلّا مع الجفاف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العذر لا تحريم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نحوه أيضا في الدروس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ذلك موافقة أولئك في اعتبار الموالاة بالمعنى الثاني أيضا لكن لا على نحو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الصدوقين الاكتفاء بأحد الأمرين من مراعاة الجفاف والمتابعة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بعض محقّقي المتأخرين ، وعزي إلى جملة من متأخري المتأخرين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الأفاضل اعتبار الموالاة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نصّ عليه بعض المحقّقين راجع إلى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الأول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توضّأت فنفذ الماء فدعوت الجارية فأبطأت عليّ فيجف وضوئي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توضّأت بعض وضوئك فعرضت لك حاجة حتّى ينشف وضوؤك فأعد وضوءك فإنّ الوضوء لا يبعّض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إذ ظاهر إطلاقهما إناطة الإعادة على الجفاف لعدم ظهور الفرض المذكور فيهما في حصول التفريق عرفا ؛ إذ مجرّد الإبطاء وطروّ الحاجة أعمّ منه ، وفرض الجفاف لا يقتضيه ؛ لاختلافه باختلاف الأحوال وكثرة استعمال الماء وقلّته ، وسرعة إيصال الماء إلى أجزاء العضو وبطوئه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فهم الجمهور ، مضافا إلى التعليل المذكور في الأخير ؛ إذ ظاهره عدم الاكتفاء بالأفعال الباقية بعد جفاف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 عدّه تبعيضا تنزيل الجفاف منزلة انعدام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عن النهي عن التفريق بإرادته من لفظ التبعيض مع بعده في المقام موهون بأنّ ما يدلّ عليه الرواية إذن استناد الفساد إلى انتفاء التتابع دون طروّ الجفاف ، وهم لا يقولون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أنّه قضية الأصل ، فإنّ ظواهر الإطلاقات جواز الإتيان بالغسلات كيفما اتفقت خرج عنه صورة الجفاف بالنصّ والإجماع ، فيبقى الباقي مندرجا في الإطلاق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إنّما يقوم حجّة على من يقول باعتبار التتابع بالخصوص دون من تخيّر بينه </w:t>
      </w:r>
    </w:p>
    <w:p>
      <w:pPr>
        <w:pStyle w:val="BookText"/>
        <w:rPr/>
      </w:pPr>
      <w:r>
        <w:rPr>
          <w:rFonts w:ascii="Amiri" w:hAnsi="Amiri" w:eastAsia="Amiri" w:cs="Amiri"/>
          <w:color w:val="111111"/>
          <w:sz w:val="28"/>
          <w:sz w:val="28"/>
          <w:szCs w:val="28"/>
          <w:rtl w:val="true"/>
          <w:lang w:bidi="ar-SA"/>
        </w:rPr>
        <w:t>وبين الجفاف ، بل قضيّة الأصل فيه بالعكس إلّا أنّ ظاهر النص مع اعتضاده بفهم الأكثر كما عرفت يعطي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يقال من أن حصول التتابع والوضوءات البيانيّة قاض بوجوبه من جهة التأسي مدفوع بأنّ قضية ذلك فساد العمل بدونه ؛ لكونه إذن من الكيفيّات المعتبرة فيه ، وهو خلاف المعروف بين القائلين به كما مرّ إلّا أن يقال بثبوت الوجوب بذلك خاصّة ؛ نظرا إلى قيام الدليل على صحّة الوضوء مع بقاء الرطوبة كما في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بأنّ التفريق بين الغسلات من الأمور الحاصلة بسبب طروّ العوارض ، فليست المتابعة في مثله عند البيان إلّا من مقتضيات العادات كأخذ الماء بالكفّ وايصاله إلى تمام العضو بإمرار اليد ، فإن اختياره غالبا من جهة السهولة أو </w:t>
      </w:r>
      <w:r>
        <w:rPr>
          <w:rStyle w:val="FootnoteAnchor"/>
          <w:rtl w:val="true"/>
        </w:rPr>
        <w:footnoteReference w:id="61"/>
      </w:r>
      <w:r>
        <w:rPr>
          <w:rFonts w:ascii="Amiri" w:hAnsi="Amiri" w:eastAsia="Amiri" w:cs="Amiri"/>
          <w:color w:val="111111"/>
          <w:sz w:val="28"/>
          <w:sz w:val="28"/>
          <w:szCs w:val="28"/>
          <w:rtl w:val="true"/>
          <w:lang w:bidi="ar-SA"/>
        </w:rPr>
        <w:t>قلّة صرف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الاستناد إلى تلك الأخبار في وجوب شي‌ء من تلك الخصوصيّات كما توهّمه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عرف ضعف ما قد يستند إليه القائل </w:t>
      </w:r>
      <w:r>
        <w:rPr>
          <w:rStyle w:val="FootnoteAnchor"/>
          <w:rtl w:val="true"/>
        </w:rPr>
        <w:footnoteReference w:id="62"/>
      </w:r>
      <w:r>
        <w:rPr>
          <w:rFonts w:ascii="Amiri" w:hAnsi="Amiri" w:eastAsia="Amiri" w:cs="Amiri"/>
          <w:color w:val="111111"/>
          <w:sz w:val="28"/>
          <w:sz w:val="28"/>
          <w:szCs w:val="28"/>
          <w:rtl w:val="true"/>
          <w:lang w:bidi="ar-SA"/>
        </w:rPr>
        <w:t>بالاكتفاء بأحد الأمرين لاستناده إلى الإطلاقات بعد ادعائه أنّ غاية ما يدلّ عليه الخبران هو الفساد مع انتفاء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يكشف عن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لاعتبار التتابع بالمستفيضة الدالّة على وجوب المتابعة بين أفعال الوضوء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كما قال اللّه </w:t>
      </w:r>
      <w:r>
        <w:rPr>
          <w:rFonts w:eastAsia="Amiri" w:cs="Amiri" w:ascii="Amiri" w:hAnsi="Amiri"/>
          <w:color w:val="111111"/>
          <w:sz w:val="28"/>
          <w:szCs w:val="28"/>
          <w:rtl w:val="true"/>
          <w:lang w:bidi="ar-SA"/>
        </w:rPr>
        <w:t xml:space="preserve">.. » </w:t>
      </w:r>
      <w:r>
        <w:rPr>
          <w:rStyle w:val="FootnoteAnchor"/>
          <w:rtl w:val="true"/>
        </w:rPr>
        <w:footnoteReference w:id="6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 وضوئك بعضه بعضا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أنّ المتابعة فيها مجملة ، ويحتمل أن يراد بها الترتيب دون المعاقبة العرفيّة في </w:t>
      </w:r>
      <w:bookmarkStart w:id="23" w:name="pg15839_360601"/>
    </w:p>
    <w:p>
      <w:pPr>
        <w:pStyle w:val="BookText"/>
        <w:rPr/>
      </w:pPr>
      <w:bookmarkEnd w:id="23"/>
      <w:r>
        <w:rPr>
          <w:rFonts w:ascii="Amiri" w:hAnsi="Amiri" w:eastAsia="Amiri" w:cs="Amiri"/>
          <w:color w:val="111111"/>
          <w:sz w:val="28"/>
          <w:sz w:val="28"/>
          <w:szCs w:val="28"/>
          <w:rtl w:val="true"/>
          <w:lang w:bidi="ar-SA"/>
        </w:rPr>
        <w:t>الصحيحين المذكورين ما يشير إلى إرادته ، فمع الغضّ عن ظهورها فيه في المقام لا أقلّ من حصول الاحتمال الّذي يبطل به الاستدلال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4338313_2142443653"/>
      <w:bookmarkStart w:id="25" w:name="_Toc9"/>
      <w:bookmarkEnd w:id="24"/>
      <w:r>
        <w:rPr>
          <w:rtl w:val="true"/>
        </w:rPr>
        <w:t xml:space="preserve">[ </w:t>
      </w:r>
      <w:r>
        <w:rPr>
          <w:rtl w:val="true"/>
        </w:rPr>
        <w:t xml:space="preserve">تنبيهات </w:t>
      </w:r>
      <w:r>
        <w:rPr>
          <w:rtl w:val="true"/>
        </w:rPr>
        <w:t>]</w:t>
      </w:r>
      <w:bookmarkEnd w:id="25"/>
    </w:p>
    <w:p>
      <w:pPr>
        <w:pStyle w:val="BookText"/>
        <w:rPr/>
      </w:pPr>
      <w:r>
        <w:rPr>
          <w:rFonts w:ascii="Amiri" w:hAnsi="Amiri" w:eastAsia="Amiri" w:cs="Amiri"/>
          <w:color w:val="111111"/>
          <w:sz w:val="28"/>
          <w:sz w:val="28"/>
          <w:szCs w:val="28"/>
          <w:rtl w:val="true"/>
          <w:lang w:bidi="ar-SA"/>
        </w:rPr>
        <w:t xml:space="preserve">ولا بدّ من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على بقاء الرطوبة في جميع أعضاء السابقة أو تمام عضو منها أو يكتفى ببقائها في شي‌ء منها؟ وجوه بل أقوال ؛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المشهور لظاهر الأخبار ، والأوّل يحكى عن الإسكافي ، والثاني عن السيّد والحلي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لاستظهارهما من الأخبار أو مراعاة الاحتياط مع الشكّ في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الموالاة على عدم جفاف جميع الوضوء قبل كماله كما هو ظاهر الروايتين المذكورتين ، فلو جفّ تمام العضو السابق قبل إكمال اللّاحق لم يضرّ مع بقاء الرطوبة في شي‌ء من القدر المغسول من ذلك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كثير من الأصحاب تقييد الجفاف بكونه في الهواء المعتدل ، وظاهر ذلك يوهم انتفاء الفساد بالجفاف أنّ المستند إلى الجزء الخارج عن المعتاد وإن أمكنه بقاء الرطوبة وحصوله مع بقاء الرطوبة في الهواء البارد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خروج عن مقتضى الأدلّة في الصورتين ؛ إذ الظاهر منها إناطة الفساد بطروّ الجفاف فيدور </w:t>
      </w:r>
      <w:r>
        <w:rPr>
          <w:rStyle w:val="FootnoteAnchor"/>
          <w:rtl w:val="true"/>
        </w:rPr>
        <w:footnoteReference w:id="66"/>
      </w:r>
      <w:r>
        <w:rPr>
          <w:rFonts w:ascii="Amiri" w:hAnsi="Amiri" w:eastAsia="Amiri" w:cs="Amiri"/>
          <w:color w:val="111111"/>
          <w:sz w:val="28"/>
          <w:sz w:val="28"/>
          <w:szCs w:val="28"/>
          <w:rtl w:val="true"/>
          <w:lang w:bidi="ar-SA"/>
        </w:rPr>
        <w:t>مداره وجودا وعدما ، فلا وجه للصحّة مع حصوله ولا للفساد مع عدمه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 بقاء الرطوبة وزوالها في الصورتين لا دليل على اعتباره ، مضافا على اختلاف </w:t>
      </w:r>
    </w:p>
    <w:p>
      <w:pPr>
        <w:pStyle w:val="BookText"/>
        <w:rPr/>
      </w:pPr>
      <w:r>
        <w:rPr>
          <w:rFonts w:ascii="Amiri" w:hAnsi="Amiri" w:eastAsia="Amiri" w:cs="Amiri"/>
          <w:color w:val="111111"/>
          <w:sz w:val="28"/>
          <w:sz w:val="28"/>
          <w:szCs w:val="28"/>
          <w:rtl w:val="true"/>
          <w:lang w:bidi="ar-SA"/>
        </w:rPr>
        <w:t>الأحوال والفصول والأمصار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غالب لينصرف إليه الإطلاق ، والرجوع إلى المعتدل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في الذكرى </w:t>
      </w:r>
      <w:r>
        <w:rPr>
          <w:rStyle w:val="FootnoteAnchor"/>
          <w:rtl w:val="true"/>
        </w:rPr>
        <w:footnoteReference w:id="67"/>
      </w:r>
      <w:r>
        <w:rPr>
          <w:rFonts w:ascii="Amiri" w:hAnsi="Amiri" w:eastAsia="Amiri" w:cs="Amiri"/>
          <w:color w:val="111111"/>
          <w:sz w:val="28"/>
          <w:sz w:val="28"/>
          <w:szCs w:val="28"/>
          <w:rtl w:val="true"/>
          <w:lang w:bidi="ar-SA"/>
        </w:rPr>
        <w:t>التفصيل بين الصورتين ، فحكم بفساد التقدير مع بقاء الرطوبة دون ما إذا حصل الجفاف في الحرّ الشديد ، فحكم فيه بالصحّة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انصراف ما دلّ على الفساد مع الجفاف إلى الغالب المعتاد ، ولا يقضي ذلك الفساد مع حصوله بالعارض ، ولا مع انتفائه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الأصل فيهما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يستثنى من الأول صورة الاضطرار كما سيجي‌ء القول فيه ، ومن الثاني ما إذا حصل الفصل الطويل بين أبعاضه بحيث لا يصدق معه اسم الوضوء في عرف المتشرّعة ؛ إذ لا أقلّ من الشكّ في شمول الأدلّة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حمل كلام الأصحاب عليه ، فيكون مقصودهم من البعد </w:t>
      </w:r>
      <w:r>
        <w:rPr>
          <w:rStyle w:val="FootnoteAnchor"/>
          <w:rtl w:val="true"/>
        </w:rPr>
        <w:footnoteReference w:id="68"/>
      </w:r>
      <w:r>
        <w:rPr>
          <w:rFonts w:ascii="Amiri" w:hAnsi="Amiri" w:eastAsia="Amiri" w:cs="Amiri"/>
          <w:color w:val="111111"/>
          <w:sz w:val="28"/>
          <w:sz w:val="28"/>
          <w:szCs w:val="28"/>
          <w:rtl w:val="true"/>
          <w:lang w:bidi="ar-SA"/>
        </w:rPr>
        <w:t>اخراج مثل ذلك لو جفّ الرطوبة في العضو السابق ؛ لفرط الحرارة أو قلّة الماء مع عدم المندوحة به ، فالأظهر الصحّة ؛ أخذا بالإطلاقات مع عدم قيام دليل على عموم الاشتراط بحيث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كون الجفاف لفرط الحرّ في الهواء أو </w:t>
      </w:r>
      <w:r>
        <w:rPr>
          <w:rStyle w:val="FootnoteAnchor"/>
          <w:rtl w:val="true"/>
        </w:rPr>
        <w:footnoteReference w:id="69"/>
      </w:r>
      <w:r>
        <w:rPr>
          <w:rFonts w:ascii="Amiri" w:hAnsi="Amiri" w:eastAsia="Amiri" w:cs="Amiri"/>
          <w:color w:val="111111"/>
          <w:sz w:val="28"/>
          <w:sz w:val="28"/>
          <w:szCs w:val="28"/>
          <w:rtl w:val="true"/>
          <w:lang w:bidi="ar-SA"/>
        </w:rPr>
        <w:t>في العضو غير ذلك ، ولو كان من جهة اضطرار إلى التأخير كبطء نبع الماء فيه وجهان ؛ كان أوجههما المنع ، والأحوط الجمع بينه وبين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المانع من خارج كظالم يمنعه من التتابع ، فالأظهر الفساد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التأخير إلى آخر الوقت لو أمكن مراعاة الشرط؟ فيه وجهان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تمكّن من إبقاء الرطوبة بصبّ الماء الجديد على العضو السابق احتمل قويّا وجوبه</w:t>
      </w:r>
      <w:r>
        <w:rPr>
          <w:rFonts w:eastAsia="Amiri" w:cs="Amiri" w:ascii="Amiri" w:hAnsi="Amiri"/>
          <w:color w:val="111111"/>
          <w:sz w:val="28"/>
          <w:szCs w:val="28"/>
          <w:rtl w:val="true"/>
          <w:lang w:bidi="ar-SA"/>
        </w:rPr>
        <w:t xml:space="preserve">. </w:t>
      </w:r>
      <w:bookmarkStart w:id="26" w:name="pg15839_360603"/>
    </w:p>
    <w:p>
      <w:pPr>
        <w:pStyle w:val="Heading3"/>
        <w:numPr>
          <w:ilvl w:val="2"/>
          <w:numId w:val="1"/>
        </w:numPr>
        <w:rPr/>
      </w:pPr>
      <w:bookmarkStart w:id="27" w:name="__RefHeading___Toc14338315_2142443653"/>
      <w:bookmarkStart w:id="28" w:name="_Toc10"/>
      <w:bookmarkEnd w:id="26"/>
      <w:bookmarkEnd w:id="27"/>
      <w:r>
        <w:rPr>
          <w:rtl w:val="true"/>
        </w:rPr>
        <w:t>تبصرة</w:t>
      </w:r>
      <w:r>
        <w:rPr>
          <w:rtl w:val="true"/>
        </w:rPr>
        <w:t xml:space="preserve">: [ </w:t>
      </w:r>
      <w:r>
        <w:rPr>
          <w:rtl w:val="true"/>
        </w:rPr>
        <w:t xml:space="preserve">في اشتراط طهورية ماء الوضوء </w:t>
      </w:r>
      <w:r>
        <w:rPr>
          <w:rtl w:val="true"/>
        </w:rPr>
        <w:t>]</w:t>
      </w:r>
      <w:bookmarkEnd w:id="28"/>
    </w:p>
    <w:p>
      <w:pPr>
        <w:pStyle w:val="BookText"/>
        <w:rPr/>
      </w:pPr>
      <w:r>
        <w:rPr>
          <w:rFonts w:ascii="Amiri" w:hAnsi="Amiri" w:eastAsia="Amiri" w:cs="Amiri"/>
          <w:color w:val="111111"/>
          <w:sz w:val="28"/>
          <w:sz w:val="28"/>
          <w:szCs w:val="28"/>
          <w:rtl w:val="true"/>
          <w:lang w:bidi="ar-SA"/>
        </w:rPr>
        <w:t>يشترط أن يكون ماء الوضوء طهورا ، بلا خلاف فيه بين الأصحاب ، فلا يصحّ الوضوء بالماء النجس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ذلك النصوص المستفيضة الناهية عن الوضوء بجملة من المياه النجسة ، وفي بعضها تعقيب الحكم بالمنع من الوضوء للحكم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تعالى فرض الوضوء على عباده بالماء الطاهر وكذلك الغسل من الجنابة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الطهارة والنجاسة صفتان واقعيتان للأشياء أو أنّهما منوطان بعلم المكلّف بالنجاسة وجهله؟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الطاهر الواقعي ما حكم الشرع بطهارته والنجس كذلك ما حكم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ظاهر جمهور الأصحاب وصريح جماعة منهم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الأوّل لزوم إعادة الصلاة وقضائها لو تبيّن نجاسة الماء كما هو المشهور بين الأصحاب ، وعلى الثاني فلا قضاء ولا إعادة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ذهب غير واحد من المتأخرين إلى 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الإسكافي والشيخ وصريح القاضي سقوط القضاء دون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جهة بعض الروايات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الأوّل ؛ إذ الظاهر بعد الرجوع إلى عرف المتشرعة المأخوذ من بيان الشرع </w:t>
      </w:r>
    </w:p>
    <w:p>
      <w:pPr>
        <w:pStyle w:val="BookText"/>
        <w:rPr/>
      </w:pPr>
      <w:r>
        <w:rPr>
          <w:rFonts w:ascii="Amiri" w:hAnsi="Amiri" w:eastAsia="Amiri" w:cs="Amiri"/>
          <w:color w:val="111111"/>
          <w:sz w:val="28"/>
          <w:sz w:val="28"/>
          <w:szCs w:val="28"/>
          <w:rtl w:val="true"/>
          <w:lang w:bidi="ar-SA"/>
        </w:rPr>
        <w:t xml:space="preserve">أنّ الطهارة والنجاسة صفتان واقعيتان للأشياء لا يناط حصولهما بالعلم والجهل بحيث يكون مجهول النجاسة </w:t>
      </w:r>
      <w:r>
        <w:rPr>
          <w:rStyle w:val="FootnoteAnchor"/>
          <w:rtl w:val="true"/>
        </w:rPr>
        <w:footnoteReference w:id="71"/>
      </w:r>
      <w:r>
        <w:rPr>
          <w:rFonts w:ascii="Amiri" w:hAnsi="Amiri" w:eastAsia="Amiri" w:cs="Amiri"/>
          <w:color w:val="111111"/>
          <w:sz w:val="28"/>
          <w:sz w:val="28"/>
          <w:szCs w:val="28"/>
          <w:rtl w:val="true"/>
          <w:lang w:bidi="ar-SA"/>
        </w:rPr>
        <w:t>طاهرا واقعيا ، ولذا يصحّ تعلّق كلّ من العلم والجهل بكلّ منهما ، وقد ورد ذلك أيضا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قلناه من الأخبار كالمستفيضة القريبة من التواتر الواردة في الكر وصحيحة ابن بزيع </w:t>
      </w:r>
      <w:r>
        <w:rPr>
          <w:rStyle w:val="FootnoteAnchor"/>
          <w:rtl w:val="true"/>
        </w:rPr>
        <w:footnoteReference w:id="72"/>
      </w:r>
      <w:r>
        <w:rPr>
          <w:rFonts w:ascii="Amiri" w:hAnsi="Amiri" w:eastAsia="Amiri" w:cs="Amiri"/>
          <w:color w:val="111111"/>
          <w:sz w:val="28"/>
          <w:sz w:val="28"/>
          <w:szCs w:val="28"/>
          <w:rtl w:val="true"/>
          <w:lang w:bidi="ar-SA"/>
        </w:rPr>
        <w:t xml:space="preserve">في البئر وصحيحة معاوية بن عمّار </w:t>
      </w:r>
      <w:r>
        <w:rPr>
          <w:rStyle w:val="FootnoteAnchor"/>
          <w:rtl w:val="true"/>
        </w:rPr>
        <w:footnoteReference w:id="73"/>
      </w:r>
      <w:r>
        <w:rPr>
          <w:rFonts w:ascii="Amiri" w:hAnsi="Amiri" w:eastAsia="Amiri" w:cs="Amiri"/>
          <w:color w:val="111111"/>
          <w:sz w:val="28"/>
          <w:sz w:val="28"/>
          <w:szCs w:val="28"/>
          <w:rtl w:val="true"/>
          <w:lang w:bidi="ar-SA"/>
        </w:rPr>
        <w:t xml:space="preserve">فيها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أنتن غسل الثوب وأعاد الصلاة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وعدة من الأخبار الواردة الدالّة على نجاسة القليل كالمستفيضة الدالّة على نجاسة الماء بإدخال الجنب يده القذرة في الماء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علي بن جعفر الدالّة على عدم صلاحية الوضوء من إناء قطر فيه قطرة من دم الرعاف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كان قبل العلم بنجاسته طاهرا واقعيا لزم عدم الحكم بنجاسة ملاقيه حينئذ ، وإن تيقّن نجاسته بعد ذلك لملاقاته الطاهر حال الجهل فلا تنجس به ، وبعد لا ملاقاة يوجب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أيضا بجملة من الأخبار الناهية عن الوضوء بجملة من المياه النجسة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 الماء وتغيّر الطعم فلا توضّأ ولا تشرب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في الكلب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يتوضأ بفضله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أنّ ذلك لا يتمّ في الجاهل ؛ لامتناع توجّه الخطاب إليه ، فلا يفيد ما هو </w:t>
      </w:r>
    </w:p>
    <w:p>
      <w:pPr>
        <w:pStyle w:val="BookText"/>
        <w:rPr/>
      </w:pPr>
      <w:r>
        <w:rPr>
          <w:rFonts w:ascii="Amiri" w:hAnsi="Amiri" w:eastAsia="Amiri" w:cs="Amiri"/>
          <w:color w:val="111111"/>
          <w:sz w:val="28"/>
          <w:sz w:val="28"/>
          <w:szCs w:val="28"/>
          <w:rtl w:val="true"/>
          <w:lang w:bidi="ar-SA"/>
        </w:rPr>
        <w:t>المقصود من ثبوت الفساد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المقصود من تلك النواهي مجرّد الحرمة ، بل المقصود منها بمقتضى المقام فساد الوضوء فلا تختلف فيه الحال بالنسبة إلى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الحكم الواقعي فيه المنع من الوضوء فلا يقع فيه البراءة الواقعيّة ، فيكون فاسدا ، فيجب قضاؤه بعد 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معذورية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دخل له في ذلك ؛ إذ قضية ذلك رفع الإثم والعقاب ، لا صحّة الفعل وسقوط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الفساد من جهة منع الشارع وتحريمه كما في المغصوب صحّ الفعل مع الجهل ؛ لارتفاع جهة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ولو كان الجهل مصحّحا للفعل لزم بقوله </w:t>
      </w:r>
      <w:r>
        <w:rPr>
          <w:rStyle w:val="FootnoteAnchor"/>
          <w:rtl w:val="true"/>
        </w:rPr>
        <w:footnoteReference w:id="78"/>
      </w:r>
      <w:r>
        <w:rPr>
          <w:rFonts w:ascii="Amiri" w:hAnsi="Amiri" w:eastAsia="Amiri" w:cs="Amiri"/>
          <w:color w:val="111111"/>
          <w:sz w:val="28"/>
          <w:sz w:val="28"/>
          <w:szCs w:val="28"/>
          <w:rtl w:val="true"/>
          <w:lang w:bidi="ar-SA"/>
        </w:rPr>
        <w:t>بصحة الوضوء إذا كان جاهلا بحكم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تأمّل لأحد في فساده ولزوم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العموم في معذورية الجاهل فاسد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من أنّ ظاهر ما ورد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فإذا علمت فقد قذر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كلّه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قاض بحصول الطهارة الواقعيّة وإن حصل هناك ملاقاة للنجاسة بحسب الواقع واضح الفساد ؛ إذ من البيّن أنّ الروايتين مسوقتان لإثبات الأحكام الظاهريّة ، وبيان الطريق الشرعي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منهما بيان أصالة الطهارة حتّى يتبيّن المخرج ، لا بيان ما هو ظاهر في الواقع ، ومساق الروايتين صريحة في ذلك ، مضافا إلى فهم الأصحاب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ويومي إليه تعلّق العلم بالقذارة ، ولو كان العلم مأخوذا في معناها لما صحّ تعلّق العلم بها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على نحو من المجاز ، فحينئذ لا يزيد ذلك على جعل اليقين طريقا في معرفة سائر الأشياء ، فكما أنّه بعد كشف الخلاف في اليقينيّات لا يكون المأتيّ به عين الواقع فكذا في المقام ، وهو ظاهر</w:t>
      </w:r>
      <w:r>
        <w:rPr>
          <w:rFonts w:eastAsia="Amiri" w:cs="Amiri" w:ascii="Amiri" w:hAnsi="Amiri"/>
          <w:color w:val="111111"/>
          <w:sz w:val="28"/>
          <w:szCs w:val="28"/>
          <w:rtl w:val="true"/>
          <w:lang w:bidi="ar-SA"/>
        </w:rPr>
        <w:t xml:space="preserve">. </w:t>
      </w:r>
      <w:bookmarkStart w:id="29" w:name="pg15839_360607"/>
    </w:p>
    <w:p>
      <w:pPr>
        <w:pStyle w:val="Heading3"/>
        <w:numPr>
          <w:ilvl w:val="2"/>
          <w:numId w:val="1"/>
        </w:numPr>
        <w:rPr/>
      </w:pPr>
      <w:bookmarkStart w:id="30" w:name="__RefHeading___Toc14338317_2142443653"/>
      <w:bookmarkStart w:id="31" w:name="_Toc11"/>
      <w:bookmarkEnd w:id="29"/>
      <w:bookmarkEnd w:id="30"/>
      <w:r>
        <w:rPr>
          <w:rtl w:val="true"/>
        </w:rPr>
        <w:t>تبصرة</w:t>
      </w:r>
      <w:r>
        <w:rPr>
          <w:rtl w:val="true"/>
        </w:rPr>
        <w:t xml:space="preserve">: [ </w:t>
      </w:r>
      <w:r>
        <w:rPr>
          <w:rtl w:val="true"/>
        </w:rPr>
        <w:t xml:space="preserve">في اشتراط جواز التصرف في الماء </w:t>
      </w:r>
      <w:r>
        <w:rPr>
          <w:rtl w:val="true"/>
        </w:rPr>
        <w:t>]</w:t>
      </w:r>
      <w:bookmarkEnd w:id="31"/>
    </w:p>
    <w:p>
      <w:pPr>
        <w:pStyle w:val="BookText"/>
        <w:rPr/>
      </w:pPr>
      <w:r>
        <w:rPr>
          <w:rFonts w:ascii="Amiri" w:hAnsi="Amiri" w:eastAsia="Amiri" w:cs="Amiri"/>
          <w:color w:val="111111"/>
          <w:sz w:val="28"/>
          <w:sz w:val="28"/>
          <w:szCs w:val="28"/>
          <w:rtl w:val="true"/>
          <w:lang w:bidi="ar-SA"/>
        </w:rPr>
        <w:t>من الشرائط جواز تصرّفه في الماء بكونه مملوكا له أو مأذونا فيه من مالكه أو مباحا بلا خلاف فيه بين الأصحاب ، فلا يصحّ الوضوء بالمغصوب ؛ لعدم إمكان التقرّب بالمحرّم ويأتي على قول من يجوّز اجتماع الأمر والنهي من جهتين صحّة الوضوء به ، لاختلاف الجهة إلّا أنّ ظاهرهم الإطباق على المنع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لقيام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في المغصوب فعلى قولهم أيضا يجب الحكم بالفساد ؛ لسقوط التكليف معه بالوضوء ، فيتعيّن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فساد الوضوء بالمغصوب مع العلم بالغصب والحكم ظاهر ، وكذا مع الجهل بالفساد مطلقا أو بالحرمة مع استشعاره للمسألة وتردّده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الجهل والغفلة المطلقة من الحكم فالظاهر عدم التأمّل في الصحة لجواز التصرّف إذن ؛ نظرا إلى قبح تكليف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الكلام فيه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جاهلا بموضوع الغصب فلا تأمّل في الصحّة لانتفاء الحرمة معه ،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تأمّل في الفساد مع عدم كونه مغصوبا في الواقع إذا اعتقد مغصوبيّته ، وكذا مع جهله بجواز تصرفه فيه ، وإن كان ممّا يجوز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 الصحّة مع الجهل بالغصب ؛ إذ قضيّة حرمة الغصب </w:t>
      </w:r>
      <w:r>
        <w:rPr>
          <w:rStyle w:val="FootnoteAnchor"/>
          <w:rtl w:val="true"/>
        </w:rPr>
        <w:footnoteReference w:id="81"/>
      </w:r>
      <w:r>
        <w:rPr>
          <w:rFonts w:ascii="Amiri" w:hAnsi="Amiri" w:eastAsia="Amiri" w:cs="Amiri"/>
          <w:color w:val="111111"/>
          <w:sz w:val="28"/>
          <w:sz w:val="28"/>
          <w:szCs w:val="28"/>
          <w:rtl w:val="true"/>
          <w:lang w:bidi="ar-SA"/>
        </w:rPr>
        <w:t xml:space="preserve">واقعا إيجاب الوضوء بغيره في الواقع ، فإذا تبيّن كونه مغصوبا ظهر كون المأتي به غير </w:t>
      </w:r>
      <w:r>
        <w:rPr>
          <w:rStyle w:val="FootnoteAnchor"/>
          <w:rtl w:val="true"/>
        </w:rPr>
        <w:footnoteReference w:id="82"/>
      </w:r>
      <w:r>
        <w:rPr>
          <w:rFonts w:ascii="Amiri" w:hAnsi="Amiri" w:eastAsia="Amiri" w:cs="Amiri"/>
          <w:color w:val="111111"/>
          <w:sz w:val="28"/>
          <w:sz w:val="28"/>
          <w:szCs w:val="28"/>
          <w:rtl w:val="true"/>
          <w:lang w:bidi="ar-SA"/>
        </w:rPr>
        <w:t xml:space="preserve">المأمور به ، فيكشف </w:t>
      </w:r>
    </w:p>
    <w:p>
      <w:pPr>
        <w:pStyle w:val="BookText"/>
        <w:rPr/>
      </w:pPr>
      <w:r>
        <w:rPr>
          <w:rFonts w:ascii="Amiri" w:hAnsi="Amiri" w:eastAsia="Amiri" w:cs="Amiri"/>
          <w:color w:val="111111"/>
          <w:sz w:val="28"/>
          <w:sz w:val="28"/>
          <w:szCs w:val="28"/>
          <w:rtl w:val="true"/>
          <w:lang w:bidi="ar-SA"/>
        </w:rPr>
        <w:t>عن عدم حصول البراءة كما هو الشأن في انكشاف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انكشاف المغصوبيّة وإن دلّ على منع التصرّف فيه واقعا وعدم موافقة الظاهر فيه للواقع ، أمّا بالنسبة إلى الوضوء فالظاهر الصحّة الواقعيّة ؛ إذ قضية الإطلاقات صحّة الوضوء بأيّ ماء كان خروج عنه ما كلّفنا بعدم التصرّف فيه في الظاهر ، سواء كان هناك منع واقعي أو لا ؛ لما عرفت من كون المانع منه التكليف بعدم التصرف المانع من إمكان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النجس ظاهر ؛ إذ ليس الفساد فيه من جهة الحرمة ، بل بسبب اشتراط الطهارة في الصحّة ، فالكشف عن انتفاء الشرط كاشف عن عدم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جهله لموضوع </w:t>
      </w:r>
      <w:r>
        <w:rPr>
          <w:rStyle w:val="FootnoteAnchor"/>
          <w:rtl w:val="true"/>
        </w:rPr>
        <w:footnoteReference w:id="83"/>
      </w:r>
      <w:r>
        <w:rPr>
          <w:rFonts w:ascii="Amiri" w:hAnsi="Amiri" w:eastAsia="Amiri" w:cs="Amiri"/>
          <w:color w:val="111111"/>
          <w:sz w:val="28"/>
          <w:sz w:val="28"/>
          <w:szCs w:val="28"/>
          <w:rtl w:val="true"/>
          <w:lang w:bidi="ar-SA"/>
        </w:rPr>
        <w:t>الغصب ناشئا عن الجهل بحكمه كما إذا توهّم سلطان الوالد على مال الولد جرى فيه حكم الجهل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كونه مغصوبا فالأقوى الصحة ؛ لارتفاع المنع وفاقا لجماعة من المحققين منهم الشهيدان والمحقّق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الفاضل فساد الوضوء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لتسبّب النسيان عن التسامح في أمر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بنى على استعمال المغصوب من غير تحرّز فاتّفق النسيان حال الفعل احتمل القول بالفساد إجراء عليه حكم العمد ؛ نظرا إلى إجراء حكم العمد عليه في العرف كما في إجراء حكم العبادة مع الاستدامة الحكميّة وإن غفل العامل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عليه كلام الفاضل ، ولو نسي الحكم فهو بمنزلة الجاهل به ، فيجري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فيه البناء على الفساد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حمله على ما قلناه بمنزلة إذن المالك شهادة الحال برضاه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ويعتبر حصول العلم العادي برضاء المالك ، فلا عبرة بمجرّد الظن إلّا أن يكون من أحد الظنون المعتبرة ، والظاهر جواز الوضوء بالمياه الجارية والقنوات الطاهرة والعيون الواقفة والأراضي المتّسعة لا لما توهّم من شهادة الحال من المالك بالإذن ؛ لعدم حصول القطع به أولا ؛ وباحتمال كونه للصغير أو المجنون أو كونه وقفا على الجهة المخصوصة والمنافية لذلك ثانيا ؛ بل من جهة إذن الشارع الذي هو مالك الأصل لقيام السيرة القاطعة بين المسلمين من قديم الدهر إلى الآن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الأصل فيه المنع فيجب فيه إذن الشرع يبنى على المنع كما إذا صرّح المالك بالمنع أو كان التصرّف فيه بحيث يوجب إضرار المالك أو كان المتصرّف غاصبا لذلك الماء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عدوّا فالأظهر عدم المنع إلّا مع العلم بالكراهة ، وفي إلحاق الشي‌ء بالعين إشكال ، وقضية الأصل فيه المنع</w:t>
      </w:r>
      <w:r>
        <w:rPr>
          <w:rFonts w:eastAsia="Amiri" w:cs="Amiri" w:ascii="Amiri" w:hAnsi="Amiri"/>
          <w:color w:val="111111"/>
          <w:sz w:val="28"/>
          <w:szCs w:val="28"/>
          <w:rtl w:val="true"/>
          <w:lang w:bidi="ar-SA"/>
        </w:rPr>
        <w:t xml:space="preserve">. </w:t>
      </w:r>
      <w:bookmarkStart w:id="32" w:name="pg15839_360610"/>
    </w:p>
    <w:p>
      <w:pPr>
        <w:pStyle w:val="Heading3"/>
        <w:numPr>
          <w:ilvl w:val="2"/>
          <w:numId w:val="1"/>
        </w:numPr>
        <w:rPr/>
      </w:pPr>
      <w:bookmarkStart w:id="33" w:name="__RefHeading___Toc14338319_2142443653"/>
      <w:bookmarkStart w:id="34" w:name="_Toc12"/>
      <w:bookmarkEnd w:id="32"/>
      <w:bookmarkEnd w:id="33"/>
      <w:r>
        <w:rPr>
          <w:rtl w:val="true"/>
        </w:rPr>
        <w:t>تبصرة</w:t>
      </w:r>
      <w:r>
        <w:rPr>
          <w:rtl w:val="true"/>
        </w:rPr>
        <w:t xml:space="preserve">: [ </w:t>
      </w:r>
      <w:r>
        <w:rPr>
          <w:rtl w:val="true"/>
        </w:rPr>
        <w:t xml:space="preserve">في اشتراط إباحة المكان </w:t>
      </w:r>
      <w:r>
        <w:rPr>
          <w:rtl w:val="true"/>
        </w:rPr>
        <w:t>]</w:t>
      </w:r>
      <w:bookmarkEnd w:id="34"/>
    </w:p>
    <w:p>
      <w:pPr>
        <w:pStyle w:val="BookText"/>
        <w:rPr/>
      </w:pPr>
      <w:r>
        <w:rPr>
          <w:rFonts w:ascii="Amiri" w:hAnsi="Amiri" w:eastAsia="Amiri" w:cs="Amiri"/>
          <w:color w:val="111111"/>
          <w:sz w:val="28"/>
          <w:sz w:val="28"/>
          <w:szCs w:val="28"/>
          <w:rtl w:val="true"/>
          <w:lang w:bidi="ar-SA"/>
        </w:rPr>
        <w:t>من شرائطه اباحة المكان بمعنى الفضاء الّذي يقع فيه الغسلات والمسحات ؛ إذ مع عدم جواز التصرّف فيه لا يصحّ التقرّب بشي‌ء من الأعمال الواقعة فيه على نحو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مبنيّ على ما هو التحقيق من عدم جواز اجتماع الأمر والنهي كما أطبق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القول الآخر صحّة الوضوء لكن مع عدم انحصار المكان الذي يتمكّن فيه من الوضوء في المغصوب ، وإلّا لم يصحّ أيضا لانتقال الحكم معه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ما ذهب إليه المحقّق من قطعه بعدم اشتراط اباحته </w:t>
      </w:r>
      <w:r>
        <w:rPr>
          <w:rStyle w:val="FootnoteAnchor"/>
          <w:rtl w:val="true"/>
        </w:rPr>
        <w:footnoteReference w:id="84"/>
      </w:r>
      <w:r>
        <w:rPr>
          <w:rFonts w:ascii="Amiri" w:hAnsi="Amiri" w:eastAsia="Amiri" w:cs="Amiri"/>
          <w:color w:val="111111"/>
          <w:sz w:val="28"/>
          <w:sz w:val="28"/>
          <w:szCs w:val="28"/>
          <w:rtl w:val="true"/>
          <w:lang w:bidi="ar-SA"/>
        </w:rPr>
        <w:t>مع قطعه بعدم جواز اجتماعهما ، ويجري في صورة الجهل بالحكم والموضوع أو نسيانهما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الأراضي المتّسعة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إباحة الموقف وغيره ممّا لا يقع فيه أفعال الوضوء فالظاهر عدم اعتبارها إن لم يستلزم أفعال الوضوء تصرّفا فيه ، وإلّا فيقوى فيه الفساد كما إذا كان في يده خاتم مغصوب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مصبّ الماء ، فإنّ سبب الوضوء سقوط الغسالة عنه كان بحكم غصب المكان إلّا أن يكون بانيا حال الفعل على منعه عن الإعذار إليه ، فعدل عنه بعد حصول الغسل ؛ لانتفاء العصيان حين الفعل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الآنية ففي أقسام إباحتها وجوه ثالثها التفصيل بين الانحصار فيه وعدمه ؛ إذ في </w:t>
      </w:r>
    </w:p>
    <w:p>
      <w:pPr>
        <w:pStyle w:val="BookText"/>
        <w:rPr/>
      </w:pPr>
      <w:r>
        <w:rPr>
          <w:rFonts w:ascii="Amiri" w:hAnsi="Amiri" w:eastAsia="Amiri" w:cs="Amiri"/>
          <w:color w:val="111111"/>
          <w:sz w:val="28"/>
          <w:sz w:val="28"/>
          <w:szCs w:val="28"/>
          <w:rtl w:val="true"/>
          <w:lang w:bidi="ar-SA"/>
        </w:rPr>
        <w:t xml:space="preserve">الأوّل يتعيّن عليه التيمّم ؛ لعدم جواز التصرف معه </w:t>
      </w:r>
      <w:r>
        <w:rPr>
          <w:rStyle w:val="FootnoteAnchor"/>
          <w:rtl w:val="true"/>
        </w:rPr>
        <w:footnoteReference w:id="85"/>
      </w:r>
      <w:r>
        <w:rPr>
          <w:rFonts w:ascii="Amiri" w:hAnsi="Amiri" w:eastAsia="Amiri" w:cs="Amiri"/>
          <w:color w:val="111111"/>
          <w:sz w:val="28"/>
          <w:sz w:val="28"/>
          <w:szCs w:val="28"/>
          <w:rtl w:val="true"/>
          <w:lang w:bidi="ar-SA"/>
        </w:rPr>
        <w:t xml:space="preserve">بالوضوء بخلاف الثاني ، فليس الحرام إلّا في مقدمته ، وهو لا يمنع من التقرّب بأصل الفعل </w:t>
      </w:r>
      <w:r>
        <w:rPr>
          <w:rStyle w:val="FootnoteAnchor"/>
          <w:rtl w:val="true"/>
        </w:rPr>
        <w:footnoteReference w:id="86"/>
      </w:r>
      <w:r>
        <w:rPr>
          <w:rFonts w:ascii="Amiri" w:hAnsi="Amiri" w:eastAsia="Amiri" w:cs="Amiri"/>
          <w:color w:val="111111"/>
          <w:sz w:val="28"/>
          <w:sz w:val="28"/>
          <w:szCs w:val="28"/>
          <w:rtl w:val="true"/>
          <w:lang w:bidi="ar-SA"/>
        </w:rPr>
        <w:t>إذا جمع مع ركوب الدابّة المغصوبة في الذهاب إلى المشاعر من غير مدخليّة للعقب في نفس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متّجه مع عدم البناء من أوّل الأمر على أخذ الماء من المغصوب في أفعاله ، ومعه فقد يتأمّل في الصحّة من جهة عدم صحّة التقرب بما يتوقّف على المحرم حيث إنّ ما نواه خصوص ما بنى على إتيانه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مناط الحكم بالفساد في المسائل المذكورة هو لزوم اجتماع الأمر والنهي ، فلا فرق بين النهي المسبّب عن الغصب أو غيره من جهات المنع كالنذر ونحوه ، ومنه الوضوء من آنية الذهب والفضّة ، والوجه فيه ما ذكرناه</w:t>
      </w:r>
      <w:r>
        <w:rPr>
          <w:rFonts w:eastAsia="Amiri" w:cs="Amiri" w:ascii="Amiri" w:hAnsi="Amiri"/>
          <w:color w:val="111111"/>
          <w:sz w:val="28"/>
          <w:szCs w:val="28"/>
          <w:rtl w:val="true"/>
          <w:lang w:bidi="ar-SA"/>
        </w:rPr>
        <w:t xml:space="preserve">. </w:t>
      </w:r>
      <w:bookmarkStart w:id="35" w:name="pg15839_360612"/>
    </w:p>
    <w:p>
      <w:pPr>
        <w:pStyle w:val="Heading3"/>
        <w:numPr>
          <w:ilvl w:val="2"/>
          <w:numId w:val="1"/>
        </w:numPr>
        <w:rPr/>
      </w:pPr>
      <w:bookmarkStart w:id="36" w:name="__RefHeading___Toc14338321_2142443653"/>
      <w:bookmarkStart w:id="37" w:name="_Toc13"/>
      <w:bookmarkEnd w:id="35"/>
      <w:bookmarkEnd w:id="36"/>
      <w:r>
        <w:rPr>
          <w:rtl w:val="true"/>
        </w:rPr>
        <w:t>تبصرة</w:t>
      </w:r>
      <w:r>
        <w:rPr>
          <w:rtl w:val="true"/>
        </w:rPr>
        <w:t xml:space="preserve">: [ </w:t>
      </w:r>
      <w:r>
        <w:rPr>
          <w:rtl w:val="true"/>
        </w:rPr>
        <w:t xml:space="preserve">في طهارة أعضاء الوضوء </w:t>
      </w:r>
      <w:r>
        <w:rPr>
          <w:rtl w:val="true"/>
        </w:rPr>
        <w:t>]</w:t>
      </w:r>
      <w:bookmarkEnd w:id="37"/>
    </w:p>
    <w:p>
      <w:pPr>
        <w:pStyle w:val="BookText"/>
        <w:rPr/>
      </w:pPr>
      <w:r>
        <w:rPr>
          <w:rFonts w:ascii="Amiri" w:hAnsi="Amiri" w:eastAsia="Amiri" w:cs="Amiri"/>
          <w:color w:val="111111"/>
          <w:sz w:val="28"/>
          <w:sz w:val="28"/>
          <w:szCs w:val="28"/>
          <w:rtl w:val="true"/>
          <w:lang w:bidi="ar-SA"/>
        </w:rPr>
        <w:t>ومن الشرائط طهارة أعضاء الوضوء قبل إجراء الماء ، فلا يكتفي بغسل واحد للأمرين على المشهور بين الأصحاب كما حكاه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المبسوط </w:t>
      </w:r>
      <w:r>
        <w:rPr>
          <w:rStyle w:val="FootnoteAnchor"/>
          <w:rtl w:val="true"/>
        </w:rPr>
        <w:footnoteReference w:id="87"/>
      </w:r>
      <w:r>
        <w:rPr>
          <w:rFonts w:ascii="Amiri" w:hAnsi="Amiri" w:eastAsia="Amiri" w:cs="Amiri"/>
          <w:color w:val="111111"/>
          <w:sz w:val="28"/>
          <w:sz w:val="28"/>
          <w:szCs w:val="28"/>
          <w:rtl w:val="true"/>
          <w:lang w:bidi="ar-SA"/>
        </w:rPr>
        <w:t>إلى عدم اشتراط طهارة المحلّ في الغسل ، بل ولا زواله به ، فاكتفى بغسل واحد لهما لو زالت النجاسة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بصحّة الغسل ونجاسة المحلّ مع عدم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حكمه بجواز الوضوء بالأول ؛ لورود ما قد يستفاد منه الاشتراط هناك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الاشتراط بأنّه يجب الغسل لكلّ من الحدث والخبث ، فلا يتداخلان ، وأنّه يشترط في ارتفاع الحدث طهارة الماء مع نجاسة المحلّ ينجس الماء ، فلا يصلح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الأوّل واضح ، وليس إزالة النجاسة ممّا يقصد تعبد فيها بل يسقط التكليف بها بأيّ وجه </w:t>
      </w:r>
      <w:r>
        <w:rPr>
          <w:rStyle w:val="FootnoteAnchor"/>
          <w:rtl w:val="true"/>
        </w:rPr>
        <w:footnoteReference w:id="88"/>
      </w:r>
      <w:r>
        <w:rPr>
          <w:rFonts w:ascii="Amiri" w:hAnsi="Amiri" w:eastAsia="Amiri" w:cs="Amiri"/>
          <w:color w:val="111111"/>
          <w:sz w:val="28"/>
          <w:sz w:val="28"/>
          <w:szCs w:val="28"/>
          <w:rtl w:val="true"/>
          <w:lang w:bidi="ar-SA"/>
        </w:rPr>
        <w:t>حصلت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لا يدلّ على اشتراط الترتيب بوجه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الثاني بأنّ غاية ما يسلّم من اشتراط طهارة </w:t>
      </w:r>
      <w:r>
        <w:rPr>
          <w:rStyle w:val="FootnoteAnchor"/>
          <w:rtl w:val="true"/>
        </w:rPr>
        <w:footnoteReference w:id="89"/>
      </w:r>
      <w:r>
        <w:rPr>
          <w:rFonts w:ascii="Amiri" w:hAnsi="Amiri" w:eastAsia="Amiri" w:cs="Amiri"/>
          <w:color w:val="111111"/>
          <w:sz w:val="28"/>
          <w:sz w:val="28"/>
          <w:szCs w:val="28"/>
          <w:rtl w:val="true"/>
          <w:lang w:bidi="ar-SA"/>
        </w:rPr>
        <w:t>الماء هو طهارته قبل الاستعمال كما هو الحال في رفع الأخباث ، فلا مانع من النجاسة الحاصلة بالاستعمال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قضية ذلك عدم الاكتفاء بإجراء ذلك الماء فيما بعد ذلك المحلّ ؛ لتنجّسه قبل الوصول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محلّ النجاسة فلا دليل على عدم الاكتفاء به ، ولو لم يزل به تلك النجاسة إذا لم تكن مانعة من وصول الماء إلى ما تحتها ، فلو رمس العضو في غير المنفعل لم يدلّ ذلك على فساد غسله بوجه ، وإن بقي في المحلّ شي‌ء من عين النجاسة بل الحكم بالصحّة هنا أولى ؛ نظرا إلى عدم انفعال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بقاء عين النجاسة فلا ينبغي التأمل في الفساد ؛ لخروجه عن ظواهر الإطلاقات ، ولا أقلّ من الشكّ في شمولها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توقّف الشغل اليقيني على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زواله به ففيه إشكال ؛ لما عرفت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التأمل في اندراج ذلك فيها </w:t>
      </w:r>
      <w:r>
        <w:rPr>
          <w:rStyle w:val="FootnoteAnchor"/>
          <w:rtl w:val="true"/>
        </w:rPr>
        <w:footnoteReference w:id="90"/>
      </w:r>
      <w:r>
        <w:rPr>
          <w:rFonts w:ascii="Amiri" w:hAnsi="Amiri" w:eastAsia="Amiri" w:cs="Amiri"/>
          <w:color w:val="111111"/>
          <w:sz w:val="28"/>
          <w:sz w:val="28"/>
          <w:szCs w:val="28"/>
          <w:rtl w:val="true"/>
          <w:lang w:bidi="ar-SA"/>
        </w:rPr>
        <w:t>عن قضية الوضوءات البيانيّة ؛ إذ المفروض فيها طهارة المحلّ هذا ، 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محلّ الكلام هو اعتبار طهارة المحل قبل إجراء الماء عليه لا قبل الشروع في الوضوء أو في غسل العضو ، فلا يمنع نجاسة المحلّ المتأخّر عن صحّة غسل المقدم عليه ، فالواجب إذن تطهير المحلّ النجس قبل الشروع في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مانع من نجاسة العضو بعد غسله وإن كان قبل إتمام الوضوء أو إكمال ذلك العضو</w:t>
      </w:r>
      <w:r>
        <w:rPr>
          <w:rFonts w:eastAsia="Amiri" w:cs="Amiri" w:ascii="Amiri" w:hAnsi="Amiri"/>
          <w:color w:val="111111"/>
          <w:sz w:val="28"/>
          <w:szCs w:val="28"/>
          <w:rtl w:val="true"/>
          <w:lang w:bidi="ar-SA"/>
        </w:rPr>
        <w:t xml:space="preserve">. </w:t>
      </w:r>
      <w:bookmarkStart w:id="38" w:name="pg15839_360614"/>
    </w:p>
    <w:p>
      <w:pPr>
        <w:pStyle w:val="Heading3"/>
        <w:numPr>
          <w:ilvl w:val="2"/>
          <w:numId w:val="1"/>
        </w:numPr>
        <w:rPr/>
      </w:pPr>
      <w:bookmarkStart w:id="39" w:name="__RefHeading___Toc14338323_2142443653"/>
      <w:bookmarkStart w:id="40" w:name="_Toc14"/>
      <w:bookmarkEnd w:id="38"/>
      <w:bookmarkEnd w:id="39"/>
      <w:r>
        <w:rPr>
          <w:rtl w:val="true"/>
        </w:rPr>
        <w:t>تبصرة</w:t>
      </w:r>
      <w:r>
        <w:rPr>
          <w:rtl w:val="true"/>
        </w:rPr>
        <w:t xml:space="preserve">: [ </w:t>
      </w:r>
      <w:r>
        <w:rPr>
          <w:rtl w:val="true"/>
        </w:rPr>
        <w:t xml:space="preserve">في اشتراط الإسلام والإيمان </w:t>
      </w:r>
      <w:r>
        <w:rPr>
          <w:rtl w:val="true"/>
        </w:rPr>
        <w:t>]</w:t>
      </w:r>
      <w:bookmarkEnd w:id="40"/>
    </w:p>
    <w:p>
      <w:pPr>
        <w:pStyle w:val="BookText"/>
        <w:rPr/>
      </w:pPr>
      <w:r>
        <w:rPr>
          <w:rFonts w:ascii="Amiri" w:hAnsi="Amiri" w:eastAsia="Amiri" w:cs="Amiri"/>
          <w:color w:val="111111"/>
          <w:sz w:val="28"/>
          <w:sz w:val="28"/>
          <w:szCs w:val="28"/>
          <w:rtl w:val="true"/>
          <w:lang w:bidi="ar-SA"/>
        </w:rPr>
        <w:t>ومن شرائط الوضوء كغيره من العبادات الإسلام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الأوّل واضح ؛ ويدلّ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وظواهر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استبصر فهل يجب عليه إعادة وضوئه لو كان متطهّرا حال ضلالته؟ وجهان مبنيّان على انّه هل يحكم بصحّة عباداته الواقعة حال الضلالة عدا ما استثني بناء على كشف الإستبصار عنها أو أنّه حكم من الشرع بسقوط قضائها ، ونفصّل فيه في ترتّب الثواب عليها مع فسادها أقواهما الأخير ؛ إذ ليس المستفاد من الأخبار سوى ترتّب الثواب على أعماله المتقدّمة وهو أعمّ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وأكثر أعمالهم فاسدة من جهات أخر مع قطع النظر عن فوات شرط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يتعيّن وجوب الإعادة في المقام ، مضافا إلى أنّ غاية الأمر مع القول بالكشف هو </w:t>
      </w:r>
      <w:r>
        <w:rPr>
          <w:rStyle w:val="FootnoteAnchor"/>
          <w:rtl w:val="true"/>
        </w:rPr>
        <w:footnoteReference w:id="91"/>
      </w:r>
      <w:r>
        <w:rPr>
          <w:rFonts w:ascii="Amiri" w:hAnsi="Amiri" w:eastAsia="Amiri" w:cs="Amiri"/>
          <w:color w:val="111111"/>
          <w:sz w:val="28"/>
          <w:sz w:val="28"/>
          <w:szCs w:val="28"/>
          <w:rtl w:val="true"/>
          <w:lang w:bidi="ar-SA"/>
        </w:rPr>
        <w:t>الاجتزاء بالنسبة إلى الأفعال الماضية ، وأمّا بالنسبة إلى غيرها فلا إلّا أن يقال بارتفاع حدثه بذلك ، فلا موجب لعوده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واستفادة ذلك من الأخبار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الوجهان فيما لو استبصر في أثناء الوضوء بالنسبة إلى ما أتى به من الأفعال ، والبناء على الفساد هنا أظهر بما مرّ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البناء على الصحّة عدم ذكر إعادة غسل الجنابة في شي‌ء من الأخبار ، مع أنّه </w:t>
      </w:r>
    </w:p>
    <w:p>
      <w:pPr>
        <w:pStyle w:val="BookText"/>
        <w:rPr/>
      </w:pPr>
      <w:r>
        <w:rPr>
          <w:rFonts w:ascii="Amiri" w:hAnsi="Amiri" w:eastAsia="Amiri" w:cs="Amiri"/>
          <w:color w:val="111111"/>
          <w:sz w:val="28"/>
          <w:sz w:val="28"/>
          <w:szCs w:val="28"/>
          <w:rtl w:val="true"/>
          <w:lang w:bidi="ar-SA"/>
        </w:rPr>
        <w:t xml:space="preserve">قلّ ما يخلو أحد منها ، فلو لا الاكتفاء </w:t>
      </w:r>
      <w:r>
        <w:rPr>
          <w:rStyle w:val="FootnoteAnchor"/>
          <w:rtl w:val="true"/>
        </w:rPr>
        <w:footnoteReference w:id="92"/>
      </w:r>
      <w:r>
        <w:rPr>
          <w:rFonts w:ascii="Amiri" w:hAnsi="Amiri" w:eastAsia="Amiri" w:cs="Amiri"/>
          <w:color w:val="111111"/>
          <w:sz w:val="28"/>
          <w:sz w:val="28"/>
          <w:szCs w:val="28"/>
          <w:rtl w:val="true"/>
          <w:lang w:bidi="ar-SA"/>
        </w:rPr>
        <w:t>في فعله لوجب الإشارة إلى لزوم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ويوهنه عدم ورود ذلك في الكافر أيضا ، فكأنّ ترك ذكره مبني على ما هو المعلوم من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الشرائط في الوضوء على حذو غيره المعرفة بأفعاله وشروطه على وجه يمكن له أداء المشروع ؛ إذ لا يمكن قصده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تعيين أفعاله بالخصوص؟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وجوب معرفة الواجب منها من المندوب فلا ، ولو كان هناك من يعلّمه الأفعال شيئا بعد شي‌ء فالأظهر الاكتفاء به إذا قصد الوضوء الشرعي إجمالا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معرفة فروعاته والأحكام الطارئة من مسائل الشكوك وغيره فالظاهر عدم توقّف الصحّة عليها وإنّما يجب استعلامها بعد </w:t>
      </w:r>
      <w:r>
        <w:rPr>
          <w:rStyle w:val="FootnoteAnchor"/>
          <w:rtl w:val="true"/>
        </w:rPr>
        <w:footnoteReference w:id="93"/>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إذن في صحّة الفعل؟ وجهان أقواهما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يعدّ أيضا من شرائطه كغيره عدم مزاحمته لواجب مضيّق مقدم عليه ، وهو مبنيّ على اقتضاء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ويفرع الغسل على ذلك النهي ، والوجه خلافه كما حرّر مستقصى في مقامه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هناك واجب لوجب المنع عن استعمال الماء كوجوب دفعه إلى المضطر أو حفظه من جهة الخوف من التلف فسد الوضوء لتعيّن التيمّم حينئذ ، وكذا لو منع شرعا من استعمال الماء لسائر الجهات كالمرض والخوف ونحوهما</w:t>
      </w:r>
      <w:r>
        <w:rPr>
          <w:rFonts w:eastAsia="Amiri" w:cs="Amiri" w:ascii="Amiri" w:hAnsi="Amiri"/>
          <w:color w:val="111111"/>
          <w:sz w:val="28"/>
          <w:szCs w:val="28"/>
          <w:rtl w:val="true"/>
          <w:lang w:bidi="ar-SA"/>
        </w:rPr>
        <w:t xml:space="preserve">. </w:t>
      </w:r>
      <w:bookmarkStart w:id="41" w:name="pg15839_360616"/>
    </w:p>
    <w:p>
      <w:pPr>
        <w:pStyle w:val="Heading2"/>
        <w:numPr>
          <w:ilvl w:val="1"/>
          <w:numId w:val="1"/>
        </w:numPr>
        <w:rPr/>
      </w:pPr>
      <w:bookmarkStart w:id="42" w:name="__RefHeading___Toc14338325_2142443653"/>
      <w:bookmarkStart w:id="43" w:name="_Toc15"/>
      <w:bookmarkEnd w:id="41"/>
      <w:bookmarkEnd w:id="42"/>
      <w:r>
        <w:rPr>
          <w:rtl w:val="true"/>
        </w:rPr>
        <w:t>البحث الرابع</w:t>
      </w:r>
      <w:r>
        <w:rPr>
          <w:rtl w:val="true"/>
        </w:rPr>
        <w:t xml:space="preserve">: </w:t>
      </w:r>
      <w:r>
        <w:rPr>
          <w:rtl w:val="true"/>
        </w:rPr>
        <w:t>في مندوبات الوضوء ومكروهاته</w:t>
      </w:r>
      <w:bookmarkEnd w:id="43"/>
    </w:p>
    <w:p>
      <w:pPr>
        <w:pStyle w:val="Heading3"/>
        <w:numPr>
          <w:ilvl w:val="2"/>
          <w:numId w:val="1"/>
        </w:numPr>
        <w:rPr/>
      </w:pPr>
      <w:bookmarkStart w:id="44" w:name="__RefHeading___Toc14338327_2142443653"/>
      <w:bookmarkStart w:id="45" w:name="_Toc16"/>
      <w:bookmarkEnd w:id="44"/>
      <w:r>
        <w:rPr>
          <w:rtl w:val="true"/>
        </w:rPr>
        <w:t>تبصرة</w:t>
      </w:r>
      <w:r>
        <w:rPr>
          <w:rtl w:val="true"/>
        </w:rPr>
        <w:t xml:space="preserve">: [ </w:t>
      </w:r>
      <w:r>
        <w:rPr>
          <w:rtl w:val="true"/>
        </w:rPr>
        <w:t xml:space="preserve">في بعض مندوباته </w:t>
      </w:r>
      <w:r>
        <w:rPr>
          <w:rtl w:val="true"/>
        </w:rPr>
        <w:t>]</w:t>
      </w:r>
      <w:bookmarkEnd w:id="45"/>
    </w:p>
    <w:p>
      <w:pPr>
        <w:pStyle w:val="BookText"/>
        <w:rPr/>
      </w:pPr>
      <w:r>
        <w:rPr>
          <w:rFonts w:ascii="Amiri" w:hAnsi="Amiri" w:eastAsia="Amiri" w:cs="Amiri"/>
          <w:color w:val="111111"/>
          <w:sz w:val="28"/>
          <w:sz w:val="28"/>
          <w:szCs w:val="28"/>
          <w:rtl w:val="true"/>
          <w:lang w:bidi="ar-SA"/>
        </w:rPr>
        <w:t xml:space="preserve">يستحب في الوضوء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عن اليمين على ما نصّ عليه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في الحدائق </w:t>
      </w:r>
      <w:r>
        <w:rPr>
          <w:rStyle w:val="FootnoteAnchor"/>
          <w:rtl w:val="true"/>
        </w:rPr>
        <w:footnoteReference w:id="94"/>
      </w:r>
      <w:r>
        <w:rPr>
          <w:rFonts w:ascii="Amiri" w:hAnsi="Amiri" w:eastAsia="Amiri" w:cs="Amiri"/>
          <w:color w:val="111111"/>
          <w:sz w:val="28"/>
          <w:sz w:val="28"/>
          <w:szCs w:val="28"/>
          <w:rtl w:val="true"/>
          <w:lang w:bidi="ar-SA"/>
        </w:rPr>
        <w:t>إلى الأصحاب ، وعزي إلى جماعة منهم تقييده بما إذا كانت الآنية واسعة الرأس ، ولو كانت ضيقة ووضعه على اليمين ليكون أمكن في صبّه في اليمين ، ولم نقف في شي‌ء من الأخبار على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الأوّل في نهاية الإحكام </w:t>
      </w:r>
      <w:r>
        <w:rPr>
          <w:rStyle w:val="FootnoteAnchor"/>
          <w:rtl w:val="true"/>
        </w:rPr>
        <w:footnoteReference w:id="95"/>
      </w:r>
      <w:r>
        <w:rPr>
          <w:rFonts w:ascii="Amiri" w:hAnsi="Amiri" w:eastAsia="Amiri" w:cs="Amiri"/>
          <w:color w:val="111111"/>
          <w:sz w:val="28"/>
          <w:sz w:val="28"/>
          <w:szCs w:val="28"/>
          <w:rtl w:val="true"/>
          <w:lang w:bidi="ar-SA"/>
        </w:rPr>
        <w:t>بأنّ النبيّ صلى‌اللّه‌عليه‌وآله يجب التيامن في تنقّله وترجّله وطهوره وشأنه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ذلك كلّه لا يخلو عن خفاء ؛ إذ غاية ما يدلّ عليه رجحان البدأة باليمين لا الوضع في جانبه ، وربّما يحتجّ عليه بالأمكنيّة </w:t>
      </w:r>
      <w:r>
        <w:rPr>
          <w:rStyle w:val="FootnoteAnchor"/>
          <w:rtl w:val="true"/>
        </w:rPr>
        <w:footnoteReference w:id="96"/>
      </w:r>
      <w:r>
        <w:rPr>
          <w:rFonts w:ascii="Amiri" w:hAnsi="Amiri" w:eastAsia="Amiri" w:cs="Amiri"/>
          <w:color w:val="111111"/>
          <w:sz w:val="28"/>
          <w:sz w:val="28"/>
          <w:szCs w:val="28"/>
          <w:rtl w:val="true"/>
          <w:lang w:bidi="ar-SA"/>
        </w:rPr>
        <w:t>من الاستعمال كما احتجّوا به في الصورة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لا يصلح شاهد لإثبات الحكم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فمع البناء على التسامح في أدلّة السنن يكتفى فيه بذكر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بعض الصحاح </w:t>
      </w:r>
      <w:r>
        <w:rPr>
          <w:rStyle w:val="FootnoteAnchor"/>
          <w:rtl w:val="true"/>
        </w:rPr>
        <w:footnoteReference w:id="97"/>
      </w:r>
      <w:r>
        <w:rPr>
          <w:rFonts w:ascii="Amiri" w:hAnsi="Amiri" w:eastAsia="Amiri" w:cs="Amiri"/>
          <w:color w:val="111111"/>
          <w:sz w:val="28"/>
          <w:sz w:val="28"/>
          <w:szCs w:val="28"/>
          <w:rtl w:val="true"/>
          <w:lang w:bidi="ar-SA"/>
        </w:rPr>
        <w:t>وضع الإناء بين يدي الامام عليه‌السلام ، فقد يتوهّم منه المنافاة لذلك إلّا أنّ الأظهر عدمه ؛ لصدقه مع وضعه ممّا يحاذي يمينه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مقصودهم من وضعها على اليمين ما يعمّ ذلك ، ولو كان الماء في غير الآنية كالحوض ففي استحباب الجلوس بحيث يقع شي‌ء من الماء في جهة يمينه </w:t>
      </w:r>
      <w:r>
        <w:rPr>
          <w:rStyle w:val="FootnoteAnchor"/>
          <w:rtl w:val="true"/>
        </w:rPr>
        <w:footnoteReference w:id="98"/>
      </w:r>
      <w:r>
        <w:rPr>
          <w:rFonts w:ascii="Amiri" w:hAnsi="Amiri" w:eastAsia="Amiri" w:cs="Amiri"/>
          <w:color w:val="111111"/>
          <w:sz w:val="28"/>
          <w:sz w:val="28"/>
          <w:szCs w:val="28"/>
          <w:rtl w:val="true"/>
          <w:lang w:bidi="ar-SA"/>
        </w:rPr>
        <w:t>وجهان ، وقضيّة التعليل المذكور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البدأة في الوضوء ؛ لما دلّ بعمومه على استحبابه عند الشروع في كلّ فعل ، وللمستفيضة الواردة في الوضوء ، ففي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أحدكم ولم يسمّ كان للشيطان فيه شرك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الوارد في غير واحد من الأخبار استحبابه عند وضع اليد في الماء ، وفي بعضها قبل مس الماء ، وفي بعضها بعد غسل اليد قبل الاستنجاء ،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وذكر اسم اللّه طهر جميع جسده ، ومن لم يسمّ لم يطهر إلّا ما أصابه الماء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سمّيت في الوضوء طهر جسدك كلّه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استحبابه قبل الشروع </w:t>
      </w:r>
      <w:r>
        <w:rPr>
          <w:rStyle w:val="FootnoteAnchor"/>
          <w:rtl w:val="true"/>
        </w:rPr>
        <w:footnoteReference w:id="102"/>
      </w:r>
      <w:r>
        <w:rPr>
          <w:rFonts w:ascii="Amiri" w:hAnsi="Amiri" w:eastAsia="Amiri" w:cs="Amiri"/>
          <w:color w:val="111111"/>
          <w:sz w:val="28"/>
          <w:sz w:val="28"/>
          <w:szCs w:val="28"/>
          <w:rtl w:val="true"/>
          <w:lang w:bidi="ar-SA"/>
        </w:rPr>
        <w:t>في أفعاله الواجبة ، فيجوز إيقاعه عند كلّ من المذكورات ، وإطلاق الخبرين الأخيرين ربّما يعطي استحبابه في الأثناء أيضا إلّا أنّ قضية غيره اختصاصه بغيره ، فليحمل على المقيّد أو يقال بحصول جهتين للاستحباب ، فإن بدأ بها كفى منها ، وإلّا بقي استحبابه في الأثناء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يتقوّى القول باستحبابها في الأثناء مع تعمّد تركها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وجعله في النهاية احتمالا مع قطعه بالاستحباب مع النسيان كما في الأكل ، فإن كان المستند فيه الإطلاق المذكور عمّ الحكم وإلّا ففي ثبوته مع النسيان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قدّمها على الاستنجاء فالظاهر الاكتفاء بها للوضوء كما هو ظاهر رواية عبد الرحمن إلّا أنّ الظاهر من الإطلاقات في الوضوء جواز الإتيان بها ثانيا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عدم الفصل بين الفعلين كما هو قضيّة الرواية المذكورة وإلّا فلا شبهة في استحبابه ثانيا أيضا</w:t>
      </w:r>
      <w:r>
        <w:rPr>
          <w:rFonts w:eastAsia="Amiri" w:cs="Amiri" w:ascii="Amiri" w:hAnsi="Amiri"/>
          <w:color w:val="111111"/>
          <w:sz w:val="28"/>
          <w:szCs w:val="28"/>
          <w:rtl w:val="true"/>
          <w:lang w:bidi="ar-SA"/>
        </w:rPr>
        <w:t xml:space="preserve">. </w:t>
      </w:r>
      <w:bookmarkStart w:id="46" w:name="pg15839_360619"/>
    </w:p>
    <w:p>
      <w:pPr>
        <w:pStyle w:val="Heading2"/>
        <w:numPr>
          <w:ilvl w:val="1"/>
          <w:numId w:val="1"/>
        </w:numPr>
        <w:rPr/>
      </w:pPr>
      <w:bookmarkStart w:id="47" w:name="__RefHeading___Toc14338329_2142443653"/>
      <w:bookmarkStart w:id="48" w:name="_Toc17"/>
      <w:bookmarkEnd w:id="46"/>
      <w:bookmarkEnd w:id="47"/>
      <w:r>
        <w:rPr>
          <w:rtl w:val="true"/>
        </w:rPr>
        <w:t>البحث الخامس</w:t>
      </w:r>
      <w:r>
        <w:rPr>
          <w:rtl w:val="true"/>
        </w:rPr>
        <w:t xml:space="preserve">: </w:t>
      </w:r>
      <w:r>
        <w:rPr>
          <w:rtl w:val="true"/>
        </w:rPr>
        <w:t>في الوضوء الاضطراري</w:t>
      </w:r>
      <w:bookmarkEnd w:id="48"/>
    </w:p>
    <w:p>
      <w:pPr>
        <w:pStyle w:val="Heading3"/>
        <w:numPr>
          <w:ilvl w:val="2"/>
          <w:numId w:val="1"/>
        </w:numPr>
        <w:rPr/>
      </w:pPr>
      <w:bookmarkStart w:id="49" w:name="__RefHeading___Toc14338331_2142443653"/>
      <w:bookmarkStart w:id="50" w:name="_Toc18"/>
      <w:bookmarkEnd w:id="49"/>
      <w:r>
        <w:rPr>
          <w:rtl w:val="true"/>
        </w:rPr>
        <w:t>تبصرة</w:t>
      </w:r>
      <w:r>
        <w:rPr>
          <w:rtl w:val="true"/>
        </w:rPr>
        <w:t xml:space="preserve">: [ </w:t>
      </w:r>
      <w:r>
        <w:rPr>
          <w:rtl w:val="true"/>
        </w:rPr>
        <w:t xml:space="preserve">في وضوء مقطوع اليد </w:t>
      </w:r>
      <w:r>
        <w:rPr>
          <w:rtl w:val="true"/>
        </w:rPr>
        <w:t>]</w:t>
      </w:r>
      <w:bookmarkEnd w:id="50"/>
    </w:p>
    <w:p>
      <w:pPr>
        <w:pStyle w:val="BookText"/>
        <w:rPr/>
      </w:pPr>
      <w:r>
        <w:rPr>
          <w:rFonts w:ascii="Amiri" w:hAnsi="Amiri" w:eastAsia="Amiri" w:cs="Amiri"/>
          <w:color w:val="111111"/>
          <w:sz w:val="28"/>
          <w:sz w:val="28"/>
          <w:szCs w:val="28"/>
          <w:rtl w:val="true"/>
          <w:lang w:bidi="ar-SA"/>
        </w:rPr>
        <w:t xml:space="preserve">من قطعت يده ممّا دون المرفق وجب عليه غسل الباقي بلا خلاف ؛ لعدم سقوط الميسور بالمعسور ، ولعدم سقوط </w:t>
      </w:r>
      <w:r>
        <w:rPr>
          <w:rStyle w:val="FootnoteAnchor"/>
          <w:rtl w:val="true"/>
        </w:rPr>
        <w:footnoteReference w:id="103"/>
      </w:r>
      <w:r>
        <w:rPr>
          <w:rFonts w:ascii="Amiri" w:hAnsi="Amiri" w:eastAsia="Amiri" w:cs="Amiri"/>
          <w:color w:val="111111"/>
          <w:sz w:val="28"/>
          <w:sz w:val="28"/>
          <w:szCs w:val="28"/>
          <w:rtl w:val="true"/>
          <w:lang w:bidi="ar-SA"/>
        </w:rPr>
        <w:t>الوضوء قطعا ولا يعلم البراءة إلّا مع غسل الباقي ، وللإجماع عليه كما هو معلوم من فتاواهم ، ومنقول في شرح التهذيب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باستصحاب وجوب غسله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بأنّ وجوب غسله أوّلا في ضمن الكلّ ، فمع سقوطه لا وجه لاستصحاب حكم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وجوب غسل الباقي ، ولعله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 استفادة الحكم من غير الإجماع ، فعلى أصله ينبغي تأمّله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قطعت من فوق المرفق سقط غسله إجماعا كما في النهاية </w:t>
      </w:r>
      <w:r>
        <w:rPr>
          <w:rStyle w:val="FootnoteAnchor"/>
          <w:rtl w:val="true"/>
        </w:rPr>
        <w:footnoteReference w:id="105"/>
      </w:r>
      <w:r>
        <w:rPr>
          <w:rFonts w:ascii="Amiri" w:hAnsi="Amiri" w:eastAsia="Amiri" w:cs="Amiri"/>
          <w:color w:val="111111"/>
          <w:sz w:val="28"/>
          <w:sz w:val="28"/>
          <w:szCs w:val="28"/>
          <w:rtl w:val="true"/>
          <w:lang w:bidi="ar-SA"/>
        </w:rPr>
        <w:t>وغيرها ؛ لفوات متعلّقه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جماعة منهم الفاضل في المنتهى </w:t>
      </w:r>
      <w:r>
        <w:rPr>
          <w:rStyle w:val="FootnoteAnchor"/>
          <w:rtl w:val="true"/>
        </w:rPr>
        <w:footnoteReference w:id="106"/>
      </w:r>
      <w:r>
        <w:rPr>
          <w:rStyle w:val="FootnoteAnchor"/>
          <w:rtl w:val="true"/>
        </w:rPr>
        <w:footnoteReference w:id="107"/>
      </w:r>
      <w:r>
        <w:rPr>
          <w:rFonts w:ascii="Amiri" w:hAnsi="Amiri" w:eastAsia="Amiri" w:cs="Amiri"/>
          <w:color w:val="111111"/>
          <w:sz w:val="28"/>
          <w:sz w:val="28"/>
          <w:szCs w:val="28"/>
          <w:rtl w:val="true"/>
          <w:lang w:bidi="ar-SA"/>
        </w:rPr>
        <w:t xml:space="preserve">والشهيد في الذكرى </w:t>
      </w:r>
      <w:r>
        <w:rPr>
          <w:rStyle w:val="FootnoteAnchor"/>
          <w:rtl w:val="true"/>
        </w:rPr>
        <w:footnoteReference w:id="108"/>
      </w:r>
      <w:r>
        <w:rPr>
          <w:rFonts w:ascii="Amiri" w:hAnsi="Amiri" w:eastAsia="Amiri" w:cs="Amiri"/>
          <w:color w:val="111111"/>
          <w:sz w:val="28"/>
          <w:sz w:val="28"/>
          <w:szCs w:val="28"/>
          <w:rtl w:val="true"/>
          <w:lang w:bidi="ar-SA"/>
        </w:rPr>
        <w:t xml:space="preserve">استحباب غسل الباقي من عضوه ؛ للصحيح الآتي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بإجمال الرواية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يؤيّد ذلك بعض </w:t>
      </w:r>
      <w:r>
        <w:rPr>
          <w:rStyle w:val="FootnoteAnchor"/>
          <w:rtl w:val="true"/>
        </w:rPr>
        <w:footnoteReference w:id="110"/>
      </w:r>
      <w:r>
        <w:rPr>
          <w:rFonts w:ascii="Amiri" w:hAnsi="Amiri" w:eastAsia="Amiri" w:cs="Amiri"/>
          <w:color w:val="111111"/>
          <w:sz w:val="28"/>
          <w:sz w:val="28"/>
          <w:szCs w:val="28"/>
          <w:rtl w:val="true"/>
          <w:lang w:bidi="ar-SA"/>
        </w:rPr>
        <w:t>الإطلاقات ، وهو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111"/>
      </w:r>
      <w:r>
        <w:rPr>
          <w:rFonts w:ascii="IRNazanin" w:hAnsi="IRNazanin" w:eastAsia="IRNazanin"/>
          <w:color w:val="111111"/>
          <w:sz w:val="28"/>
          <w:sz w:val="28"/>
          <w:szCs w:val="28"/>
          <w:rtl w:val="true"/>
          <w:lang w:bidi="fa-IR"/>
        </w:rPr>
        <w:t>استحباب مسحه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12"/>
      </w:r>
      <w:r>
        <w:rPr>
          <w:rFonts w:ascii="Amiri" w:hAnsi="Amiri" w:eastAsia="Amiri" w:cs="Amiri"/>
          <w:color w:val="111111"/>
          <w:sz w:val="28"/>
          <w:sz w:val="28"/>
          <w:szCs w:val="28"/>
          <w:rtl w:val="true"/>
          <w:lang w:bidi="ar-SA"/>
        </w:rPr>
        <w:t>أنّه يستحب مسح موضع القطع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مستندهما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قطعت من المرفق فلا ينتقل الحكم إلى العضد بلا خلاف فيه سوى ما حكي من الإسكافي من وجوب غسل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من عبارته ليس صريحا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في المختلف </w:t>
      </w:r>
      <w:r>
        <w:rPr>
          <w:rStyle w:val="FootnoteAnchor"/>
          <w:rtl w:val="true"/>
        </w:rPr>
        <w:footnoteReference w:id="113"/>
      </w:r>
      <w:r>
        <w:rPr>
          <w:rFonts w:ascii="IRNazanin" w:hAnsi="IRNazanin" w:eastAsia="IRNazanin"/>
          <w:color w:val="111111"/>
          <w:sz w:val="28"/>
          <w:sz w:val="28"/>
          <w:szCs w:val="28"/>
          <w:rtl w:val="true"/>
          <w:lang w:bidi="fa-IR"/>
        </w:rPr>
        <w:t>حمله على الندب ، واستصوبه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يحتجّ للوجوب ببعض الإطلاقات ، وهي مستفيضة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الندب مستند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أيضا من تأمّل ؛ لعدم تعيّن حملها عليه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يكتفى فيه بمجرّد الفتوى ، والخروج عن ظاهر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غسل محلّ القطع من المرفق؟ وجهان ، بل قولان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يبنى ذلك على أنّ وجوب غسل المرفق أصليّ أو تبعيّ من باب المقدّمة ، فعلى الأوّل يتعيّن الوجوب لبقاء محلّه بخلاف الثاني ؛ لسقوط وجوب المقدمة بعد فوات ذيها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وجوب غسل ذيها </w:t>
      </w:r>
      <w:r>
        <w:rPr>
          <w:rStyle w:val="FootnoteAnchor"/>
          <w:rtl w:val="true"/>
        </w:rPr>
        <w:footnoteReference w:id="114"/>
      </w:r>
      <w:r>
        <w:rPr>
          <w:rFonts w:ascii="Amiri" w:hAnsi="Amiri" w:eastAsia="Amiri" w:cs="Amiri"/>
          <w:color w:val="111111"/>
          <w:sz w:val="28"/>
          <w:sz w:val="28"/>
          <w:szCs w:val="28"/>
          <w:rtl w:val="true"/>
          <w:lang w:bidi="ar-SA"/>
        </w:rPr>
        <w:t xml:space="preserve">لظاهر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قطعت يده من المرفق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بقي من عضده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بحمله على غسل ما بقي من محلّ الفرض بين عضده ؛ ليكون الموصول عهديّا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حمله عليه أوفق بالقواعد مضافا إلى توقّف اليقين بالفراغ عليه</w:t>
      </w:r>
      <w:r>
        <w:rPr>
          <w:rFonts w:eastAsia="Amiri" w:cs="Amiri" w:ascii="Amiri" w:hAnsi="Amiri"/>
          <w:color w:val="111111"/>
          <w:sz w:val="28"/>
          <w:szCs w:val="28"/>
          <w:rtl w:val="true"/>
          <w:lang w:bidi="ar-SA"/>
        </w:rPr>
        <w:t xml:space="preserve">. </w:t>
      </w:r>
      <w:bookmarkStart w:id="51" w:name="pg15839_360622"/>
    </w:p>
    <w:p>
      <w:pPr>
        <w:pStyle w:val="Heading3"/>
        <w:numPr>
          <w:ilvl w:val="2"/>
          <w:numId w:val="1"/>
        </w:numPr>
        <w:rPr/>
      </w:pPr>
      <w:bookmarkStart w:id="52" w:name="__RefHeading___Toc14338333_2142443653"/>
      <w:bookmarkStart w:id="53" w:name="_Toc19"/>
      <w:bookmarkEnd w:id="51"/>
      <w:bookmarkEnd w:id="52"/>
      <w:r>
        <w:rPr>
          <w:rtl w:val="true"/>
        </w:rPr>
        <w:t>تبصرة</w:t>
      </w:r>
      <w:r>
        <w:rPr>
          <w:rtl w:val="true"/>
        </w:rPr>
        <w:t xml:space="preserve">: [ </w:t>
      </w:r>
      <w:r>
        <w:rPr>
          <w:rtl w:val="true"/>
        </w:rPr>
        <w:t xml:space="preserve">في وضوء التقيّة </w:t>
      </w:r>
      <w:r>
        <w:rPr>
          <w:rtl w:val="true"/>
        </w:rPr>
        <w:t>]</w:t>
      </w:r>
      <w:bookmarkEnd w:id="53"/>
    </w:p>
    <w:p>
      <w:pPr>
        <w:pStyle w:val="Heading4"/>
        <w:numPr>
          <w:ilvl w:val="3"/>
          <w:numId w:val="1"/>
        </w:numPr>
        <w:rPr/>
      </w:pPr>
      <w:bookmarkStart w:id="54" w:name="__RefHeading___Toc14338335_2142443653"/>
      <w:bookmarkStart w:id="55" w:name="_Toc20"/>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من الوضوء الاضطراري وضوء التقيّة ، وهو في الجملة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من </w:t>
      </w:r>
      <w:r>
        <w:rPr>
          <w:rStyle w:val="FootnoteAnchor"/>
          <w:rtl w:val="true"/>
        </w:rPr>
        <w:footnoteReference w:id="116"/>
      </w:r>
      <w:r>
        <w:rPr>
          <w:rFonts w:ascii="Amiri" w:hAnsi="Amiri" w:eastAsia="Amiri" w:cs="Amiri"/>
          <w:color w:val="111111"/>
          <w:sz w:val="28"/>
          <w:sz w:val="28"/>
          <w:szCs w:val="28"/>
          <w:rtl w:val="true"/>
          <w:lang w:bidi="ar-SA"/>
        </w:rPr>
        <w:t xml:space="preserve">مقامين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4338337_2142443653"/>
      <w:bookmarkStart w:id="57" w:name="_Toc21"/>
      <w:bookmarkEnd w:id="56"/>
      <w:r>
        <w:rPr>
          <w:rtl w:val="true"/>
        </w:rPr>
        <w:t xml:space="preserve">[ </w:t>
      </w:r>
      <w:r>
        <w:rPr>
          <w:rtl w:val="true"/>
        </w:rPr>
        <w:t xml:space="preserve">المقام </w:t>
      </w:r>
      <w:r>
        <w:rPr>
          <w:rtl w:val="true"/>
        </w:rPr>
        <w:t xml:space="preserve">] </w:t>
      </w:r>
      <w:r>
        <w:rPr>
          <w:rtl w:val="true"/>
        </w:rPr>
        <w:t>الأوّل</w:t>
      </w:r>
      <w:r>
        <w:rPr>
          <w:rtl w:val="true"/>
        </w:rPr>
        <w:t xml:space="preserve">: </w:t>
      </w:r>
      <w:r>
        <w:rPr>
          <w:rtl w:val="true"/>
        </w:rPr>
        <w:t>في جواز إتيان الفعل على غير النحو المشروع من جهة التقيّة</w:t>
      </w:r>
      <w:bookmarkEnd w:id="57"/>
    </w:p>
    <w:p>
      <w:pPr>
        <w:pStyle w:val="BookText"/>
        <w:rPr/>
      </w:pPr>
      <w:r>
        <w:rPr>
          <w:rFonts w:ascii="Amiri" w:hAnsi="Amiri" w:eastAsia="Amiri" w:cs="Amiri"/>
          <w:color w:val="111111"/>
          <w:sz w:val="28"/>
          <w:sz w:val="28"/>
          <w:szCs w:val="28"/>
          <w:rtl w:val="true"/>
          <w:lang w:bidi="ar-SA"/>
        </w:rPr>
        <w:t>والظاهر أنّه ممّا لا خلاف فيه ، بل وفي وجوبه إذا كان هناك خوف على نفسه أو عرضه أو نفس مؤمنة أو عرضها وكذا لو خيف من إيذائهم له أو لهم كقلع العين أو قطع اليد أو الضرب الشديد أو الحبس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وجوبه للضرب الخفيف أو الحبس اليسير وجهان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بعض الأخبار المنع بالنسبة إلى ذلك وما أشبهه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شي‌ء يضطر إليه ابن آدم فقد أحلّه اللّه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صراحة فيها على خلاف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على ماله أو مال مؤمن غيره فالظاهر وجوب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الحقير منه أيضا وجهان أقواهما ذلك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جواز الترك إذا خاف على ماله ففيه مطلقا ؛ لجواز صرفه مجانا إلّا أنّ الأظهر من أدلّة التقيّة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يتقوّى الاحتمال المذكور فيما إذا لم يكن ذلك مضرّا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البناء عليه إشكال ، وإن جاز له صرف ذلك في رفع التقيّة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ويثبت الحكم مع اليقين بالضرر وظنّه ، بل بمجرّد </w:t>
      </w:r>
      <w:r>
        <w:rPr>
          <w:rStyle w:val="FootnoteAnchor"/>
          <w:rtl w:val="true"/>
        </w:rPr>
        <w:footnoteReference w:id="118"/>
      </w:r>
      <w:r>
        <w:rPr>
          <w:rFonts w:ascii="Amiri" w:hAnsi="Amiri" w:eastAsia="Amiri" w:cs="Amiri"/>
          <w:color w:val="111111"/>
          <w:sz w:val="28"/>
          <w:sz w:val="28"/>
          <w:szCs w:val="28"/>
          <w:rtl w:val="true"/>
          <w:lang w:bidi="ar-SA"/>
        </w:rPr>
        <w:t>الخوف من حصوله من غير فرق بين حصوله حالا أو غيره ولو بعد زمان طويل ، ولا بين كون المتّقى منه من الخاصة أو العامّة أو من سائر الفرق ، وإن كان هناك فرق في مسألة الصحّة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بين الخوف </w:t>
      </w:r>
      <w:r>
        <w:rPr>
          <w:rStyle w:val="FootnoteAnchor"/>
          <w:rtl w:val="true"/>
        </w:rPr>
        <w:footnoteReference w:id="119"/>
      </w:r>
      <w:r>
        <w:rPr>
          <w:rFonts w:ascii="Amiri" w:hAnsi="Amiri" w:eastAsia="Amiri" w:cs="Amiri"/>
          <w:color w:val="111111"/>
          <w:sz w:val="28"/>
          <w:sz w:val="28"/>
          <w:szCs w:val="28"/>
          <w:rtl w:val="true"/>
          <w:lang w:bidi="ar-SA"/>
        </w:rPr>
        <w:t>بنفسه أو بالإبلاغ إلى غيره ، ولا بين القطع باطلاعه عليه أو الظن به أو مجرّد الخوف من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التقيّة لجلب المنفعة مع الأمن من المضرّة ، ولو قيل بجوازه من جهة تحصيل الوجاهة عندهم بذلك يستعين بها على استخلاص المؤمنين وقضاء حوائجهم كان حسنا ، بل لا يبعد القول بوجوبه في بعض فروضه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ذلك من بعض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تركه الحضور في جماعة غير العدول منّا مطلقا لوجاهته بين الناس وتعريض نفسه لهم احتمل إجراء التقيّة ، ويجري نحوه في المواظبة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ما نصّ على جواز التقيّة فيه بالخصوص وما جاز فيه من جهة العموم على الطاعات والاشتغال بنوافل العبادات إلّا أنّه أشير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فيه عدم المندوحة أو لا؟ قولان ، اختار الأوّل منهما في المدارك </w:t>
      </w:r>
      <w:r>
        <w:rPr>
          <w:rStyle w:val="FootnoteAnchor"/>
          <w:rtl w:val="true"/>
        </w:rPr>
        <w:footnoteReference w:id="120"/>
      </w:r>
      <w:r>
        <w:rPr>
          <w:rFonts w:ascii="Amiri" w:hAnsi="Amiri" w:eastAsia="Amiri" w:cs="Amiri"/>
          <w:color w:val="111111"/>
          <w:sz w:val="28"/>
          <w:sz w:val="28"/>
          <w:szCs w:val="28"/>
          <w:rtl w:val="true"/>
          <w:lang w:bidi="ar-SA"/>
        </w:rPr>
        <w:t>لانتفاء الضرورة الباعثة عليها ، فيرتفع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مخالفته للأصل ، فيقتصر فيه على موضع اليقين ؛ أخذا بالبراءة اليقينيّة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المحقّقين منهم الشهيدان </w:t>
      </w:r>
      <w:r>
        <w:rPr>
          <w:rStyle w:val="FootnoteAnchor"/>
          <w:rtl w:val="true"/>
        </w:rPr>
        <w:footnoteReference w:id="121"/>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22"/>
      </w:r>
      <w:r>
        <w:rPr>
          <w:rFonts w:ascii="IRNazanin" w:hAnsi="IRNazanin" w:eastAsia="IRNazanin"/>
          <w:color w:val="111111"/>
          <w:sz w:val="28"/>
          <w:sz w:val="28"/>
          <w:szCs w:val="28"/>
          <w:rtl w:val="true"/>
          <w:lang w:bidi="fa-IR"/>
        </w:rPr>
        <w:t xml:space="preserve">إلى الأوّل ؛ أخذا بظواهر </w:t>
      </w:r>
      <w:bookmarkStart w:id="58" w:name="pg15839_360624"/>
    </w:p>
    <w:p>
      <w:pPr>
        <w:pStyle w:val="BookText"/>
        <w:rPr/>
      </w:pPr>
      <w:bookmarkEnd w:id="58"/>
      <w:r>
        <w:rPr>
          <w:rFonts w:ascii="Amiri" w:hAnsi="Amiri" w:eastAsia="Amiri" w:cs="Amiri"/>
          <w:color w:val="111111"/>
          <w:sz w:val="28"/>
          <w:sz w:val="28"/>
          <w:szCs w:val="28"/>
          <w:rtl w:val="true"/>
          <w:lang w:bidi="ar-SA"/>
        </w:rPr>
        <w:t>الأخبار بل صريحها المشتملة على الحثّ الأكيد في الحضور معهم في جماعاتهم والاجتماع إليهم في صلواتهم مع استلزام ذلك لترك بعض الواجبات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وجب مراعاة التخليص لأشير إليه في الروايات ، وورد الأمر بها بحسب الأوقات ، مع أنّ الأخبار على عكس ذلك ، فالظاهر جواز التقيّة مع وجود المندوحة أيضا وإن لم يستدع التراخي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أمكنه الستر وهو في مكانه بحيث يأتي بالواجب من دون شعورهم كأن يمسح رجله حين غسله بحيث لا يشعر به قوي القول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إجراء عمل التقيّة فيه مجرى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التقيّة من العامّة ، وأمّا غيره من الفرق فيشترط عدم المندوحة في جواز الفعل قطعا إلّا مع إمكان الإتيان بالصورة المختصّة إن جوزناها مع اختيار أمكن التخلّص بوجهين لزم مراعاة الأخفّ ، فلو دار </w:t>
      </w:r>
      <w:r>
        <w:rPr>
          <w:rFonts w:eastAsia="Amiri" w:cs="Amiri" w:ascii="Amiri" w:hAnsi="Amiri"/>
          <w:color w:val="111111"/>
          <w:sz w:val="28"/>
          <w:szCs w:val="28"/>
          <w:rtl w:val="true"/>
          <w:lang w:bidi="ar-SA"/>
        </w:rPr>
        <w:t xml:space="preserve">[ ..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4338339_2142443653"/>
      <w:bookmarkStart w:id="60" w:name="_Toc22"/>
      <w:bookmarkEnd w:id="59"/>
      <w:r>
        <w:rPr>
          <w:rtl w:val="true"/>
        </w:rPr>
        <w:t>المقام الثاني</w:t>
      </w:r>
      <w:r>
        <w:rPr>
          <w:rtl w:val="true"/>
        </w:rPr>
        <w:t xml:space="preserve">: </w:t>
      </w:r>
      <w:r>
        <w:rPr>
          <w:rtl w:val="true"/>
        </w:rPr>
        <w:t>في أجزاء الفعل المعمول على جهة التقيّة وعدمه</w:t>
      </w:r>
      <w:bookmarkEnd w:id="60"/>
    </w:p>
    <w:p>
      <w:pPr>
        <w:pStyle w:val="BookText"/>
        <w:rPr/>
      </w:pPr>
      <w:r>
        <w:rPr>
          <w:rFonts w:ascii="Amiri" w:hAnsi="Amiri" w:eastAsia="Amiri" w:cs="Amiri"/>
          <w:color w:val="111111"/>
          <w:sz w:val="28"/>
          <w:sz w:val="28"/>
          <w:szCs w:val="28"/>
          <w:rtl w:val="true"/>
          <w:lang w:bidi="ar-SA"/>
        </w:rPr>
        <w:t>وقضية الأصل فيه فساد العمل ، لوقوعه على غير النحو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الأمر به من جهة الخوف لا يقضي بصحّة الفعل ؛ إذ الأمر إنّما يقتضي الإجزاء بالنسبة إلى ذلك الأمر ، وقيام أمر التقيّة مقام الأمر الأوّل غير معلوم ، فيقتصر في الصحّة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بالنسبة إلى التقيّة من أهل الخلاف ممّا لا شبهة فيه من غير فرق بين 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الناصب منهم وغيره وإن حكم بكفر الأوّل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الملل المخالفة للإسلام فالظاهر عدم صحّة التقيّة منهم وإن وجبت ، وكذا في </w:t>
      </w:r>
    </w:p>
    <w:p>
      <w:pPr>
        <w:pStyle w:val="BookText"/>
        <w:rPr/>
      </w:pPr>
      <w:r>
        <w:rPr>
          <w:rFonts w:ascii="Amiri" w:hAnsi="Amiri" w:eastAsia="Amiri" w:cs="Amiri"/>
          <w:color w:val="111111"/>
          <w:sz w:val="28"/>
          <w:sz w:val="28"/>
          <w:szCs w:val="28"/>
          <w:rtl w:val="true"/>
          <w:lang w:bidi="ar-SA"/>
        </w:rPr>
        <w:t xml:space="preserve">التقيّة من سائر </w:t>
      </w:r>
      <w:r>
        <w:rPr>
          <w:rStyle w:val="FootnoteAnchor"/>
          <w:rtl w:val="true"/>
        </w:rPr>
        <w:footnoteReference w:id="124"/>
      </w:r>
      <w:r>
        <w:rPr>
          <w:rFonts w:ascii="Amiri" w:hAnsi="Amiri" w:eastAsia="Amiri" w:cs="Amiri"/>
          <w:color w:val="111111"/>
          <w:sz w:val="28"/>
          <w:sz w:val="28"/>
          <w:szCs w:val="28"/>
          <w:rtl w:val="true"/>
          <w:lang w:bidi="ar-SA"/>
        </w:rPr>
        <w:t>فرق الشيعة كالإسماعيليّة والفطحيّة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التقيّة عن الزيديّة مع متابعتهم في الفقه للعامّة وجهان أقواهما ذلك ، بل هو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اتّقى من غير العامّة من جهة خوف الوصول إليهم فالظاهر الصحّة ، ولو كان من </w:t>
      </w:r>
      <w:r>
        <w:rPr>
          <w:rStyle w:val="FootnoteAnchor"/>
          <w:rtl w:val="true"/>
        </w:rPr>
        <w:footnoteReference w:id="125"/>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صحّة الفعل في جميع الأفعال </w:t>
      </w:r>
      <w:r>
        <w:rPr>
          <w:rStyle w:val="FootnoteAnchor"/>
          <w:rtl w:val="true"/>
        </w:rPr>
        <w:footnoteReference w:id="126"/>
      </w:r>
      <w:r>
        <w:rPr>
          <w:rFonts w:ascii="Amiri" w:hAnsi="Amiri" w:eastAsia="Amiri" w:cs="Amiri"/>
          <w:color w:val="111111"/>
          <w:sz w:val="28"/>
          <w:sz w:val="28"/>
          <w:szCs w:val="28"/>
          <w:rtl w:val="true"/>
          <w:lang w:bidi="ar-SA"/>
        </w:rPr>
        <w:t>البدنيّة من الوضوء والصلاة والحج وغيرها ، فلا يجب قضاؤها بعد ارتفاع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المتعلّقة بالمال وجهان أظهرهما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عدم حصول التفريط فيه ينبغي الضمان من جهة أخرى مع وجوب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للتقيّة </w:t>
      </w:r>
      <w:r>
        <w:rPr>
          <w:rStyle w:val="FootnoteAnchor"/>
          <w:rtl w:val="true"/>
        </w:rPr>
        <w:footnoteReference w:id="127"/>
      </w:r>
      <w:r>
        <w:rPr>
          <w:rFonts w:ascii="Amiri" w:hAnsi="Amiri" w:eastAsia="Amiri" w:cs="Amiri"/>
          <w:color w:val="111111"/>
          <w:sz w:val="28"/>
          <w:sz w:val="28"/>
          <w:szCs w:val="28"/>
          <w:rtl w:val="true"/>
          <w:lang w:bidi="ar-SA"/>
        </w:rPr>
        <w:t>لا في التقيّة من جهة نفس الفعل ، بل في ملاحظة بعض الشرائط كطهارة الماء ففي الصحّة إشكال كما إذا توضّأ بسؤر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كما عرفت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تعلّقت التقيّة بإزالة الأخباث ففي الحاجة بإزالة الأحداث وجه كان أوجههما العدم جريا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ارتفعت التقيّة بعد الفعل قبل خروج الوقت ففي وجوب الإعادة وجوه ثالثها التفصيل المذكور في المسألة السابقة ؛ إجراء لما نصّ عليه بالخصوص حكم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المحقّق الكركي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خلافا بين الأصحاب في عدم وجوب الإعادة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وجوب الإعادة مطلقا ؛ أخذا بظاهر الروايات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المحقّق الكركي بثبوت القضاء أيضا في الصورة الثانية بناء على ثبوت دليل على القضاء لكونه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فساد العمل ، بل ذلك صريح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زالت في أثناء الفعل ففي لزوم العفو إلى ما أدّاه على وجه التقيّة وعدمه وجهان أظهرهما الأخير</w:t>
      </w:r>
      <w:r>
        <w:rPr>
          <w:rFonts w:eastAsia="Amiri" w:cs="Amiri" w:ascii="Amiri" w:hAnsi="Amiri"/>
          <w:color w:val="111111"/>
          <w:sz w:val="28"/>
          <w:szCs w:val="28"/>
          <w:rtl w:val="true"/>
          <w:lang w:bidi="ar-SA"/>
        </w:rPr>
        <w:t xml:space="preserve">. </w:t>
      </w:r>
      <w:bookmarkStart w:id="61" w:name="pg15839_360627"/>
    </w:p>
    <w:p>
      <w:pPr>
        <w:pStyle w:val="Heading3"/>
        <w:numPr>
          <w:ilvl w:val="2"/>
          <w:numId w:val="1"/>
        </w:numPr>
        <w:rPr/>
      </w:pPr>
      <w:bookmarkStart w:id="62" w:name="__RefHeading___Toc14338341_2142443653"/>
      <w:bookmarkStart w:id="63" w:name="_Toc23"/>
      <w:bookmarkEnd w:id="61"/>
      <w:bookmarkEnd w:id="62"/>
      <w:r>
        <w:rPr>
          <w:rtl w:val="true"/>
        </w:rPr>
        <w:t>تبصرة</w:t>
      </w:r>
      <w:r>
        <w:rPr>
          <w:rtl w:val="true"/>
        </w:rPr>
        <w:t xml:space="preserve">: [ </w:t>
      </w:r>
      <w:r>
        <w:rPr>
          <w:rtl w:val="true"/>
        </w:rPr>
        <w:t xml:space="preserve">في عدم التمكن من إيصال الماء إلى تمام العضو </w:t>
      </w:r>
      <w:r>
        <w:rPr>
          <w:rtl w:val="true"/>
        </w:rPr>
        <w:t>]</w:t>
      </w:r>
      <w:bookmarkEnd w:id="63"/>
    </w:p>
    <w:p>
      <w:pPr>
        <w:pStyle w:val="Heading4"/>
        <w:numPr>
          <w:ilvl w:val="3"/>
          <w:numId w:val="1"/>
        </w:numPr>
        <w:rPr/>
      </w:pPr>
      <w:bookmarkStart w:id="64" w:name="__RefHeading___Toc14338343_2142443653"/>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إذا لم يتمكّن من إيصال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العضو فإمّا أن يكون ذلك لقصور في الماء أو لوجود مانع من إيصال الماء إلى الجميع لا يمكن دفعه سواء كان خارجيّا أو في العضو كخاتم لا يمكن إخراجه ولا تحريكه أو جرح أو قرح أو كسر في العضو يتضرّر بإيصال الماء إليه مجبّرة بالجبائر ونحوها ، فهاهنا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لقصور الماء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إذن في الانتقال إلى التيمّم أو الوضوء اسم لمجموع الأفعال ، وعدم التمكّن من بعضه بمنزلة عدم التمكّن من الجميع ؛ لارتباط بعضها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وجريان قاعدة عدم سقوط الميسور بالمعسور في مثله مع عدم ثبوته كليّا غير ظاهر ؛ لعدم التمكّن من شي‌ء منه ، لعدم اعتبار الهيئة الاجتماعيّة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لمنع المانع الخارجي ، والظاهر انتقال الحكم حينئذ إلى التيمّم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 عن التيمّم أيضا كلّا أو بعضا فالظاهر أنّه كفاقد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لوجود حاجب في العضو لا يمكن إزالته من غير أن يكون هناك قرح أو جرح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w:t>
      </w:r>
      <w:r>
        <w:rPr>
          <w:rStyle w:val="FootnoteAnchor"/>
          <w:rtl w:val="true"/>
        </w:rPr>
        <w:footnoteReference w:id="129"/>
      </w:r>
      <w:r>
        <w:rPr>
          <w:rFonts w:ascii="IRNazanin" w:hAnsi="IRNazanin" w:eastAsia="IRNazanin"/>
          <w:color w:val="111111"/>
          <w:sz w:val="28"/>
          <w:sz w:val="28"/>
          <w:szCs w:val="28"/>
          <w:rtl w:val="true"/>
          <w:lang w:bidi="fa-IR"/>
        </w:rPr>
        <w:t>سقوط غسل ما تحته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يكفي إذن بغسل ما عداه أو لا بدّ من المسح عليه إلحاقا له بالجبيرة أو يجب غسل </w:t>
      </w:r>
    </w:p>
    <w:p>
      <w:pPr>
        <w:pStyle w:val="BookText"/>
        <w:rPr/>
      </w:pPr>
      <w:r>
        <w:rPr>
          <w:rFonts w:ascii="Amiri" w:hAnsi="Amiri" w:eastAsia="Amiri" w:cs="Amiri"/>
          <w:color w:val="111111"/>
          <w:sz w:val="28"/>
          <w:sz w:val="28"/>
          <w:szCs w:val="28"/>
          <w:rtl w:val="true"/>
          <w:lang w:bidi="ar-SA"/>
        </w:rPr>
        <w:t>ظاهره تنزيلا له منزلة العضو؟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عدم التمكّن من رفعه لمنع الظالم احتمل جريان الحكم المذكور وإلحاقه بالصورة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في معظم العضو أو جميعه ففي جريان الحكم المذكور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المسح على ظاهره وغسله أيضا ، والإتيان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ذلك في موضع المسح كما إذا لم يتمكّن من نزع 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عليه ، وعزا ذلك إلى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قويّة أبي الورد ، وقد ذكر المسح على الخفّين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فيهما رخصة؟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من عدوّ تتّقيه أو ثلج تخاف على رجليك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إطلاق غير واحد من أخبار الجبائر الشاملة لموضع المسح كما سنشير إليها ، فالتأمّل في ذلك من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استضعافا للرواية السابقة ، فينتقل الحكم إلى التيمّم لتعذر الوضوء بتعذر بعضه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العضو المغسول جبيرة يمنع من جرى الماء تحته ، فإن أمكن نزعه وجرى الماء على العضو مع إمكان تضرّره بالتطهير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وجب نزعه وإلّا مسح عليه إن كان طاهرا أو لا يكتفي بغسل ما حوله على المعروف بين الأصحاب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إجماعا ، بل الظاهر انعقاد الإجماع عليه كما حكاه غير واحد منهم إلّا ما يوهمه عبارة الفقيه من جواز الأمرين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فيه ؛ لحكمه صريحا بالأوّل وإسناده الثاني إلى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مال إليه جماعة من المتأخرين منهم صاحب المدارك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الإجماع على وجوب مسح الجبيرة لأمكن القول بالاستحباب ، والاكتفاء بغسل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إطلاق الصحيح حيث قال عليه‌السلام بعد حكمه بغسل ما ليس عليه الجبائر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 ما سوى ذلك ممّا لا تستطيع غسله ولا نزع الجبائر ولا يعيب بجراحته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الفقيه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الفقيه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الجبائر إنّه يغسل ما حولها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ذلك أن يكون اشارة إلى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لا يقاوم النصوص المستفيضة الحاكية بمسح الجبائر ونحوها ؛ إذ غاية ما نقضه الصحيحة سقوط غسلها ، ولا دلالة فيها على انتفاء المسح إلّا من جهة عدم الذكر ، فلا يقاوم ما دلّ بصريحه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اعتضاده بعمل الأصحاب ، بل وإجماعهم ، فاحتمال الاكتفاء بغسل ما حولها مع قطع النظر عن الإجماع ضعيف أيضا كاحتمال حمل مسح الجبائر على الغسل الخفيف كما ذكره في النهاية ؛ إذ لا داعي إليه سوى </w:t>
      </w:r>
      <w:r>
        <w:rPr>
          <w:rStyle w:val="FootnoteAnchor"/>
          <w:rtl w:val="true"/>
        </w:rPr>
        <w:footnoteReference w:id="136"/>
      </w:r>
      <w:r>
        <w:rPr>
          <w:rFonts w:ascii="Amiri" w:hAnsi="Amiri" w:eastAsia="Amiri" w:cs="Amiri"/>
          <w:color w:val="111111"/>
          <w:sz w:val="28"/>
          <w:sz w:val="28"/>
          <w:szCs w:val="28"/>
          <w:rtl w:val="true"/>
          <w:lang w:bidi="ar-SA"/>
        </w:rPr>
        <w:t>إعطاء الجبيرة حكم محلها ، وهو ممّا لا يقوم حجّة ليصحّ الخروج به عن ظواهر النصوص مع مخالفته لفهم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الحكم بين الجبيرة وغيرها كالخرقة الّتي يتعصّب بها الجرح أو الخيوط ، وكذا الدواء الموضوع عليه ، وقد ورد غير واحد منها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تحفيفها متى أمكن ليقلّ الفصل بين اليد والممسوح؟ وجهان أحوطهما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الإطلاقات حيث لم يصرّح فيها به عدمه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استيعابها لقيامها مقام غسل محلّها الّذي يجب استيعابه ، وتوقّف اليقين بالفراغ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فليمسح على جبائره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ظاهر الصحيح وغيره ، وبذلك يظهر ضعف ما استشكله الشهيد في وجوب الاستيعاب من صدق المسح عليها بالمسح على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خروج عن ظاهر الخبر ، مضافا إلى مخالفته لظاهر فهم المعظم على ما نصّ عليه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الجبيرة بين الوضوء والغسل على ما نصّ عليه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على ثبوتها فيه أيضا 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المنهى </w:t>
      </w:r>
      <w:r>
        <w:rPr>
          <w:rStyle w:val="FootnoteAnchor"/>
          <w:rtl w:val="true"/>
        </w:rPr>
        <w:footnoteReference w:id="137"/>
      </w:r>
      <w:r>
        <w:rPr>
          <w:rFonts w:ascii="Amiri" w:hAnsi="Amiri" w:eastAsia="Amiri" w:cs="Amiri"/>
          <w:color w:val="111111"/>
          <w:sz w:val="28"/>
          <w:sz w:val="28"/>
          <w:szCs w:val="28"/>
          <w:rtl w:val="true"/>
          <w:lang w:bidi="ar-SA"/>
        </w:rPr>
        <w:t>إلى عامّة العلماء موميا إلى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روايات </w:t>
      </w:r>
      <w:r>
        <w:rPr>
          <w:rStyle w:val="FootnoteAnchor"/>
          <w:rtl w:val="true"/>
        </w:rPr>
        <w:footnoteReference w:id="138"/>
      </w:r>
      <w:r>
        <w:rPr>
          <w:rFonts w:ascii="Amiri" w:hAnsi="Amiri" w:eastAsia="Amiri" w:cs="Amiri"/>
          <w:color w:val="111111"/>
          <w:sz w:val="28"/>
          <w:sz w:val="28"/>
          <w:szCs w:val="28"/>
          <w:rtl w:val="true"/>
          <w:lang w:bidi="ar-SA"/>
        </w:rPr>
        <w:t>عدّة أمر المجدور أو صاحب القروح بالتيمّم بدل 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بعض جسده أو بعض أعضاء طهارته ما لا ضرر عليه الباقي عليه جراح أو عليه ضرر في إيصال الماء إليه جاز له التيمّم ، ولا يجب عليه غسل الأعضاء الصحيحة ، وإن غسلها وتيمّم كان أحوط سواء كان أكثرها صحيحا أو 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حصل على بعض أعضاء طهارته نجاسة ولم يقدر على غسلها لألم فيه </w:t>
      </w:r>
      <w:r>
        <w:rPr>
          <w:rStyle w:val="FootnoteAnchor"/>
          <w:rtl w:val="true"/>
        </w:rPr>
        <w:footnoteReference w:id="140"/>
      </w:r>
      <w:r>
        <w:rPr>
          <w:rFonts w:ascii="Amiri" w:hAnsi="Amiri" w:eastAsia="Amiri" w:cs="Amiri"/>
          <w:color w:val="111111"/>
          <w:sz w:val="28"/>
          <w:sz w:val="28"/>
          <w:szCs w:val="28"/>
          <w:rtl w:val="true"/>
          <w:lang w:bidi="ar-SA"/>
        </w:rPr>
        <w:t>صلّى ، ولا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حكمه في باب الوضوء بوجوب المسح على الجبائر مع عدم إمكان نزعها ، وكذا حكم هناك بغسل ما عليه الغسل من أعضائه والمسح على حائل فيما يتعذّر عليه ، وظاهر كلماته لا يخلو عن التدافع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بينهما بذهابه إلى التخيير بين الأمرين </w:t>
      </w:r>
      <w:r>
        <w:rPr>
          <w:rStyle w:val="FootnoteAnchor"/>
          <w:rtl w:val="true"/>
        </w:rPr>
        <w:footnoteReference w:id="141"/>
      </w:r>
      <w:r>
        <w:rPr>
          <w:rFonts w:ascii="Amiri" w:hAnsi="Amiri" w:eastAsia="Amiri" w:cs="Amiri"/>
          <w:color w:val="111111"/>
          <w:sz w:val="28"/>
          <w:sz w:val="28"/>
          <w:szCs w:val="28"/>
          <w:rtl w:val="true"/>
          <w:lang w:bidi="ar-SA"/>
        </w:rPr>
        <w:t xml:space="preserve">كما يومى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له </w:t>
      </w:r>
      <w:bookmarkStart w:id="66" w:name="pg15839_360631"/>
    </w:p>
    <w:p>
      <w:pPr>
        <w:pStyle w:val="BookText"/>
        <w:rPr/>
      </w:pPr>
      <w:bookmarkEnd w:id="66"/>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أخذه من الجمع بين ما دلّ على لزوم التيمّم عليه وما دلّ على مسح الجبيرة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به القراح والجراح يجنب؟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لا يغتسل ويتيمّم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بجعله شاهدا على الجمع ؛ لظهوره في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 كلامه الأوّل بصورة ظهور العضو و </w:t>
      </w:r>
      <w:r>
        <w:rPr>
          <w:rStyle w:val="FootnoteAnchor"/>
          <w:rtl w:val="true"/>
        </w:rPr>
        <w:footnoteReference w:id="143"/>
      </w:r>
      <w:r>
        <w:rPr>
          <w:rFonts w:ascii="Amiri" w:hAnsi="Amiri" w:eastAsia="Amiri" w:cs="Amiri"/>
          <w:color w:val="111111"/>
          <w:sz w:val="28"/>
          <w:sz w:val="28"/>
          <w:szCs w:val="28"/>
          <w:rtl w:val="true"/>
          <w:lang w:bidi="ar-SA"/>
        </w:rPr>
        <w:t>حصول المانع من إيصال الماء ، فيكون حكمه بالتخيير في تلك الصورة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فهو مخالف لظاهر الأصحاب ، مع عدم ظهور تامّ في الصحيح المذكور فيه ، فالأظهر حمل أخبار التيمّم على ما إذا تضرّر باستعمال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ورودها أجمع في الغسل أو على صورة تكاثر القروح والجروح بحيث يشمل كثيرا من العضو إن قلنا بتعيّن التيمّم فيه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يؤيّده ذكر القروح والجروح في بعضها بلفظ الجمع المعروف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عبارة الشيخ عليه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4338345_2142443653"/>
      <w:bookmarkStart w:id="68" w:name="_Toc25"/>
      <w:bookmarkEnd w:id="67"/>
      <w:r>
        <w:rPr>
          <w:rtl w:val="true"/>
        </w:rPr>
        <w:t xml:space="preserve">[ </w:t>
      </w:r>
      <w:r>
        <w:rPr>
          <w:rtl w:val="true"/>
        </w:rPr>
        <w:t xml:space="preserve">تنبيهات </w:t>
      </w:r>
      <w:r>
        <w:rPr>
          <w:rtl w:val="true"/>
        </w:rPr>
        <w:t>]</w:t>
      </w:r>
      <w:bookmarkEnd w:id="68"/>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الخرق ونحوها على غير الجرح والقرح والكسر لسائر أوجاع العضو ففي ثبوت الحكم فيه إشكال ، أظهرها ذلك مع عدم التمكّن من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الانتقال إلى التيمّم وثبوت حكم الجبيرة على خلاف ، فيقتصر فيه على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استوعبت الجبيرة أحد الأعضاء المغسولة أو جميعها أو معظم العضو ففي ثبوت حكم الجبيرة أو الانتقال إلى التيمّم أو التخيير وجوه ، والأحوط فيه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استغرقت الأعضاء الممسوحة فالظاهر أنّه لا إشكال في انتقال الحكم على ما فوق الجبيرة كما يؤذن به ما دلّ على الاجتزاء بالمسح على الخفّين من جهة برد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استوعبت الجبيرة محلّ الحاجة وغيرها ممّا لا يمكن بقاؤها على العضو بدونه فإن أمكن إجراء الماء إلى ما تحته من دون إضرار لزم ، وإلّا كفى المسح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 العلّامة ، وهو كذلك ؛ نظرا إلى الإطلاقات إلّا أنّه مع خروجه معا حسا عن محلّ الحاجة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تضرّر بإيصال الماء إلى ما تجاوز الجرح أو الكسر ونحوها قوي جريان حكمها إليه ، فيمسح عليه مع شمول الجبيرة وما قام مقامه إيّاه وإلّا جرى فيه حكم المكشوفة في وجه قويّ إلّا أنّه مع بعد السراية يحتمل الانتقال إلى التيمّم ، فالأحوط فيه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أمكن تخفيف الخرق الموضوعة عليه فهل يجب ذلك أو لا؟ وجهان ، ظاهر الإطلاقات هو الأوّل ، والأحوط الثاني بل هو المتعيّن إذا كان زائدا على القدر المحتاج بحيث يعدّ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ظاهر الجبيرة نجسا وجب وضع خرقة طاهرة عليها ثمّ المسح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بعضهم نظرا إلى خروجه عن مدلول الأخبار ومخالفته لظاهر الاعتبار ؛ إذ الجبيرة لشدة انهباطها بالعضو نزلت منزلة الجزء منه كالشعر والظفر ، بخلاف الخرقة الجديدة الموضوعة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أنّه لا يمكن المسح على النجس قطعا ، فبعد البناء على عدم الاكتفاء بغسل ما حولها لابديّة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بخروجه عمّا دلّ على لزوم المسح على الحائل ؛ لعدم إمكانه في المقام ، فيكتفى بغسل ما حوله ؛ نظرا إلى إطلاق صحيحة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قضية اليقين بالفراغ الحكم بما قالوه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أمكن تطهير ظاهرها قدّم ذلك عليه ، وكذا لو أمكن رفع الخرقة الطاهرة مع طهارة </w:t>
      </w:r>
    </w:p>
    <w:p>
      <w:pPr>
        <w:pStyle w:val="BookText"/>
        <w:rPr/>
      </w:pPr>
      <w:r>
        <w:rPr>
          <w:rFonts w:ascii="Amiri" w:hAnsi="Amiri" w:eastAsia="Amiri" w:cs="Amiri"/>
          <w:color w:val="111111"/>
          <w:sz w:val="28"/>
          <w:sz w:val="28"/>
          <w:szCs w:val="28"/>
          <w:rtl w:val="true"/>
          <w:lang w:bidi="ar-SA"/>
        </w:rPr>
        <w:t>ما تحته ، ولو أمكن الإبدال ففي لزومه كذلك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أمكن إجراء الماء إلى ما تحت الجبيرة من دون عسر أو أمكن نزعه كذلك لزمه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يوهم بعض العبائر القول بوجوب النزع ، ولو أمكن أحدهما خاصّة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فيمن انكسر ساعده أو موضع من مواضع وضوئه فلا يقدر أن يحله لحال الجبيرة إذا جبر فكيف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أراد أن يتوضّأ فليضع إناء فيه ماء ويضع موضع الجبيرة في الماء حتّى يصل الماء إلى جلده وقد أجزأه ذلك من غير أن يحلّه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الشيخ على الندب ، فيوهم ذلك ذهابه إلى عدم إجراء الماء تحت الجبيرة مع الإمكان ، وقد يحمل على مجرّد وصول الماء إلى البشرة من دون حصول الجريان بحمل الرواية عليه إلّا أنّه خلاف المنساق منها ، فإنّ ظاهرها حصول الغسل المطلوب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العضو المئوف طاهرا غير مستعصب بخرقة ونحوها ، فذهب جماعة فيه أيضا إلى لزوم المسح مع الإمكان ، وإلّا وضع عليه خرقة طاهرة ومسح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الحدائق </w:t>
      </w:r>
      <w:r>
        <w:rPr>
          <w:rStyle w:val="FootnoteAnchor"/>
          <w:rtl w:val="true"/>
        </w:rPr>
        <w:footnoteReference w:id="146"/>
      </w:r>
      <w:r>
        <w:rPr>
          <w:rFonts w:ascii="Amiri" w:hAnsi="Amiri" w:eastAsia="Amiri" w:cs="Amiri"/>
          <w:color w:val="111111"/>
          <w:sz w:val="28"/>
          <w:sz w:val="28"/>
          <w:szCs w:val="28"/>
          <w:rtl w:val="true"/>
          <w:lang w:bidi="ar-SA"/>
        </w:rPr>
        <w:t>إلى الأصحاب ، وعلّل باشتمال الغسل على المسح وزيادة فيقتصر في السقوط على مؤدي الضرورة ، وحيث يتعذر المباشرة في المسح يقام الحائل مقام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التعليل واضح ، ولذا ذهب جماعة من المتأخرين إلى الاكتفاء بغسل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الأقوى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الجرح كيف يصنع به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حوله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الجرح كيف أصنع به في غسله؟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ما حوله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قبل ذلك التصريح بالمسح على الخرقة في القرح المعصّب ، ففيها إذن دلالة واضحة على فرض الجرح غير معصّب ، ولا شمول لما دلّ على اعتبار المسح لذلك لفرضه فيها وفي </w:t>
      </w:r>
    </w:p>
    <w:p>
      <w:pPr>
        <w:pStyle w:val="BookText"/>
        <w:rPr/>
      </w:pPr>
      <w:r>
        <w:rPr>
          <w:rFonts w:ascii="Amiri" w:hAnsi="Amiri" w:eastAsia="Amiri" w:cs="Amiri"/>
          <w:color w:val="111111"/>
          <w:sz w:val="28"/>
          <w:sz w:val="28"/>
          <w:szCs w:val="28"/>
          <w:rtl w:val="true"/>
          <w:lang w:bidi="ar-SA"/>
        </w:rPr>
        <w:t>غيرها المعصّب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وقيامه عليه ممّا لا وجه له سيّما بعد ورود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قضية الاحتياط مراعاة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الصحيحين وإن كان خصوص الجرح إلّا أنّ الظاهر عدم الفرق بينه وبين القرح والكسير وما 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ثبوته لكلّ علّة مانعة من إيصال الماء وجهان أقواهما العدم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 بين الوضوء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الرمد ونحوه فالظاهر عدم التأمل في الانتقال إلى التيمّم ، ولو حصلت قرحة في العين بحيث سرت إلى خارجها ففي إلحاقها بالقروح وعدمه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بعض أعضائه نجاسة لا يتمكّن من غسلها إمّا لإعواز الماء أو لمانع من الخارج انتقل الحكم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الجبيرة في محلّ المسح جرى على ظاهره حكم المسح مع عدم إمكان رفعها وتطهير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49"/>
      </w:r>
      <w:r>
        <w:rPr>
          <w:rFonts w:ascii="Amiri" w:hAnsi="Amiri" w:eastAsia="Amiri" w:cs="Amiri"/>
          <w:color w:val="111111"/>
          <w:sz w:val="28"/>
          <w:sz w:val="28"/>
          <w:szCs w:val="28"/>
          <w:rtl w:val="true"/>
          <w:lang w:bidi="ar-SA"/>
        </w:rPr>
        <w:t>الإجماع عليه ، فإن أمكن رفعها وتطهير محلّها لو كان نجسا وجب المسح عليه ، وإن تمكن من رفعها من دون تطهير محلّها فالظاهر إجراء المسح على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يتمكّن من المسح ولو لم يتمكّن من تطهيره إذن من جهة إعواز الماء قوي الانتقال إلى التيمّم إلى </w:t>
      </w:r>
      <w:r>
        <w:rPr>
          <w:rStyle w:val="FootnoteAnchor"/>
          <w:rtl w:val="true"/>
        </w:rPr>
        <w:footnoteReference w:id="150"/>
      </w:r>
      <w:r>
        <w:rPr>
          <w:rFonts w:ascii="Amiri" w:hAnsi="Amiri" w:eastAsia="Amiri" w:cs="Amiri"/>
          <w:color w:val="111111"/>
          <w:sz w:val="28"/>
          <w:sz w:val="28"/>
          <w:szCs w:val="28"/>
          <w:rtl w:val="true"/>
          <w:lang w:bidi="ar-SA"/>
        </w:rPr>
        <w:t>أن لا يتمكن من نزعه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إطلاق حسنة كليب الأسدي عن الرجل إذا كان كسيرا كيف يصنع بالصلاة؟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يتخوّف على نفسه فليمسح على جبائره وليصل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إطلاق رواية عبد الأعلى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إيصال الماء إلى البشرة لو أمكن؟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الأصحاب وجوبه ، وقد مرّ الكلام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ظاهرا في عدم وجوب إعادة الصلاة بعد 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5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إعادة الوضوء 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w:t>
      </w:r>
      <w:r>
        <w:rPr>
          <w:rStyle w:val="FootnoteAnchor"/>
          <w:rtl w:val="true"/>
        </w:rPr>
        <w:footnoteReference w:id="154"/>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55"/>
      </w:r>
      <w:r>
        <w:rPr>
          <w:rFonts w:ascii="Amiri" w:hAnsi="Amiri" w:eastAsia="Amiri" w:cs="Amiri"/>
          <w:color w:val="111111"/>
          <w:sz w:val="28"/>
          <w:sz w:val="28"/>
          <w:szCs w:val="28"/>
          <w:rtl w:val="true"/>
          <w:lang w:bidi="ar-SA"/>
        </w:rPr>
        <w:t>؛ اقتصارا في الاضطراري على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خلافه ؛ نظرا إلى ظاهر الإطلاقات ، وأنّ قضية ظاهر الأمر في المقام الإجزاء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تأخير الصلاة إلى آخر الوقت مع اليأس عن زوال الاضطرار قطعا كما هو قضيّة الأخبار ، ومع رجائه ففيه وجهان أوجههما العدم</w:t>
      </w:r>
      <w:r>
        <w:rPr>
          <w:rFonts w:eastAsia="Amiri" w:cs="Amiri" w:ascii="Amiri" w:hAnsi="Amiri"/>
          <w:color w:val="111111"/>
          <w:sz w:val="28"/>
          <w:szCs w:val="28"/>
          <w:rtl w:val="true"/>
          <w:lang w:bidi="ar-SA"/>
        </w:rPr>
        <w:t xml:space="preserve">. </w:t>
      </w:r>
      <w:bookmarkStart w:id="69" w:name="pg15839_360636"/>
    </w:p>
    <w:p>
      <w:pPr>
        <w:pStyle w:val="Heading3"/>
        <w:numPr>
          <w:ilvl w:val="2"/>
          <w:numId w:val="1"/>
        </w:numPr>
        <w:rPr/>
      </w:pPr>
      <w:bookmarkStart w:id="70" w:name="__RefHeading___Toc14338347_2142443653"/>
      <w:bookmarkStart w:id="71" w:name="_Toc26"/>
      <w:bookmarkEnd w:id="69"/>
      <w:bookmarkEnd w:id="70"/>
      <w:r>
        <w:rPr>
          <w:rtl w:val="true"/>
        </w:rPr>
        <w:t>تبصرة</w:t>
      </w:r>
      <w:r>
        <w:rPr>
          <w:rtl w:val="true"/>
        </w:rPr>
        <w:t xml:space="preserve">: [ </w:t>
      </w:r>
      <w:r>
        <w:rPr>
          <w:rtl w:val="true"/>
        </w:rPr>
        <w:t xml:space="preserve">في وضوء المسلوس والمبطون </w:t>
      </w:r>
      <w:r>
        <w:rPr>
          <w:rtl w:val="true"/>
        </w:rPr>
        <w:t>]</w:t>
      </w:r>
      <w:bookmarkEnd w:id="71"/>
    </w:p>
    <w:p>
      <w:pPr>
        <w:pStyle w:val="BookText"/>
        <w:rPr/>
      </w:pPr>
      <w:r>
        <w:rPr>
          <w:rFonts w:ascii="Amiri" w:hAnsi="Amiri" w:eastAsia="Amiri" w:cs="Amiri"/>
          <w:color w:val="111111"/>
          <w:sz w:val="28"/>
          <w:sz w:val="28"/>
          <w:szCs w:val="28"/>
          <w:rtl w:val="true"/>
          <w:lang w:bidi="ar-SA"/>
        </w:rPr>
        <w:t xml:space="preserve">لا خلاف في استباحة المسلوس للصلاة بوضوئه ، وهل يكتفى به لما شاء من الصلاة أقوال ثالثها التفصيل ، فيجوز الجمع في الظهرين والعصرين خاصّة ذهب إليه في المنتهى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جماعة من المتأخرين كصاحبي المدارك </w:t>
      </w:r>
      <w:r>
        <w:rPr>
          <w:rStyle w:val="FootnoteAnchor"/>
          <w:rtl w:val="true"/>
        </w:rPr>
        <w:footnoteReference w:id="157"/>
      </w:r>
      <w:r>
        <w:rPr>
          <w:rFonts w:ascii="IRNazanin" w:hAnsi="IRNazanin" w:eastAsia="IRNazanin"/>
          <w:color w:val="111111"/>
          <w:sz w:val="28"/>
          <w:sz w:val="28"/>
          <w:szCs w:val="28"/>
          <w:rtl w:val="true"/>
          <w:lang w:bidi="fa-IR"/>
        </w:rPr>
        <w:t xml:space="preserve">والحدائق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والأشهر بين الأصحاب عدم الاكتفاء به إلّا لصلاة واحدة ، وهو أحد قولي الشيخ </w:t>
      </w:r>
      <w:r>
        <w:rPr>
          <w:rStyle w:val="FootnoteAnchor"/>
          <w:rtl w:val="true"/>
        </w:rPr>
        <w:footnoteReference w:id="159"/>
      </w:r>
      <w:r>
        <w:rPr>
          <w:rFonts w:ascii="Amiri" w:hAnsi="Amiri" w:eastAsia="Amiri" w:cs="Amiri"/>
          <w:color w:val="111111"/>
          <w:sz w:val="28"/>
          <w:sz w:val="28"/>
          <w:szCs w:val="28"/>
          <w:rtl w:val="true"/>
          <w:lang w:bidi="ar-SA"/>
        </w:rPr>
        <w:t xml:space="preserve">والعلّامة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الأظهر ؛ أخذا بظاهر إطلاق الآية وإطلاق ما دلّ على ناقضيّة البول خرج عنه ما أجمع على عدم جريان حكم الحدث بالنسبة إليه ، وهو المتيقّن من الأخبار الواردة فيه ولذا يحكم بوجوب المبادرة إلى الصلاة عقيب الوضوء ، مضافا إلى الاحتياط في البراءة لقضاء الشغل اليقيني </w:t>
      </w:r>
      <w:r>
        <w:rPr>
          <w:rStyle w:val="FootnoteAnchor"/>
          <w:rtl w:val="true"/>
        </w:rPr>
        <w:footnoteReference w:id="161"/>
      </w:r>
      <w:r>
        <w:rPr>
          <w:rFonts w:ascii="Amiri" w:hAnsi="Amiri" w:eastAsia="Amiri" w:cs="Amiri"/>
          <w:color w:val="111111"/>
          <w:sz w:val="28"/>
          <w:sz w:val="28"/>
          <w:szCs w:val="28"/>
          <w:rtl w:val="true"/>
          <w:lang w:bidi="ar-SA"/>
        </w:rPr>
        <w:t>بالفراغ مع عدم قيام حجّة ظاهرة من الأخبار على الاكتفاء به لما يزيد على الصلاة الواحدة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مرّ في الاستحاضة القليلة المشاركة في دم الحدث من لزوم الوضوء لكلّ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ضعف ما احتجّ به للاكتفاء من أنّه لا دليل في </w:t>
      </w:r>
      <w:r>
        <w:rPr>
          <w:rStyle w:val="FootnoteAnchor"/>
          <w:rtl w:val="true"/>
        </w:rPr>
        <w:footnoteReference w:id="162"/>
      </w:r>
      <w:r>
        <w:rPr>
          <w:rFonts w:ascii="Amiri" w:hAnsi="Amiri" w:eastAsia="Amiri" w:cs="Amiri"/>
          <w:color w:val="111111"/>
          <w:sz w:val="28"/>
          <w:sz w:val="28"/>
          <w:szCs w:val="28"/>
          <w:rtl w:val="true"/>
          <w:lang w:bidi="ar-SA"/>
        </w:rPr>
        <w:t>لزوم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المستحاضة قياس حيث عرفت أنّ قضية الأصل بالعكس ، فلا بدّ من نهوض دليل على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 أيضا بموثقة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يقطر من فرجه إمّا دم أو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فتضع خريطه فليتوضأ وليصلّ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ذلك بلاء ابتلى به فلا يعيد إلّا من </w:t>
      </w:r>
      <w:r>
        <w:rPr>
          <w:rStyle w:val="FootnoteAnchor"/>
          <w:rtl w:val="true"/>
        </w:rPr>
        <w:footnoteReference w:id="164"/>
      </w:r>
      <w:r>
        <w:rPr>
          <w:rFonts w:ascii="Amiri" w:hAnsi="Amiri" w:eastAsia="Amiri" w:cs="Amiri"/>
          <w:color w:val="111111"/>
          <w:sz w:val="28"/>
          <w:sz w:val="28"/>
          <w:szCs w:val="28"/>
          <w:rtl w:val="true"/>
          <w:lang w:bidi="ar-SA"/>
        </w:rPr>
        <w:t>الحدث الّذي يتوضّأ عنه ؛ نظرا إلى ظهوره في كون الحدث نوعين ، فلا يكون البول حدثا بالنسبة إليه في صورة التقطير أو مطلقا كما احتمل ذلك في كلام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منه هو الأوّل ؛ لبعد الثاني عن الأدلّة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ظهور فيها فيما ذكر ، بل يحتمل أن يكون إشارة إلى عدم مانعية الدم لصحة الصلاة ، بل ربّما يستدلّ بظاهر إطلاقها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التفصيل صحيحة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يقطر منه البول أو الدم إذا كان حين الصلاة اتّخذ كيسا وجعل فيه قطنا ثمّ علّقه عليه وأدخل ذكره فيها ثمّ صلّى ويجمع بين الصلاتين الظهر والعصر يؤخّر الظهر ويعجّل العصر بأذان وإقامتين ، ويؤخّر المغرب ويؤجّل العشاء بأذان وإقامتين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دلالة ظاهرة في هذه الرواية على ذلك ؛ إذ ظاهر سياقها ورودها لبيان علاج سريان النجاسة والحكم بالعفو عنها في الصلاة ، وليس فيها ذكر الوضوء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والعفو منها من جهة النجاسة لا يقضي بالعفو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إنّهم نصّوا في المبطون بوجوب الوضوء لكلّ صلاة ، قال العلّامة قدس‌سره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بنائه في المسلوس على التفصيل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في الحكم ظاهر فيما بيّنّا ويأتي على القول بعدم وجوب التجديد هناك عدمه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الحكم المذكور فيمن يتواتر منه خروج الريح مع عدم التمكّن من حفظه ؛ إذ هو بمنزلة البول والغائط فلا يزيد حكمه عليها ، ولا وجه لسقوط الصلاة ولا تكليفه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يتواتر منه النوم ففي جريان الحكم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فيه سقوط الصلاة مع استيعاب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أخذ الحفظة في المبطون لاشتراكه للمسلوس في العلّة ، وإن لم يرد فيه نصّ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فيها إبدال الحفظة أو تطهيرها لكلّ صلاة؟ الظاهر العدم ؛ لظاهر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فيما تتم الصلاة فإن شمول الإطلاقات لها محلّ إشكال إلّا أن يقال بخروجها عن اسم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لهؤلاء فترة تسع الطهارة والصلاة ، فالظاهر إذن مراعاتها للتمكن معها من الفعل الاختياري ، فلا يعدل إلى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القول بعدمه إذا كانت في وسط الوقت أو آخره ؛ لعدم التمكن منه في الأول ، فينتقل إلى بدله لاستظهار عدمه </w:t>
      </w:r>
      <w:r>
        <w:rPr>
          <w:rStyle w:val="FootnoteAnchor"/>
          <w:rtl w:val="true"/>
        </w:rPr>
        <w:footnoteReference w:id="167"/>
      </w:r>
      <w:r>
        <w:rPr>
          <w:rFonts w:ascii="Amiri" w:hAnsi="Amiri" w:eastAsia="Amiri" w:cs="Amiri"/>
          <w:color w:val="111111"/>
          <w:sz w:val="28"/>
          <w:sz w:val="28"/>
          <w:szCs w:val="28"/>
          <w:rtl w:val="true"/>
          <w:lang w:bidi="ar-SA"/>
        </w:rPr>
        <w:t>عموم البدليّة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مع رجاء زوال العذر مخالف لما يقتضيه اليقين بالشغل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اتّفق حصول فترة في الأثناء ، فالظاهر عدم وجوب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وجوب مراعاة الأخفّ من أحواله مع اختلافها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بل الأحوط مراعاته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فاجأ المبطون الحدث في أثناء الصلاة فعن الأكثر أنّه 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على صلاته ، وفصّل في المختلف </w:t>
      </w:r>
      <w:r>
        <w:rPr>
          <w:rStyle w:val="FootnoteAnchor"/>
          <w:rtl w:val="true"/>
        </w:rPr>
        <w:footnoteReference w:id="168"/>
      </w:r>
      <w:r>
        <w:rPr>
          <w:rFonts w:ascii="Amiri" w:hAnsi="Amiri" w:eastAsia="Amiri" w:cs="Amiri"/>
          <w:color w:val="111111"/>
          <w:sz w:val="28"/>
          <w:sz w:val="28"/>
          <w:szCs w:val="28"/>
          <w:rtl w:val="true"/>
          <w:lang w:bidi="ar-SA"/>
        </w:rPr>
        <w:t>بين ما إذا كان له فترة تسع الطهارة والصلاة وعدمه ، فعلى الأوّل يفسد صلاته ؛ إذ لا ضرورة معها فيشملها إطلاق ما دلّ على فسادها بالحدث ، وعلى الثاني تصح من غير حاجة إلى التطهير للعفو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المتأخرين التفصيل بين ما إذا استمرّ حدثه بحيث لا يمكنه الدخول في الصلاة من دونه ، وما إذا أمكنه الدخول بغير الإتمام ، وما إذا كان له فترة يتمكّن معها من الإتمام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يتمّ الصلاة من دون إعادة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فالمشهور وجوب التطهير متى </w:t>
      </w:r>
      <w:r>
        <w:rPr>
          <w:rStyle w:val="FootnoteAnchor"/>
          <w:rtl w:val="true"/>
        </w:rPr>
        <w:footnoteReference w:id="169"/>
      </w:r>
      <w:r>
        <w:rPr>
          <w:rFonts w:ascii="Amiri" w:hAnsi="Amiri" w:eastAsia="Amiri" w:cs="Amiri"/>
          <w:color w:val="111111"/>
          <w:sz w:val="28"/>
          <w:sz w:val="28"/>
          <w:szCs w:val="28"/>
          <w:rtl w:val="true"/>
          <w:lang w:bidi="ar-SA"/>
        </w:rPr>
        <w:t>فاجأه في الأثناء ويبني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يجب عليه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 إذ ذاك هو المستفاد من الأخبار الواردة فيه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البطن الغالب يتوضأ ويبني على صلاته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المبطون؟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صلاته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البطن يتوضّأ ثمّ يرجع في صلاته فيتمّ ما بقي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w:t>
      </w:r>
      <w:r>
        <w:rPr>
          <w:rStyle w:val="FootnoteAnchor"/>
          <w:rtl w:val="true"/>
        </w:rPr>
        <w:footnoteReference w:id="174"/>
      </w:r>
      <w:r>
        <w:rPr>
          <w:rFonts w:ascii="Amiri" w:hAnsi="Amiri" w:eastAsia="Amiri" w:cs="Amiri"/>
          <w:color w:val="111111"/>
          <w:sz w:val="28"/>
          <w:sz w:val="28"/>
          <w:szCs w:val="28"/>
          <w:rtl w:val="true"/>
          <w:lang w:bidi="ar-SA"/>
        </w:rPr>
        <w:t xml:space="preserve">هذه أصرح ما في الباب ؛ لعدم اشتمال الأوّلين صريحا على كون الطهارة المأمور بها في الأثناء ، فالظاهر من هذه الأخبار فرض الحكم فيمن دخل متطهّرا أو عرض له الحدث </w:t>
      </w:r>
    </w:p>
    <w:p>
      <w:pPr>
        <w:pStyle w:val="BookText"/>
        <w:rPr/>
      </w:pP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الفرد الشائع فيه </w:t>
      </w:r>
      <w:r>
        <w:rPr>
          <w:rStyle w:val="FootnoteAnchor"/>
          <w:rtl w:val="true"/>
        </w:rPr>
        <w:footnoteReference w:id="175"/>
      </w:r>
      <w:r>
        <w:rPr>
          <w:rFonts w:ascii="Amiri" w:hAnsi="Amiri" w:eastAsia="Amiri" w:cs="Amiri"/>
          <w:color w:val="111111"/>
          <w:sz w:val="28"/>
          <w:sz w:val="28"/>
          <w:szCs w:val="28"/>
          <w:rtl w:val="true"/>
          <w:lang w:bidi="ar-SA"/>
        </w:rPr>
        <w:t>منه بخلاف المسلوس ، ولذا لم يرد الحكم بالبناء فيه مع اشتراكه له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مشروعيّة الدخول في الصلاة مع الحدث فالظاهر مشروعيّة الاستمرار ؛ إذ لا ثمرة ظاهرا للتطهير ثانيا مع خروجه عن ظاهر الأخبار ، بل ودلالة بعض تعليلات المسلوس على مضيّه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تكرّر منه الحدث في الأثناء فالظاهر وجوب تكرار الطهارة إلّا أن يوجب العسر أو الخروج عن وضع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فهل يستمرّ على الفعل أو يتطهّر أو لا يبنى عليه من غير التفات إلى الأحداث إلّا دفعة؟ وجهان أحوطهما الأخير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وفي جريان الحكم على التفصيل المذكور بالنسبة إلى المسلوس وجه قويّ ، وإن لم يذكر في الأخبار وخلا عنه كلام كثير من الأصحاب</w:t>
      </w:r>
      <w:r>
        <w:rPr>
          <w:rFonts w:eastAsia="Amiri" w:cs="Amiri" w:ascii="Amiri" w:hAnsi="Amiri"/>
          <w:color w:val="111111"/>
          <w:sz w:val="28"/>
          <w:szCs w:val="28"/>
          <w:rtl w:val="true"/>
          <w:lang w:bidi="ar-SA"/>
        </w:rPr>
        <w:t xml:space="preserve">. </w:t>
      </w:r>
      <w:bookmarkStart w:id="72" w:name="pg15839_360641"/>
    </w:p>
    <w:p>
      <w:pPr>
        <w:pStyle w:val="Heading2"/>
        <w:numPr>
          <w:ilvl w:val="1"/>
          <w:numId w:val="1"/>
        </w:numPr>
        <w:rPr/>
      </w:pPr>
      <w:bookmarkStart w:id="73" w:name="__RefHeading___Toc14338349_2142443653"/>
      <w:bookmarkStart w:id="74" w:name="_Toc27"/>
      <w:bookmarkEnd w:id="72"/>
      <w:bookmarkEnd w:id="73"/>
      <w:r>
        <w:rPr>
          <w:rtl w:val="true"/>
        </w:rPr>
        <w:t>البحث السادس</w:t>
      </w:r>
      <w:r>
        <w:rPr>
          <w:rtl w:val="true"/>
        </w:rPr>
        <w:t xml:space="preserve">: </w:t>
      </w:r>
      <w:r>
        <w:rPr>
          <w:rtl w:val="true"/>
        </w:rPr>
        <w:t>في اللواحق</w:t>
      </w:r>
      <w:bookmarkEnd w:id="74"/>
    </w:p>
    <w:p>
      <w:pPr>
        <w:pStyle w:val="Heading3"/>
        <w:numPr>
          <w:ilvl w:val="2"/>
          <w:numId w:val="1"/>
        </w:numPr>
        <w:rPr/>
      </w:pPr>
      <w:bookmarkStart w:id="75" w:name="__RefHeading___Toc14338351_2142443653"/>
      <w:bookmarkStart w:id="76" w:name="_Toc28"/>
      <w:bookmarkEnd w:id="75"/>
      <w:r>
        <w:rPr>
          <w:rtl w:val="true"/>
        </w:rPr>
        <w:t>تبصرة</w:t>
      </w:r>
      <w:r>
        <w:rPr>
          <w:rtl w:val="true"/>
        </w:rPr>
        <w:t xml:space="preserve">: [ </w:t>
      </w:r>
      <w:r>
        <w:rPr>
          <w:rtl w:val="true"/>
        </w:rPr>
        <w:t xml:space="preserve">في الشك في أفعال الوضوء </w:t>
      </w:r>
      <w:r>
        <w:rPr>
          <w:rtl w:val="true"/>
        </w:rPr>
        <w:t>]</w:t>
      </w:r>
      <w:bookmarkEnd w:id="76"/>
    </w:p>
    <w:p>
      <w:pPr>
        <w:pStyle w:val="Heading4"/>
        <w:numPr>
          <w:ilvl w:val="3"/>
          <w:numId w:val="1"/>
        </w:numPr>
        <w:rPr/>
      </w:pPr>
      <w:bookmarkStart w:id="77" w:name="__RefHeading___Toc14338353_2142443653"/>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لو شكّ في شي‌ء من أفعال الوضوء فإن كان في حال الوضوء وجب العود إليه سواء انتقل من ذلك الفعل إلى غير من أفعاله أو لا ، وإن لم يكن في حال الوضوء فلا يلتفت على المعروف بين الأصحاب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إطباقهم على الحكمين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بعد اتفاقهم عليه ظاهرا وقضاء الأصل به حيث إنّ الشك في العمل يوجب الشك في الامتثال الموجب لبقاء الشغل ، خصوص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قاعدا على وضوئك فلم تدر أغسلت ذراعيك أم لا فأعد عليها ، وعلى جميع ما شككت فيه أنّك لم تغسله ممّا سمّى اللّه ما دمت في حال الوضوء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يخصّص بذلك ما دلّ من العمومات على عدم العبرة بالشك مع فوات المحلّ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خرجت من شي‌ء ثمّ دخلت في غيره فشكك ليس بشي‌ء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كما هو الشأن في العموم والخصوص المطلق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شي‌ء من الوضوء وقد دخلت في غيره فليس شكك </w:t>
      </w:r>
    </w:p>
    <w:p>
      <w:pPr>
        <w:pStyle w:val="BookText"/>
        <w:rPr/>
      </w:pPr>
      <w:r>
        <w:rPr>
          <w:rFonts w:ascii="Amiri" w:hAnsi="Amiri" w:eastAsia="Amiri" w:cs="Amiri"/>
          <w:color w:val="111111"/>
          <w:sz w:val="28"/>
          <w:sz w:val="28"/>
          <w:szCs w:val="28"/>
          <w:rtl w:val="true"/>
          <w:lang w:bidi="ar-SA"/>
        </w:rPr>
        <w:t xml:space="preserve">بشي‌ء إنّما الشك إذا كنت في شي‌ء لم تجزه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فيدل على عدم العبرة بالشك مع فوات المحلّ في خصوص الوضوء ؛ لظهور رجوع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يفصح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فيتدافع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ترجيح الأوّل ؛ لصحته مضافا إلى اعتضاده بالاحتياط وعمل الأصحاب وإن كان ذاك أيضا مؤيّدا بالعمومات إلّا أنّه لا يقاوم ما ذكروه ، مضافا إلى عدم صراحته في المطلق ؛ لإمكان رجوع الضمير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ليس صريحا في خلافه ولا دالّا بنفسه كذلك على الحكم ؛ لإمكان رجوع الضمير إلى الوضوء كلّه ؛ نظرا إلى قلّة أفعاله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الخبر الأخير أخصّ من الأوّل لدلالته على وجوب العود مع بقائه على حال الوضوء ، وقد قيّده الأخير بصورة عدم الفوت من محلّ الفعل ، فقضيّة القواعد إذن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كالصريح في عدم الفرق بين القسمين ، مضافا إلى فهم الأصحاب وإطباقهم عليه ، فهو مقدّم على الآخر قطعا ؛ إذ لا عبرة بالصحاح في مقابلة الإجماع فكيف بالموثقة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المدار في وجوب الرجوع إلى المشكوك هل هو حال الاشتغال بالأفعال أو يثبت مع بقائه في المحلّ وإن فرغ من الوضوء إذا لم يشتغل بغيره من الأفعال؟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على الثاني عدم حصول الفصل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 الجفاف به بناء على ذلك القول في وجه قوي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الأوّل ، وهو المشهور كما في الحدائق </w:t>
      </w:r>
      <w:r>
        <w:rPr>
          <w:rStyle w:val="FootnoteAnchor"/>
          <w:rtl w:val="true"/>
        </w:rPr>
        <w:footnoteReference w:id="179"/>
      </w:r>
      <w:r>
        <w:rPr>
          <w:rFonts w:ascii="Amiri" w:hAnsi="Amiri" w:eastAsia="Amiri" w:cs="Amiri"/>
          <w:color w:val="111111"/>
          <w:sz w:val="28"/>
          <w:sz w:val="28"/>
          <w:szCs w:val="28"/>
          <w:rtl w:val="true"/>
          <w:lang w:bidi="ar-SA"/>
        </w:rPr>
        <w:t xml:space="preserve">؛ أخذا بعموم ما دلّ على عدم العبرة </w:t>
      </w:r>
    </w:p>
    <w:p>
      <w:pPr>
        <w:pStyle w:val="BookText"/>
        <w:rPr/>
      </w:pPr>
      <w:r>
        <w:rPr>
          <w:rFonts w:ascii="Amiri" w:hAnsi="Amiri" w:eastAsia="Amiri" w:cs="Amiri"/>
          <w:color w:val="111111"/>
          <w:sz w:val="28"/>
          <w:sz w:val="28"/>
          <w:szCs w:val="28"/>
          <w:rtl w:val="true"/>
          <w:lang w:bidi="ar-SA"/>
        </w:rPr>
        <w:t xml:space="preserve">بالشك بعد الفراغ كقوله عليه‌السلام 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شككت فيه ممّا قد مضى فامضه كما هو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وخصوص ما دلّ على عدم العبرة بالشك في الوضوء بعد الإتمام ، ففي موثقة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يتوضّأ؟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حين يتوضّأ أذكر منه حين يشك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ذلك هو الظاهر من الصحيحة المذكورة ، ولا ينافيه ما بعده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من الوضوء وفرغت منه وقد صرت في حال أخرى في الصلاة أو في غيرها فشككت في بعض ما سمّى اللّه ممّا أوجب اللّه عليك فيه وضوء لا شي‌ء عليك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إذ الظاهر أنّ ذكر خصوص المقام مبنيّ على الغالب كما يومي إليه تعيينه بالفراغ وصيرورته في حال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تلبّس بفعل من الأفعال أوّلا والتمثيل بالصلاة لا يخصّه بذلك ، ولو فرض ظهوره في اعتبار ذلك لمفهوم معارض بمفهوم التعسّر السابقة ، وبملاحظته يحصل الاحتمال المانع من الاستدلال ؛ مضافا إلى أنّ ظاهره اعتبار القيام ، فلو انتقل عن المحلّ من دونه لزم بقاء 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من دون انتقال جرى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القائل به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ظاهره اعتبار الأمرين من الانتقال والدخول في فعل آخر ، وظاهر المنقول عنهم الاكتفاء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الوجه في الاشتراط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إشكال فيما إذا عرض الشك بالنسبة إلى آخر الأجزاء ؛ لعدم تحقّق الفراغ المقتضي للإجزاء ، والوجه فيه الرجوع فيه إلى نفسه فإن وجد ماء على حال الفراغ وإكمال الأفعال فالظاهر صدق كون الشك بعد الفراغ</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الفصل الطويل أو الجفاف فالحكم أظهر وأولى منهما لو اشتغل بعبادة مشروطة بها</w:t>
      </w:r>
      <w:r>
        <w:rPr>
          <w:rFonts w:eastAsia="Amiri" w:cs="Amiri" w:ascii="Amiri" w:hAnsi="Amiri"/>
          <w:color w:val="111111"/>
          <w:sz w:val="28"/>
          <w:szCs w:val="28"/>
          <w:rtl w:val="true"/>
          <w:lang w:bidi="ar-SA"/>
        </w:rPr>
        <w:t xml:space="preserve">. </w:t>
      </w:r>
      <w:bookmarkStart w:id="79" w:name="pg15839_360644"/>
    </w:p>
    <w:p>
      <w:pPr>
        <w:pStyle w:val="BookText"/>
        <w:rPr/>
      </w:pPr>
      <w:bookmarkEnd w:id="79"/>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شكّ في مسح رأسه ورجليه حال تلبّسه بالصلاة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من لحيته لو كانت مبتلّة ويمسح به رأسه وكان أمامه ماء تناول ماء جديدا ومسح به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صحّة الوضوء ، وإلّا لوجب عليه استيناف الصلاة ، فالرجوع إلى المسح كأنّه محمول على الندب إن عمل به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4338355_2142443653"/>
      <w:bookmarkStart w:id="81" w:name="_Toc30"/>
      <w:bookmarkEnd w:id="80"/>
      <w:r>
        <w:rPr>
          <w:rtl w:val="true"/>
        </w:rPr>
        <w:t xml:space="preserve">[ </w:t>
      </w:r>
      <w:r>
        <w:rPr>
          <w:rtl w:val="true"/>
        </w:rPr>
        <w:t xml:space="preserve">تنبيهات </w:t>
      </w:r>
      <w:r>
        <w:rPr>
          <w:rtl w:val="true"/>
        </w:rPr>
        <w:t>]</w:t>
      </w:r>
      <w:bookmarkEnd w:id="81"/>
    </w:p>
    <w:p>
      <w:pPr>
        <w:pStyle w:val="BookText"/>
        <w:rPr/>
      </w:pPr>
      <w:r>
        <w:rPr>
          <w:rFonts w:ascii="Amiri" w:hAnsi="Amiri" w:eastAsia="Amiri" w:cs="Amiri"/>
          <w:color w:val="111111"/>
          <w:sz w:val="28"/>
          <w:sz w:val="28"/>
          <w:szCs w:val="28"/>
          <w:rtl w:val="true"/>
          <w:lang w:bidi="ar-SA"/>
        </w:rPr>
        <w:t xml:space="preserve">وينبغي هنا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جميع ما تقدّم على العضو المشكوك لزمه فساد الوضوء ؛ للحكم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غسل المشكوك ، ومعه بفوت الموالاة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كلام الأصحاب ، بل عزاه في الحدائق </w:t>
      </w:r>
      <w:r>
        <w:rPr>
          <w:rStyle w:val="FootnoteAnchor"/>
          <w:rtl w:val="true"/>
        </w:rPr>
        <w:footnoteReference w:id="184"/>
      </w:r>
      <w:r>
        <w:rPr>
          <w:rFonts w:ascii="Amiri" w:hAnsi="Amiri" w:eastAsia="Amiri" w:cs="Amiri"/>
          <w:color w:val="111111"/>
          <w:sz w:val="28"/>
          <w:sz w:val="28"/>
          <w:szCs w:val="28"/>
          <w:rtl w:val="true"/>
          <w:lang w:bidi="ar-SA"/>
        </w:rPr>
        <w:t>إليهم مشعرا باتفاقهم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فيه صاحب الحدائق ، بل ظاهره عدم الفساد ؛ أخذا بإطلاق ما دلّ في المقام على الرجوع إلى العضو المشكوك من غير تفصيل بين الوجهين ، مع عدم شمول ما دلّ على اشتراط عدم الجفاف لمثله ؛ لاختصاصه بصورة الجفاف الحاصل من جهة نفاد الماء وطروّ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أنّ ما دلّ على </w:t>
      </w:r>
      <w:r>
        <w:rPr>
          <w:rStyle w:val="FootnoteAnchor"/>
          <w:rtl w:val="true"/>
        </w:rPr>
        <w:footnoteReference w:id="185"/>
      </w:r>
      <w:r>
        <w:rPr>
          <w:rFonts w:ascii="Amiri" w:hAnsi="Amiri" w:eastAsia="Amiri" w:cs="Amiri"/>
          <w:color w:val="111111"/>
          <w:sz w:val="28"/>
          <w:sz w:val="28"/>
          <w:szCs w:val="28"/>
          <w:rtl w:val="true"/>
          <w:lang w:bidi="ar-SA"/>
        </w:rPr>
        <w:t>اعتبار الموالاة بالمعنى المذكور وإن ورد في خصوص المقام المفروض لا يقضي بتخصيص الحكم ، بل الظاهر عدم الفرق كما 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منه بمعونة فهم الأصحاب دوران الحكم مدار الجفاف ، والأحكام الوضعيّة لا يفرق فيها بين المتعمّد وغيره ، والاقتصار على خصوص مورد الخبرين الواردين في الموالاة من دون تقديمه عنه أصلا لا يعرف قائل به من الأصحاب ، بل الظاهر انّه خلاف ما أفتى به هناك ، وإن صرّح في المقام بالاقتصار على مدلولهما ؛ لنصّه هناك على حصول الفساد بالجفاف من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حاصل في المقام بناء على الظاهر من الحكم ؛ لعدم الإتيان بالمشكوك إذا أتى </w:t>
      </w:r>
    </w:p>
    <w:p>
      <w:pPr>
        <w:pStyle w:val="BookText"/>
        <w:rPr/>
      </w:pPr>
      <w:r>
        <w:rPr>
          <w:rFonts w:ascii="Amiri" w:hAnsi="Amiri" w:eastAsia="Amiri" w:cs="Amiri"/>
          <w:color w:val="111111"/>
          <w:sz w:val="28"/>
          <w:sz w:val="28"/>
          <w:szCs w:val="28"/>
          <w:rtl w:val="true"/>
          <w:lang w:bidi="ar-SA"/>
        </w:rPr>
        <w:t>بما بعده ، والإطلاق الوارد في المقام بالرجوع إلى المشكوك منزّل على الغالب من بقاء الرطوبة ، فيظهر بذلك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تأيّده بالشهرة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كثير الشكّ في الوضوء كالصلاة في عدم الالتفات وإن ورد الأخبار </w:t>
      </w:r>
      <w:r>
        <w:rPr>
          <w:rStyle w:val="FootnoteAnchor"/>
          <w:rtl w:val="true"/>
        </w:rPr>
        <w:footnoteReference w:id="186"/>
      </w:r>
      <w:r>
        <w:rPr>
          <w:rFonts w:ascii="Amiri" w:hAnsi="Amiri" w:eastAsia="Amiri" w:cs="Amiri"/>
          <w:color w:val="111111"/>
          <w:sz w:val="28"/>
          <w:sz w:val="28"/>
          <w:szCs w:val="28"/>
          <w:rtl w:val="true"/>
          <w:lang w:bidi="ar-SA"/>
        </w:rPr>
        <w:t xml:space="preserve">في خصوص الصلاة ؛ لدلالة فحواها على عموم الحكم لكلّ العبادات ، 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تعودوا الخبيث من أنفسكم نقض الصلاة فتطيعوه ، فإنّ الشيطان خبيث معتاد لما عوّد فليمض أحدكم في الوهم ، ولا يكثرنّ نقض الصلاة ، فإنّه إذا فعل ذلك مرّات لم يعد إليه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الخبيث أن يطاع ، فإذا عصي لم يعد إلى أحدكم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كالصريح في التعميم وشمول الحكم لسائر المقامات ، مضافا إلى لزوم العسر والحرج مع البناء على وجوب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في خصوص الوضوء ظاهر قول الصادق عليه‌السلام في صحيحة عبد اللّه بن سنان حيث ذكر له ابتلاء رجل بالوضوء والصلاة ووصف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له وهو مطيع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يطيع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هذا الّذي يأتيه من أي شي‌ء هو؟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الشيطان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الظاهر وروده في الوسواس إلّا أنّ ظاهر إطلاقه يعمّ ذلك ، بل لا يبعد اندراج كثير منها في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عدم الالتفات إلى الشكّ هو البناء على الإتيان بالفعل المشكوك هل هو رخصة من الشرع أو عزيمة فيحرم الرجوع؟ وجهان أوجههما الأخير ؛ لظاهر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أدلّة الاحتياط معارض بما يستفاد من النهي في المقام سيّما إذا وصل إلى حدّ الوسواس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بعض المتأخرين بكونه من قبيل الرخصة ، ولا مانع من الفعل أخذا بعمومات </w:t>
      </w:r>
    </w:p>
    <w:p>
      <w:pPr>
        <w:pStyle w:val="BookText"/>
        <w:rPr/>
      </w:pPr>
      <w:r>
        <w:rPr>
          <w:rFonts w:ascii="Amiri" w:hAnsi="Amiri" w:eastAsia="Amiri" w:cs="Amiri"/>
          <w:color w:val="111111"/>
          <w:sz w:val="28"/>
          <w:sz w:val="28"/>
          <w:szCs w:val="28"/>
          <w:rtl w:val="true"/>
          <w:lang w:bidi="ar-SA"/>
        </w:rPr>
        <w:t>الاحتياط الموجب للمشي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كثرة الشكّ وقلّته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يجده في الصلاة بتوالي الشك في ثلاث ، وربّما يدلّ عليه بعض المعتبرة إلّا أنّ الأظهر حمله على بيان مصداق من مصاديقه كما هو الظاهر من الرواية ، ثمّ بعد ثبوت الكثرة يستصحب حكمها إلى أن يعلم الزوال ، ويرجع فيه أيضا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اعتبار الشك في خصوص ما تكثر فيه وقوعه فيه أو يعمّ غيره من سائر الأفراد الّتي يقع فيها الشكّ وإن لم يكثر فيها بالخصوص أو يعمّ الشكوك الواقعة في سائر الأفعال؟ وجوه أظهرها الثاني إلّا أن تحصل </w:t>
      </w:r>
      <w:r>
        <w:rPr>
          <w:rStyle w:val="FootnoteAnchor"/>
          <w:rtl w:val="true"/>
        </w:rPr>
        <w:footnoteReference w:id="189"/>
      </w:r>
      <w:r>
        <w:rPr>
          <w:rFonts w:ascii="Amiri" w:hAnsi="Amiri" w:eastAsia="Amiri" w:cs="Amiri"/>
          <w:color w:val="111111"/>
          <w:sz w:val="28"/>
          <w:sz w:val="28"/>
          <w:szCs w:val="28"/>
          <w:rtl w:val="true"/>
          <w:lang w:bidi="ar-SA"/>
        </w:rPr>
        <w:t>الكثرة لحصول الشك بالنسبة إلى كثير من الأفعال ، فالظاهر إذن تعميمه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البناء على الثالث لما يستفاد من النهي عن تقوية الخبيث ويمكّنه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بالاعتناء بالشك مع الكثرة وإن كان بالنسبة إلى الأفعال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الظن في المقام كالشكّ ؛ لعدم قيام دليل على حجّية الظن فيه ، وبعض العمومات الدالّة على حجيّته لم ينقل بطريق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أبي يحيى الواسطي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شكّ في غسل ذراعيه ويده انّه إذا وجد برد الماء على ذراعه فلا يعيد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إشارة إلى اعتبار الظن فيه إلّا أنّها لضعفها وعدم وضوح دلالتها لا ينهض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فيه حكم الشكّ بعد فوات المحلّ؟ وجهان ؛ من أنّه بمنزلته بعد عدم حجيّته ، وأنّ الرجوع بعد فوات المحلّ خلاف الأصل ، فيقتصر فيه على مورد النصّ ، وهو صورة الشكّ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الأوّل لما عرفت من أنّ الأصل الأصيل وجوب الرجوع ؛ نظرا إلى أنّ عدم </w:t>
      </w:r>
    </w:p>
    <w:p>
      <w:pPr>
        <w:pStyle w:val="BookText"/>
        <w:rPr/>
      </w:pPr>
      <w:r>
        <w:rPr>
          <w:rFonts w:ascii="Amiri" w:hAnsi="Amiri" w:eastAsia="Amiri" w:cs="Amiri"/>
          <w:color w:val="111111"/>
          <w:sz w:val="28"/>
          <w:sz w:val="28"/>
          <w:szCs w:val="28"/>
          <w:rtl w:val="true"/>
          <w:lang w:bidi="ar-SA"/>
        </w:rPr>
        <w:t>العلم بإتيان الجزء كعدم العلم بإتيان الكلّ ، فلا يحصل اليقين بالبراءة ، غاية الأمر إخراج حكم الشكّ مع فوات المحلّ في غير الوضوء ، فيتبعه الظنّ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الوضوء فلمّا وجب الرجوع في صورة الشكّ بقي الظنّ فيه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قضيّة تلك الإطلاقات عدم الرجوع بعد فوات المحلّ مطلقا ، فبعد خروج صورة الشكّ المتعلّق بأبعاض الوضوء يبقى غيره على مقتضاها موهون بأنّ دلالتها على الظنّ إنّما هي من باب الأولويّة ، فبعد ثبوت التخصيص في المنطوق لا يبقى فيها دلالة على المفهوم بالنسبة إلى ما خصّص به المنطوق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احتمال شمول الشكّ في المقام للظنّ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فيه حكم كثير الشكّ مع تحقّق الكثرة فيه ، ولو كثر منه الشكّ خاصّة ففي عدم اعتنائه بالاحتمال الحاصل في الظن أيضا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عكسه وجهان ، وكذا إذا كثر منه الشكّ فطرء له الظن بالترك ، والأحوط فيهما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الشك بشرط الوضوء جرى فيه حكم الشك في الأفعال مع بقاء المحلّ ، ومع فواته ففيه وجهان ؛ من رجوع الشكّ في الشرط إلى الشك في نفس الفعل ، ومن أنّ ظاهر الرواية الشك في إيقاع أصل الفعل ، فيبقى غيره تحت 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شكّ في فوات الموالاة فإن شكّ في حصول الجفاف قوي البناء على البقاء ، ولو تيقّن بالجفاف وشكّ في تأخره عن الشروع في اللاحق وتقدّمه عليه فإن علم وقت الشروع أو الجفاف قوي البناء على أصالة تأخّر الآخر ، وإلّا ففيه الوجهان السابقان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لو شكّ في الحدث بعد تيقّن الطهارة فلا عبرة به كما أنّه لا عبرة بالطهارة المشكوكة بعد اليقين بالحدث بلا خلاف في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يستثنى منه خروج بالشكّ في بوليته بعد البول قبل الاستبراء ، فإنّه يحكم بنقضه الوضوء على المعروف بين الأصحاب ، على ما مرّ 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محكوم شرعا ببوليته ، وكذا </w:t>
      </w:r>
      <w:r>
        <w:rPr>
          <w:rStyle w:val="FootnoteAnchor"/>
          <w:rtl w:val="true"/>
        </w:rPr>
        <w:footnoteReference w:id="192"/>
      </w:r>
      <w:r>
        <w:rPr>
          <w:rFonts w:ascii="Amiri" w:hAnsi="Amiri" w:eastAsia="Amiri" w:cs="Amiri"/>
          <w:color w:val="111111"/>
          <w:sz w:val="28"/>
          <w:sz w:val="28"/>
          <w:szCs w:val="28"/>
          <w:rtl w:val="true"/>
          <w:lang w:bidi="ar-SA"/>
        </w:rPr>
        <w:t>يحكم بنجاسة عينه كما مرّ ، فلا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الروايات بما ذكرنا 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بعد حكمه بعدم انتقاض الوضوء إلّا باليقين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فانّه على يقين من وضوئه ولا ينقض اليقين أبدا بالشكّ ولكن ينقضه بيقين آخر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تحدث وضوء أبدا حتّى تستيقن أنّك قد أحدثت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الدالّة على عدم نقض اليقين بالشكّ قريبة من التواتر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فيه بأنّ الشك ضدّ اليقين ، فلا بقاء له مع الشك ، فكيف يصحّ القول بعدم نقض اليقين بالشك مع أنّها منتفضة بطروّه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واندفاعه ظاهر ؛ فإنّ المراد باليقين حكمه ، والمقصود أنّه يجب البقاء على حكمه حتّى يتيقّن بانتقاضه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 لا اتّحاد بين زماني العلم والشك ، بل المقصود عدم نقض اليقين الحاصل في السابق إلّا باليقين الحاصل برفعه ، فالمقصود الحكم ببقاء حكمه إلى أن يعلم المزيل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195"/>
      </w:r>
      <w:r>
        <w:rPr>
          <w:rFonts w:ascii="Amiri" w:hAnsi="Amiri" w:eastAsia="Amiri" w:cs="Amiri"/>
          <w:color w:val="111111"/>
          <w:sz w:val="28"/>
          <w:sz w:val="28"/>
          <w:szCs w:val="28"/>
          <w:rtl w:val="true"/>
          <w:lang w:bidi="ar-SA"/>
        </w:rPr>
        <w:t xml:space="preserve">بعد دفعه الإشكال بما ذكرنا ، وتعليله الحكم بأصالة بقاء ما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فيؤول إلى اجتماع الظن والشك في الزمان الواحد فيرجح </w:t>
      </w:r>
      <w:r>
        <w:rPr>
          <w:rStyle w:val="FootnoteAnchor"/>
          <w:rtl w:val="true"/>
        </w:rPr>
        <w:footnoteReference w:id="196"/>
      </w:r>
      <w:r>
        <w:rPr>
          <w:rFonts w:ascii="Amiri" w:hAnsi="Amiri" w:eastAsia="Amiri" w:cs="Amiri"/>
          <w:color w:val="111111"/>
          <w:sz w:val="28"/>
          <w:sz w:val="28"/>
          <w:szCs w:val="28"/>
          <w:rtl w:val="true"/>
          <w:lang w:bidi="ar-SA"/>
        </w:rPr>
        <w:t xml:space="preserve">الظنّ عليه كما هو مطّرد في العبادات ويتراءى أي من ظاهر كلامه بخبرين اجتماع الظنّ والشك في الزمان الواحد مع أنّه </w:t>
      </w:r>
    </w:p>
    <w:p>
      <w:pPr>
        <w:pStyle w:val="BookText"/>
        <w:rPr/>
      </w:pPr>
      <w:r>
        <w:rPr>
          <w:rFonts w:ascii="Amiri" w:hAnsi="Amiri" w:eastAsia="Amiri" w:cs="Amiri"/>
          <w:color w:val="111111"/>
          <w:sz w:val="28"/>
          <w:sz w:val="28"/>
          <w:szCs w:val="28"/>
          <w:rtl w:val="true"/>
          <w:lang w:bidi="ar-SA"/>
        </w:rPr>
        <w:t>بديهيّ الفساد كالأوّل ، لكن الظاهر أنّه وجود الظن والشك الفعليين كما يتوهّم ، وإنّما عني حصول الشكّ مع عدم النظر عن الاستصحاب ليس على ما ينبغي ؛ إذ الظاهر عدم دوران الحكم فيه مدار الظن كما فصّل في محلّه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بأنّ المقصود من الحدث نفس السبب لا الأمر الحاصل منه ، واليقين بحصوله بهذا المعنى لا ينافي الشكّ في وقوع الطهارة بعده وإن اتّحد وقتهما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يرجع إلى بيان اختلاف متعلّقي اليقين والشكّ ، فلا مانع من ثبوتهما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حمل العبارة على المعنى الأخير لم يصحّ الاستناد إليها في الحكم بالطهارة عند طروّ الشكّ في مطابقة اليقين للواقع ؛ لعدم بقاء اليقين ، فلا يقين إذن بالطهارة لئلا يرتفع إلّا باليقين كما قد يتوهّم بناء على أنّ </w:t>
      </w:r>
      <w:r>
        <w:rPr>
          <w:rStyle w:val="FootnoteAnchor"/>
          <w:rtl w:val="true"/>
        </w:rPr>
        <w:footnoteReference w:id="197"/>
      </w:r>
      <w:r>
        <w:rPr>
          <w:rFonts w:ascii="Amiri" w:hAnsi="Amiri" w:eastAsia="Amiri" w:cs="Amiri"/>
          <w:color w:val="111111"/>
          <w:sz w:val="28"/>
          <w:sz w:val="28"/>
          <w:szCs w:val="28"/>
          <w:rtl w:val="true"/>
          <w:lang w:bidi="ar-SA"/>
        </w:rPr>
        <w:t>حملها على المعنى الأوّل ؛ نظرا إلى أنّ قضية إطلاقه عدم انتفاض حكم اليقين السابق إلّا بيقين آخر سواء عرض الشك في عروض الناقض أو نقض العارض أو مطابقة اليقين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عدم تعيّن </w:t>
      </w:r>
      <w:r>
        <w:rPr>
          <w:rStyle w:val="FootnoteAnchor"/>
          <w:rtl w:val="true"/>
        </w:rPr>
        <w:footnoteReference w:id="198"/>
      </w:r>
      <w:r>
        <w:rPr>
          <w:rFonts w:ascii="Amiri" w:hAnsi="Amiri" w:eastAsia="Amiri" w:cs="Amiri"/>
          <w:color w:val="111111"/>
          <w:sz w:val="28"/>
          <w:sz w:val="28"/>
          <w:szCs w:val="28"/>
          <w:rtl w:val="true"/>
          <w:lang w:bidi="ar-SA"/>
        </w:rPr>
        <w:t>حمل العبارة على المعنى المذكور لإمكان حملها على المعنى الآخر ، ومع حملها عليه فالمنساق منها بمقتضى المقام عدم نقضه بالشكّ في الانتقاض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عبرة بالشكّ بعد اليقين لا عبرة بالظنّ أيضا ؛ لعدم قيام دليل على حجيّته ؛ ولأن الظاهر من مقابلة الشك باليقين أنّ المقصود به المعنى الأعم ، بل الظاهر أنّه معنى الشك في اللغة كما نصّوا عليه ، وقد اختصّ في الاصطلاح ببعض أقسامه ، والأخبار ناطقة بإرادته في المقام كما دلّ عليه المعتبرين المذكورين وغيرهما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بعض المتأخرين التأمّل في الحكم ، بل الحكم بخلافه ، وكلامه مبنيّ على ظنّ دوران حجيّة الاستصحاب مدار الظن ؛ نظرا إلى عدّة من الأدلّة الظنيّة ، فمع انتفاء الظنّ لا يبقى له حجية ، فعلى ما ذكرناه يرجع الحكم على قضية الأصل ، فيبقى بناؤه في المقامين على </w:t>
      </w:r>
    </w:p>
    <w:p>
      <w:pPr>
        <w:pStyle w:val="BookText"/>
        <w:rPr/>
      </w:pPr>
      <w:r>
        <w:rPr>
          <w:rFonts w:ascii="Amiri" w:hAnsi="Amiri" w:eastAsia="Amiri" w:cs="Amiri"/>
          <w:color w:val="111111"/>
          <w:sz w:val="28"/>
          <w:sz w:val="28"/>
          <w:szCs w:val="28"/>
          <w:rtl w:val="true"/>
          <w:lang w:bidi="ar-SA"/>
        </w:rPr>
        <w:t>لزوم الطهارة عملا بما يقتضيه اليقين بالشغل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بناء على عموم حجيّة الاستصحاب كما هو المحقّق في محلّه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صرّح في الأخبار بعدم الحكم بانتقاض الوضوء إلّا مع اليقين بطروّ الحدث ، بل وفي بعضها المنع من إحداث الوضوء بدون اليقين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فحكم في صورة اليقين بالطهارة والظنّ بالحدث بعدم الانتقاض ، واستشكل في عكسه لصراحة </w:t>
      </w:r>
      <w:r>
        <w:rPr>
          <w:rStyle w:val="FootnoteAnchor"/>
          <w:rtl w:val="true"/>
        </w:rPr>
        <w:footnoteReference w:id="199"/>
      </w:r>
      <w:r>
        <w:rPr>
          <w:rFonts w:ascii="Amiri" w:hAnsi="Amiri" w:eastAsia="Amiri" w:cs="Amiri"/>
          <w:color w:val="111111"/>
          <w:sz w:val="28"/>
          <w:sz w:val="28"/>
          <w:szCs w:val="28"/>
          <w:rtl w:val="true"/>
          <w:lang w:bidi="ar-SA"/>
        </w:rPr>
        <w:t>الأخبار في الأوّل لعموم الحكم كما مرّ ، وأمّا الثاني فلا يظهر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يستدلّ بمفهومه على عدم اعتبار الظنّ كذلك يمكن أن يستدلّ بها على اعتباره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ذكره أوضح من أن يخفى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ميله إلى عدم وجوب الوضوء كما يومي إليه استناده إلى أصالة البراءة مع أنّه </w:t>
      </w:r>
      <w:r>
        <w:rPr>
          <w:rStyle w:val="FootnoteAnchor"/>
          <w:rtl w:val="true"/>
        </w:rPr>
        <w:footnoteReference w:id="200"/>
      </w:r>
      <w:r>
        <w:rPr>
          <w:rFonts w:ascii="IRNazanin" w:hAnsi="IRNazanin" w:eastAsia="IRNazanin"/>
          <w:color w:val="111111"/>
          <w:sz w:val="28"/>
          <w:sz w:val="28"/>
          <w:szCs w:val="28"/>
          <w:rtl w:val="true"/>
          <w:lang w:bidi="fa-IR"/>
        </w:rPr>
        <w:t xml:space="preserve">من الواضح أنّه </w:t>
      </w:r>
      <w:r>
        <w:rPr>
          <w:rStyle w:val="FootnoteAnchor"/>
          <w:rtl w:val="true"/>
        </w:rPr>
        <w:footnoteReference w:id="201"/>
      </w:r>
      <w:r>
        <w:rPr>
          <w:rFonts w:ascii="Amiri" w:hAnsi="Amiri" w:eastAsia="Amiri" w:cs="Amiri"/>
          <w:color w:val="111111"/>
          <w:sz w:val="28"/>
          <w:sz w:val="28"/>
          <w:szCs w:val="28"/>
          <w:rtl w:val="true"/>
          <w:lang w:bidi="ar-SA"/>
        </w:rPr>
        <w:t xml:space="preserve">بعد تسليم عدم قيام الدليل على حجيّة الاستصحاب في المقام ، فلا دليل أيضا على حجيّة الظن المذكور وجواز العمل به ، مع أنّ قضية اليقين بالشغل اليقين بالفراغ ، فالمعيّن </w:t>
      </w:r>
      <w:r>
        <w:rPr>
          <w:rStyle w:val="FootnoteAnchor"/>
          <w:rtl w:val="true"/>
        </w:rPr>
        <w:footnoteReference w:id="202"/>
      </w:r>
      <w:r>
        <w:rPr>
          <w:rFonts w:ascii="Amiri" w:hAnsi="Amiri" w:eastAsia="Amiri" w:cs="Amiri"/>
          <w:color w:val="111111"/>
          <w:sz w:val="28"/>
          <w:sz w:val="28"/>
          <w:szCs w:val="28"/>
          <w:rtl w:val="true"/>
          <w:lang w:bidi="ar-SA"/>
        </w:rPr>
        <w:t>على ما ذكره لزوم الطهارة ، فلا ثمرة إذن للتفصيل المذكور</w:t>
      </w:r>
      <w:r>
        <w:rPr>
          <w:rFonts w:eastAsia="Amiri" w:cs="Amiri" w:ascii="Amiri" w:hAnsi="Amiri"/>
          <w:color w:val="111111"/>
          <w:sz w:val="28"/>
          <w:szCs w:val="28"/>
          <w:rtl w:val="true"/>
          <w:lang w:bidi="ar-SA"/>
        </w:rPr>
        <w:t xml:space="preserve">. </w:t>
      </w:r>
      <w:bookmarkStart w:id="82" w:name="pg15839_360651"/>
    </w:p>
    <w:p>
      <w:pPr>
        <w:pStyle w:val="Heading3"/>
        <w:numPr>
          <w:ilvl w:val="2"/>
          <w:numId w:val="1"/>
        </w:numPr>
        <w:rPr/>
      </w:pPr>
      <w:bookmarkStart w:id="83" w:name="__RefHeading___Toc14338357_2142443653"/>
      <w:bookmarkStart w:id="84" w:name="_Toc31"/>
      <w:bookmarkEnd w:id="82"/>
      <w:bookmarkEnd w:id="83"/>
      <w:r>
        <w:rPr>
          <w:rtl w:val="true"/>
        </w:rPr>
        <w:t>تبصرة</w:t>
      </w:r>
      <w:r>
        <w:rPr>
          <w:rtl w:val="true"/>
        </w:rPr>
        <w:t xml:space="preserve">: [ </w:t>
      </w:r>
      <w:r>
        <w:rPr>
          <w:rtl w:val="true"/>
        </w:rPr>
        <w:t xml:space="preserve">في الشك في تأخّر الطهارة أو الحدث </w:t>
      </w:r>
      <w:r>
        <w:rPr>
          <w:rtl w:val="true"/>
        </w:rPr>
        <w:t>]</w:t>
      </w:r>
      <w:bookmarkEnd w:id="84"/>
    </w:p>
    <w:p>
      <w:pPr>
        <w:pStyle w:val="BookText"/>
        <w:rPr/>
      </w:pPr>
      <w:r>
        <w:rPr>
          <w:rFonts w:ascii="Amiri" w:hAnsi="Amiri" w:eastAsia="Amiri" w:cs="Amiri"/>
          <w:color w:val="111111"/>
          <w:sz w:val="28"/>
          <w:sz w:val="28"/>
          <w:szCs w:val="28"/>
          <w:rtl w:val="true"/>
          <w:lang w:bidi="ar-SA"/>
        </w:rPr>
        <w:t xml:space="preserve">لو تيقّن الحدث والطهارة معا وشكّ في المتأخر منهما فلهم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الطهارة ، وهو المعروف من مذهب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المختلف </w:t>
      </w:r>
      <w:r>
        <w:rPr>
          <w:rStyle w:val="FootnoteAnchor"/>
          <w:rtl w:val="true"/>
        </w:rPr>
        <w:footnoteReference w:id="203"/>
      </w:r>
      <w:r>
        <w:rPr>
          <w:rFonts w:ascii="Amiri" w:hAnsi="Amiri" w:eastAsia="Amiri" w:cs="Amiri"/>
          <w:color w:val="111111"/>
          <w:sz w:val="28"/>
          <w:sz w:val="28"/>
          <w:szCs w:val="28"/>
          <w:rtl w:val="true"/>
          <w:lang w:bidi="ar-SA"/>
        </w:rPr>
        <w:t>إلى الأصحاب مؤميا إلى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بضدّ الحالة السابقة على الشك إن علمها </w:t>
      </w:r>
      <w:r>
        <w:rPr>
          <w:rStyle w:val="FootnoteAnchor"/>
          <w:rtl w:val="true"/>
        </w:rPr>
        <w:footnoteReference w:id="204"/>
      </w:r>
      <w:r>
        <w:rPr>
          <w:rFonts w:ascii="Amiri" w:hAnsi="Amiri" w:eastAsia="Amiri" w:cs="Amiri"/>
          <w:color w:val="111111"/>
          <w:sz w:val="28"/>
          <w:sz w:val="28"/>
          <w:szCs w:val="28"/>
          <w:rtl w:val="true"/>
          <w:lang w:bidi="ar-SA"/>
        </w:rPr>
        <w:t>وإلّا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وعزي القول به إلى المحقّقين الحلّي </w:t>
      </w:r>
      <w:r>
        <w:rPr>
          <w:rStyle w:val="FootnoteAnchor"/>
          <w:rtl w:val="true"/>
        </w:rPr>
        <w:footnoteReference w:id="205"/>
      </w:r>
      <w:r>
        <w:rPr>
          <w:rFonts w:ascii="Amiri" w:hAnsi="Amiri" w:eastAsia="Amiri" w:cs="Amiri"/>
          <w:color w:val="111111"/>
          <w:sz w:val="28"/>
          <w:sz w:val="28"/>
          <w:szCs w:val="28"/>
          <w:rtl w:val="true"/>
          <w:lang w:bidi="ar-SA"/>
        </w:rPr>
        <w:t xml:space="preserve">والكركي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بمثل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الفاضل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علم فيه وقت الحدث وغيره ، فيحكم بطهارته على الأول ؛ أخذا بأصالة تأخر الطهارة ، ويجب عليه الطهارة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فيه صورة جهالة تاريخهما أو تاريخ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بعض المحققين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 تحصيلا للبراءة اليقينيّة بعد اليقين بالشغل ، وأيضا المفروض تكافؤ احتمالي الطهارة والحدث فيتساقطان ، ويكون الطهارة مجهولة ، ويبقى عموم ما دلّ على وجوب الوضوء عند فعل الصلاة خاليا عن المعارض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يتخيّل للأخذ بضدّ الحالة السابقة من انتقاض تلك الحالة قطعا وعدم العلم برفع الناقض لاحتمال تعاقب الحدثين أو الطهارتين مدفوع بحصول اليقين لوجود المماثل له أيضا مع </w:t>
      </w:r>
    </w:p>
    <w:p>
      <w:pPr>
        <w:pStyle w:val="BookText"/>
        <w:rPr/>
      </w:pPr>
      <w:r>
        <w:rPr>
          <w:rFonts w:ascii="Amiri" w:hAnsi="Amiri" w:eastAsia="Amiri" w:cs="Amiri"/>
          <w:color w:val="111111"/>
          <w:sz w:val="28"/>
          <w:sz w:val="28"/>
          <w:szCs w:val="28"/>
          <w:rtl w:val="true"/>
          <w:lang w:bidi="ar-SA"/>
        </w:rPr>
        <w:t>عدم اليقين بارتفاعه ، فيتعارض الاستصحابان فيتساقطان ، ويبقى أصالة الاشتغال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الحدث أو الطهارة واقعا عقيب مثله لم يفد حكما جديدا بخلاف الصورة الأخرى ؛ لاستلزامه رفع الحالة السابقة ثمّ ارتفاعه بطروّ الآخر ، ومن الظاهر أنّ كلّا من الأمرين خلاف الأصل ، فقضية الأصل البناء على الأوّل ، فيتعيّن الأخذ بضدّ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لكون أصل العدم مثبتا </w:t>
      </w:r>
      <w:r>
        <w:rPr>
          <w:rStyle w:val="FootnoteAnchor"/>
          <w:rtl w:val="true"/>
        </w:rPr>
        <w:footnoteReference w:id="207"/>
      </w:r>
      <w:r>
        <w:rPr>
          <w:rFonts w:ascii="Amiri" w:hAnsi="Amiri" w:eastAsia="Amiri" w:cs="Amiri"/>
          <w:color w:val="111111"/>
          <w:sz w:val="28"/>
          <w:sz w:val="28"/>
          <w:szCs w:val="28"/>
          <w:rtl w:val="true"/>
          <w:lang w:bidi="ar-SA"/>
        </w:rPr>
        <w:t>لشي‌ء ، وما يتراءى من تفريع الأحكام المثبتة عليه مدفوع بعدم استنادها إليه في تلك المقامات ، بل إنّما يستند الحكم هناك إلى الأدلّة الشرعيّة كما إذا حكمنا بوجوب الوضوء بماء شكّ في ملاقاته للنجاسة ، فإنّه بعد رفع الملاقاة بالأصل يكون الماء غير ملاق للنجاسة ، فيثبت وجوب الوضوء بمقتضى الأدلّة الدالّة على وجوب الوضوء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من ذلك القبيل ؛ إذ المفروض تساوي احتمالي وقوع الطهارة والحدث عقيب الطهارة والحدث ، غاية الأمر أن يتفرع على أحدهما ممّا يخالف الأصل أكثر من الآخر ، فلا وجه إذن لترجيح أحدهما بالنظر إلى قلّة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لا يمكن الحكم بترجيح نجاسة إحدى الإنائين المشتبهين لكون الملاقي له أكثر من الآخر نظرا إلى أصالة الطهارة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208"/>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أصالة تأخّر الحادث يعطي تأخير ما يوجب رفع السابقة لأصالة بقائها وتأخّر ارتفاعها ، فيجب الأخذ بضدّه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الجواب عنه بما مرّ للزوم كون الأصل مثبتا ، وليس شأنه إلّا الحكم ببقاء الحالة السابقة لو علم طروّ ضدّه مثلا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تفرّع عليه حكم من الخارج اتّبع ، وهنا ليس كذلك ؛ إذ الحكم ببقاء الحالة </w:t>
      </w:r>
    </w:p>
    <w:p>
      <w:pPr>
        <w:pStyle w:val="BookText"/>
        <w:rPr/>
      </w:pPr>
      <w:r>
        <w:rPr>
          <w:rFonts w:ascii="Amiri" w:hAnsi="Amiri" w:eastAsia="Amiri" w:cs="Amiri"/>
          <w:color w:val="111111"/>
          <w:sz w:val="28"/>
          <w:sz w:val="28"/>
          <w:szCs w:val="28"/>
          <w:rtl w:val="true"/>
          <w:lang w:bidi="ar-SA"/>
        </w:rPr>
        <w:t>السابقة لا يقضي بتأخّر ما يرفعه ، وإنّما يتوقف عليه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يمكن إثبات تأخير الطهارة بمجرّد ذلك مع مساواتها لوقوع الحدث ، وما ذكر ليس إلّا من قبيل ما قدّمنا من ترجيح وقوع أحد الحادثين لقلّة مخالفة فروعه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إجراء الأصل بالنسبة إلى نفس الحالة السابقة لإثبات ما يتفرع عليها كما لو علم أنّ أوّل الزوال كان متطهّرا ثمّ تيقّن </w:t>
      </w:r>
      <w:r>
        <w:rPr>
          <w:rStyle w:val="FootnoteAnchor"/>
          <w:rtl w:val="true"/>
        </w:rPr>
        <w:footnoteReference w:id="210"/>
      </w:r>
      <w:r>
        <w:rPr>
          <w:rFonts w:ascii="Amiri" w:hAnsi="Amiri" w:eastAsia="Amiri" w:cs="Amiri"/>
          <w:color w:val="111111"/>
          <w:sz w:val="28"/>
          <w:sz w:val="28"/>
          <w:szCs w:val="28"/>
          <w:rtl w:val="true"/>
          <w:lang w:bidi="ar-SA"/>
        </w:rPr>
        <w:t>وقت العصر بوقوع حدث وطهارة مع الجهل بتاريخهما حكم على نفسه بالطهارة إلى وقت لا يحتمل تأخّر الحدث عنه ، فيثبت له حكم الطهارة إلى الوقت المذكور ، وذلك لا يقضي بالحكم بتأخّر الحدث ليثبت على نفسه حكم الحدث بعد ذلك ، بل ذاك باق على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الشأن في الأحكام الظاهريّة كما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المقام فيما إذا تعيّن عنده وقت الحدث ، فإنّ قضية الأصل فيه تأخر الطهارة ، ويتبعه الحكم بطهارته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يضعّفه أن </w:t>
      </w:r>
      <w:r>
        <w:rPr>
          <w:rStyle w:val="FootnoteAnchor"/>
          <w:rtl w:val="true"/>
        </w:rPr>
        <w:footnoteReference w:id="211"/>
      </w:r>
      <w:r>
        <w:rPr>
          <w:rFonts w:ascii="Amiri" w:hAnsi="Amiri" w:eastAsia="Amiri" w:cs="Amiri"/>
          <w:color w:val="111111"/>
          <w:sz w:val="28"/>
          <w:sz w:val="28"/>
          <w:szCs w:val="28"/>
          <w:rtl w:val="true"/>
          <w:lang w:bidi="ar-SA"/>
        </w:rPr>
        <w:t xml:space="preserve">البناء على الأصل المذكور هنا مطروح بين الأصحاب ؛ لاطباقهم ظاهرا على خلافه ؛ إذ لا يظهر قائل من متقدّميهم ومتأخّريهم </w:t>
      </w:r>
      <w:r>
        <w:rPr>
          <w:rStyle w:val="FootnoteAnchor"/>
          <w:rtl w:val="true"/>
        </w:rPr>
        <w:footnoteReference w:id="212"/>
      </w:r>
      <w:r>
        <w:rPr>
          <w:rFonts w:ascii="Amiri" w:hAnsi="Amiri" w:eastAsia="Amiri" w:cs="Amiri"/>
          <w:color w:val="111111"/>
          <w:sz w:val="28"/>
          <w:sz w:val="28"/>
          <w:szCs w:val="28"/>
          <w:rtl w:val="true"/>
          <w:lang w:bidi="ar-SA"/>
        </w:rPr>
        <w:t>سوى ما ذهب إليه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ابتنائهم به في نظائره كما إذا لاقى يده القذرة آنية من الأواني المرتبة من المرور عليها وشكّ في خصوص الملاقي لها ، فإنّه لا يحكم قطعا بتعين الأخيرة لذلك ، مع أنّه قضية الأصل المذكور واشتبه شي‌ء في غسله ما إذا تيقّن بنجاسة يده مثلا في زمان معيّن كالزوال وتيقّن بإدخالها في الكرّ في ذلك النهار مطلقا ، فإنّ قضية الأصل المذكور فيه الطهارة ، والحكم بها مشكل جدّا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فتوى الأصحاب به مع أنّه بعينه كالمسألة المفروضة ، بل الأمر فيه أسهل من </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فإعراضهم عن الأصل المذكور ممّا </w:t>
      </w:r>
      <w:r>
        <w:rPr>
          <w:rStyle w:val="FootnoteAnchor"/>
          <w:rtl w:val="true"/>
        </w:rPr>
        <w:footnoteReference w:id="213"/>
      </w:r>
      <w:r>
        <w:rPr>
          <w:rFonts w:ascii="Amiri" w:hAnsi="Amiri" w:eastAsia="Amiri" w:cs="Amiri"/>
          <w:color w:val="111111"/>
          <w:sz w:val="28"/>
          <w:sz w:val="28"/>
          <w:szCs w:val="28"/>
          <w:rtl w:val="true"/>
          <w:lang w:bidi="ar-SA"/>
        </w:rPr>
        <w:t>يوهن الاعتماد عليه سيّما فيما تيقّن فيه بالشغل اليقيني المقتضي للفراغ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بأنّ عدم اعتبار الأصل في هذه المقامات من جهة كونه متعلّقا بالأمور العادية </w:t>
      </w:r>
      <w:r>
        <w:rPr>
          <w:rStyle w:val="FootnoteAnchor"/>
          <w:rtl w:val="true"/>
        </w:rPr>
        <w:footnoteReference w:id="214"/>
      </w:r>
      <w:r>
        <w:rPr>
          <w:rFonts w:ascii="Amiri" w:hAnsi="Amiri" w:eastAsia="Amiri" w:cs="Amiri"/>
          <w:color w:val="111111"/>
          <w:sz w:val="28"/>
          <w:sz w:val="28"/>
          <w:szCs w:val="28"/>
          <w:rtl w:val="true"/>
          <w:lang w:bidi="ar-SA"/>
        </w:rPr>
        <w:t xml:space="preserve">أعني إيقاع الطهارة بعد الحدث المفروض أو إيصال المطهّر إلى النجس ونحوهما ، فإنّ مجرّد الأصل قد </w:t>
      </w:r>
      <w:r>
        <w:rPr>
          <w:rStyle w:val="FootnoteAnchor"/>
          <w:rtl w:val="true"/>
        </w:rPr>
        <w:footnoteReference w:id="215"/>
      </w:r>
      <w:r>
        <w:rPr>
          <w:rFonts w:ascii="Amiri" w:hAnsi="Amiri" w:eastAsia="Amiri" w:cs="Amiri"/>
          <w:color w:val="111111"/>
          <w:sz w:val="28"/>
          <w:sz w:val="28"/>
          <w:szCs w:val="28"/>
          <w:rtl w:val="true"/>
          <w:lang w:bidi="ar-SA"/>
        </w:rPr>
        <w:t>لا يكفي في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ملاحظة ما يشبه ذلك من موارد الشكّ ، بل هذا وما يذكر وجها للأخذ بمثل الحالة السابقة من أنّ الطهارة رافعة لحكم الحدث ، والحدث رافع لحكمها ، فإذا تيقّن الأمرين فلا بدّ من وقوع الطهارة بعد الحدث المقطوع لو كان متطهّرا في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ووقوعه بعدها لو كان محدثا موهون بأنّه خروج للعلم بالترتيب في الصورة المفروضة بأدنى التفات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في المقام بيان الحكم هنا مع فرض استمرار الجهل ، والمراد بالطهارة والحدث نفس الوضوء والأحداث الواقعة سواء كان كلّ منهما </w:t>
      </w:r>
      <w:r>
        <w:rPr>
          <w:rStyle w:val="FootnoteAnchor"/>
          <w:rtl w:val="true"/>
        </w:rPr>
        <w:footnoteReference w:id="216"/>
      </w:r>
      <w:r>
        <w:rPr>
          <w:rFonts w:ascii="Amiri" w:hAnsi="Amiri" w:eastAsia="Amiri" w:cs="Amiri"/>
          <w:color w:val="111111"/>
          <w:sz w:val="28"/>
          <w:sz w:val="28"/>
          <w:szCs w:val="28"/>
          <w:rtl w:val="true"/>
          <w:lang w:bidi="ar-SA"/>
        </w:rPr>
        <w:t>رافعا لحكم الآخر أو واردا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الحكم بين اتّحاد كلّ من الطهارة والحدث أو تعدّدهما أو اختلافهما ولا بين العلم بكون كلّ من الطهارة والحدث أو أحدهما رافعا لحكم الآخر بالفعل أو لا إلّا أن يؤول ذلك إلى ارتفاع الشكّ ؛ لخروجه عن المتنازع كما عرفت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في الصورة المفروضة بخروج الحدث الناقض مع الشكّ في تعدده جرى عليه حكم الطهارة أيضا ؛ لرجوعه إلى الشك في الحدث بعد اليقين بالطهارة كما يحكم في عكسه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بحدثه لرجوعه إلى الشكّ في الطهارة بعد اليقين بالحدث</w:t>
      </w:r>
      <w:r>
        <w:rPr>
          <w:rFonts w:eastAsia="Amiri" w:cs="Amiri" w:ascii="Amiri" w:hAnsi="Amiri"/>
          <w:color w:val="111111"/>
          <w:sz w:val="28"/>
          <w:szCs w:val="28"/>
          <w:rtl w:val="true"/>
          <w:lang w:bidi="ar-SA"/>
        </w:rPr>
        <w:t xml:space="preserve">. </w:t>
      </w:r>
      <w:bookmarkStart w:id="85" w:name="pg15839_360656"/>
    </w:p>
    <w:p>
      <w:pPr>
        <w:pStyle w:val="Heading3"/>
        <w:numPr>
          <w:ilvl w:val="2"/>
          <w:numId w:val="1"/>
        </w:numPr>
        <w:rPr/>
      </w:pPr>
      <w:bookmarkStart w:id="86" w:name="__RefHeading___Toc14338359_2142443653"/>
      <w:bookmarkStart w:id="87" w:name="_Toc32"/>
      <w:bookmarkEnd w:id="85"/>
      <w:bookmarkEnd w:id="86"/>
      <w:r>
        <w:rPr>
          <w:rtl w:val="true"/>
        </w:rPr>
        <w:t>تبصرة</w:t>
      </w:r>
      <w:r>
        <w:rPr>
          <w:rtl w:val="true"/>
        </w:rPr>
        <w:t xml:space="preserve">: [ </w:t>
      </w:r>
      <w:r>
        <w:rPr>
          <w:rtl w:val="true"/>
        </w:rPr>
        <w:t xml:space="preserve">في الشك في كون الناقض أصغر أو اكبر </w:t>
      </w:r>
      <w:r>
        <w:rPr>
          <w:rtl w:val="true"/>
        </w:rPr>
        <w:t>]</w:t>
      </w:r>
      <w:bookmarkEnd w:id="87"/>
    </w:p>
    <w:p>
      <w:pPr>
        <w:pStyle w:val="BookText"/>
        <w:rPr/>
      </w:pPr>
      <w:r>
        <w:rPr>
          <w:rFonts w:ascii="Amiri" w:hAnsi="Amiri" w:eastAsia="Amiri" w:cs="Amiri"/>
          <w:color w:val="111111"/>
          <w:sz w:val="28"/>
          <w:sz w:val="28"/>
          <w:szCs w:val="28"/>
          <w:rtl w:val="true"/>
          <w:lang w:bidi="ar-SA"/>
        </w:rPr>
        <w:t>لو تيقّن بانتقاض طهارته وشكّ في كون الناقض أصغر أو أكبر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بالطهارة الصغرى ؛ إذ هي القدر المتيقّن بالانتقاض ، والطهارة الكبرى مستصحبة ، ومع الحكم ببقائها شرعا يتعيّن عليه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بالطهارتين معا ؛ إذ هو من موارد الاحتياط الواجب ؛ للعلم بورود تكليف من الشرع ودورانه بين معنيين ، فيجب الاتيان بهما لتحصيل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العلم بطروّ حالة مانعة من الدخول في الصلاة فيستصحب إلى أن يعلم الرافع ولا يحصل إلّا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إذا لم يقم دليل من الشرع على انتفاء أحد الأمرين ، وليس كذلك لدلالة الاستصحاب على بقاء الطهارة الكبرى وعدم انتقاضها ، فيتعيّن بعض الصغرى ، وهو إنّما يرتفع بالصغرى بعد الحكم شرعا بخلوّه 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شكّ في خروج الأكبر وتيقّن بوقوع الأصغر اكتفى بما يرفع لحكمه شرعا من جهة الاستصحاب لخلوّه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الوجه الأوّل أيضا ؛ لتعيّن التكليف بمقتضى الأدلّة الشرعيّة ، ولا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ذكرناه من الوجهين إنّما هو فيما إذا تيقّن أوّلا بخصوص الخارج ثمّ نسي بعد ذلك وشكّ في التعيين ، وأمّا إذا شكّ في الخارج أنّه بول أو مني فإن كان قبل البول حكم عليه بوجوب الغسل كما سيأتي الكلام فيه إن شاء اللّه ، وإن كان بعده اكتفى بالوضوء من غير حاجة إلى الغسل بلا خلاف فيه ، والروايات ناصّة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قوّة ما قلناه وضعف الوجه الآخر كما لا يخفى</w:t>
      </w:r>
      <w:r>
        <w:rPr>
          <w:rFonts w:eastAsia="Amiri" w:cs="Amiri" w:ascii="Amiri" w:hAnsi="Amiri"/>
          <w:color w:val="111111"/>
          <w:sz w:val="28"/>
          <w:szCs w:val="28"/>
          <w:rtl w:val="true"/>
          <w:lang w:bidi="ar-SA"/>
        </w:rPr>
        <w:t xml:space="preserve">. </w:t>
      </w:r>
      <w:bookmarkStart w:id="88" w:name="pg15839_360657"/>
    </w:p>
    <w:p>
      <w:pPr>
        <w:pStyle w:val="Heading3"/>
        <w:numPr>
          <w:ilvl w:val="2"/>
          <w:numId w:val="1"/>
        </w:numPr>
        <w:rPr/>
      </w:pPr>
      <w:bookmarkStart w:id="89" w:name="__RefHeading___Toc14338361_2142443653"/>
      <w:bookmarkStart w:id="90" w:name="_Toc33"/>
      <w:bookmarkEnd w:id="88"/>
      <w:bookmarkEnd w:id="89"/>
      <w:r>
        <w:rPr>
          <w:rtl w:val="true"/>
        </w:rPr>
        <w:t>تبصرة</w:t>
      </w:r>
      <w:r>
        <w:rPr>
          <w:rtl w:val="true"/>
        </w:rPr>
        <w:t xml:space="preserve">: [ </w:t>
      </w:r>
      <w:r>
        <w:rPr>
          <w:rtl w:val="true"/>
        </w:rPr>
        <w:t xml:space="preserve">في الخلل </w:t>
      </w:r>
      <w:r>
        <w:rPr>
          <w:rtl w:val="true"/>
        </w:rPr>
        <w:t>]</w:t>
      </w:r>
      <w:bookmarkEnd w:id="90"/>
    </w:p>
    <w:p>
      <w:pPr>
        <w:pStyle w:val="BookText"/>
        <w:rPr/>
      </w:pPr>
      <w:r>
        <w:rPr>
          <w:rFonts w:ascii="Amiri" w:hAnsi="Amiri" w:eastAsia="Amiri" w:cs="Amiri"/>
          <w:color w:val="111111"/>
          <w:sz w:val="28"/>
          <w:sz w:val="28"/>
          <w:szCs w:val="28"/>
          <w:rtl w:val="true"/>
          <w:lang w:bidi="ar-SA"/>
        </w:rPr>
        <w:t xml:space="preserve">لو توضّأ وضوءين ثمّ ذكر حدوث خلل في أحدهما فلا تأمّل عندنا في كونه متطهّرا </w:t>
      </w:r>
      <w:r>
        <w:rPr>
          <w:rStyle w:val="FootnoteAnchor"/>
          <w:rtl w:val="true"/>
        </w:rPr>
        <w:footnoteReference w:id="217"/>
      </w:r>
      <w:r>
        <w:rPr>
          <w:rFonts w:ascii="Amiri" w:hAnsi="Amiri" w:eastAsia="Amiri" w:cs="Amiri"/>
          <w:color w:val="111111"/>
          <w:sz w:val="28"/>
          <w:sz w:val="28"/>
          <w:szCs w:val="28"/>
          <w:rtl w:val="true"/>
          <w:lang w:bidi="ar-SA"/>
        </w:rPr>
        <w:t>؛ لصحة إحدى طهارتيه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بينهما فالأظهر صحّتهما لحصول الشكّ فيها بعد الفراغ ، فلا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المبسوط </w:t>
      </w:r>
      <w:r>
        <w:rPr>
          <w:rStyle w:val="FootnoteAnchor"/>
          <w:rtl w:val="true"/>
        </w:rPr>
        <w:footnoteReference w:id="218"/>
      </w:r>
      <w:r>
        <w:rPr>
          <w:rFonts w:ascii="Amiri" w:hAnsi="Amiri" w:eastAsia="Amiri" w:cs="Amiri"/>
          <w:color w:val="111111"/>
          <w:sz w:val="28"/>
          <w:sz w:val="28"/>
          <w:szCs w:val="28"/>
          <w:rtl w:val="true"/>
          <w:lang w:bidi="ar-SA"/>
        </w:rPr>
        <w:t>القول بفساده ؛ لعدم اليقين بوقوعها بطهارة صحيحة لاحتمال أن يكون الأولى هي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قضيّة فتوى الحلي والفاضل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باعتبار قصد الرفع أو الاستباحة في الوضوء الرافع فيجي‌ء احتمال وجوب إعادة الطهارة إذا لم ينو أحد الأمرين في باقي الوضوءين كما إذا قصد التجديد ؛ لاحتمال كون الخلل في السابقة فيفسد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أفتى الحلي والفاضل ، وحكما بوجوب إعادة الصلاتين لو صلّى بعد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على القول المذكور أيضا عدم وجوب إعادة شي‌ء من الصلاتين إذا كان الشك بعدهما ؛ لعدم العبرة إذن بالشك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الحكم بوجوب إعادة الطهارة أيضا وجهان ممّا دلّ على عدم العبرة بالشكّ بعد الفراغ من الوضوء ، ومن أنّ المتيقّن منه ما إذا حصل الشك المجرد لا </w:t>
      </w:r>
      <w:r>
        <w:rPr>
          <w:rStyle w:val="FootnoteAnchor"/>
          <w:rtl w:val="true"/>
        </w:rPr>
        <w:footnoteReference w:id="219"/>
      </w:r>
      <w:r>
        <w:rPr>
          <w:rFonts w:ascii="Amiri" w:hAnsi="Amiri" w:eastAsia="Amiri" w:cs="Amiri"/>
          <w:color w:val="111111"/>
          <w:sz w:val="28"/>
          <w:sz w:val="28"/>
          <w:szCs w:val="28"/>
          <w:rtl w:val="true"/>
          <w:lang w:bidi="ar-SA"/>
        </w:rPr>
        <w:t>مع اليقين بحصول الخلل والشكّ في تعيين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والمحكيّ عن السيد جمال الدين والفاضل والشهيد البناء على الأوّل ، وظاهر بعض المتأخرين البناء على الأخير مع الحكم بعدم وجوب إعادة شي‌ء من الصلاتين أيضا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تيقّن بإخلاله بأمرين وشكّ في اجتماعهما في أحد الوضوءين أو تفريقهما في الفعلين وجهان </w:t>
      </w:r>
      <w:r>
        <w:rPr>
          <w:rStyle w:val="FootnoteAnchor"/>
          <w:rtl w:val="true"/>
        </w:rPr>
        <w:footnoteReference w:id="220"/>
      </w:r>
      <w:r>
        <w:rPr>
          <w:rFonts w:ascii="Amiri" w:hAnsi="Amiri" w:eastAsia="Amiri" w:cs="Amiri"/>
          <w:color w:val="111111"/>
          <w:sz w:val="28"/>
          <w:sz w:val="28"/>
          <w:szCs w:val="28"/>
          <w:rtl w:val="true"/>
          <w:lang w:bidi="ar-SA"/>
        </w:rPr>
        <w:t>أجودهما البناء على الأوّل ؛ لرجوعه إلى الشكّ بعد العمل ؛ إذ ليس المقطوع بفساده سوى 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حدوث حدث بين الطهارتين فعلى المختار لا إشكال في طهارته ، وعلى القول الآخر لا تأمّل في كونه محدثا مع عدم قصده أحد الأمرين ، فلو صلّى بين الطهارتين وشكّ في كونه بعد الحدث وقبله بنى على الصحّة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تيقّن إذن بحصول خلل في إحدى الطهارتين فالّذي قطع به </w:t>
      </w:r>
      <w:r>
        <w:rPr>
          <w:rStyle w:val="FootnoteAnchor"/>
          <w:rtl w:val="true"/>
        </w:rPr>
        <w:footnoteReference w:id="221"/>
      </w:r>
      <w:r>
        <w:rPr>
          <w:rFonts w:ascii="Amiri" w:hAnsi="Amiri" w:eastAsia="Amiri" w:cs="Amiri"/>
          <w:color w:val="111111"/>
          <w:sz w:val="28"/>
          <w:sz w:val="28"/>
          <w:szCs w:val="28"/>
          <w:rtl w:val="true"/>
          <w:lang w:bidi="ar-SA"/>
        </w:rPr>
        <w:t>الأفاضل وجوب التطهير لرجوع الحال إلى اليقين بالحدث والشكّ في الطهارة ؛ نظرا إلى شكّه في صحّة الطهارة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من احتمال شمول الشكّ بعد الفراغ لمثل ذلك كما اختاره أولئك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أيضا إلّا أنّ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بعد الأخيرة قبل اليقين بحصول الخلل فلا تأمّل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بين الطهارتين فإن علم كونه بعد الحدث فظاهر ، وإلّا بنى على الصحّة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صلّى بعد كلّ من الطهارتين فرضا مع القطع بحصول الخلل في أحدهما وجب عليه إعادة أحد الفرضين ، وكذا لو تيقّن بحصول الحدث بعد أحدهما مع العلم بوقوع الصلاة بعده ، وإلّا بنى على أصالة الصحّة</w:t>
      </w:r>
      <w:r>
        <w:rPr>
          <w:rFonts w:eastAsia="Amiri" w:cs="Amiri" w:ascii="Amiri" w:hAnsi="Amiri"/>
          <w:color w:val="111111"/>
          <w:sz w:val="28"/>
          <w:szCs w:val="28"/>
          <w:rtl w:val="true"/>
          <w:lang w:bidi="ar-SA"/>
        </w:rPr>
        <w:t xml:space="preserve">. </w:t>
      </w:r>
      <w:bookmarkStart w:id="91" w:name="pg15839_360659"/>
    </w:p>
    <w:p>
      <w:pPr>
        <w:pStyle w:val="Heading2"/>
        <w:numPr>
          <w:ilvl w:val="1"/>
          <w:numId w:val="1"/>
        </w:numPr>
        <w:rPr/>
      </w:pPr>
      <w:bookmarkStart w:id="92" w:name="__RefHeading___Toc14338363_2142443653"/>
      <w:bookmarkStart w:id="93" w:name="_Toc34"/>
      <w:bookmarkEnd w:id="91"/>
      <w:bookmarkEnd w:id="92"/>
      <w:r>
        <w:rPr>
          <w:rtl w:val="true"/>
        </w:rPr>
        <w:t>الباب الثالث</w:t>
      </w:r>
      <w:r>
        <w:rPr>
          <w:rtl w:val="true"/>
        </w:rPr>
        <w:t xml:space="preserve">: </w:t>
      </w:r>
      <w:r>
        <w:rPr>
          <w:rtl w:val="true"/>
        </w:rPr>
        <w:t>في الغسل</w:t>
      </w:r>
      <w:bookmarkEnd w:id="93"/>
    </w:p>
    <w:p>
      <w:pPr>
        <w:pStyle w:val="Heading3"/>
        <w:numPr>
          <w:ilvl w:val="2"/>
          <w:numId w:val="1"/>
        </w:numPr>
        <w:rPr/>
      </w:pPr>
      <w:bookmarkStart w:id="94" w:name="__RefHeading___Toc14338365_2142443653"/>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وهو غسل متعلّق بجميع البشرة أو ما نزل منزلته مشروط بالقربة ، وهو واجب ومندوب ، ويندرج في المندوب أقسام كثيرة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منه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 والحيض ، والاستحاضة ، والنفاس ، ومسّ الأموات ، وغسلهم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ما عدا الخامس ممّا قام عليه إجماع الفرقة بل الضرورة ، والظاهر أنّه ممّا اتّفقت عليه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 فالقول بوجوبه هو المعروف من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 القول باستحبابه ، وهو مذهب العامة ، بل ذهب إليه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الصحيح للأخبار المستفيضة القريبة من التواتر الآمرة بالغسل لأجله ، ولا معارض لها في الأخبار سوى بعض الإشعارات ، وهي بعد الكلام عن </w:t>
      </w:r>
      <w:r>
        <w:rPr>
          <w:rStyle w:val="FootnoteAnchor"/>
          <w:rtl w:val="true"/>
        </w:rPr>
        <w:footnoteReference w:id="222"/>
      </w:r>
      <w:r>
        <w:rPr>
          <w:rFonts w:ascii="Amiri" w:hAnsi="Amiri" w:eastAsia="Amiri" w:cs="Amiri"/>
          <w:color w:val="111111"/>
          <w:sz w:val="28"/>
          <w:sz w:val="28"/>
          <w:szCs w:val="28"/>
          <w:rtl w:val="true"/>
          <w:lang w:bidi="ar-SA"/>
        </w:rPr>
        <w:t>سندها ساقطة الدلالة ، فكيف يعامل بتلك الأخبار المصرّحة المعتضدة بعمل الطائفة ومخالفة العامّة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تشكيك بعض المتأخرين في الحكم المذكور مع غاية وضوحه بما لا ينبغي الإصغاء إليه ، والكلام في تفاصيل الأغسال المذكورة يورد في فصول </w:t>
      </w:r>
      <w:r>
        <w:rPr>
          <w:rFonts w:eastAsia="Amiri" w:cs="Amiri" w:ascii="Amiri" w:hAnsi="Amiri"/>
          <w:color w:val="111111"/>
          <w:sz w:val="28"/>
          <w:szCs w:val="28"/>
          <w:rtl w:val="true"/>
          <w:lang w:bidi="ar-SA"/>
        </w:rPr>
        <w:t xml:space="preserve">: </w:t>
      </w:r>
      <w:bookmarkStart w:id="96" w:name="pg15839_360660"/>
    </w:p>
    <w:p>
      <w:pPr>
        <w:pStyle w:val="Heading3"/>
        <w:numPr>
          <w:ilvl w:val="2"/>
          <w:numId w:val="1"/>
        </w:numPr>
        <w:rPr/>
      </w:pPr>
      <w:bookmarkStart w:id="97" w:name="__RefHeading___Toc14338367_2142443653"/>
      <w:bookmarkStart w:id="98" w:name="_Toc36"/>
      <w:bookmarkEnd w:id="96"/>
      <w:bookmarkEnd w:id="97"/>
      <w:r>
        <w:rPr>
          <w:rtl w:val="true"/>
        </w:rPr>
        <w:t>الفصل الأوّل</w:t>
      </w:r>
      <w:r>
        <w:rPr>
          <w:rtl w:val="true"/>
        </w:rPr>
        <w:t xml:space="preserve">: </w:t>
      </w:r>
      <w:r>
        <w:rPr>
          <w:rtl w:val="true"/>
        </w:rPr>
        <w:t>في غسل الجنابة</w:t>
      </w:r>
      <w:bookmarkEnd w:id="98"/>
    </w:p>
    <w:p>
      <w:pPr>
        <w:pStyle w:val="Heading4"/>
        <w:numPr>
          <w:ilvl w:val="3"/>
          <w:numId w:val="1"/>
        </w:numPr>
        <w:rPr/>
      </w:pPr>
      <w:bookmarkStart w:id="99" w:name="__RefHeading___Toc14338369_2142443653"/>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والكلام في سببه وغايته وكيفيّته وشرائطه ولواحقه ، فهاهنا مباحث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338371_2142443653"/>
      <w:bookmarkStart w:id="102" w:name="_Toc38"/>
      <w:bookmarkEnd w:id="101"/>
      <w:r>
        <w:rPr>
          <w:rtl w:val="true"/>
        </w:rPr>
        <w:t>البحث الأوّل</w:t>
      </w:r>
      <w:r>
        <w:rPr>
          <w:rtl w:val="true"/>
        </w:rPr>
        <w:t xml:space="preserve">: </w:t>
      </w:r>
      <w:r>
        <w:rPr>
          <w:rtl w:val="true"/>
        </w:rPr>
        <w:t>في بيان ما يتحقّق به الجنابة</w:t>
      </w:r>
      <w:bookmarkEnd w:id="102"/>
    </w:p>
    <w:p>
      <w:pPr>
        <w:pStyle w:val="Heading5"/>
        <w:numPr>
          <w:ilvl w:val="4"/>
          <w:numId w:val="1"/>
        </w:numPr>
        <w:rPr/>
      </w:pPr>
      <w:bookmarkStart w:id="103" w:name="__RefHeading___Toc14338373_2142443653"/>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وهو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الإنزال ، وإدخال الحشفة</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4338375_2142443653"/>
      <w:bookmarkStart w:id="106" w:name="_Toc40"/>
      <w:bookmarkEnd w:id="105"/>
      <w:r>
        <w:rPr>
          <w:rtl w:val="true"/>
        </w:rPr>
        <w:t>تبصرة</w:t>
      </w:r>
      <w:r>
        <w:rPr>
          <w:rtl w:val="true"/>
        </w:rPr>
        <w:t xml:space="preserve">: [ </w:t>
      </w:r>
      <w:r>
        <w:rPr>
          <w:rtl w:val="true"/>
        </w:rPr>
        <w:t xml:space="preserve">في تحقق الجنابة بالإنزال </w:t>
      </w:r>
      <w:r>
        <w:rPr>
          <w:rtl w:val="true"/>
        </w:rPr>
        <w:t>]</w:t>
      </w:r>
      <w:bookmarkEnd w:id="106"/>
    </w:p>
    <w:p>
      <w:pPr>
        <w:pStyle w:val="Heading6"/>
        <w:numPr>
          <w:ilvl w:val="5"/>
          <w:numId w:val="1"/>
        </w:numPr>
        <w:rPr/>
      </w:pPr>
      <w:bookmarkStart w:id="107" w:name="__RefHeading___Toc14338377_2142443653"/>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يتحقّق الجنابة في الرجل بخروج المني على جميع الأحوال من النوم واليقظة مع العمد </w:t>
      </w:r>
      <w:r>
        <w:rPr>
          <w:rStyle w:val="FootnoteAnchor"/>
          <w:rtl w:val="true"/>
        </w:rPr>
        <w:footnoteReference w:id="223"/>
      </w:r>
      <w:r>
        <w:rPr>
          <w:rFonts w:ascii="Amiri" w:hAnsi="Amiri" w:eastAsia="Amiri" w:cs="Amiri"/>
          <w:color w:val="111111"/>
          <w:sz w:val="28"/>
          <w:sz w:val="28"/>
          <w:szCs w:val="28"/>
          <w:rtl w:val="true"/>
          <w:lang w:bidi="ar-SA"/>
        </w:rPr>
        <w:t>في إخراجه بالملاعبة ونحوها أو غيره بلا خلاف فيه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المرأة على المعروف من المذهب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24"/>
      </w:r>
      <w:r>
        <w:rPr>
          <w:rFonts w:ascii="Amiri" w:hAnsi="Amiri" w:eastAsia="Amiri" w:cs="Amiri"/>
          <w:color w:val="111111"/>
          <w:sz w:val="28"/>
          <w:sz w:val="28"/>
          <w:szCs w:val="28"/>
          <w:rtl w:val="true"/>
          <w:lang w:bidi="ar-SA"/>
        </w:rPr>
        <w:t xml:space="preserve">في الحدائق </w:t>
      </w:r>
      <w:r>
        <w:rPr>
          <w:rStyle w:val="FootnoteAnchor"/>
          <w:rtl w:val="true"/>
        </w:rPr>
        <w:footnoteReference w:id="225"/>
      </w:r>
      <w:r>
        <w:rPr>
          <w:rFonts w:ascii="Amiri" w:hAnsi="Amiri" w:eastAsia="Amiri" w:cs="Amiri"/>
          <w:color w:val="111111"/>
          <w:sz w:val="28"/>
          <w:sz w:val="28"/>
          <w:szCs w:val="28"/>
          <w:rtl w:val="true"/>
          <w:lang w:bidi="ar-SA"/>
        </w:rPr>
        <w:t xml:space="preserve">أنّه لم ينقل فيه خلاف سوى ما يظهر من كلام الصدوق في المقنع </w:t>
      </w:r>
      <w:r>
        <w:rPr>
          <w:rStyle w:val="FootnoteAnchor"/>
          <w:rtl w:val="true"/>
        </w:rPr>
        <w:footnoteReference w:id="226"/>
      </w:r>
      <w:r>
        <w:rPr>
          <w:rFonts w:ascii="Amiri" w:hAnsi="Amiri" w:eastAsia="Amiri" w:cs="Amiri"/>
          <w:color w:val="111111"/>
          <w:sz w:val="28"/>
          <w:sz w:val="28"/>
          <w:szCs w:val="28"/>
          <w:rtl w:val="true"/>
          <w:lang w:bidi="ar-SA"/>
        </w:rPr>
        <w:t xml:space="preserve">حيث </w:t>
      </w:r>
      <w:bookmarkStart w:id="109" w:name="pg15839_360661"/>
    </w:p>
    <w:p>
      <w:pPr>
        <w:pStyle w:val="BookText"/>
        <w:rPr/>
      </w:pPr>
      <w:bookmarkEnd w:id="109"/>
      <w:r>
        <w:rPr>
          <w:rFonts w:ascii="Amiri" w:hAnsi="Amiri" w:eastAsia="Amiri" w:cs="Amiri"/>
          <w:color w:val="111111"/>
          <w:sz w:val="28"/>
          <w:sz w:val="28"/>
          <w:szCs w:val="28"/>
          <w:rtl w:val="true"/>
          <w:lang w:bidi="ar-SA"/>
        </w:rPr>
        <w:t xml:space="preserve">يظهر منه </w:t>
      </w:r>
      <w:r>
        <w:rPr>
          <w:rStyle w:val="FootnoteAnchor"/>
          <w:rtl w:val="true"/>
        </w:rPr>
        <w:footnoteReference w:id="227"/>
      </w:r>
      <w:r>
        <w:rPr>
          <w:rFonts w:ascii="Amiri" w:hAnsi="Amiri" w:eastAsia="Amiri" w:cs="Amiri"/>
          <w:color w:val="111111"/>
          <w:sz w:val="28"/>
          <w:sz w:val="28"/>
          <w:szCs w:val="28"/>
          <w:rtl w:val="true"/>
          <w:lang w:bidi="ar-SA"/>
        </w:rPr>
        <w:t>القول بعدم وجوب الغسل عليها بالاحتلام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الإجماع على المسألة جماعة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ذلك الصحاح المستفيضة وغيرها كصحيح الحلبي عن المرأة ترى في المنام ما يرى الرجل؟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 فعليها الغسل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أمنت المرأة والأمة من شهوة جامعها الرجل أو لم يجامعها في نوم كان أو يقظة فإنّ عليها الغسل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عدّة روايات مشتملة على الصحاح صراح في عدم وجوب الغسل عليها بالإنزال قد اشتمل بعضها على عدم وجوب الغسل عليها بالإنزال في اليقظة وبعضها على عدمه بالاحتلام إلّا أنّها مطرحة بين الأصحاب ، وتلك معتضدة بالعمل والاحتياط والإجماعات المحكيّة ، مضافا إلى ظهور اشتراكها للرجل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الحكم بوجوب الغسل عليهنّ بذلك مع النهي عن إعلامهنّ بالحكم ، فقد يستفاد منه وجه جمع بين الأخبار المذكورة بأن يكون المقصود من هذه عدم الوجوب عليهن ؛ نظرا إلى جهلهنّ بالمسألة وعدم وجوب إعلامهنّ به ولو متعلّق عنه بناء على سقوط التكليف به من جهة المفسدة المترتبة عليه كما قد يسقط وجوب الإعلام في غيرها من جهة ترتّب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بتلك الأخبار بيان ما هو الواقع من وجوب ذلك عليهنّ بأصل الشرع ، فيجب عليهنّ القيام به لو علمن به بالحال</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4338379_2142443653"/>
      <w:bookmarkStart w:id="111" w:name="_Toc42"/>
      <w:bookmarkEnd w:id="110"/>
      <w:r>
        <w:rPr>
          <w:rtl w:val="true"/>
        </w:rPr>
        <w:t xml:space="preserve">[ </w:t>
      </w:r>
      <w:r>
        <w:rPr>
          <w:rtl w:val="true"/>
        </w:rPr>
        <w:t xml:space="preserve">تنبيهات </w:t>
      </w:r>
      <w:r>
        <w:rPr>
          <w:rtl w:val="true"/>
        </w:rPr>
        <w:t>]</w:t>
      </w:r>
      <w:bookmarkEnd w:id="1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 المقام أمور ينبغي الإشارة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الجنابة على خروج المني فلا جنابة قبل خروجها عن المحل وإن نزل من الصلب كما إذا أمسك على حشفته بعد الإنزال وقبل الخروج ؛ إذ المستفاد من الأخبار وكلام الأصحاب إناطة الحكم به ، فعلى هذا يجب عليه الإمساك مع أمنه من الضرر إذا حرم الحدث عليه كما إذا كان في الصلاة أو في القيام أو في المسجدين فلا حرمة إذن في تحريك الشهوة وإنزال الماء من الصلب لعدم حصول الجنابة المحرّمة بمجرده إذا قصد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الخروج من الموضع المعتاد أو يعمّ غيره أيضا؟ قولان ذهب إلى الأوّل منهما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 </w:t>
      </w:r>
      <w:r>
        <w:rPr>
          <w:rStyle w:val="FootnoteAnchor"/>
          <w:rtl w:val="true"/>
        </w:rPr>
        <w:footnoteReference w:id="230"/>
      </w:r>
      <w:r>
        <w:rPr>
          <w:rFonts w:ascii="Amiri" w:hAnsi="Amiri" w:eastAsia="Amiri" w:cs="Amiri"/>
          <w:color w:val="111111"/>
          <w:sz w:val="28"/>
          <w:sz w:val="28"/>
          <w:szCs w:val="28"/>
          <w:rtl w:val="true"/>
          <w:lang w:bidi="ar-SA"/>
        </w:rPr>
        <w:t>أنّه كالحدث الأصغر في اعتبار العادة وعدمها ، وهو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الثاني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فيها إطلاق الروايات وانصراف الإطلاق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نظيره في خروج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والمسألتان من باب واحد ، فالأظهر هنا ما مرّ هناك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تيقّن كون الخارج منيّا حكم بالجنابة سواء اعتبر أوصافه أو لا ، وحدث </w:t>
      </w:r>
      <w:r>
        <w:rPr>
          <w:rStyle w:val="FootnoteAnchor"/>
          <w:rtl w:val="true"/>
        </w:rPr>
        <w:footnoteReference w:id="231"/>
      </w:r>
      <w:r>
        <w:rPr>
          <w:rFonts w:ascii="Amiri" w:hAnsi="Amiri" w:eastAsia="Amiri" w:cs="Amiri"/>
          <w:color w:val="111111"/>
          <w:sz w:val="28"/>
          <w:sz w:val="28"/>
          <w:szCs w:val="28"/>
          <w:rtl w:val="true"/>
          <w:lang w:bidi="ar-SA"/>
        </w:rPr>
        <w:t>فيه الأوصاف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عدّة أخبار من اعتبار الشهوة أو غيرها فإنّما هي وارد مورد الغالب أو روعي فيها التقيّة حيث إنّ الاعتبار ببعض الأوصاف من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بالجنابة مع العلم بكون الخارج منيّا ، فلو ظنّه أو شكّ فيه لم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جماعة من الأصحاب الرجوع فيه مع الاشتباه إلى الصفات ، وهي الشهوة والدفع وفتور الجسد في الصحيح ، والأول والأخير خاصّة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جاءت الشهوة والدفع وفتر لخروجه فعليه الغسل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في جملة من الأخبار الدالّة على عدم اعتبار الدفع </w:t>
      </w:r>
      <w:r>
        <w:rPr>
          <w:rStyle w:val="FootnoteAnchor"/>
          <w:rtl w:val="true"/>
        </w:rPr>
        <w:footnoteReference w:id="232"/>
      </w:r>
      <w:r>
        <w:rPr>
          <w:rFonts w:ascii="Amiri" w:hAnsi="Amiri" w:eastAsia="Amiri" w:cs="Amiri"/>
          <w:color w:val="111111"/>
          <w:sz w:val="28"/>
          <w:sz w:val="28"/>
          <w:szCs w:val="28"/>
          <w:rtl w:val="true"/>
          <w:lang w:bidi="ar-SA"/>
        </w:rPr>
        <w:t>فيقيّد بها إطلاق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يستشكل فيه مع بقاء الشكّ معها بما دلّ عليه المستفيضة بعدم </w:t>
      </w:r>
      <w:r>
        <w:rPr>
          <w:rStyle w:val="FootnoteAnchor"/>
          <w:rtl w:val="true"/>
        </w:rPr>
        <w:footnoteReference w:id="233"/>
      </w:r>
      <w:r>
        <w:rPr>
          <w:rFonts w:ascii="Amiri" w:hAnsi="Amiri" w:eastAsia="Amiri" w:cs="Amiri"/>
          <w:color w:val="111111"/>
          <w:sz w:val="28"/>
          <w:sz w:val="28"/>
          <w:szCs w:val="28"/>
          <w:rtl w:val="true"/>
          <w:lang w:bidi="ar-SA"/>
        </w:rPr>
        <w:t>انتقاض اليقين بالشكّ ، واحتمال ورود الصحيحة المذكورة مورد الغالب من حصول العلم أو التقيّة من جهة محض خروج المني في السؤال أو وقوع التفصيل المذكور في الجواب مع أن إطلاق حصول الانتقاض إذن من المعلوم بالإجماع ، فهو إنّما ملائم ما ذهب إليه بعض المخالفين من اعتبار الوصف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بإفادتها اعتبار العلم وعدم الاعتناء بالشكّ والظن ، لوضوح حصول القطع الخالي عن شوائب الشك مع وجود الأوصاف الثلاثة ، فالقول بإناطة الحكم بالعلم في الصحيح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المريض فالأظهر الاكتفاء فيه بالخروج عن الشهوة كما صرّح به جماعة من الأصحاب منهم المحقّق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غير واحد من الصحاح 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مريضا فأصابتك شهوة فإنّه ربّما كان هو الدافق لكنّه يجي‌ء مجيئا ضعيفا ليس له قوّة لمكان مرضك ساعة بعد ساعة قليلا قليلا فاغتسل به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فيقيّد به ما دلّ على عدم نقض اليقين بغيره ، مضافا إلى اعتضاد هذه بالعمل حتّى ذكر بعض المحققين أنّ الظاهر من الأصحاب الاتفاق على العمل بما دلّت عليه هذه الأخبار وعدم الرادّ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المني مع الاشتباه برائحة الطلع والعجين رطبا وبياض البيض جافّا ، ويقارنه الشهوة وفتور الجسد والدفق غالبا إلّا في المريض ، فيكفي الشهوة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البيان </w:t>
      </w:r>
      <w:r>
        <w:rPr>
          <w:rStyle w:val="FootnoteAnchor"/>
          <w:rtl w:val="true"/>
        </w:rPr>
        <w:footnoteReference w:id="236"/>
      </w:r>
      <w:r>
        <w:rPr>
          <w:rFonts w:ascii="Amiri" w:hAnsi="Amiri" w:eastAsia="Amiri" w:cs="Amiri"/>
          <w:color w:val="111111"/>
          <w:sz w:val="28"/>
          <w:sz w:val="28"/>
          <w:szCs w:val="28"/>
          <w:rtl w:val="true"/>
          <w:lang w:bidi="ar-SA"/>
        </w:rPr>
        <w:t xml:space="preserve">في أوصافه بعد الثلاثة الغلظ في مني الرجل أكثريا والرقة في مني الرجل </w:t>
      </w:r>
    </w:p>
    <w:p>
      <w:pPr>
        <w:pStyle w:val="BookText"/>
        <w:rPr/>
      </w:pPr>
      <w:r>
        <w:rPr>
          <w:rFonts w:ascii="Amiri" w:hAnsi="Amiri" w:eastAsia="Amiri" w:cs="Amiri"/>
          <w:color w:val="111111"/>
          <w:sz w:val="28"/>
          <w:sz w:val="28"/>
          <w:szCs w:val="28"/>
          <w:rtl w:val="true"/>
          <w:lang w:bidi="ar-SA"/>
        </w:rPr>
        <w:t>ورائحة الطلع ، وما ذكر من الاعتبار لم نجده في شي‌ء من النصوص وكأنّه أراد بذلك بيان استكشاف الحال ليحصل اليقين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الرجل ، وأمّا المرأة فيعتبر فيها بمجرّد الشهوة كما يدلّ عليه عدّة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تحكم بها بمجرّدها وإن خلت عن اليقين؟ وجهان أحوطهما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اليقين بالجنابة أو الرجوع إلى الصفات عند الشك إنّما هو في الإنزال المبتدأ ، وأمّا إذا أنزل واغتسل وخرج منه البلل حكم عليه بالجنابة وإن شكّ في كونه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خروج عن قاعدة البقاء على اليقين بالدليل أو حكم من الشرع بمنويّة الخارج ، فلا تخصيص في القاعدة المذكورة كما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ذلك أنّه إمّا أن يكون قد بال بعد الإنزال و </w:t>
      </w:r>
      <w:r>
        <w:rPr>
          <w:rStyle w:val="FootnoteAnchor"/>
          <w:rtl w:val="true"/>
        </w:rPr>
        <w:footnoteReference w:id="237"/>
      </w:r>
      <w:r>
        <w:rPr>
          <w:rFonts w:ascii="Amiri" w:hAnsi="Amiri" w:eastAsia="Amiri" w:cs="Amiri"/>
          <w:color w:val="111111"/>
          <w:sz w:val="28"/>
          <w:sz w:val="28"/>
          <w:szCs w:val="28"/>
          <w:rtl w:val="true"/>
          <w:lang w:bidi="ar-SA"/>
        </w:rPr>
        <w:t xml:space="preserve">استبرأ بالاجتهاد أو لم يفعل شيئا منهما أو اقتصر على أحدهما ، وعلى الأخير فإمّا أن يكون قادرا على البول أو لا ، فهاهنا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بال بعد إنزاله واستبرأ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إذن في عدم انتقاض طهره ، فليس عليه غسل ولا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بعد الأصل والإجماع الأخبار المستفيضة الواردة في المسألة ، وفيما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ينتفي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 المذهب فيه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Style w:val="FootnoteAnchor"/>
          <w:rtl w:val="true"/>
        </w:rPr>
        <w:footnoteReference w:id="238"/>
      </w:r>
      <w:r>
        <w:rPr>
          <w:rFonts w:ascii="Amiri" w:hAnsi="Amiri" w:eastAsia="Amiri" w:cs="Amiri"/>
          <w:color w:val="111111"/>
          <w:sz w:val="28"/>
          <w:sz w:val="28"/>
          <w:szCs w:val="28"/>
          <w:rtl w:val="true"/>
          <w:lang w:bidi="ar-SA"/>
        </w:rPr>
        <w:t>والصدوق الاكتفاء فيه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المتأخرين عدم انتقاض الغسل به ، وإنّما يستحب له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الشيخ التفصيل بين نسيان البول وتعمّد تركه ، فأوجب الغسل في الأخير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بعد الإجماع المحكي عليه في السرائر </w:t>
      </w:r>
      <w:r>
        <w:rPr>
          <w:rStyle w:val="FootnoteAnchor"/>
          <w:rtl w:val="true"/>
        </w:rPr>
        <w:footnoteReference w:id="239"/>
      </w:r>
      <w:r>
        <w:rPr>
          <w:rFonts w:ascii="Amiri" w:hAnsi="Amiri" w:eastAsia="Amiri" w:cs="Amiri"/>
          <w:color w:val="111111"/>
          <w:sz w:val="28"/>
          <w:sz w:val="28"/>
          <w:szCs w:val="28"/>
          <w:rtl w:val="true"/>
          <w:lang w:bidi="ar-SA"/>
        </w:rPr>
        <w:t xml:space="preserve">وغيره المعتبرة المستفيضة المشتملة </w:t>
      </w:r>
    </w:p>
    <w:p>
      <w:pPr>
        <w:pStyle w:val="BookText"/>
        <w:rPr/>
      </w:pPr>
      <w:r>
        <w:rPr>
          <w:rFonts w:ascii="Amiri" w:hAnsi="Amiri" w:eastAsia="Amiri" w:cs="Amiri"/>
          <w:color w:val="111111"/>
          <w:sz w:val="28"/>
          <w:sz w:val="28"/>
          <w:szCs w:val="28"/>
          <w:rtl w:val="true"/>
          <w:lang w:bidi="ar-SA"/>
        </w:rPr>
        <w:t xml:space="preserve">على الصحاح الصراح كصحيحة الأقطع عن رجل اجنب فاغتسل قبل أن يبول فخرج منه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وهو جنب قبل أن يبول ثمّ وجد بللا فقد انتقض غسله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عن الرجل يجنب ثمّ يغتسل قبل أن يبول فيجد بللا بعد ما يغتسل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 وهناك أخبار مستفيضة تدلّ على عدم انتقاض الغسل بذلك إلّا أنّها لا يقاوم الأخبار المذكورة لعدم سلامة إسنادها ، فالاستناد إليها مع قطع النظر عن المعارض لا يخلو عن الإشكال ، فكيف مع معارضتها بتلك الصحاح المعتضدة بالاحتياط وعمل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الجنابة فينسى أن يبول حتّى يغتسل ثمّ يرى بعد الغسل شيئا أيغتسل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قد تعصرت ونزل من الحبائل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اغتسل قبل أن يبول ،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الغسل بعد البول إلّا أن يكون ناسيا فلا يعيد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حجة التفصيل ، مضافا إلى كونه وجه جمع بين الأخبار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بعد ضعف الإسناد للتأمل على أنّ السندي الواقع في إسناد الأوّل ، وإن كان الأظهر الاعتماد عليه ، وضعف أحمد بن هلال الواقع في إسناد الأخير مع عدم خلوه عن الاضطراب ؛ لوقوع السؤال فيه بالقول ظاهرا والجواب بالكتابة وإعراض جمهور الأصحاب عن العمل </w:t>
      </w:r>
    </w:p>
    <w:p>
      <w:pPr>
        <w:pStyle w:val="BookText"/>
        <w:rPr/>
      </w:pPr>
      <w:r>
        <w:rPr>
          <w:rFonts w:ascii="Amiri" w:hAnsi="Amiri" w:eastAsia="Amiri" w:cs="Amiri"/>
          <w:color w:val="111111"/>
          <w:sz w:val="28"/>
          <w:sz w:val="28"/>
          <w:szCs w:val="28"/>
          <w:rtl w:val="true"/>
          <w:lang w:bidi="ar-SA"/>
        </w:rPr>
        <w:t>بهما ، مع كون الحكم المذكور من الأحكام الوضعيّة الّتي قد تختلف الحال فيها بالنسبة إلى الناسي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بعد البول قبل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 إذن إعادة الغسل أيضا بلا خلاف يظهر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المستفيضة المتقدمة لكن يجب عليه الوضوء لما مرّ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بعد الاستبراء بالاجتهاد من دون البول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 أيضا وجوب الغسل ؛ لإطلاق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إطلاق المحقق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إذ لا شاهد على تقييد الأخبار ، ومجرد الاعتبار لا يصلح حجّة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 عدم إمكان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قولان ، فذهب الشيخ </w:t>
      </w:r>
      <w:r>
        <w:rPr>
          <w:rStyle w:val="FootnoteAnchor"/>
          <w:rtl w:val="true"/>
        </w:rPr>
        <w:footnoteReference w:id="245"/>
      </w:r>
      <w:r>
        <w:rPr>
          <w:rFonts w:ascii="Amiri" w:hAnsi="Amiri" w:eastAsia="Amiri" w:cs="Amiri"/>
          <w:color w:val="111111"/>
          <w:sz w:val="28"/>
          <w:sz w:val="28"/>
          <w:szCs w:val="28"/>
          <w:rtl w:val="true"/>
          <w:lang w:bidi="ar-SA"/>
        </w:rPr>
        <w:t>وجماعة إلى عدم وجوب الغسل ، وعزي إلى الأكثر وظاهر جماعة من المتأخرين القول بوجوب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الأظهر ؛ لخلوّ أخبار الاستبراء عن ذلك ، بل لم نجد في شي‌ء من الأخبار ذكر الاجتهاد في الاستبراء عن المني ، وإنّما ورد ذلك في البول ، وقياس المني عليه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يتأمّل في مشروعيّة فعله بقصد الوظيفة فضلا عن ترتّب حكم الاستبراء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فانّما يسلّم في المقام الأوّل للتسامح في أدلّة السنن ، وأمّا الثاني فلا وجه للقول به مع دلالة الإطلاقات السابقة على لزوم الغسل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قيل بأنّ المناط في الاستبراء على حصول الظن بعدم تخلف شي‌ء من المني في مجراه ، وهو كما يحصل </w:t>
      </w:r>
      <w:r>
        <w:rPr>
          <w:rStyle w:val="FootnoteAnchor"/>
          <w:rtl w:val="true"/>
        </w:rPr>
        <w:footnoteReference w:id="246"/>
      </w:r>
      <w:r>
        <w:rPr>
          <w:rFonts w:ascii="Amiri" w:hAnsi="Amiri" w:eastAsia="Amiri" w:cs="Amiri"/>
          <w:color w:val="111111"/>
          <w:sz w:val="28"/>
          <w:sz w:val="28"/>
          <w:szCs w:val="28"/>
          <w:rtl w:val="true"/>
          <w:lang w:bidi="ar-SA"/>
        </w:rPr>
        <w:t>بالبول يحصل بالاجتهاد اتّجه ما قالوه إلّا أنّه لا وجه إذن للترتيب المذكور ، فلا بدّ من القول بترتّب الحكم عليه مع إمكان البول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حصوله على الاجتهاد المعروف ، بل يحصل بكثرة المني وطول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به كذلك مع أنّه مخالف لظاهر المذهب لا يوافق ظاهر أخبار الباب ، وإن وافق قاعدة عدم انتقاض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على عدم وجوب الغسل بخروج البلل مع عدم البول ؛ حملا لها على تلك الصورة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حمل تلك الإطلاقات على الفرد النادر لو كان هناك خبر مقيّد في غاية البعد ، فكيف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كونه وجه جمع بين الأخبار لا يوجب الحمل عليه سيّما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الحكم المذكور بالنسبة إلى المرأة أيضا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ما ذكره جماعة من الأصحاب من عدم استحباب الاستبراء في شأنها انتفاء الحكم بالنسبة اليها ، ونصّ بعض المتأخرين على استحباب الاستبراء لها ، وعلى جريان الحكم المذكور بالنسبة إليها </w:t>
      </w:r>
      <w:r>
        <w:rPr>
          <w:rStyle w:val="FootnoteAnchor"/>
          <w:rtl w:val="true"/>
        </w:rPr>
        <w:footnoteReference w:id="247"/>
      </w:r>
      <w:r>
        <w:rPr>
          <w:rFonts w:ascii="Amiri" w:hAnsi="Amiri" w:eastAsia="Amiri" w:cs="Amiri"/>
          <w:color w:val="111111"/>
          <w:sz w:val="28"/>
          <w:sz w:val="28"/>
          <w:szCs w:val="28"/>
          <w:rtl w:val="true"/>
          <w:lang w:bidi="ar-SA"/>
        </w:rPr>
        <w:t>هو ظاهر الشيخ في النهاية حيث سوّى بين الرجل والمرأة في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لاختصاص ما دلّ على استحباب الاستبراء ، والحكم بانتقاض الغسل بالخارج قبله بالرجل وقد فرض الحكم بالانتقاض فيه فيما رأيناه من الأخبار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 الرجل بخصوصه في الجواب لا يقضي بالإطلاق بعد فرضه في الرجل في السؤال ورجوع الضمير عليه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وقع السؤال والجواب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في شي‌ء من الأخبار ، بل الموجود فيها مشتمل على خصوص السؤال عن خصوص الرجل مع رجوع الضمير في إليه ، فلا يمكن أن يعم الجواب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وهو جنب قبل أن يبول ثمّ وجد بللا فقد انتقض غسله </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يبعد استظهار حملها على الرجل سيّما بمعونة سائر الأخبار بل خيرة </w:t>
      </w:r>
      <w:r>
        <w:rPr>
          <w:rStyle w:val="FootnoteAnchor"/>
          <w:rtl w:val="true"/>
        </w:rPr>
        <w:footnoteReference w:id="250"/>
      </w:r>
      <w:r>
        <w:rPr>
          <w:rFonts w:ascii="Amiri" w:hAnsi="Amiri" w:eastAsia="Amiri" w:cs="Amiri"/>
          <w:color w:val="111111"/>
          <w:sz w:val="28"/>
          <w:sz w:val="28"/>
          <w:szCs w:val="28"/>
          <w:rtl w:val="true"/>
          <w:lang w:bidi="ar-SA"/>
        </w:rPr>
        <w:t>الآخر المرويّ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التعليل الوارد في آخر الرواية حيث علّل عدم نقض الغسل بعد البول بأن البول لم يدع شيئا ؛ إذ من الظاهر أنّه لا دخل للبول بالنسبة إليها في إخراج المتخلّف من منيّها لاختلاف مخرجها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إشارة تامّة إلى اختصاص الحكم بالرجل ، فلو سرينا الاستبراء إليها تعيّن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لخروج البول من مخرجه تأثيرا في تنظف الآخر كما قيل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فقاعدة عدم انتقاض اليقين بالشك محكمة في شأنها ، فلا يحكم عليها بالنقض إلّا مع العلم بكون الخارج منيّا ، وأنّه من 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تيقنت بخروج المني وكان في فرجها من مني الرجل بنت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موثقة الأقطع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فاغتسل قبل أن يبول فخرج منه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يخرج منها شي‌ء بعد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w:t>
      </w:r>
      <w:r>
        <w:rPr>
          <w:rStyle w:val="FootnoteAnchor"/>
          <w:rtl w:val="true"/>
        </w:rPr>
        <w:footnoteReference w:id="251"/>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ما يخرج </w:t>
      </w:r>
      <w:r>
        <w:rPr>
          <w:rStyle w:val="FootnoteAnchor"/>
          <w:rtl w:val="true"/>
        </w:rPr>
        <w:footnoteReference w:id="252"/>
      </w:r>
      <w:r>
        <w:rPr>
          <w:rFonts w:ascii="Amiri" w:hAnsi="Amiri" w:eastAsia="Amiri" w:cs="Amiri"/>
          <w:color w:val="111111"/>
          <w:sz w:val="28"/>
          <w:sz w:val="28"/>
          <w:szCs w:val="28"/>
          <w:rtl w:val="true"/>
          <w:lang w:bidi="ar-SA"/>
        </w:rPr>
        <w:t xml:space="preserve">من المرأة من مني الرجل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صحيحة منصور ، وفيهما أيضا إشارة إلى ما قلناه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واعلم أنّ الحكم بنقض البلل المشتبه مع اشتباه ذاته ظاهر ، وأمّا مع العلم بعدم صدق المني عليه واحتمل استهلاك جزء من منيّه فيه كما إذا بال واحتمل حصول جزء من المني مستهلك فيه ، ففيه وجهان من حصول الاشتباه ، ومن خروجه عن ظاهر الأخبار ؛ لعدم صدق البلل المشتبه عليه في العرف وإن كان الثاني أظهر ؛ أخذا بأصالة بقاء الطهارة ، والأحوط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احتلم فلمّا انتبه لم يجد في ثوبه وبدنه شيئا أو وجد وشك في كونه منيّا لم يحكم بالجنابة ، للأصل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في بدنه وثوبه المختصّ به منيّا رطبا أو يابسا حكم بجنابته مع العلم بخروجه منه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أنّه احتلم ، فيجد في ثوبه وعلى فخذه الماء هل عليه 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موثقته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لم يعلم بخروجه منه لم يحكم بجنابته ؛ للأصل وظاهر حسنة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بثوبه منيّا ولم يعلم أنّه احتلم؟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وجد بثوبه وليتوضأ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أمره بالوضوء إشارة إلى الاكتفاء فيه برفع الأصغر ، ولا فرق في الحكم بين ما إذا قضى أصالة التاخّر بوقوعه منه كما إذا لم يحتمل مع تأخّر وقوعه من غيره أو لا ، وكذا لا فرق في صورة العلم بين ما إذا تيقّن بخروجه بعد غسله أو احتمل وقوعه قبله لرجوعه في الأخير إلى اليقين بالطهارة والحدث والشك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الحكم بجنابته إنّما يجب عليه اعادة ما أتى به من الصلاة بعد النوم الأخير ؛ لعدم العبرة بالشكّ بعد الفراغ ، مضافا إلى أصالة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المبسوط </w:t>
      </w:r>
      <w:r>
        <w:rPr>
          <w:rStyle w:val="FootnoteAnchor"/>
          <w:rtl w:val="true"/>
        </w:rPr>
        <w:footnoteReference w:id="256"/>
      </w:r>
      <w:r>
        <w:rPr>
          <w:rFonts w:ascii="Amiri" w:hAnsi="Amiri" w:eastAsia="Amiri" w:cs="Amiri"/>
          <w:color w:val="111111"/>
          <w:sz w:val="28"/>
          <w:sz w:val="28"/>
          <w:szCs w:val="28"/>
          <w:rtl w:val="true"/>
          <w:lang w:bidi="ar-SA"/>
        </w:rPr>
        <w:t xml:space="preserve">القول بوجوب قضاء كلّ ما أتى به من الصلوات بعد الغسل الأخير الواقع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إلى مراعاة الاحتياط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 لعدم دليل على وجوب الاحتياط في مثله سيّما بعد قيام الدليل على عدم العبرة بالشك بعد الفعل أو خروج الوقت ، ولانتفاء الاحتياط في الصلاة المتوسط بين الغسل </w:t>
      </w:r>
    </w:p>
    <w:p>
      <w:pPr>
        <w:pStyle w:val="BookText"/>
        <w:rPr/>
      </w:pPr>
      <w:r>
        <w:rPr>
          <w:rFonts w:ascii="Amiri" w:hAnsi="Amiri" w:eastAsia="Amiri" w:cs="Amiri"/>
          <w:color w:val="111111"/>
          <w:sz w:val="28"/>
          <w:sz w:val="28"/>
          <w:szCs w:val="28"/>
          <w:rtl w:val="true"/>
          <w:lang w:bidi="ar-SA"/>
        </w:rPr>
        <w:t>الأخير والنوم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لا يقول به أيضا ، وإن قضى به إطلاق عبارته ، ولعدم حصول الاحتياط به إذا احتمل تقدّمه على الغسل الأخير ؛ لعدم الاتيان إذن بجميع المحتملات ، وإنّما يتأتى ذلك باعادة كلّ صلاة يحتمل تعقيبه للجنابة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المني في ثوبه المشترك بينه وبين غيره لم يحكم كل منهما بانتقاض طهارته سواء كانا مجتمعين فيه كالفراش أو اللحاف أو كلّ </w:t>
      </w:r>
      <w:r>
        <w:rPr>
          <w:rStyle w:val="FootnoteAnchor"/>
          <w:rtl w:val="true"/>
        </w:rPr>
        <w:footnoteReference w:id="258"/>
      </w:r>
      <w:r>
        <w:rPr>
          <w:rFonts w:ascii="Amiri" w:hAnsi="Amiri" w:eastAsia="Amiri" w:cs="Amiri"/>
          <w:color w:val="111111"/>
          <w:sz w:val="28"/>
          <w:sz w:val="28"/>
          <w:szCs w:val="28"/>
          <w:rtl w:val="true"/>
          <w:lang w:bidi="ar-SA"/>
        </w:rPr>
        <w:t>منهما على سبيل التناوب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الصورة الأولى ممّا لا خلاف فيه ظاهرا ؛ أخذا في كل منهما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انتقاض إحدى الطهارتين لا يوجب الاحتياط عليهما ؛ لعدم اليقين بحصول التكليف بالنسبة إلى شي‌ء منهما ليجب الخروج عنه كما في مسألة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كلا من الاستصحابين حجّة شرعيّة فبعد القطع بحصول النقض لأحدهما يكون بمنزلة التخصيص بالمجمل </w:t>
      </w:r>
      <w:r>
        <w:rPr>
          <w:rStyle w:val="FootnoteAnchor"/>
          <w:rtl w:val="true"/>
        </w:rPr>
        <w:footnoteReference w:id="259"/>
      </w:r>
      <w:r>
        <w:rPr>
          <w:rFonts w:ascii="Amiri" w:hAnsi="Amiri" w:eastAsia="Amiri" w:cs="Amiri"/>
          <w:color w:val="111111"/>
          <w:sz w:val="28"/>
          <w:sz w:val="28"/>
          <w:szCs w:val="28"/>
          <w:rtl w:val="true"/>
          <w:lang w:bidi="ar-SA"/>
        </w:rPr>
        <w:t>مدفوع بقيام كل منهما حجة بالنسبة إلى موضوعه ،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إطلاق حسنة أبي بصير المتقدمة ، وفي الصورة الثانية هو المعروف ، وقد حكم فيه بعضهم بوجوب الغسل على صاحب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المحقق الكركي والشهيد الثاني ؛ أخذا بأصالة تأخر الحادث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ما عرفت من كون المسألة </w:t>
      </w:r>
      <w:r>
        <w:rPr>
          <w:rStyle w:val="FootnoteAnchor"/>
          <w:rtl w:val="true"/>
        </w:rPr>
        <w:footnoteReference w:id="260"/>
      </w:r>
      <w:r>
        <w:rPr>
          <w:rFonts w:ascii="Amiri" w:hAnsi="Amiri" w:eastAsia="Amiri" w:cs="Amiri"/>
          <w:color w:val="111111"/>
          <w:sz w:val="28"/>
          <w:sz w:val="28"/>
          <w:szCs w:val="28"/>
          <w:rtl w:val="true"/>
          <w:lang w:bidi="ar-SA"/>
        </w:rPr>
        <w:t xml:space="preserve">في مثله مثبتا </w:t>
      </w:r>
      <w:r>
        <w:rPr>
          <w:rStyle w:val="FootnoteAnchor"/>
          <w:rtl w:val="true"/>
        </w:rPr>
        <w:footnoteReference w:id="261"/>
      </w:r>
      <w:r>
        <w:rPr>
          <w:rFonts w:ascii="Amiri" w:hAnsi="Amiri" w:eastAsia="Amiri" w:cs="Amiri"/>
          <w:color w:val="111111"/>
          <w:sz w:val="28"/>
          <w:sz w:val="28"/>
          <w:szCs w:val="28"/>
          <w:rtl w:val="true"/>
          <w:lang w:bidi="ar-SA"/>
        </w:rPr>
        <w:t>لما لا يتفرع عليه ، فلا يكون حجّة فيه ؛ إذ ليس من مقتضيات تأخّر وقوعه في نفسه وقوعه من الآخر ، وإن استلزمه بملاحظة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صحّ التمسّك بالأصل في مثله لزمه الحكم بنجاسة بدنه إذا رأى في ثوبه دما ، واحتمل خروجه منه ومن غيره إلّا أنّه لا يحتمل وقوعه من غيره إلّا مع سبقه لقطعه بعدم </w:t>
      </w:r>
    </w:p>
    <w:p>
      <w:pPr>
        <w:pStyle w:val="BookText"/>
        <w:rPr/>
      </w:pPr>
      <w:r>
        <w:rPr>
          <w:rFonts w:ascii="Amiri" w:hAnsi="Amiri" w:eastAsia="Amiri" w:cs="Amiri"/>
          <w:color w:val="111111"/>
          <w:sz w:val="28"/>
          <w:sz w:val="28"/>
          <w:szCs w:val="28"/>
          <w:rtl w:val="true"/>
          <w:lang w:bidi="ar-SA"/>
        </w:rPr>
        <w:t>ملاقاته لغيره في ذلك الوقت وما يقاربه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أحدا لا يقول به ، فكذا فيما نحن فيه ؛ إذ هما من قبيل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شمول الحسنة المتقدمة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إنّما يحكم بسقوط أحكام الجنب عن كلّ منهما بانفراده بالنسبة إلى نفسه ، وأما بالنسبة إلى غيره وما إذا تعلّق الحكم بالمجموع فهناك تأمّل في جريان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ما لو أراد أحد استيجار أحدهما للصلاة عن الميّت أو أراد القدوة به فإنّ فيه وجهين من الحكم شرعا بطهارته ، ويتبعه الحكم بصحّة صلاته ، ومن القطع بفساد صلاة المحدث منهما وعدم جواز استيجاره ، ولا القدوة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دورانه بين المحصور يجب التجنب عنهما ؛ لوجوب التحرّز عن المشتبه المحصور كما مرّ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الأظهر ، ويحتمل القول بجواز الجمع بينهما أيضا بناء على دعوى إسقاط الشرع لحكم الجنابة المذكورة ، وهو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جواز قوة </w:t>
      </w:r>
      <w:r>
        <w:rPr>
          <w:rStyle w:val="FootnoteAnchor"/>
          <w:rtl w:val="true"/>
        </w:rPr>
        <w:footnoteReference w:id="263"/>
      </w:r>
      <w:r>
        <w:rPr>
          <w:rFonts w:ascii="Amiri" w:hAnsi="Amiri" w:eastAsia="Amiri" w:cs="Amiri"/>
          <w:color w:val="111111"/>
          <w:sz w:val="28"/>
          <w:sz w:val="28"/>
          <w:szCs w:val="28"/>
          <w:rtl w:val="true"/>
          <w:lang w:bidi="ar-SA"/>
        </w:rPr>
        <w:t xml:space="preserve">أحدهما بالآخر أو استيجار أحدهما للآخر </w:t>
      </w:r>
      <w:r>
        <w:rPr>
          <w:rStyle w:val="FootnoteAnchor"/>
          <w:rtl w:val="true"/>
        </w:rPr>
        <w:footnoteReference w:id="264"/>
      </w:r>
      <w:r>
        <w:rPr>
          <w:rFonts w:ascii="Amiri" w:hAnsi="Amiri" w:eastAsia="Amiri" w:cs="Amiri"/>
          <w:color w:val="111111"/>
          <w:sz w:val="28"/>
          <w:sz w:val="28"/>
          <w:szCs w:val="28"/>
          <w:rtl w:val="true"/>
          <w:lang w:bidi="ar-SA"/>
        </w:rPr>
        <w:t>لتعيّن ما عليه من الصلاة المستأجر عليها اذا أتى ببعضه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فيه المنع لفساد صلاته على كلّ من التقديرين في الأوّل وعدم فراغ ذمّته من تمام الحق قطعا في </w:t>
      </w:r>
      <w:r>
        <w:rPr>
          <w:rStyle w:val="FootnoteAnchor"/>
          <w:rtl w:val="true"/>
        </w:rPr>
        <w:footnoteReference w:id="265"/>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فيه أيضا بالصحّة للحكم شرعا بطهارة كلّ منهما وسقوط حكم الجنابة المفروضة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وهنه بعد عدم نهوض دليل عليه كذلك ، غاية ما يقتضيه الدليل سقوطه بالنسبة إلى كلّ منهما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12" w:name="pg15839_360672"/>
    </w:p>
    <w:p>
      <w:pPr>
        <w:pStyle w:val="Heading5"/>
        <w:numPr>
          <w:ilvl w:val="4"/>
          <w:numId w:val="1"/>
        </w:numPr>
        <w:rPr/>
      </w:pPr>
      <w:bookmarkStart w:id="113" w:name="__RefHeading___Toc14338381_2142443653"/>
      <w:bookmarkStart w:id="114" w:name="_Toc43"/>
      <w:bookmarkEnd w:id="112"/>
      <w:bookmarkEnd w:id="113"/>
      <w:r>
        <w:rPr>
          <w:rtl w:val="true"/>
        </w:rPr>
        <w:t xml:space="preserve">تبصرة </w:t>
      </w:r>
      <w:r>
        <w:rPr>
          <w:rtl w:val="true"/>
        </w:rPr>
        <w:t xml:space="preserve">[ </w:t>
      </w:r>
      <w:r>
        <w:rPr>
          <w:rtl w:val="true"/>
        </w:rPr>
        <w:t xml:space="preserve">في تحقق الجنابة بإدخال الحشفة </w:t>
      </w:r>
      <w:r>
        <w:rPr>
          <w:rtl w:val="true"/>
        </w:rPr>
        <w:t>]</w:t>
      </w:r>
      <w:bookmarkEnd w:id="114"/>
    </w:p>
    <w:p>
      <w:pPr>
        <w:pStyle w:val="BookText"/>
        <w:rPr/>
      </w:pPr>
      <w:r>
        <w:rPr>
          <w:rFonts w:ascii="Amiri" w:hAnsi="Amiri" w:eastAsia="Amiri" w:cs="Amiri"/>
          <w:color w:val="111111"/>
          <w:sz w:val="28"/>
          <w:sz w:val="28"/>
          <w:szCs w:val="28"/>
          <w:rtl w:val="true"/>
          <w:lang w:bidi="ar-SA"/>
        </w:rPr>
        <w:t>الثاني من موجبي الجنابة الإدخال ، وحصولها بالإدخال في فرج المرأة ممّا أجمعت عليه الفرقة بل هو ممّا أطبقت عليه الأمّة سوى شذوذ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رجع جماعة من المنكرين إلى القول به كما حكي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الإجماع المعلوم والمنقول ظاهر الكتاب والنصوص المستفيضة ، ويعتبر فيه إدخال الحشفة على ما هو المصرّح به في كلام الأصحاب ، وعبّر عنه في كثير من الأخبار بالتقاء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الحشفة ما فوق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الغسل؟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التقى الختانان فقد 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هو غيبوبة الحشفة؟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ينافي ذلك ما في القاموس من تفسير الحشفة بما فوق الختان ، بل ينطبق عليه ؛ إذ حصول الالتقاء بغيبوبة الحشفة إنّما يكون بكون </w:t>
      </w:r>
      <w:r>
        <w:rPr>
          <w:rStyle w:val="FootnoteAnchor"/>
          <w:rtl w:val="true"/>
        </w:rPr>
        <w:footnoteReference w:id="269"/>
      </w:r>
      <w:r>
        <w:rPr>
          <w:rFonts w:ascii="Amiri" w:hAnsi="Amiri" w:eastAsia="Amiri" w:cs="Amiri"/>
          <w:color w:val="111111"/>
          <w:sz w:val="28"/>
          <w:sz w:val="28"/>
          <w:szCs w:val="28"/>
          <w:rtl w:val="true"/>
          <w:lang w:bidi="ar-SA"/>
        </w:rPr>
        <w:t>الحشفة ما فوق الختان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المعروف من المذهب وجوب الغسل بإدخال دبر المرأة ، وقال السيد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بين المسلمين في أنّ الوطي في الموضع المكروه من ذكر أو أنثى يجري مجرى الوطي في القبل ، ولا وجدت في الكتب المصنفة لأصحابنا الإماميّة إلّا ذلك ، ولا سمعت ممّن عاصرني </w:t>
      </w:r>
    </w:p>
    <w:p>
      <w:pPr>
        <w:pStyle w:val="BookText"/>
        <w:rPr/>
      </w:pPr>
      <w:r>
        <w:rPr>
          <w:rFonts w:ascii="Amiri" w:hAnsi="Amiri" w:eastAsia="Amiri" w:cs="Amiri"/>
          <w:color w:val="111111"/>
          <w:sz w:val="28"/>
          <w:sz w:val="28"/>
          <w:szCs w:val="28"/>
          <w:rtl w:val="true"/>
          <w:lang w:bidi="ar-SA"/>
        </w:rPr>
        <w:t>منهم من شيوخهم نحوا من ستّين سنة إلا يفتي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إجماع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من المبسوط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الظاهر من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الشيخ </w:t>
      </w:r>
      <w:r>
        <w:rPr>
          <w:rStyle w:val="FootnoteAnchor"/>
          <w:rtl w:val="true"/>
        </w:rPr>
        <w:footnoteReference w:id="272"/>
      </w:r>
      <w:r>
        <w:rPr>
          <w:rFonts w:ascii="Amiri" w:hAnsi="Amiri" w:eastAsia="Amiri" w:cs="Amiri"/>
          <w:color w:val="111111"/>
          <w:sz w:val="28"/>
          <w:sz w:val="28"/>
          <w:szCs w:val="28"/>
          <w:rtl w:val="true"/>
          <w:lang w:bidi="ar-SA"/>
        </w:rPr>
        <w:t>في غير واحد من كتبه إلى عدم حصول الجنابة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المبسوط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ذلك من الكليني رحمه‌اللّه حيث روى في الكافي </w:t>
      </w:r>
      <w:r>
        <w:rPr>
          <w:rStyle w:val="FootnoteAnchor"/>
          <w:rtl w:val="true"/>
        </w:rPr>
        <w:footnoteReference w:id="273"/>
      </w:r>
      <w:r>
        <w:rPr>
          <w:rFonts w:ascii="Amiri" w:hAnsi="Amiri" w:eastAsia="Amiri" w:cs="Amiri"/>
          <w:color w:val="111111"/>
          <w:sz w:val="28"/>
          <w:sz w:val="28"/>
          <w:szCs w:val="28"/>
          <w:rtl w:val="true"/>
          <w:lang w:bidi="ar-SA"/>
        </w:rPr>
        <w:t>مرفوعة البرقي والصدوق حيث روى في الفقيه صحيحة الحلبي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في الصحيحة </w:t>
      </w:r>
      <w:r>
        <w:rPr>
          <w:rStyle w:val="FootnoteAnchor"/>
          <w:rtl w:val="true"/>
        </w:rPr>
        <w:footnoteReference w:id="274"/>
      </w:r>
      <w:r>
        <w:rPr>
          <w:rFonts w:ascii="Amiri" w:hAnsi="Amiri" w:eastAsia="Amiri" w:cs="Amiri"/>
          <w:color w:val="111111"/>
          <w:sz w:val="28"/>
          <w:sz w:val="28"/>
          <w:szCs w:val="28"/>
          <w:rtl w:val="true"/>
          <w:lang w:bidi="ar-SA"/>
        </w:rPr>
        <w:t>على الحكم كما ستعرف ، فإسناد القول إليه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بعد الإجماع والشهرة العظيمة الاحتياط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دلّ من المستفيضة على وجوب الغسل بالإدخال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الغسل على الرجل والمرأة؟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 </w:t>
      </w:r>
      <w:r>
        <w:rPr>
          <w:rStyle w:val="FootnoteAnchor"/>
          <w:rtl w:val="true"/>
        </w:rPr>
        <w:footnoteReference w:id="275"/>
      </w:r>
      <w:r>
        <w:rPr>
          <w:rFonts w:ascii="IRNazanin" w:hAnsi="IRNazanin" w:eastAsia="IRNazanin"/>
          <w:color w:val="111111"/>
          <w:sz w:val="28"/>
          <w:sz w:val="28"/>
          <w:szCs w:val="28"/>
          <w:rtl w:val="true"/>
          <w:lang w:bidi="fa-IR"/>
        </w:rPr>
        <w:t xml:space="preserve">فقد وجب الغسل والمهر والرجم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صحيحة أخرى ، 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أدخله في اليقظة وجب عليها الغسل أمنت أو لم تمن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ذكر المهر والرجم معه ؛ إذ الظاهر عدم تأمّل منهم في ثبوتها بالإدخال في الدبر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انفكاك وجوب الغسل عن وجوب المهر والرجم كقول عليّ عليه‌السلام في الصحيح حين وقع النزاع بين المهاجرين والأنصار في كون الإدخال سببا للغسل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أتوجبون عليه الرجم والحدّ ، ولا توجبون عليه صاعا من ماء؟</w:t>
      </w:r>
      <w:r>
        <w:rPr>
          <w:rFonts w:eastAsia="Amiri" w:cs="Amiri" w:ascii="Amiri" w:hAnsi="Amiri"/>
          <w:color w:val="111111"/>
          <w:sz w:val="28"/>
          <w:szCs w:val="28"/>
          <w:rtl w:val="true"/>
          <w:lang w:bidi="ar-SA"/>
        </w:rPr>
        <w:t xml:space="preserve">! »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 توجب </w:t>
      </w:r>
      <w:r>
        <w:rPr>
          <w:rStyle w:val="FootnoteAnchor"/>
          <w:rtl w:val="true"/>
        </w:rPr>
        <w:footnoteReference w:id="279"/>
      </w:r>
      <w:r>
        <w:rPr>
          <w:rFonts w:ascii="Amiri" w:hAnsi="Amiri" w:eastAsia="Amiri" w:cs="Amiri"/>
          <w:color w:val="111111"/>
          <w:sz w:val="28"/>
          <w:sz w:val="28"/>
          <w:szCs w:val="28"/>
          <w:rtl w:val="true"/>
          <w:lang w:bidi="ar-SA"/>
        </w:rPr>
        <w:t>الغسل والحد يجب عليه؟</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ظاهرها أنّ وجوب الغسل والحدّ والرجم من قبيل واحد ، و </w:t>
      </w:r>
      <w:r>
        <w:rPr>
          <w:rStyle w:val="FootnoteAnchor"/>
          <w:rtl w:val="true"/>
        </w:rPr>
        <w:footnoteReference w:id="281"/>
      </w:r>
      <w:r>
        <w:rPr>
          <w:rFonts w:ascii="Amiri" w:hAnsi="Amiri" w:eastAsia="Amiri" w:cs="Amiri"/>
          <w:color w:val="111111"/>
          <w:sz w:val="28"/>
          <w:sz w:val="28"/>
          <w:szCs w:val="28"/>
          <w:rtl w:val="true"/>
          <w:lang w:bidi="ar-SA"/>
        </w:rPr>
        <w:t xml:space="preserve">إنّ ثبوت الأوّل أولى من الأخيرين ، فإذا ثبتا لزم القول </w:t>
      </w:r>
      <w:r>
        <w:rPr>
          <w:rStyle w:val="FootnoteAnchor"/>
          <w:rtl w:val="true"/>
        </w:rPr>
        <w:footnoteReference w:id="282"/>
      </w:r>
      <w:r>
        <w:rPr>
          <w:rFonts w:ascii="IRNazanin" w:hAnsi="IRNazanin" w:eastAsia="IRNazanin"/>
          <w:color w:val="111111"/>
          <w:sz w:val="28"/>
          <w:sz w:val="28"/>
          <w:szCs w:val="28"/>
          <w:rtl w:val="true"/>
          <w:lang w:bidi="fa-IR"/>
        </w:rPr>
        <w:t xml:space="preserve">بثبوته بالأولى ، و </w:t>
      </w:r>
      <w:r>
        <w:rPr>
          <w:rStyle w:val="FootnoteAnchor"/>
          <w:rtl w:val="true"/>
        </w:rPr>
        <w:footnoteReference w:id="283"/>
      </w:r>
      <w:r>
        <w:rPr>
          <w:rFonts w:ascii="Amiri" w:hAnsi="Amiri" w:eastAsia="Amiri" w:cs="Amiri"/>
          <w:color w:val="111111"/>
          <w:sz w:val="28"/>
          <w:sz w:val="28"/>
          <w:szCs w:val="28"/>
          <w:rtl w:val="true"/>
          <w:lang w:bidi="ar-SA"/>
        </w:rPr>
        <w:t>الإدخال من الدبر يوجب الجلد أو الرجم عندهم ، فيلزمه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ذلك قياس لا يجوز الاحتجاج به في ثبوت الأحكام مدفوع بأنّ كلام الإمام عليه‌السلام هو الحجّة في ذلك ، وإن كان ذلك تقريبا إلى إفهامهم ، ولم يجز الاحتجاج به بمجرّده ، فإنّ المستند عندنا هو حكم الإمام عليه‌السلام به ، مضافا إلى أنّه لا مانع من الاحتجاج به بعد قيام الأولويّة أو العلم بالمناط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كان المناط في ذلك منقّحا عندهم ، وعدم تنقّحه عندنا لا يستلزم عدمه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ابن أبي عمير ، عن حفص بن سوقة عمّن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يأتي أهله من خلفها؟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أحد المائين فيه الغسل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الرواية منجبر بالعمل مع صحّتها إلى ابن أبي عمير الّذي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للمناقشة في دلالتها ؛ لصراحتها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 ظاهر الآية الشريفة الدالّة على وجوب الغسل بالملامسة الصادقة به ، وخروج الملامسة بغير الإدخال من أجل الإجماع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الفتوى لا يقضي بخروجه ؛ لصدقه عليه أيضا ، وتفسيرها في الصحيحة بالمواقعة </w:t>
      </w:r>
    </w:p>
    <w:p>
      <w:pPr>
        <w:pStyle w:val="BookText"/>
        <w:rPr/>
      </w:pPr>
      <w:r>
        <w:rPr>
          <w:rFonts w:ascii="Amiri" w:hAnsi="Amiri" w:eastAsia="Amiri" w:cs="Amiri"/>
          <w:color w:val="111111"/>
          <w:sz w:val="28"/>
          <w:sz w:val="28"/>
          <w:szCs w:val="28"/>
          <w:rtl w:val="true"/>
          <w:lang w:bidi="ar-SA"/>
        </w:rPr>
        <w:t>في الفرج لا يوجب التخصيص ؛ لصدق الفرج على القبل والدبر كما نصّ عليه أهل اللغة ، وقضى به جملة من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فيما </w:t>
      </w:r>
      <w:r>
        <w:rPr>
          <w:rStyle w:val="FootnoteAnchor"/>
          <w:rtl w:val="true"/>
        </w:rPr>
        <w:footnoteReference w:id="285"/>
      </w:r>
      <w:r>
        <w:rPr>
          <w:rFonts w:ascii="Amiri" w:hAnsi="Amiri" w:eastAsia="Amiri" w:cs="Amiri"/>
          <w:color w:val="111111"/>
          <w:sz w:val="28"/>
          <w:sz w:val="28"/>
          <w:szCs w:val="28"/>
          <w:rtl w:val="true"/>
          <w:lang w:bidi="ar-SA"/>
        </w:rPr>
        <w:t>دلّ على وجوب الغسل بالإدخال في الفرج دلالة عليه إلّا أنّ الظاهر منه عرفا هو خصوص القبل ، ففي الاحتجاج بها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بالثاني بعد الأصل وما دلّ على عدم نقض اليقين إلّا باليقين إلى نوعه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المرأة إلى دبرها وهي صائمة؟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صومها وليس عليها غسل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الرجل المرأة في دبرها وهي صائمة لم ينقض صومها وليس عليها غسل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 أعليها غسل هو إن أنزل أو لم تنزل 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غسل وإن لم ينزل هو فليس عليه غسل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لشمول إطلاقها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الأصل ما دلّ على عدم نقض اليقين لا حجة فيهما بعد قيام الدليل ، والروايتان الأوليان ضعيفتان ، فلا معوّل عليها سيّما في مقابلة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اطراحها بين الأصحاب وإعراضهم عن العمل بها من الصدر الأول كما حكاه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اختصاصهما بالمرأة ، والصحيحة لا دلالة فيها بناء على شمول الفرج للدبر ، ولو سلّم الاختصاص فانصراف إطلاقها إلى صورة الدخول محلّ تأمّل ، فلا معوّل عليها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الحكم بالجنابة بذلك بين الرجل والمرأة كما هو الظاهر من الملازمة بين </w:t>
      </w:r>
    </w:p>
    <w:p>
      <w:pPr>
        <w:pStyle w:val="BookText"/>
        <w:rPr/>
      </w:pPr>
      <w:r>
        <w:rPr>
          <w:rFonts w:ascii="Amiri" w:hAnsi="Amiri" w:eastAsia="Amiri" w:cs="Amiri"/>
          <w:color w:val="111111"/>
          <w:sz w:val="28"/>
          <w:sz w:val="28"/>
          <w:szCs w:val="28"/>
          <w:rtl w:val="true"/>
          <w:lang w:bidi="ar-SA"/>
        </w:rPr>
        <w:t xml:space="preserve">الأمرين في ذلك ؛ لقضاء جملة من الأدلّة المذكورة </w:t>
      </w:r>
      <w:r>
        <w:rPr>
          <w:rStyle w:val="FootnoteAnchor"/>
          <w:rtl w:val="true"/>
        </w:rPr>
        <w:footnoteReference w:id="289"/>
      </w:r>
      <w:r>
        <w:rPr>
          <w:rFonts w:ascii="Amiri" w:hAnsi="Amiri" w:eastAsia="Amiri" w:cs="Amiri"/>
          <w:color w:val="111111"/>
          <w:sz w:val="28"/>
          <w:sz w:val="28"/>
          <w:szCs w:val="28"/>
          <w:rtl w:val="true"/>
          <w:lang w:bidi="ar-SA"/>
        </w:rPr>
        <w:t>، وتردّد فيه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على وجوبه عليها حديثا إلّا قول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أتوجبون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كاف في ذلك ، مضافا إلى غير واحد من الأخبار المذكورة هناك كإطلاقات </w:t>
      </w:r>
      <w:r>
        <w:rPr>
          <w:rStyle w:val="FootnoteAnchor"/>
          <w:rtl w:val="true"/>
        </w:rPr>
        <w:footnoteReference w:id="290"/>
      </w:r>
      <w:r>
        <w:rPr>
          <w:rFonts w:ascii="Amiri" w:hAnsi="Amiri" w:eastAsia="Amiri" w:cs="Amiri"/>
          <w:color w:val="111111"/>
          <w:sz w:val="28"/>
          <w:sz w:val="28"/>
          <w:szCs w:val="28"/>
          <w:rtl w:val="true"/>
          <w:lang w:bidi="ar-SA"/>
        </w:rPr>
        <w:t>الدالّة على وجوب الغسل بالإدخال سيّما الصحيحة الأخيرة لورودها في خصوص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الخلاف في دبر الغلام كالخلاف في دبر المرأة ، وحكى السيّد الإجماع فيها على نحو سواء كما عرفت </w:t>
      </w:r>
      <w:r>
        <w:rPr>
          <w:rStyle w:val="FootnoteAnchor"/>
          <w:rtl w:val="true"/>
        </w:rPr>
        <w:footnoteReference w:id="291"/>
      </w:r>
      <w:r>
        <w:rPr>
          <w:rFonts w:ascii="Amiri" w:hAnsi="Amiri" w:eastAsia="Amiri" w:cs="Amiri"/>
          <w:color w:val="111111"/>
          <w:sz w:val="28"/>
          <w:sz w:val="28"/>
          <w:szCs w:val="28"/>
          <w:rtl w:val="true"/>
          <w:lang w:bidi="ar-SA"/>
        </w:rPr>
        <w:t xml:space="preserve">أو على القول بالفصل بينه وبين دبر المرأة كما في المختلف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العظيمة والاحتياط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الحضرمي ،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غلاما صار جنبا يوم القيامة لا ينقّيه ماء الدنيا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إطلاقها تأييد تامّ لما ذكرنا ، بل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جنابة الطفل بذلك لارتفاع الحد منه ، ولا يشمل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ذلك من الأحكام الوضعيّة الّتي لا يختلف فيه المكلّف وغيره ، مع أنّ الظاهر عدم فرق أحد بين كونه مكلّفا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تنقيح المناط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أولج في فرج الخنثى لم يجب الغسل عليها لاحتمال الزيادة ، وقد يحتمل الوجوب لصدق الفرج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أولج الخنثى في الرجل والمرأة أو في مثلها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أولج كلّ في فرج الآخر وجب عليهما بخلاف ما لو أولج كلّ في دبر الآخر فلا يجب على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الايلاج في فرج البهيمة 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الشيخ </w:t>
      </w:r>
      <w:r>
        <w:rPr>
          <w:rStyle w:val="FootnoteAnchor"/>
          <w:rtl w:val="true"/>
        </w:rPr>
        <w:footnoteReference w:id="294"/>
      </w:r>
      <w:r>
        <w:rPr>
          <w:rFonts w:ascii="Amiri" w:hAnsi="Amiri" w:eastAsia="Amiri" w:cs="Amiri"/>
          <w:color w:val="111111"/>
          <w:sz w:val="28"/>
          <w:sz w:val="28"/>
          <w:szCs w:val="28"/>
          <w:rtl w:val="true"/>
          <w:lang w:bidi="ar-SA"/>
        </w:rPr>
        <w:t xml:space="preserve">في غير واحد من كتبه إلى عدم حصولها به ، واستحسنه المحقق </w:t>
      </w:r>
      <w:r>
        <w:rPr>
          <w:rStyle w:val="FootnoteAnchor"/>
          <w:rtl w:val="true"/>
        </w:rPr>
        <w:footnoteReference w:id="295"/>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العلّامة في المختلف </w:t>
      </w:r>
      <w:r>
        <w:rPr>
          <w:rStyle w:val="FootnoteAnchor"/>
          <w:rtl w:val="true"/>
        </w:rPr>
        <w:footnoteReference w:id="297"/>
      </w:r>
      <w:r>
        <w:rPr>
          <w:rFonts w:ascii="Amiri" w:hAnsi="Amiri" w:eastAsia="Amiri" w:cs="Amiri"/>
          <w:color w:val="111111"/>
          <w:sz w:val="28"/>
          <w:sz w:val="28"/>
          <w:szCs w:val="28"/>
          <w:rtl w:val="true"/>
          <w:lang w:bidi="ar-SA"/>
        </w:rPr>
        <w:t>إلى حصول الجنابة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يعزى إلى السيد </w:t>
      </w:r>
      <w:r>
        <w:rPr>
          <w:rStyle w:val="FootnoteAnchor"/>
          <w:rtl w:val="true"/>
        </w:rPr>
        <w:footnoteReference w:id="298"/>
      </w:r>
      <w:r>
        <w:rPr>
          <w:rFonts w:ascii="Amiri" w:hAnsi="Amiri" w:eastAsia="Amiri" w:cs="Amiri"/>
          <w:color w:val="111111"/>
          <w:sz w:val="28"/>
          <w:sz w:val="28"/>
          <w:szCs w:val="28"/>
          <w:rtl w:val="true"/>
          <w:lang w:bidi="ar-SA"/>
        </w:rPr>
        <w:t>حكاية 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شمول ما دلّ على حصول الجنابة بالإدخال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بتنقيح المناط فيه بحيث يشمل ذلك غير ظاهر ، فالبناء فيه على حصول الجنابة مشكل جدّا ، وطريق الاحتياط فيه ممّا لا يخفى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الوجهان في دبر البهيمة أيضا ، وملازمة الاحتياط فيه أولى</w:t>
      </w:r>
      <w:r>
        <w:rPr>
          <w:rFonts w:eastAsia="Amiri" w:cs="Amiri" w:ascii="Amiri" w:hAnsi="Amiri"/>
          <w:color w:val="111111"/>
          <w:sz w:val="28"/>
          <w:szCs w:val="28"/>
          <w:rtl w:val="true"/>
          <w:lang w:bidi="ar-SA"/>
        </w:rPr>
        <w:t xml:space="preserve">. </w:t>
      </w:r>
      <w:bookmarkStart w:id="115" w:name="pg15839_360678"/>
    </w:p>
    <w:p>
      <w:pPr>
        <w:pStyle w:val="Heading4"/>
        <w:numPr>
          <w:ilvl w:val="3"/>
          <w:numId w:val="1"/>
        </w:numPr>
        <w:rPr/>
      </w:pPr>
      <w:bookmarkStart w:id="116" w:name="__RefHeading___Toc14338383_2142443653"/>
      <w:bookmarkStart w:id="117" w:name="_Toc44"/>
      <w:bookmarkEnd w:id="115"/>
      <w:bookmarkEnd w:id="116"/>
      <w:r>
        <w:rPr>
          <w:rtl w:val="true"/>
        </w:rPr>
        <w:t>البحث الثاني</w:t>
      </w:r>
      <w:r>
        <w:rPr>
          <w:rtl w:val="true"/>
        </w:rPr>
        <w:t xml:space="preserve">: </w:t>
      </w:r>
      <w:r>
        <w:rPr>
          <w:rtl w:val="true"/>
        </w:rPr>
        <w:t>في غايات غسل الجنابة</w:t>
      </w:r>
      <w:bookmarkEnd w:id="117"/>
    </w:p>
    <w:p>
      <w:pPr>
        <w:pStyle w:val="Heading5"/>
        <w:numPr>
          <w:ilvl w:val="4"/>
          <w:numId w:val="1"/>
        </w:numPr>
        <w:rPr/>
      </w:pPr>
      <w:bookmarkStart w:id="118" w:name="__RefHeading___Toc14338385_2142443653"/>
      <w:bookmarkStart w:id="119" w:name="_Toc45"/>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وهي أمور يرجع كلّها إلى رفع المنع الحاصل بالجنابة ، ولذا يذكر المعالم منها أحكام الجنابة ، ونحن نجري على ذلك في المقام جريا على طريقة أولئك الأعلام</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4338387_2142443653"/>
      <w:bookmarkStart w:id="121" w:name="_Toc46"/>
      <w:bookmarkEnd w:id="120"/>
      <w:r>
        <w:rPr>
          <w:rtl w:val="true"/>
        </w:rPr>
        <w:t>تبصرة</w:t>
      </w:r>
      <w:r>
        <w:rPr>
          <w:rtl w:val="true"/>
        </w:rPr>
        <w:t xml:space="preserve">: [ </w:t>
      </w:r>
      <w:r>
        <w:rPr>
          <w:rtl w:val="true"/>
        </w:rPr>
        <w:t xml:space="preserve">فيما حرّم على الجنب </w:t>
      </w:r>
      <w:r>
        <w:rPr>
          <w:rtl w:val="true"/>
        </w:rPr>
        <w:t>]</w:t>
      </w:r>
      <w:bookmarkEnd w:id="121"/>
    </w:p>
    <w:p>
      <w:pPr>
        <w:pStyle w:val="BookText"/>
        <w:rPr/>
      </w:pPr>
      <w:r>
        <w:rPr>
          <w:rFonts w:ascii="Amiri" w:hAnsi="Amiri" w:eastAsia="Amiri" w:cs="Amiri"/>
          <w:color w:val="111111"/>
          <w:sz w:val="28"/>
          <w:sz w:val="28"/>
          <w:szCs w:val="28"/>
          <w:rtl w:val="true"/>
          <w:lang w:bidi="ar-SA"/>
        </w:rPr>
        <w:t>يحرم على الجنب فعل الصلاة والطواف الواجبين والمندوبين وإن لم نقل باشتراط الطهارة في الطواف المندوب ، فإنّه يجي‌ء المنع هنا من جهة الدخول في المسجد الحرام ، واشتراط الصلاة مطلقا والطواف الواجب به ظاهر ممّا مرّ في الوضوء بالأوّل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ويشمله بعض الإطلاقات المذكورة هناك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والحكم ممّا لا خلاف فيه بين الأصحاب وكذا يحرم الصوم الواجب</w:t>
      </w:r>
      <w:r>
        <w:rPr>
          <w:rFonts w:eastAsia="Amiri" w:cs="Amiri" w:ascii="Amiri" w:hAnsi="Amiri"/>
          <w:color w:val="111111"/>
          <w:sz w:val="28"/>
          <w:szCs w:val="28"/>
          <w:rtl w:val="true"/>
          <w:lang w:bidi="ar-SA"/>
        </w:rPr>
        <w:t xml:space="preserve">. </w:t>
      </w:r>
      <w:bookmarkStart w:id="122" w:name="pg15839_360679"/>
    </w:p>
    <w:p>
      <w:pPr>
        <w:pStyle w:val="Heading5"/>
        <w:numPr>
          <w:ilvl w:val="4"/>
          <w:numId w:val="1"/>
        </w:numPr>
        <w:rPr/>
      </w:pPr>
      <w:bookmarkStart w:id="123" w:name="__RefHeading___Toc14338389_2142443653"/>
      <w:bookmarkStart w:id="124" w:name="_Toc47"/>
      <w:bookmarkEnd w:id="122"/>
      <w:bookmarkEnd w:id="123"/>
      <w:r>
        <w:rPr>
          <w:rtl w:val="true"/>
        </w:rPr>
        <w:t>تبصرة</w:t>
      </w:r>
      <w:r>
        <w:rPr>
          <w:rtl w:val="true"/>
        </w:rPr>
        <w:t xml:space="preserve">: [ </w:t>
      </w:r>
      <w:r>
        <w:rPr>
          <w:rtl w:val="true"/>
        </w:rPr>
        <w:t xml:space="preserve">في تحريم قراءة العزائم </w:t>
      </w:r>
      <w:r>
        <w:rPr>
          <w:rtl w:val="true"/>
        </w:rPr>
        <w:t>]</w:t>
      </w:r>
      <w:bookmarkEnd w:id="124"/>
    </w:p>
    <w:p>
      <w:pPr>
        <w:pStyle w:val="BookText"/>
        <w:rPr/>
      </w:pPr>
      <w:r>
        <w:rPr>
          <w:rFonts w:ascii="Amiri" w:hAnsi="Amiri" w:eastAsia="Amiri" w:cs="Amiri"/>
          <w:color w:val="111111"/>
          <w:sz w:val="28"/>
          <w:sz w:val="28"/>
          <w:szCs w:val="28"/>
          <w:rtl w:val="true"/>
          <w:lang w:bidi="ar-SA"/>
        </w:rPr>
        <w:t xml:space="preserve">لا يجوز للجنب قراءة العزائم الأربع على المعروف من المذهب ، وقد حكى إجماعهم عليه جماعة من الأصحاب منهم الفاضل في التذكرة </w:t>
      </w:r>
      <w:r>
        <w:rPr>
          <w:rStyle w:val="FootnoteAnchor"/>
          <w:rtl w:val="true"/>
        </w:rPr>
        <w:footnoteReference w:id="300"/>
      </w:r>
      <w:r>
        <w:rPr>
          <w:rFonts w:ascii="Amiri" w:hAnsi="Amiri" w:eastAsia="Amiri" w:cs="Amiri"/>
          <w:color w:val="111111"/>
          <w:sz w:val="28"/>
          <w:sz w:val="28"/>
          <w:szCs w:val="28"/>
          <w:rtl w:val="true"/>
          <w:lang w:bidi="ar-SA"/>
        </w:rPr>
        <w:t xml:space="preserve">حيث ذكر أنّه إجماع أهل البيت عليهم‌السلام ، وقد حكى </w:t>
      </w:r>
      <w:r>
        <w:rPr>
          <w:rStyle w:val="FootnoteAnchor"/>
          <w:rtl w:val="true"/>
        </w:rPr>
        <w:footnoteReference w:id="301"/>
      </w:r>
      <w:r>
        <w:rPr>
          <w:rFonts w:ascii="Amiri" w:hAnsi="Amiri" w:eastAsia="Amiri" w:cs="Amiri"/>
          <w:color w:val="111111"/>
          <w:sz w:val="28"/>
          <w:sz w:val="28"/>
          <w:szCs w:val="28"/>
          <w:rtl w:val="true"/>
          <w:lang w:bidi="ar-SA"/>
        </w:rPr>
        <w:t xml:space="preserve">عن السيد </w:t>
      </w:r>
      <w:r>
        <w:rPr>
          <w:rStyle w:val="FootnoteAnchor"/>
          <w:rtl w:val="true"/>
        </w:rPr>
        <w:footnoteReference w:id="302"/>
      </w:r>
      <w:r>
        <w:rPr>
          <w:rFonts w:ascii="Amiri" w:hAnsi="Amiri" w:eastAsia="Amiri" w:cs="Amiri"/>
          <w:color w:val="111111"/>
          <w:sz w:val="28"/>
          <w:sz w:val="28"/>
          <w:szCs w:val="28"/>
          <w:rtl w:val="true"/>
          <w:lang w:bidi="ar-SA"/>
        </w:rPr>
        <w:t>اختصاص التحريم بآية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جملة من متأخري المتأخرين منهم صاحب الحدائق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بعد الإجماع ما رواه في المعتبر </w:t>
      </w:r>
      <w:r>
        <w:rPr>
          <w:rStyle w:val="FootnoteAnchor"/>
          <w:rtl w:val="true"/>
        </w:rPr>
        <w:footnoteReference w:id="304"/>
      </w:r>
      <w:r>
        <w:rPr>
          <w:rFonts w:ascii="Amiri" w:hAnsi="Amiri" w:eastAsia="Amiri" w:cs="Amiri"/>
          <w:color w:val="111111"/>
          <w:sz w:val="28"/>
          <w:sz w:val="28"/>
          <w:szCs w:val="28"/>
          <w:rtl w:val="true"/>
          <w:lang w:bidi="ar-SA"/>
        </w:rPr>
        <w:t xml:space="preserve">عن جامع البزنطي ، عن المثنّى ، عن الحسن الصيقل ، عن الصادق عليه‌السلام من أنّه يجوز للجنب والحائض أن يقرء ما شاء من القرآن إلّا سور العزائم الأربع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الفاضلين ، 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يقرءان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شاء إلّا السجدة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 من القرآن ما شاء إلّا السجدة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مشتملتان على ذكر خصوص السجدة ، وهي بمعونة فهم الأصحاب وما تقدّم من رواية البزنطي محمولة على تمام السورة لا لوجوبها بسبب تلاوة جزء منها ، وإن كان حملها على خصوص آية السجدة أقرب بالنظر إلى نفس العبارة لكن ما ذكرناه كاف في حملها على ما قلناه مع عدم بعده عن العبارة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ذلك أيضا مستند القول بالتخصيص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308"/>
      </w:r>
      <w:r>
        <w:rPr>
          <w:rFonts w:ascii="Amiri" w:hAnsi="Amiri" w:eastAsia="Amiri" w:cs="Amiri"/>
          <w:color w:val="111111"/>
          <w:sz w:val="28"/>
          <w:sz w:val="28"/>
          <w:szCs w:val="28"/>
          <w:rtl w:val="true"/>
          <w:lang w:bidi="ar-SA"/>
        </w:rPr>
        <w:t>حكى رواية البزنطي على نحو المعتبرة المذكورة ، ولذا زعم انحصار دليل التعميم بالإجماع المنقول ، وليس الحال كذلك ، وإنّما الموجود عندنا في المعتبر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لما حكاه في البحار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يضعّف ما اختاره على طريقته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قراءة تمام السورة وأبعاضها حتّى البسملة إذا نوى بها إحدى السور المذكورة ، وكذا غيرها من المشتركات إنّما يحكم بالمنع منها مع قصدها ، وإلّا بنى أصل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بالبسملة ونحوها من المشتركات واحدا من السور الأربع من غير تعيين قوي لحوق المنع ؛ لاحتسابها عرفا من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 لعدم تعيّنه في الواقع ، فلا يقع عن شي‌ء منها وإلّا 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يدور مدار اسم القراءة فلا منع من النظر في الآية ولا من إمرار الكلمات على الخاطر على نحو حديث النفس</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 صدقها بحيث يمكنه السماع أو يكتفى فيه بمجرّد خروج الحرف من مخرجه وإن كان ممّا لا يسمع في الغالب؟ وجهان أوجههما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ففي الاكتفاء بمجرّد القابليّة العادية أو اعتبار أحد الأمرين من القابلية للسماع أو فعليّته بالنسبة إليه وإن كان على خلاف العادة وجهان أحوطهما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القراءة في الأخرس بمثل ما اعتبر في الصلاة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آية انّها من العزائم أو غيرها فهل يبني على أصالة الجواز أو يغلب جانب الاحتياط ؛ نظرا إلى دوران الاشتباه بين المحصور؟ وجهان أحوطهما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منع في قراءة تفسيرها ولا ترجمتها من سائر اللغات كما لا يحرم مسّها على المحدث والعزائم الأربع معروفة لا خلاف ظاهرا في تبيّنها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في عبائر جماعة من الأصحاب كالصدوق والعلّامة 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سورة لقمان لا سجدة فيها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بعض الأصحاب على السهو ، وليس كذلك ، بل الظاهر أنّهم عنوا به سورة السجدة المتّصلة بلقمان ، فإنّ الإضافة يكتفي فيها بأدنى الملابسة</w:t>
      </w:r>
      <w:r>
        <w:rPr>
          <w:rFonts w:eastAsia="Amiri" w:cs="Amiri" w:ascii="Amiri" w:hAnsi="Amiri"/>
          <w:color w:val="111111"/>
          <w:sz w:val="28"/>
          <w:szCs w:val="28"/>
          <w:rtl w:val="true"/>
          <w:lang w:bidi="ar-SA"/>
        </w:rPr>
        <w:t xml:space="preserve">. </w:t>
      </w:r>
      <w:bookmarkStart w:id="125" w:name="pg15839_360682"/>
    </w:p>
    <w:p>
      <w:pPr>
        <w:pStyle w:val="Heading5"/>
        <w:numPr>
          <w:ilvl w:val="4"/>
          <w:numId w:val="1"/>
        </w:numPr>
        <w:rPr/>
      </w:pPr>
      <w:bookmarkStart w:id="126" w:name="__RefHeading___Toc14338391_2142443653"/>
      <w:bookmarkStart w:id="127" w:name="_Toc48"/>
      <w:bookmarkEnd w:id="125"/>
      <w:bookmarkEnd w:id="126"/>
      <w:r>
        <w:rPr>
          <w:rtl w:val="true"/>
        </w:rPr>
        <w:t>تبصرة</w:t>
      </w:r>
      <w:r>
        <w:rPr>
          <w:rtl w:val="true"/>
        </w:rPr>
        <w:t xml:space="preserve">: [ </w:t>
      </w:r>
      <w:r>
        <w:rPr>
          <w:rtl w:val="true"/>
        </w:rPr>
        <w:t xml:space="preserve">في حرمة اللبث في المساجد على الجنب </w:t>
      </w:r>
      <w:r>
        <w:rPr>
          <w:rtl w:val="true"/>
        </w:rPr>
        <w:t>]</w:t>
      </w:r>
      <w:bookmarkEnd w:id="127"/>
    </w:p>
    <w:p>
      <w:pPr>
        <w:pStyle w:val="BookText"/>
        <w:rPr/>
      </w:pPr>
      <w:r>
        <w:rPr>
          <w:rFonts w:ascii="Amiri" w:hAnsi="Amiri" w:eastAsia="Amiri" w:cs="Amiri"/>
          <w:color w:val="111111"/>
          <w:sz w:val="28"/>
          <w:sz w:val="28"/>
          <w:szCs w:val="28"/>
          <w:rtl w:val="true"/>
          <w:lang w:bidi="ar-SA"/>
        </w:rPr>
        <w:t>يحرم على الجنب اللبث في المساجد كلّها بلا خلاف فيه يعرف سوى ما حكي عن الديلمي من حكمه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الصدوق </w:t>
      </w:r>
      <w:r>
        <w:rPr>
          <w:rStyle w:val="FootnoteAnchor"/>
          <w:rtl w:val="true"/>
        </w:rPr>
        <w:footnoteReference w:id="309"/>
      </w:r>
      <w:r>
        <w:rPr>
          <w:rFonts w:ascii="Amiri" w:hAnsi="Amiri" w:eastAsia="Amiri" w:cs="Amiri"/>
          <w:color w:val="111111"/>
          <w:sz w:val="28"/>
          <w:sz w:val="28"/>
          <w:szCs w:val="28"/>
          <w:rtl w:val="true"/>
          <w:lang w:bidi="ar-SA"/>
        </w:rPr>
        <w:t>من القول بجواز نومه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إن ثبت القول بهما شاذّان ضعيفان ، بل إجماع الفرقة منعقد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الآية الشريفة بمعونة تفسيرهم </w:t>
      </w:r>
      <w:r>
        <w:rPr>
          <w:rStyle w:val="FootnoteAnchor"/>
          <w:rtl w:val="true"/>
        </w:rPr>
        <w:footnoteReference w:id="310"/>
      </w:r>
      <w:r>
        <w:rPr>
          <w:rFonts w:ascii="Amiri" w:hAnsi="Amiri" w:eastAsia="Amiri" w:cs="Amiri"/>
          <w:color w:val="111111"/>
          <w:sz w:val="28"/>
          <w:sz w:val="28"/>
          <w:szCs w:val="28"/>
          <w:rtl w:val="true"/>
          <w:lang w:bidi="ar-SA"/>
        </w:rPr>
        <w:t>عليه‌السلام كما يظهر من صحيحة الفاضلين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يسقط المناقشات الّتي أوردت على دلالتها كاحتمال إرادة المنع من الدخول في الصلاة مع الجنابة واستثناء عابري السبيل إشارة إلى جوازه مع الجنابة في الأسفار ؛ نظرا إلى قلّة الماء وعدم حصول 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ضعفه مع قطع النظر عمّا ذكرناه ؛ لبعده عن ظاهر الآية سيّما بملاحظة ذكر السفر بعد ذلك ، مضافا إلى المستفيضة المشتملة على الصحاح الدالّة على المنع كالصحيح عن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في المساجد؟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يجلس في شي‌ء من المساجد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يدخلان أي الجنب والحائض المسجد إلّا مجتازين ، إنّ اللّه تبارك وتعالى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في صحيحة محمّد بن القاسم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في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ولا بأس أن ينام في المسجد ويمرّ فيه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وكأنّها حجة الصدوق ، بل والقول بمطلق الكراهة يجعلها شاهدة على حمل غيرها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اطراحها بين الأصحاب مانع من العمل بها في نفسها ، فكيف مع معارضة تلك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تعيّن حملها على التقيّة ؛ إذ ذلك مذهب ابن حنبل من العامّة ، ولا بأس باجتياز الجنب في المساجد كلّها ؛ لما دلّ عليه عدّة من الصحاح المذكورة ، ولظاهر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يقيّد إطلاق ما دلّ من الآية والأخبار على المنع من دخوله في المساجد سوى المسجدين الأعظمين مسجد الحرام ومسجد الرسول صلى‌اللّه‌عليه‌وآله ، وبها يقيّد إطلاق ما دلّ من الآية والأخبار على جواز اجتيازه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الصدوقين </w:t>
      </w:r>
      <w:r>
        <w:rPr>
          <w:rStyle w:val="FootnoteAnchor"/>
          <w:rtl w:val="true"/>
        </w:rPr>
        <w:footnoteReference w:id="317"/>
      </w:r>
      <w:r>
        <w:rPr>
          <w:rFonts w:ascii="Amiri" w:hAnsi="Amiri" w:eastAsia="Amiri" w:cs="Amiri"/>
          <w:color w:val="111111"/>
          <w:sz w:val="28"/>
          <w:sz w:val="28"/>
          <w:szCs w:val="28"/>
          <w:rtl w:val="true"/>
          <w:lang w:bidi="ar-SA"/>
        </w:rPr>
        <w:t>والمفيد أنّهم أطلقوا القول بجواز اجتيازه في المساجد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للإطلاق المذكور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 لوجوب حمل </w:t>
      </w:r>
      <w:r>
        <w:rPr>
          <w:rStyle w:val="FootnoteAnchor"/>
          <w:rtl w:val="true"/>
        </w:rPr>
        <w:footnoteReference w:id="318"/>
      </w:r>
      <w:r>
        <w:rPr>
          <w:rFonts w:ascii="Amiri" w:hAnsi="Amiri" w:eastAsia="Amiri" w:cs="Amiri"/>
          <w:color w:val="111111"/>
          <w:sz w:val="28"/>
          <w:sz w:val="28"/>
          <w:szCs w:val="28"/>
          <w:rtl w:val="true"/>
          <w:lang w:bidi="ar-SA"/>
        </w:rPr>
        <w:t>المقيد في مثله قطعا</w:t>
      </w:r>
      <w:r>
        <w:rPr>
          <w:rFonts w:eastAsia="Amiri" w:cs="Amiri" w:ascii="Amiri" w:hAnsi="Amiri"/>
          <w:color w:val="111111"/>
          <w:sz w:val="28"/>
          <w:szCs w:val="28"/>
          <w:rtl w:val="true"/>
          <w:lang w:bidi="ar-SA"/>
        </w:rPr>
        <w:t xml:space="preserve">. </w:t>
      </w:r>
      <w:bookmarkStart w:id="128" w:name="pg15839_360684"/>
    </w:p>
    <w:p>
      <w:pPr>
        <w:pStyle w:val="Heading5"/>
        <w:numPr>
          <w:ilvl w:val="4"/>
          <w:numId w:val="1"/>
        </w:numPr>
        <w:rPr/>
      </w:pPr>
      <w:bookmarkStart w:id="129" w:name="__RefHeading___Toc14338393_2142443653"/>
      <w:bookmarkStart w:id="130" w:name="_Toc49"/>
      <w:bookmarkEnd w:id="128"/>
      <w:bookmarkEnd w:id="129"/>
      <w:r>
        <w:rPr>
          <w:rtl w:val="true"/>
        </w:rPr>
        <w:t xml:space="preserve">[ </w:t>
      </w:r>
      <w:r>
        <w:rPr>
          <w:rtl w:val="true"/>
        </w:rPr>
        <w:t xml:space="preserve">تنبيهات </w:t>
      </w:r>
      <w:r>
        <w:rPr>
          <w:rtl w:val="true"/>
        </w:rPr>
        <w:t>]</w:t>
      </w:r>
      <w:bookmarkEnd w:id="130"/>
    </w:p>
    <w:p>
      <w:pPr>
        <w:pStyle w:val="BookText"/>
        <w:rPr/>
      </w:pPr>
      <w:r>
        <w:rPr>
          <w:rFonts w:ascii="Amiri" w:hAnsi="Amiri" w:eastAsia="Amiri" w:cs="Amiri"/>
          <w:color w:val="111111"/>
          <w:sz w:val="28"/>
          <w:sz w:val="28"/>
          <w:szCs w:val="28"/>
          <w:rtl w:val="true"/>
          <w:lang w:bidi="ar-SA"/>
        </w:rPr>
        <w:t xml:space="preserve">وينبغي في المقام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أكثر أخبار المسألة المنع عن خصوص جلوسه في المسجد ، وهو لا يدلّ على غيره من أنواع الاستقرار إلّا أنّ في الأخبار ما يدلّ على العموم كالصحيح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يدخلان المسجد إلّا مجتازين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كاف في عموم الحكم ، مضافا إلى عدم ظهور عامل بالفرق ، فلا شبهة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إشكال في اختصاص الجواز بصورة الدخول من باب والخروج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جلوسه في محمل ونحوه مجتازا بمنزلة الاجتياز ، وإن كان مستقرّا في محلّه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فيحرم غيرها مطلقا أو يعم الجواز صورة الدخول والخروج من باب واحد من دون اللبث والتردد أو يعم صورة التردد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الاقتصار على الأوّل ، والثاني كأنّه أظهر بملاحظة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فهو بعيد عن لفظ الاجتياز </w:t>
      </w:r>
      <w:r>
        <w:rPr>
          <w:rStyle w:val="FootnoteAnchor"/>
          <w:rtl w:val="true"/>
        </w:rPr>
        <w:footnoteReference w:id="320"/>
      </w:r>
      <w:r>
        <w:rPr>
          <w:rFonts w:ascii="Amiri" w:hAnsi="Amiri" w:eastAsia="Amiri" w:cs="Amiri"/>
          <w:color w:val="111111"/>
          <w:sz w:val="28"/>
          <w:sz w:val="28"/>
          <w:szCs w:val="28"/>
          <w:rtl w:val="true"/>
          <w:lang w:bidi="ar-SA"/>
        </w:rPr>
        <w:t>وعبور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للجنب أن يمشي في المساجد كلّها ولا يجلس فيها إلّا مسجد الحرام ومسجد الرسول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إطلاقه يعطي البناء على الأخير إلّا أنّ الأظهر حمله على ما يستفاد من غيره ؛ لعدم وضوح إطلاقه ، ومخالفته للاحتياط مع ما فيه من الكلام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جلوسه في محلّ </w:t>
      </w:r>
      <w:r>
        <w:rPr>
          <w:rStyle w:val="FootnoteAnchor"/>
          <w:rtl w:val="true"/>
        </w:rPr>
        <w:footnoteReference w:id="322"/>
      </w:r>
      <w:r>
        <w:rPr>
          <w:rFonts w:ascii="Amiri" w:hAnsi="Amiri" w:eastAsia="Amiri" w:cs="Amiri"/>
          <w:color w:val="111111"/>
          <w:sz w:val="28"/>
          <w:sz w:val="28"/>
          <w:szCs w:val="28"/>
          <w:rtl w:val="true"/>
          <w:lang w:bidi="ar-SA"/>
        </w:rPr>
        <w:t>ونحوه مجتازا بمنزلة الاجتياز وإن كان مستقرا في محلّه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جملة من النصوص على </w:t>
      </w:r>
      <w:r>
        <w:rPr>
          <w:rStyle w:val="FootnoteAnchor"/>
          <w:rtl w:val="true"/>
        </w:rPr>
        <w:footnoteReference w:id="323"/>
      </w:r>
      <w:r>
        <w:rPr>
          <w:rFonts w:ascii="Amiri" w:hAnsi="Amiri" w:eastAsia="Amiri" w:cs="Amiri"/>
          <w:color w:val="111111"/>
          <w:sz w:val="28"/>
          <w:sz w:val="28"/>
          <w:szCs w:val="28"/>
          <w:rtl w:val="true"/>
          <w:lang w:bidi="ar-SA"/>
        </w:rPr>
        <w:t xml:space="preserve">تخصيص النبي صلى‌اللّه‌عليه‌وآله والأئمّة عليهم‌السلام من حرمة </w:t>
      </w:r>
    </w:p>
    <w:p>
      <w:pPr>
        <w:pStyle w:val="BookText"/>
        <w:rPr/>
      </w:pPr>
      <w:r>
        <w:rPr>
          <w:rFonts w:ascii="Amiri" w:hAnsi="Amiri" w:eastAsia="Amiri" w:cs="Amiri"/>
          <w:color w:val="111111"/>
          <w:sz w:val="28"/>
          <w:sz w:val="28"/>
          <w:szCs w:val="28"/>
          <w:rtl w:val="true"/>
          <w:lang w:bidi="ar-SA"/>
        </w:rPr>
        <w:t>الجواز واللبث في مسجد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تفسير العسكري عليه‌السلام في حديث سدّ الأبواب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لأحد يؤمن باللّه واليوم الآخر يبيت في هذا المسجد جنبا إلّا محمّد وعلي وفاطمة والحسن والحسين عليهما‌السلام والمنتجبون من آلهم الطيّبون من أولادهم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يجنب في هذا المسجد إلّا أنا وعليّ وفاطمة والحسن والحسين عليهم‌السلام ومن كان من أهلي فانّه منّي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عنه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هذا المسجد لا يحلّ لجنب إلّا لمحمّد وآله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 وادّعى في البحار </w:t>
      </w:r>
      <w:r>
        <w:rPr>
          <w:rStyle w:val="FootnoteAnchor"/>
          <w:rtl w:val="true"/>
        </w:rPr>
        <w:footnoteReference w:id="327"/>
      </w:r>
      <w:r>
        <w:rPr>
          <w:rFonts w:ascii="Amiri" w:hAnsi="Amiri" w:eastAsia="Amiri" w:cs="Amiri"/>
          <w:color w:val="111111"/>
          <w:sz w:val="28"/>
          <w:sz w:val="28"/>
          <w:szCs w:val="28"/>
          <w:rtl w:val="true"/>
          <w:lang w:bidi="ar-SA"/>
        </w:rPr>
        <w:t xml:space="preserve">تواتر الأخبار باستثناء المعصومين عليهم‌السلام عن حكم دخول المسجدين جنبا إلّا أنّ الموجود في الأخبار الكثيرة هو خصوص مسجد النبي صلى‌اللّه‌عليه‌وآله ، وأفتى في الحدائق </w:t>
      </w:r>
      <w:r>
        <w:rPr>
          <w:rStyle w:val="FootnoteAnchor"/>
          <w:rtl w:val="true"/>
        </w:rPr>
        <w:footnoteReference w:id="328"/>
      </w:r>
      <w:r>
        <w:rPr>
          <w:rFonts w:ascii="Amiri" w:hAnsi="Amiri" w:eastAsia="Amiri" w:cs="Amiri"/>
          <w:color w:val="111111"/>
          <w:sz w:val="28"/>
          <w:sz w:val="28"/>
          <w:szCs w:val="28"/>
          <w:rtl w:val="true"/>
          <w:lang w:bidi="ar-SA"/>
        </w:rPr>
        <w:t xml:space="preserve">فيه بالخصوص إلّا أنّه يمكن تسرية الحكم فيه إلى سائر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إلى المسجد الحرام فلا يخلو عن خفاء ؛ لانتفاء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لفظ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لأحد أن يجنب في المسجد إلّا أنا وعليّ وفاطمة والحسن والحسين </w:t>
      </w:r>
      <w:r>
        <w:rPr>
          <w:rFonts w:eastAsia="Amiri" w:cs="Amiri" w:ascii="Amiri" w:hAnsi="Amiri"/>
          <w:color w:val="111111"/>
          <w:sz w:val="28"/>
          <w:szCs w:val="28"/>
          <w:rtl w:val="true"/>
          <w:lang w:bidi="ar-SA"/>
        </w:rPr>
        <w:t xml:space="preserve">: .. » </w:t>
      </w:r>
      <w:r>
        <w:rPr>
          <w:rStyle w:val="FootnoteAnchor"/>
          <w:rtl w:val="true"/>
        </w:rPr>
        <w:footnoteReference w:id="329"/>
      </w:r>
      <w:r>
        <w:rPr>
          <w:rFonts w:ascii="Amiri" w:hAnsi="Amiri" w:eastAsia="Amiri" w:cs="Amiri"/>
          <w:color w:val="111111"/>
          <w:sz w:val="28"/>
          <w:sz w:val="28"/>
          <w:szCs w:val="28"/>
          <w:rtl w:val="true"/>
          <w:lang w:bidi="ar-SA"/>
        </w:rPr>
        <w:t xml:space="preserve">الخبر ، فإنّ إطلاق المسجد قد يعمّ سائر المساجد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فيدخل فيه مسجد الحرام إلّا أنّه قد يحمل على سائر الأخبار الّتي ذكر فيها خصوص مسجده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فدعوى التواتر بالنسبة إلى المسجدين ليس في محلّه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غير واحد من الأخبار يدلّ على مرجوحية الدخول لهم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كرّه لي ستّ خصال وكرّهتهنّ للأوصياء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منها إتيان المساجد جنبا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خبر سليمان الديلمي ، عن الصادق عليه‌السلام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كرّهها اللّه لي فكرّهتها للأئمّة من ذرّيتي ولتكرهها الأئمّة لأتباعهم </w:t>
      </w:r>
      <w:r>
        <w:rPr>
          <w:rFonts w:eastAsia="Amiri" w:cs="Amiri" w:ascii="Amiri" w:hAnsi="Amiri"/>
          <w:color w:val="111111"/>
          <w:sz w:val="28"/>
          <w:szCs w:val="28"/>
          <w:rtl w:val="true"/>
          <w:lang w:bidi="ar-SA"/>
        </w:rPr>
        <w:t xml:space="preserve">.. » </w:t>
      </w:r>
      <w:r>
        <w:rPr>
          <w:rStyle w:val="FootnoteAnchor"/>
          <w:rtl w:val="true"/>
        </w:rPr>
        <w:footnoteReference w:id="331"/>
      </w:r>
      <w:r>
        <w:rPr>
          <w:rFonts w:ascii="Amiri" w:hAnsi="Amiri" w:eastAsia="Amiri" w:cs="Amiri"/>
          <w:color w:val="111111"/>
          <w:sz w:val="28"/>
          <w:sz w:val="28"/>
          <w:szCs w:val="28"/>
          <w:rtl w:val="true"/>
          <w:lang w:bidi="ar-SA"/>
        </w:rPr>
        <w:t>وعدّ منها إتيان المساجد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كون الكراهة بمعنى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جماعة بالمساجد المشاهد المشرفة ، وأنكره آخرون ؛ لانتفاء سند ما يصلح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الأظهر الأوّل بل يحتمل القول بالمنع من الدخول مطلقا ؛ للمستفيضة الواردة في إنظاره به على أبي بصير حين دخل عليه جنبا الظاهر في كونه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تعلم أنّه لا ينبغي للجنب أن يدخل بيوت الأنبياء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وعن جابر ، عن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اعرابيا دخل على الحسين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تستحيي يا اعرابي تدخل على إمامك وأنت جنب؟</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الأخبار وإن دلّ </w:t>
      </w:r>
      <w:r>
        <w:rPr>
          <w:rStyle w:val="FootnoteAnchor"/>
          <w:rtl w:val="true"/>
        </w:rPr>
        <w:footnoteReference w:id="334"/>
      </w:r>
      <w:r>
        <w:rPr>
          <w:rFonts w:ascii="Amiri" w:hAnsi="Amiri" w:eastAsia="Amiri" w:cs="Amiri"/>
          <w:color w:val="111111"/>
          <w:sz w:val="28"/>
          <w:sz w:val="28"/>
          <w:szCs w:val="28"/>
          <w:rtl w:val="true"/>
          <w:lang w:bidi="ar-SA"/>
        </w:rPr>
        <w:t>على حرمة الدخول عليهم وهم أحياء إلّا أنّ ما دلّ على أنّ حرمتهم أمواتا كحرمتهم أحياء أو أنّهم أحياء يشهدون زوّارهم ويردّون السلام عليهم ونحو ذلك يدلّ على عموم الحكم لما بعد وفاتهم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ضعف الروايات المذكورة لاعتضاد بعضها ببعض مضافا إلى تأيّد الحكم بما دلّ على لزوم تعظيم الشعائر إلّا أن الحكم بظواهر تلك الأخبار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منها المنع من دخول مشاهد سائر الأنبياء ، وقد يعم الحكم لسائر الأوصياء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مشاهد أولاد الأئمّة من الأتقياء الأجلاء كحضرة العباس عليه‌السلام وغيرهم من أفاضل العلماء والصلحاء فلا يلحق بها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الكراهة لفهمه من الفحوى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في بعض الأخبار المذكورة ذكر أولاد الأنبياء إلّا أنّه من جهة اختلاف لفظ الرواية لا ينهض حجّة في خصوصه سيّما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حمله على خصوصهم عليهم‌السلام كما هو قضيّة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Style w:val="FootnoteAnchor"/>
          <w:rtl w:val="true"/>
        </w:rPr>
        <w:footnoteReference w:id="335"/>
      </w:r>
      <w:r>
        <w:rPr>
          <w:rFonts w:ascii="Amiri" w:hAnsi="Amiri" w:eastAsia="Amiri" w:cs="Amiri"/>
          <w:color w:val="111111"/>
          <w:sz w:val="28"/>
          <w:sz w:val="28"/>
          <w:szCs w:val="28"/>
          <w:rtl w:val="true"/>
          <w:lang w:bidi="ar-SA"/>
        </w:rPr>
        <w:t xml:space="preserve">شمول الحكم في المساجد لسطحها وسردابها وسائر المواضع المحفورة فيها كالآبار ونحوها إلّا أن يكون ذلك خارجا عن وقف </w:t>
      </w:r>
      <w:r>
        <w:rPr>
          <w:rStyle w:val="FootnoteAnchor"/>
          <w:rtl w:val="true"/>
        </w:rPr>
        <w:footnoteReference w:id="336"/>
      </w:r>
      <w:r>
        <w:rPr>
          <w:rFonts w:ascii="Amiri" w:hAnsi="Amiri" w:eastAsia="Amiri" w:cs="Amiri"/>
          <w:color w:val="111111"/>
          <w:sz w:val="28"/>
          <w:sz w:val="28"/>
          <w:szCs w:val="28"/>
          <w:rtl w:val="true"/>
          <w:lang w:bidi="ar-SA"/>
        </w:rPr>
        <w:t>المسجد بأن يكون ملكا للغير قبل وقف المسجد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المشاهد فالظاهر اختصاص الحكم فيها ببيت الدفن ، فلا منع من الكون على سطحها ، وكذا الرواق المتصل به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جدار المسجد فإن بنى فيه جرى حكمه ، وإلّا ففي ثبوت حكمه فيه إشكال ، والأحوط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دوران الحكم مدار صدق الدخول والمكث ، فلو أدخل يده ونحوها فالظاهر عدم المنع بخلاف ما لو أدخل معظم البدن ، فإنّ الظاهر صدقه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يحرم عليه الدخول يحرم عليه إدخال الغير في وجه قويّ ، فلو أدخله إليه وهو نائم أو مغمى عليه 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دعاه إلى الدخول وهو غافل قوي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إدخال الميّت الجنب إليه وجهان</w:t>
      </w:r>
      <w:r>
        <w:rPr>
          <w:rFonts w:eastAsia="Amiri" w:cs="Amiri" w:ascii="Amiri" w:hAnsi="Amiri"/>
          <w:color w:val="111111"/>
          <w:sz w:val="28"/>
          <w:szCs w:val="28"/>
          <w:rtl w:val="true"/>
          <w:lang w:bidi="ar-SA"/>
        </w:rPr>
        <w:t xml:space="preserve">. </w:t>
      </w:r>
      <w:bookmarkStart w:id="131" w:name="pg15839_360688"/>
    </w:p>
    <w:p>
      <w:pPr>
        <w:pStyle w:val="Heading5"/>
        <w:numPr>
          <w:ilvl w:val="4"/>
          <w:numId w:val="1"/>
        </w:numPr>
        <w:rPr/>
      </w:pPr>
      <w:bookmarkStart w:id="132" w:name="__RefHeading___Toc14338395_2142443653"/>
      <w:bookmarkStart w:id="133" w:name="_Toc50"/>
      <w:bookmarkEnd w:id="131"/>
      <w:bookmarkEnd w:id="132"/>
      <w:r>
        <w:rPr>
          <w:rtl w:val="true"/>
        </w:rPr>
        <w:t>تبصرة</w:t>
      </w:r>
      <w:r>
        <w:rPr>
          <w:rtl w:val="true"/>
        </w:rPr>
        <w:t xml:space="preserve">: [ </w:t>
      </w:r>
      <w:r>
        <w:rPr>
          <w:rtl w:val="true"/>
        </w:rPr>
        <w:t xml:space="preserve">في تحريم وضع شي‌ء في المساجد </w:t>
      </w:r>
      <w:r>
        <w:rPr>
          <w:rtl w:val="true"/>
        </w:rPr>
        <w:t>]</w:t>
      </w:r>
      <w:bookmarkEnd w:id="133"/>
    </w:p>
    <w:p>
      <w:pPr>
        <w:pStyle w:val="BookText"/>
        <w:rPr/>
      </w:pPr>
      <w:r>
        <w:rPr>
          <w:rFonts w:ascii="Amiri" w:hAnsi="Amiri" w:eastAsia="Amiri" w:cs="Amiri"/>
          <w:color w:val="111111"/>
          <w:sz w:val="28"/>
          <w:sz w:val="28"/>
          <w:szCs w:val="28"/>
          <w:rtl w:val="true"/>
          <w:lang w:bidi="ar-SA"/>
        </w:rPr>
        <w:t>يحرم عليه وضع شي‌ء في المساجد بلا خلاف فيه يعرف ، سوى ما يحكى عن الديلمي من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محجوج بالروايات المستفيضة المشتملة على غير واحد من الصحاح الدالّة على المنع كالصحيح الحاكم بجواز الأخذ التابع عن وضع شي‌ء فيها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الفاضلين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يأخذان من المساجد </w:t>
      </w:r>
      <w:r>
        <w:rPr>
          <w:rStyle w:val="FootnoteAnchor"/>
          <w:rtl w:val="true"/>
        </w:rPr>
        <w:footnoteReference w:id="337"/>
      </w:r>
      <w:r>
        <w:rPr>
          <w:rFonts w:ascii="Amiri" w:hAnsi="Amiri" w:eastAsia="Amiri" w:cs="Amiri"/>
          <w:color w:val="111111"/>
          <w:sz w:val="28"/>
          <w:sz w:val="28"/>
          <w:szCs w:val="28"/>
          <w:rtl w:val="true"/>
          <w:lang w:bidi="ar-SA"/>
        </w:rPr>
        <w:t xml:space="preserve">ألّا يضعان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بالها يأخذان منه ولا يضعان فيه؟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لا يقدران </w:t>
      </w:r>
      <w:r>
        <w:rPr>
          <w:rStyle w:val="FootnoteAnchor"/>
          <w:rtl w:val="true"/>
        </w:rPr>
        <w:footnoteReference w:id="338"/>
      </w:r>
      <w:r>
        <w:rPr>
          <w:rFonts w:ascii="Amiri" w:hAnsi="Amiri" w:eastAsia="Amiri" w:cs="Amiri"/>
          <w:color w:val="111111"/>
          <w:sz w:val="28"/>
          <w:sz w:val="28"/>
          <w:szCs w:val="28"/>
          <w:rtl w:val="true"/>
          <w:lang w:bidi="ar-SA"/>
        </w:rPr>
        <w:t xml:space="preserve">على أخذ ما فيه إلّا منه ، ويقدران على وضع ما بأيديهما في غيره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تخصيص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الوضع بما كان مستلزما للبث في سائر المساجد والدخول في المسجدين نظرا إلى تعارض إطلاقي تحريم الوضع وتجويز المشي والمرور ، فيتساقطان ويرجع إلى حكم الأصل ، سيّما مع أغلبيّة اقتران الوضع باللبث ؛ إذ مع عدم جريان ذلك في المسجدين بل في الوضع الغير المستلزم للدخول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لدعوى المعارضة بين ما دلّ على جواز المشي وتحريم الوضع ؛ إذ كلّ منهما عنوان مستقل لا مندرج شي‌ء من أفراد أحدهما في الآخر ، غاية الأمر جواز مقارنته له ، وهو لا يقضي بالمنافاة بين الحكمين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في خلاف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بعض الأخبار تجويز الوضع والمنع من الأخذ ؛ معلّلا بالقدرة على الوضع من غير دخول بخلاف الأخذ ؛ إذ لا تقدير عليه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الوسائل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الأصحاب قد عمل بمضمونه ، وهو ضعيف لضعف الرواية في نفسها مع عدم مقاومتها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 تلك بالعمل واطراح هذه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دوران الحكم مدار صدق اسم الوضع ، فلو كان مشدودا على السقف فحلّه ووقع في المسجد لم يكن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حرّكه من محلّ إلى آخر من غير أن يتناوله من مكانه ، وإلّا حرم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طرحه في المسجد؟ وجهان ؛ من عدم صدق اسم الوضع وأنّه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مع غيره في الوضع احتمل عدم المنع فيه ؛ لعدم استناد الوضع إليه ، ويحتمل المنع سيّما إذا كان الآخر أيضا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علّقه على جداره أو سقفه 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الحكم في الوضع في غير ما يصلّي فيه من زاوية </w:t>
      </w:r>
      <w:r>
        <w:rPr>
          <w:rStyle w:val="FootnoteAnchor"/>
          <w:rtl w:val="true"/>
        </w:rPr>
        <w:footnoteReference w:id="342"/>
      </w:r>
      <w:r>
        <w:rPr>
          <w:rFonts w:ascii="Amiri" w:hAnsi="Amiri" w:eastAsia="Amiri" w:cs="Amiri"/>
          <w:color w:val="111111"/>
          <w:sz w:val="28"/>
          <w:sz w:val="28"/>
          <w:szCs w:val="28"/>
          <w:rtl w:val="true"/>
          <w:lang w:bidi="ar-SA"/>
        </w:rPr>
        <w:t>والدرج الموضوعة فيه ، وكذا الوضع على الأمور الموضوعة فيه في وجه قويّ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وضعه على إنسان جالس فيه فالظاهر الجواز</w:t>
      </w:r>
      <w:r>
        <w:rPr>
          <w:rFonts w:eastAsia="Amiri" w:cs="Amiri" w:ascii="Amiri" w:hAnsi="Amiri"/>
          <w:color w:val="111111"/>
          <w:sz w:val="28"/>
          <w:szCs w:val="28"/>
          <w:rtl w:val="true"/>
          <w:lang w:bidi="ar-SA"/>
        </w:rPr>
        <w:t xml:space="preserve">. </w:t>
      </w:r>
      <w:bookmarkStart w:id="134" w:name="pg15839_360690"/>
    </w:p>
    <w:p>
      <w:pPr>
        <w:pStyle w:val="Heading5"/>
        <w:numPr>
          <w:ilvl w:val="4"/>
          <w:numId w:val="1"/>
        </w:numPr>
        <w:rPr/>
      </w:pPr>
      <w:bookmarkStart w:id="135" w:name="__RefHeading___Toc14338397_2142443653"/>
      <w:bookmarkStart w:id="136" w:name="_Toc51"/>
      <w:bookmarkEnd w:id="134"/>
      <w:bookmarkEnd w:id="135"/>
      <w:r>
        <w:rPr>
          <w:rtl w:val="true"/>
        </w:rPr>
        <w:t>تبصرة</w:t>
      </w:r>
      <w:r>
        <w:rPr>
          <w:rtl w:val="true"/>
        </w:rPr>
        <w:t xml:space="preserve">: [ </w:t>
      </w:r>
      <w:r>
        <w:rPr>
          <w:rtl w:val="true"/>
        </w:rPr>
        <w:t xml:space="preserve">في مسّ كتابة القرآن واسم اللّه تعالى </w:t>
      </w:r>
      <w:r>
        <w:rPr>
          <w:rtl w:val="true"/>
        </w:rPr>
        <w:t>]</w:t>
      </w:r>
      <w:bookmarkEnd w:id="136"/>
    </w:p>
    <w:p>
      <w:pPr>
        <w:pStyle w:val="BookText"/>
        <w:rPr/>
      </w:pPr>
      <w:r>
        <w:rPr>
          <w:rFonts w:ascii="Amiri" w:hAnsi="Amiri" w:eastAsia="Amiri" w:cs="Amiri"/>
          <w:color w:val="111111"/>
          <w:sz w:val="28"/>
          <w:sz w:val="28"/>
          <w:szCs w:val="28"/>
          <w:rtl w:val="true"/>
          <w:lang w:bidi="ar-SA"/>
        </w:rPr>
        <w:t xml:space="preserve">ويحرم عليه مسّ كتابة القرآن بلا خلاف فيه بين الأصحاب ، بل لا يبعد عدم الخلاف فيه بين علماء الإسلام </w:t>
      </w:r>
      <w:r>
        <w:rPr>
          <w:rStyle w:val="FootnoteAnchor"/>
          <w:rtl w:val="true"/>
        </w:rPr>
        <w:footnoteReference w:id="343"/>
      </w:r>
      <w:r>
        <w:rPr>
          <w:rFonts w:ascii="Amiri" w:hAnsi="Amiri" w:eastAsia="Amiri" w:cs="Amiri"/>
          <w:color w:val="111111"/>
          <w:sz w:val="28"/>
          <w:sz w:val="28"/>
          <w:szCs w:val="28"/>
          <w:rtl w:val="true"/>
          <w:lang w:bidi="ar-SA"/>
        </w:rPr>
        <w:t>كما حكى الفاضلان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إلى الإسكافي القول بالكراهة إلّا أنّه لا يبعد حملها على الحرمة ؛ لشيوع استعمالها فيها في كلام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الشهيد أنّه كثيرا ما يطلق الكراهة ويريد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المدارك </w:t>
      </w:r>
      <w:r>
        <w:rPr>
          <w:rStyle w:val="FootnoteAnchor"/>
          <w:rtl w:val="true"/>
        </w:rPr>
        <w:footnoteReference w:id="344"/>
      </w:r>
      <w:r>
        <w:rPr>
          <w:rFonts w:ascii="Amiri" w:hAnsi="Amiri" w:eastAsia="Amiri" w:cs="Amiri"/>
          <w:color w:val="111111"/>
          <w:sz w:val="28"/>
          <w:sz w:val="28"/>
          <w:szCs w:val="28"/>
          <w:rtl w:val="true"/>
          <w:lang w:bidi="ar-SA"/>
        </w:rPr>
        <w:t xml:space="preserve">إلى المبسوط ، ونصّ جماعة على سهوه في النقل ، وإنّما قال بها في الحدث </w:t>
      </w:r>
      <w:r>
        <w:rPr>
          <w:rStyle w:val="FootnoteAnchor"/>
          <w:rtl w:val="true"/>
        </w:rPr>
        <w:footnoteReference w:id="345"/>
      </w:r>
      <w:r>
        <w:rPr>
          <w:rFonts w:ascii="Amiri" w:hAnsi="Amiri" w:eastAsia="Amiri" w:cs="Amiri"/>
          <w:color w:val="111111"/>
          <w:sz w:val="28"/>
          <w:sz w:val="28"/>
          <w:szCs w:val="28"/>
          <w:rtl w:val="true"/>
          <w:lang w:bidi="ar-SA"/>
        </w:rPr>
        <w:t>الأصغر ، ونصّ بالحرمة في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ميله في المدارك </w:t>
      </w:r>
      <w:r>
        <w:rPr>
          <w:rStyle w:val="FootnoteAnchor"/>
          <w:rtl w:val="true"/>
        </w:rPr>
        <w:footnoteReference w:id="346"/>
      </w:r>
      <w:r>
        <w:rPr>
          <w:rFonts w:ascii="Amiri" w:hAnsi="Amiri" w:eastAsia="Amiri" w:cs="Amiri"/>
          <w:color w:val="111111"/>
          <w:sz w:val="28"/>
          <w:sz w:val="28"/>
          <w:szCs w:val="28"/>
          <w:rtl w:val="true"/>
          <w:lang w:bidi="ar-SA"/>
        </w:rPr>
        <w:t xml:space="preserve">إلى الكراهة ؛ استضعافا لأدلّة المنع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ضعفه ممّا مرّ في الأصغر ؛ لدلالته على المنع هنا بالأولى ، ولاحتمال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عنه بالخصوص كخبر إبراهيم 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تمسّه على غير طهر ولا جنبا </w:t>
      </w:r>
      <w:r>
        <w:rPr>
          <w:rFonts w:eastAsia="Amiri" w:cs="Amiri" w:ascii="Amiri" w:hAnsi="Amiri"/>
          <w:color w:val="111111"/>
          <w:sz w:val="28"/>
          <w:szCs w:val="28"/>
          <w:rtl w:val="true"/>
          <w:lang w:bidi="ar-SA"/>
        </w:rPr>
        <w:t xml:space="preserve">.. » </w:t>
      </w:r>
      <w:r>
        <w:rPr>
          <w:rStyle w:val="FootnoteAnchor"/>
          <w:rtl w:val="true"/>
        </w:rPr>
        <w:footnoteReference w:id="348"/>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عليه هنا انعقاد الإجماع عليه في المقام كما هو المعلوم من ملاحظة الفتاوى ، </w:t>
      </w:r>
    </w:p>
    <w:p>
      <w:pPr>
        <w:pStyle w:val="BookText"/>
        <w:rPr/>
      </w:pPr>
      <w:r>
        <w:rPr>
          <w:rFonts w:ascii="Amiri" w:hAnsi="Amiri" w:eastAsia="Amiri" w:cs="Amiri"/>
          <w:color w:val="111111"/>
          <w:sz w:val="28"/>
          <w:sz w:val="28"/>
          <w:szCs w:val="28"/>
          <w:rtl w:val="true"/>
          <w:lang w:bidi="ar-SA"/>
        </w:rPr>
        <w:t>والمنقول على لسان جماعة 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w:t>
      </w:r>
      <w:r>
        <w:rPr>
          <w:rStyle w:val="FootnoteAnchor"/>
          <w:rtl w:val="true"/>
        </w:rPr>
        <w:footnoteReference w:id="351"/>
      </w:r>
      <w:r>
        <w:rPr>
          <w:rFonts w:ascii="Amiri" w:hAnsi="Amiri" w:eastAsia="Amiri" w:cs="Amiri"/>
          <w:color w:val="111111"/>
          <w:sz w:val="28"/>
          <w:sz w:val="28"/>
          <w:szCs w:val="28"/>
          <w:rtl w:val="true"/>
          <w:lang w:bidi="ar-SA"/>
        </w:rPr>
        <w:t>خلاف هنا في تحريم المس ، وإن وقع الخلاف فيه في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تمام الكلام في فروع المسألة في مباحث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عليه مسّ اسم اللّه تعالى على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نصّ الشيخان </w:t>
      </w:r>
      <w:r>
        <w:rPr>
          <w:rStyle w:val="FootnoteAnchor"/>
          <w:rtl w:val="true"/>
        </w:rPr>
        <w:footnoteReference w:id="352"/>
      </w:r>
      <w:r>
        <w:rPr>
          <w:rFonts w:ascii="IRNazanin" w:hAnsi="IRNazanin" w:eastAsia="IRNazanin"/>
          <w:color w:val="111111"/>
          <w:sz w:val="28"/>
          <w:sz w:val="28"/>
          <w:szCs w:val="28"/>
          <w:rtl w:val="true"/>
          <w:lang w:bidi="fa-IR"/>
        </w:rPr>
        <w:t xml:space="preserve">والفاضلان </w:t>
      </w:r>
      <w:r>
        <w:rPr>
          <w:rStyle w:val="FootnoteAnchor"/>
          <w:rtl w:val="true"/>
        </w:rPr>
        <w:footnoteReference w:id="35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 </w:t>
      </w:r>
      <w:r>
        <w:rPr>
          <w:rStyle w:val="FootnoteAnchor"/>
          <w:rtl w:val="true"/>
        </w:rPr>
        <w:footnoteReference w:id="354"/>
      </w:r>
      <w:r>
        <w:rPr>
          <w:rFonts w:ascii="Amiri" w:hAnsi="Amiri" w:eastAsia="Amiri" w:cs="Amiri"/>
          <w:color w:val="111111"/>
          <w:sz w:val="28"/>
          <w:sz w:val="28"/>
          <w:szCs w:val="28"/>
          <w:rtl w:val="true"/>
          <w:lang w:bidi="ar-SA"/>
        </w:rPr>
        <w:t xml:space="preserve">الجنب درهما ولا دينارا عليه اسم اللّه تعالى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إلّا أنّه يعارضها المستفيضة الدالّة على الجواز ، منها الموثق عن الجنب والطامث يمسّان بأيديهما الدراهم البيض؟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الشيخ </w:t>
      </w:r>
      <w:r>
        <w:rPr>
          <w:rStyle w:val="FootnoteAnchor"/>
          <w:rtl w:val="true"/>
        </w:rPr>
        <w:footnoteReference w:id="357"/>
      </w:r>
      <w:r>
        <w:rPr>
          <w:rFonts w:ascii="Amiri" w:hAnsi="Amiri" w:eastAsia="Amiri" w:cs="Amiri"/>
          <w:color w:val="111111"/>
          <w:sz w:val="28"/>
          <w:sz w:val="28"/>
          <w:szCs w:val="28"/>
          <w:rtl w:val="true"/>
          <w:lang w:bidi="ar-SA"/>
        </w:rPr>
        <w:t>على ما لم يكن عليه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يؤيّده التقييد في الموثقة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يمسّ الرجل الدراهم الأبيض وهو جنب؟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واللّه إنّي لأرى الدرهم فآخذه وأنا جنب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فيه تأويل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الربيع في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 الدراهم وفيها اسم اللّه واسم رسوله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وربّما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Style w:val="FootnoteAnchor"/>
          <w:rtl w:val="true"/>
        </w:rPr>
        <w:footnoteReference w:id="359"/>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الجميع على بيان جواز مس الدرهم في الجملة ، فيكون المراد مس غير اسمه </w:t>
      </w:r>
    </w:p>
    <w:p>
      <w:pPr>
        <w:pStyle w:val="BookText"/>
        <w:rPr/>
      </w:pPr>
      <w:r>
        <w:rPr>
          <w:rFonts w:ascii="Amiri" w:hAnsi="Amiri" w:eastAsia="Amiri" w:cs="Amiri"/>
          <w:color w:val="111111"/>
          <w:sz w:val="28"/>
          <w:sz w:val="28"/>
          <w:szCs w:val="28"/>
          <w:rtl w:val="true"/>
          <w:lang w:bidi="ar-SA"/>
        </w:rPr>
        <w:t>تعالى جمعا بين الأدلّة ، وهو وإن لم يخل من بعد إلّا أنّه لا بأس به في مقام الجمع ، وثبوت المرجوحية قطعا ينافي فعله عليه‌السلام ، فبملاحظة ذلك لا يخلو الأخبار المذكورة عن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بني على المعارضة فيرجّح الأوّل بموافقة الاحتياط والشهرة القطعيّة بين الأصحاب وقضية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المتأخرين إلى الكراهة ؛ جمعا بين الأخبار وأخذا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باسم اللّه تعالى خصوص لفظ الجلالة أو يعمّ الأسماء المختصّة أو سائر أسمائه تعالى؟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بانصراف الإطلاق إلى الثاني إلّا أنّ القول بالثالث قويّ بعد العلم بقصده تعالى بالكتابة لاندراجه إذن في الإطلاق مع المشاركة في الاحترام أو مع البناء عليه ، فالظاهر خروج الموصول عنه وإن اتّصل بصلة خاصّة به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الضمائر الراجعة إليه وجهان ، و </w:t>
      </w:r>
      <w:r>
        <w:rPr>
          <w:rStyle w:val="FootnoteAnchor"/>
          <w:rtl w:val="true"/>
        </w:rPr>
        <w:footnoteReference w:id="361"/>
      </w:r>
      <w:r>
        <w:rPr>
          <w:rFonts w:ascii="Amiri" w:hAnsi="Amiri" w:eastAsia="Amiri" w:cs="Amiri"/>
          <w:color w:val="111111"/>
          <w:sz w:val="28"/>
          <w:sz w:val="28"/>
          <w:szCs w:val="28"/>
          <w:rtl w:val="true"/>
          <w:lang w:bidi="ar-SA"/>
        </w:rPr>
        <w:t xml:space="preserve">البناء على قضية الأصل فيها أظهر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يبعد القول بكونه من أسمائه تعالى كما يظهر من غير واحد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بخروج كلّ اسم يطلق عليه تعالى من جهة كونه مصداقا لمعناه من غير وضعه له تعالى ولا اختصاصه به كالموجود ونحوه لم يكن بعيدا</w:t>
      </w:r>
      <w:r>
        <w:rPr>
          <w:rFonts w:eastAsia="Amiri" w:cs="Amiri" w:ascii="Amiri" w:hAnsi="Amiri"/>
          <w:color w:val="111111"/>
          <w:sz w:val="28"/>
          <w:szCs w:val="28"/>
          <w:rtl w:val="true"/>
          <w:lang w:bidi="ar-SA"/>
        </w:rPr>
        <w:t xml:space="preserve">. </w:t>
      </w:r>
      <w:bookmarkStart w:id="137" w:name="pg15839_360693"/>
    </w:p>
    <w:p>
      <w:pPr>
        <w:pStyle w:val="Heading5"/>
        <w:numPr>
          <w:ilvl w:val="4"/>
          <w:numId w:val="1"/>
        </w:numPr>
        <w:rPr/>
      </w:pPr>
      <w:bookmarkStart w:id="138" w:name="__RefHeading___Toc14338399_2142443653"/>
      <w:bookmarkStart w:id="139" w:name="_Toc52"/>
      <w:bookmarkEnd w:id="137"/>
      <w:bookmarkEnd w:id="138"/>
      <w:r>
        <w:rPr>
          <w:rtl w:val="true"/>
        </w:rPr>
        <w:t>تبصرة</w:t>
      </w:r>
      <w:r>
        <w:rPr>
          <w:rtl w:val="true"/>
        </w:rPr>
        <w:t xml:space="preserve">: [ </w:t>
      </w:r>
      <w:r>
        <w:rPr>
          <w:rtl w:val="true"/>
        </w:rPr>
        <w:t xml:space="preserve">في تغسيل الجنب ليلا لأجل الصوم </w:t>
      </w:r>
      <w:r>
        <w:rPr>
          <w:rtl w:val="true"/>
        </w:rPr>
        <w:t>]</w:t>
      </w:r>
      <w:bookmarkEnd w:id="139"/>
    </w:p>
    <w:p>
      <w:pPr>
        <w:pStyle w:val="BookText"/>
        <w:rPr/>
      </w:pPr>
      <w:r>
        <w:rPr>
          <w:rFonts w:ascii="Amiri" w:hAnsi="Amiri" w:eastAsia="Amiri" w:cs="Amiri"/>
          <w:color w:val="111111"/>
          <w:sz w:val="28"/>
          <w:sz w:val="28"/>
          <w:szCs w:val="28"/>
          <w:rtl w:val="true"/>
          <w:lang w:bidi="ar-SA"/>
        </w:rPr>
        <w:t xml:space="preserve">قد عرفت أنّ حرمة الأمور المذكورة على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والصيام والمسّ والمكث في المساجد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قاضية بكون استباحة كلّ منها غاية للغسل ، فيجب لكلّ من الأفعال المذكورة عند وجوبه ويندب له عند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اشكال معروف في وجوبه في الليل لأجل الصوم مع عدم تحقق وجوب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بعضهم بأنّ التغسيل </w:t>
      </w:r>
      <w:r>
        <w:rPr>
          <w:rStyle w:val="FootnoteAnchor"/>
          <w:rtl w:val="true"/>
        </w:rPr>
        <w:footnoteReference w:id="362"/>
      </w:r>
      <w:r>
        <w:rPr>
          <w:rFonts w:ascii="Amiri" w:hAnsi="Amiri" w:eastAsia="Amiri" w:cs="Amiri"/>
          <w:color w:val="111111"/>
          <w:sz w:val="28"/>
          <w:sz w:val="28"/>
          <w:szCs w:val="28"/>
          <w:rtl w:val="true"/>
          <w:lang w:bidi="ar-SA"/>
        </w:rPr>
        <w:t>ممّا يتوقف عليه الواجب وقضيّة ما دلّ على وجوب المقدمة لا يختصّ بما إذا وجب فيها ، بل يعمّ ما إذا علم أو ظنّ وجوبه في وقته ، سيّما مع تضيقه ، فإنّه لا مانع إذن من وجوب المقدمة وإن لم يجب المغيّى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ظاهر ؛ إذ القول بوجوب المقدمة مع عدم وجوب ذيها ممّا يقطع بفساده لتبعيّة وجوب المقدمة لوجوب ذيها ومطلوبيّتها لمطلوبيّته ، فكيف يتصوّر وجوبها مع عدم وجوبه ، مع انتفاء النصّ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الشي‌ء في محلّه قاض بوجوب توطين النفس على امتثاله ، وهو إنّما يكون بالاتيان بمقدماته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طلب الشي‌ء في وقت معيّن مع عدم إمكان حصوله فيه إلّا بتقديم مقدمته دليل عرفا بل عقلا على إيجاب مقدمته قبله ؛ لتحصيل مطلوب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نحوه في الموسع أيضا ؛ لتعلّق التكليف به في أوّل الوقت وإن لم يتعيّن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ما ذكر فإنّما يفيد وجوب توطين النفس على أداء الواجب بعد حصول وجوبه ، ولا يستلزم ذلك وجوب التلبّس بشي‌ء من مقدماته قبل فعليّة الوجوب ، بل إنّما يراعى فيه حال تعلق الوجوب ، فإن كان باقيا فيه على صفات التكليف تعلّق الوجوب ، وإلّا فلا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قضاء العرف والعقل بوجوب المقدمة في مثله قبل وجوب الفعل مدفوع ، بأن وجوب الفعل في وقته مشروط قطعا بالتمكّن منه ، فإن كان وقت الوجوب متمكّنا من الفعل يشمله الخطاب ، وإلّا لم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دليل على وجوب جعل الانسان نفسه من المشمولين للخطاب ، فعلى هذا من علم أنّه لا يتمكّن في الوقت من الطهارة المائية أو غيرها أيضا لا يجب عليه تقديم الوضوء ، بل ويجوز له إهراق الماء المملوك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ذكره صاحب الحدائق </w:t>
      </w:r>
      <w:r>
        <w:rPr>
          <w:rStyle w:val="FootnoteAnchor"/>
          <w:rtl w:val="true"/>
        </w:rPr>
        <w:footnoteReference w:id="363"/>
      </w:r>
      <w:r>
        <w:rPr>
          <w:rFonts w:ascii="Amiri" w:hAnsi="Amiri" w:eastAsia="Amiri" w:cs="Amiri"/>
          <w:color w:val="111111"/>
          <w:sz w:val="28"/>
          <w:sz w:val="28"/>
          <w:szCs w:val="28"/>
          <w:rtl w:val="true"/>
          <w:lang w:bidi="ar-SA"/>
        </w:rPr>
        <w:t>من وجوب الوضوء قبل الوقت ؛ نظرا إلى توقف الفعل عليه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اشتمل النصّ الصحيح على تعليق وجوبه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دلالة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المقام أن يقال بالفرق بين ما توجّه الخطاب إلى المكلّف فعلا وإن كان المطلوب إيقاعه في زمان معيّن ، وما لم يتوجّه به خطاب أصلا قبل مجي‌ء زمان الفعل ، فالأوّل يجب تقديم مقدمته لوجوب الفعل عليه وإن لم يحضر زمان فعله كالحج ، والثاني إنّما يجب مقدمته بعد مجي‌ء زمان الفعل وتوجّه الخطاب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فالصوم من القبيل الأوّل بخلاف الصلاة ؛ لظاهر النصّ المذكور وغيره ، فليس وجوب المقدمة فيما ذكرنا مسقطا عن وجوب ذي المقدمة ، غاية الأمر أن يكون وجوبها في زمان لا يصحّ فيها إيقاع ذيها ، ولا مانع منه بوجه ؛ إذ ما دلّ على وجوب المقدمة يدلّ عليه في الصورتين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والمعروف بين الأصحاب عدم وجوب الغسل لغير ما ذكر ولا لنفسه ، وذهب جماعة </w:t>
      </w:r>
      <w:r>
        <w:rPr>
          <w:rStyle w:val="FootnoteAnchor"/>
          <w:rtl w:val="true"/>
        </w:rPr>
        <w:footnoteReference w:id="364"/>
      </w:r>
      <w:r>
        <w:rPr>
          <w:rFonts w:ascii="Amiri" w:hAnsi="Amiri" w:eastAsia="Amiri" w:cs="Amiri"/>
          <w:color w:val="111111"/>
          <w:sz w:val="28"/>
          <w:sz w:val="28"/>
          <w:szCs w:val="28"/>
          <w:rtl w:val="true"/>
          <w:lang w:bidi="ar-SA"/>
        </w:rPr>
        <w:t>من الأصحاب منهم الفاضل ووالده إلى كونه واجبا لنفسه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القول به عن القطب الراوندي ، ومال إليه جماعة من المتأخرين كصاحبي المدارك </w:t>
      </w:r>
      <w:r>
        <w:rPr>
          <w:rStyle w:val="FootnoteAnchor"/>
          <w:rtl w:val="true"/>
        </w:rPr>
        <w:footnoteReference w:id="365"/>
      </w:r>
      <w:r>
        <w:rPr>
          <w:rFonts w:ascii="Amiri" w:hAnsi="Amiri" w:eastAsia="Amiri" w:cs="Amiri"/>
          <w:color w:val="111111"/>
          <w:sz w:val="28"/>
          <w:sz w:val="28"/>
          <w:szCs w:val="28"/>
          <w:rtl w:val="true"/>
          <w:lang w:bidi="ar-SA"/>
        </w:rPr>
        <w:t xml:space="preserve">والذخيرة </w:t>
      </w:r>
      <w:r>
        <w:rPr>
          <w:rStyle w:val="FootnoteAnchor"/>
          <w:rtl w:val="true"/>
        </w:rPr>
        <w:footnoteReference w:id="36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بعد الأصل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بناء على عطف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على الجزاء لا على الشرط كما هو ظاهر السياق وقضية تأخر التيمّم عنه ، فيكون وجوبه حينئذ معلّقا على القيام إلى الصلاة ، وحينئذ يفيد الوجوب للغير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وجوبه لنفسه لمفهوم الشرط ، ومع الغضّ عنه فذكر وجوبه للغير في المقام يدلّ بالفحوى على عدم وجوبه لنفسه وإلّا لكان أولى بالذكر في بيان أصل المشروعيّة ، فيفيد ذلك أن مطلوبيته في الشرع لأجل الغير ، وهو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يندفع ما أورد من أنّ الآية إنّما تدلّ على ثبوت الوجوب للغير ، وهو لا ينافي وجوبه 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أيضا من عدّة من الروايات كقوله عليه‌السلام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فرض على اليدين أن لا يبطش بهما إلى ما 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والطهور للصلاة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يجامعها الرجل فتحيض وهي في المغتسل ليغتسل أم لا؟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جاءها ما يفسد الصلاة ، فلا يغتسل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أنّه لو لا وجوب الغسل لأجل الصلاة وسقوطه من جهة سقوطها لما صحّ التعليل المذكور أو سقوط الوجوب الغيري ، ولا يوجب تأخير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كون الحدث الطاري مانعا من رفع الحدث السابق لا يوافق ظاهر العبارة ؛ لوقوع التعليل فيه بفساد الصلاة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الحكم بفساده غير ظاهر ؛ لقضاء الإطلاقات بالصحّة ، وبقاء حدث الحيض لا يوجب عدم ارتفاع الجنابة بعد كونهما حدثين مختلفين كما هو الظاهر وإن اشتركا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يمكن رفع أحدهما بدون الآخر كما إذا اغتسل عن الحيض بعد انقضاء العادة ؛ لعدم الاكتفاء به عن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العكس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الآتي تصريح بما قلناه ، فدعوى تكافؤ </w:t>
      </w:r>
      <w:r>
        <w:rPr>
          <w:rStyle w:val="FootnoteAnchor"/>
          <w:rtl w:val="true"/>
        </w:rPr>
        <w:footnoteReference w:id="371"/>
      </w:r>
      <w:r>
        <w:rPr>
          <w:rFonts w:ascii="Amiri" w:hAnsi="Amiri" w:eastAsia="Amiri" w:cs="Amiri"/>
          <w:color w:val="111111"/>
          <w:sz w:val="28"/>
          <w:sz w:val="28"/>
          <w:szCs w:val="28"/>
          <w:rtl w:val="true"/>
          <w:lang w:bidi="ar-SA"/>
        </w:rPr>
        <w:t xml:space="preserve">الاحتمالين كما وقع من العلّامة المجلسي </w:t>
      </w:r>
      <w:r>
        <w:rPr>
          <w:rStyle w:val="FootnoteAnchor"/>
          <w:rtl w:val="true"/>
        </w:rPr>
        <w:footnoteReference w:id="372"/>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الحيثيّة المذكورة عدّة من المعتبرة </w:t>
      </w:r>
      <w:r>
        <w:rPr>
          <w:rStyle w:val="FootnoteAnchor"/>
          <w:rtl w:val="true"/>
        </w:rPr>
        <w:footnoteReference w:id="373"/>
      </w:r>
      <w:r>
        <w:rPr>
          <w:rFonts w:ascii="Amiri" w:hAnsi="Amiri" w:eastAsia="Amiri" w:cs="Amiri"/>
          <w:color w:val="111111"/>
          <w:sz w:val="28"/>
          <w:sz w:val="28"/>
          <w:szCs w:val="28"/>
          <w:rtl w:val="true"/>
          <w:lang w:bidi="ar-SA"/>
        </w:rPr>
        <w:t>الدالّة على تأخير غسل الجنابة بعد مجي‌ء الحيض إلى زمان طهرها فتغسل غسلا واحدا للحيض والجنابة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منها تخييرها حينئذ بين الغسل والتأخير إلى وقت الطهر ، فيغسل غسلا واحدا منهما ؛ لإشعار الحكم بتأخير غسلها بكون مطلوبيّة الغسل لأجل الصلاة ، فيسقط وجوبه بسقوط وجوبه وإن بقي مشروعيّته كما دلّت عليه الموثقة الأخيرة وقضى به الأصل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ما ذكره بعض المتأخرين وحقّقه صاحب الحدائق </w:t>
      </w:r>
      <w:r>
        <w:rPr>
          <w:rStyle w:val="FootnoteAnchor"/>
          <w:rtl w:val="true"/>
        </w:rPr>
        <w:footnoteReference w:id="374"/>
      </w:r>
      <w:r>
        <w:rPr>
          <w:rFonts w:ascii="Amiri" w:hAnsi="Amiri" w:eastAsia="Amiri" w:cs="Amiri"/>
          <w:color w:val="111111"/>
          <w:sz w:val="28"/>
          <w:sz w:val="28"/>
          <w:szCs w:val="28"/>
          <w:rtl w:val="true"/>
          <w:lang w:bidi="ar-SA"/>
        </w:rPr>
        <w:t xml:space="preserve">في الجواب عن الاحتجاج بالأخبار المذكورة أنّها غير دالّة على شي‌ء من المذهبين ، وإنّما وردت لبيان سقوط الغسل من جهة عدم حصول غايته </w:t>
      </w:r>
      <w:r>
        <w:rPr>
          <w:rStyle w:val="FootnoteAnchor"/>
          <w:rtl w:val="true"/>
        </w:rPr>
        <w:footnoteReference w:id="375"/>
      </w:r>
      <w:r>
        <w:rPr>
          <w:rFonts w:ascii="Amiri" w:hAnsi="Amiri" w:eastAsia="Amiri" w:cs="Amiri"/>
          <w:color w:val="111111"/>
          <w:sz w:val="28"/>
          <w:sz w:val="28"/>
          <w:szCs w:val="28"/>
          <w:rtl w:val="true"/>
          <w:lang w:bidi="ar-SA"/>
        </w:rPr>
        <w:t>الّتي هي رفع الحدث أو استباحة الصلاة ، فلا يصحّ الغسل الواقع على تلك الحال سواء قلنا بوجوبه لنفسه أو غيره ، فهي منافية لقضيّة كلّ من القولين ليتفرّع صحّة الغسل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ظاهرة في هذه الأخبار على ما ذكره ؛ لعدم وجوب تداخل الغسلين ، فالظاهر ورودها لبيان جواز التأخير نظرا إلى عدم وجوب غايته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من عدم إمكان ارتفاع الحدث أو استباحة الصلاة معه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بالوجوب النفسي </w:t>
      </w:r>
      <w:r>
        <w:rPr>
          <w:rStyle w:val="FootnoteAnchor"/>
          <w:rtl w:val="true"/>
        </w:rPr>
        <w:footnoteReference w:id="376"/>
      </w:r>
      <w:r>
        <w:rPr>
          <w:rFonts w:ascii="Amiri" w:hAnsi="Amiri" w:eastAsia="Amiri" w:cs="Amiri"/>
          <w:color w:val="111111"/>
          <w:sz w:val="28"/>
          <w:sz w:val="28"/>
          <w:szCs w:val="28"/>
          <w:rtl w:val="true"/>
          <w:lang w:bidi="ar-SA"/>
        </w:rPr>
        <w:t xml:space="preserve">الآية بناء على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الشرطية ، والأخبار الكثيرة الحاكمة بوجوب الغسل بعد عروض الجنابة كالمستفيضة الدالّة على كونه فريضة ، وأخرى دالّة على كونه واجبا ، وما 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من الجنابة متعمّدا فهو في النار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مضافا إلى الأوامر الواردة به الظاهرة 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ويدفعها </w:t>
      </w:r>
      <w:r>
        <w:rPr>
          <w:rStyle w:val="FootnoteAnchor"/>
          <w:rtl w:val="true"/>
        </w:rPr>
        <w:footnoteReference w:id="378"/>
      </w:r>
      <w:r>
        <w:rPr>
          <w:rFonts w:ascii="Amiri" w:hAnsi="Amiri" w:eastAsia="Amiri" w:cs="Amiri"/>
          <w:color w:val="111111"/>
          <w:sz w:val="28"/>
          <w:sz w:val="28"/>
          <w:szCs w:val="28"/>
          <w:rtl w:val="true"/>
          <w:lang w:bidi="ar-SA"/>
        </w:rPr>
        <w:t>ما عرفت من ظهور الآية في خلاف ذلك ، ومطلق الوجوب ممّا لا كلام فيه ، إنّما الكلام في وجوب النفسي ، والمطلق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إطلاق الوجوب ينصرف إليه إلّا أنّ الدليل قائم في المقام على إرادة الغيري مع وهن الظهور بفهم جمهور الأصحاب خلافه في المقام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ورود الأوامر في إزالة الأخباث مع الاتفاق هناك على كون المقصود خصوص الغيري ، فيؤيّد ذلك إرادته في المقام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التفاوت بين رفع الحدث والخبث فغاية الأمر أن يكون ارتفاع الحدث مطلوبا لذاته دون الآخر ، فيكون الغسل مطلوبا لأجله ، فلا يكون أيضا واجبا لنفسه ، بل لما يتفرّع عليه من ارتفاع الحدث والخبث فالقول بوجوب الغسلات المذكورة لنفسها بعيد جدّا بل لا يبعد القول بعدم استحبابها ، إنّما المندوب رفع الحدث كما مرّ القول فيه</w:t>
      </w:r>
      <w:r>
        <w:rPr>
          <w:rFonts w:eastAsia="Amiri" w:cs="Amiri" w:ascii="Amiri" w:hAnsi="Amiri"/>
          <w:color w:val="111111"/>
          <w:sz w:val="28"/>
          <w:szCs w:val="28"/>
          <w:rtl w:val="true"/>
          <w:lang w:bidi="ar-SA"/>
        </w:rPr>
        <w:t xml:space="preserve">. </w:t>
      </w:r>
      <w:bookmarkStart w:id="140" w:name="pg15839_360699"/>
    </w:p>
    <w:p>
      <w:pPr>
        <w:pStyle w:val="Heading5"/>
        <w:numPr>
          <w:ilvl w:val="4"/>
          <w:numId w:val="1"/>
        </w:numPr>
        <w:rPr/>
      </w:pPr>
      <w:bookmarkStart w:id="141" w:name="__RefHeading___Toc14338401_2142443653"/>
      <w:bookmarkStart w:id="142" w:name="_Toc53"/>
      <w:bookmarkEnd w:id="140"/>
      <w:bookmarkEnd w:id="141"/>
      <w:r>
        <w:rPr>
          <w:rtl w:val="true"/>
        </w:rPr>
        <w:t>تبصرة</w:t>
      </w:r>
      <w:r>
        <w:rPr>
          <w:rtl w:val="true"/>
        </w:rPr>
        <w:t xml:space="preserve">: [ </w:t>
      </w:r>
      <w:r>
        <w:rPr>
          <w:rtl w:val="true"/>
        </w:rPr>
        <w:t xml:space="preserve">في المكروهات على الجنب </w:t>
      </w:r>
      <w:r>
        <w:rPr>
          <w:rtl w:val="true"/>
        </w:rPr>
        <w:t>]</w:t>
      </w:r>
      <w:bookmarkEnd w:id="142"/>
    </w:p>
    <w:p>
      <w:pPr>
        <w:pStyle w:val="BookText"/>
        <w:rPr/>
      </w:pPr>
      <w:r>
        <w:rPr>
          <w:rFonts w:ascii="Amiri" w:hAnsi="Amiri" w:eastAsia="Amiri" w:cs="Amiri"/>
          <w:color w:val="111111"/>
          <w:sz w:val="28"/>
          <w:sz w:val="28"/>
          <w:szCs w:val="28"/>
          <w:rtl w:val="true"/>
          <w:lang w:bidi="ar-SA"/>
        </w:rPr>
        <w:t xml:space="preserve">وحيث ذكرنا المحرّمات على الجنب فلنعقّبه بذكر مكروهاته ، 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بلا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التذكرة </w:t>
      </w:r>
      <w:r>
        <w:rPr>
          <w:rStyle w:val="FootnoteAnchor"/>
          <w:rtl w:val="true"/>
        </w:rPr>
        <w:footnoteReference w:id="379"/>
      </w:r>
      <w:r>
        <w:rPr>
          <w:rFonts w:ascii="Amiri" w:hAnsi="Amiri" w:eastAsia="Amiri" w:cs="Amiri"/>
          <w:color w:val="111111"/>
          <w:sz w:val="28"/>
          <w:sz w:val="28"/>
          <w:szCs w:val="28"/>
          <w:rtl w:val="true"/>
          <w:lang w:bidi="ar-SA"/>
        </w:rPr>
        <w:t>من مكروهاته الأكل والشرب ما لم يتمضمض ويستنشق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علمائنا مؤذنا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يستظهر من الصدوق </w:t>
      </w:r>
      <w:r>
        <w:rPr>
          <w:rStyle w:val="FootnoteAnchor"/>
          <w:rtl w:val="true"/>
        </w:rPr>
        <w:footnoteReference w:id="380"/>
      </w:r>
      <w:r>
        <w:rPr>
          <w:rFonts w:ascii="Amiri" w:hAnsi="Amiri" w:eastAsia="Amiri" w:cs="Amiri"/>
          <w:color w:val="111111"/>
          <w:sz w:val="28"/>
          <w:sz w:val="28"/>
          <w:szCs w:val="28"/>
          <w:rtl w:val="true"/>
          <w:lang w:bidi="ar-SA"/>
        </w:rPr>
        <w:t>القول بالمنع لحكمه بعدم جوازهما إلّا أن يغسل يديه ويتمضمض ويستنشق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حمله على الكراهة ؛ لتعليله المنع بخوف البرص ، ثمّ ذكر رواية إيراثه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الاتفاق عدّة من النصوص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الرجل جنبا لم يأكل ولم يشرب حتّى يتوضأ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يذوق الجنب شيئا حتّى يغسل يديه ويتمضمض ، فإنّه يخاف منه الوضح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الأكل على الجنابة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يورث الفقر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وسياق هذه الأخبار صريح في إرادة الكراهة مضافا إلى الموثق المصرّح بجواز أكله وشربه ، فيكون شاهدا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المشهور كما حكاه بعض الأفاضل تقييد الكراهة بعدم المضمضة والاستنشاق ، والأخبار مختلفة في ذلك ففي الصحيح المذكور التقييد بالوضوء ، 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يديه ويتمضمض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وجهه وأكل وشرب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السكوني المتقدّم ذكر غسل اليدين والمضمضة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يده والوضوء أفضل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الأظهر الاكتفاء بأحد الأمور المذكورة وإن كان بعضها أولى من البعض ، والجمع بين الأمور الغير المصادقة منها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خصوص المضمضة والاستنشاق لم يوجد في شي‌ء من الأخبار سوى رواية الفقيه </w:t>
      </w:r>
      <w:r>
        <w:rPr>
          <w:rStyle w:val="FootnoteAnchor"/>
          <w:rtl w:val="true"/>
        </w:rPr>
        <w:footnoteReference w:id="387"/>
      </w:r>
      <w:r>
        <w:rPr>
          <w:rFonts w:ascii="Amiri" w:hAnsi="Amiri" w:eastAsia="Amiri" w:cs="Amiri"/>
          <w:color w:val="111111"/>
          <w:sz w:val="28"/>
          <w:sz w:val="28"/>
          <w:szCs w:val="28"/>
          <w:rtl w:val="true"/>
          <w:lang w:bidi="ar-SA"/>
        </w:rPr>
        <w:t>إلّا أنّ فيها زيادة غسل اليدين كما في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يرتفع الكراهة بذلك أو تخف به؟ وجهان ، ظاهر الأخبار وكلام الأصحاب هو الأوّل وإن كان ظاهر خبر المناهي إطلاق الكراهة إلّا أنّ قضية الجمع حملها على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ارتفاع الكراهة اتصافها بالأكل والشرب أو يكتفى بمجرد وقوعها في ارتفاعها؟ وجهان ، وقضية الإطلاقات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من إيقاعها لأحد الأمرين أو لا لهما ؛ أخذا بالإطلاق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تخلّل بينهما حدث غير الجنابة ففي الاكتفاء بذلك الوضوء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بانتقاض حكمه ؛ لما دلّ بإطلاقه على انتقاضه بطروّ النواقض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يعمّ الحكم المأكول والمشروب العاديين وغيرهما أو يخصّ بالأوّل؟ وجهان ، وقضية الأصل والإطلاق الحمل على الثاني إلّا أنّ ظاهر رواية السكوني تعميم الحكم لكلّ ما يذاق </w:t>
      </w:r>
      <w:r>
        <w:rPr>
          <w:rStyle w:val="FootnoteAnchor"/>
          <w:rtl w:val="true"/>
        </w:rPr>
        <w:footnoteReference w:id="389"/>
      </w:r>
      <w:r>
        <w:rPr>
          <w:rFonts w:ascii="Amiri" w:hAnsi="Amiri" w:eastAsia="Amiri" w:cs="Amiri"/>
          <w:color w:val="111111"/>
          <w:sz w:val="28"/>
          <w:sz w:val="28"/>
          <w:szCs w:val="28"/>
          <w:rtl w:val="true"/>
          <w:lang w:bidi="ar-SA"/>
        </w:rPr>
        <w:t>، فالبناء عليه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تعذر عليه استعمال الماء ففي ارتفاع الكراهة بالتيمّم بدل الغسل أو الوضوء وجه قويّ بناء على عموم بدليّة التراب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بعدم كون التيمّم رافعا مطلقا وإلّا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قلنا عدم مشروعية الوضوء لو تمكّن منه خاصّة إذا تيمّم بدلا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بلا خلاف فيه يعرف ؛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ينبغي له أن ينام وهو جنب؟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ذلك حتّى يتوضأ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ولا ينام إلّا على طهور فإن لم يجد الماء فليتيمّم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أراد النوم استحبّ له الوضوء كما دلّت عليه الصحيحة المذكورة ، ونصّ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يرتفع به الكراهة؟ ظاهر الصحيحة ذلك ، وعدّ في التذكرة </w:t>
      </w:r>
      <w:r>
        <w:rPr>
          <w:rStyle w:val="FootnoteAnchor"/>
          <w:rtl w:val="true"/>
        </w:rPr>
        <w:footnoteReference w:id="392"/>
      </w:r>
      <w:r>
        <w:rPr>
          <w:rFonts w:ascii="Amiri" w:hAnsi="Amiri" w:eastAsia="Amiri" w:cs="Amiri"/>
          <w:color w:val="111111"/>
          <w:sz w:val="28"/>
          <w:sz w:val="28"/>
          <w:szCs w:val="28"/>
          <w:rtl w:val="true"/>
          <w:lang w:bidi="ar-SA"/>
        </w:rPr>
        <w:t>من المكروهات النوم إلّا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علمائنا مؤذنا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إطلاق الخبر الأخير بقاءها لبقاء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ينام إلّا على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ارتفاع الكراهة بارتفاع </w:t>
      </w:r>
      <w:r>
        <w:rPr>
          <w:rStyle w:val="FootnoteAnchor"/>
          <w:rtl w:val="true"/>
        </w:rPr>
        <w:footnoteReference w:id="393"/>
      </w:r>
      <w:r>
        <w:rPr>
          <w:rFonts w:ascii="IRNazanin" w:hAnsi="IRNazanin" w:eastAsia="IRNazanin"/>
          <w:color w:val="111111"/>
          <w:sz w:val="28"/>
          <w:sz w:val="28"/>
          <w:szCs w:val="28"/>
          <w:rtl w:val="true"/>
          <w:lang w:bidi="fa-IR"/>
        </w:rPr>
        <w:t>إحدى الطهارات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حمله على بيان حكم آخر ، وهو استحباب النوم متطهّرا كما دلّت عليه المستفيضة ، ومرّت الإشارة إليه ، فيكون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المسلم مطلقا بل ربّما يقال بدلالته على كراهة النوم من غير طهارة ؛ أخذا بظاهر النهي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الظهور فيه إذن بمعنى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أيضا إرجاع الضمير إلى المسلم الجنب ، ويكون المقصود بيان كراهة نومه إلا بعد الاغتسال ؛ إذ هو طهور الجنب ، فالتيمّم المذكور بدله هو التيمّم عوض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فلا يقيّد ارتفاع الكراهة بمجرّد الوضوء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بعد إطلاق الطهور على وضوء الجنب لانتفاء الرفع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شبهة في رجحان الغسل قبل النوم للموثّق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Style w:val="FootnoteAnchor"/>
          <w:rtl w:val="true"/>
        </w:rPr>
        <w:footnoteReference w:id="394"/>
      </w:r>
      <w:r>
        <w:rPr>
          <w:rFonts w:ascii="Amiri" w:hAnsi="Amiri" w:eastAsia="Amiri" w:cs="Amiri"/>
          <w:color w:val="111111"/>
          <w:sz w:val="28"/>
          <w:sz w:val="28"/>
          <w:szCs w:val="28"/>
          <w:rtl w:val="true"/>
          <w:lang w:bidi="ar-SA"/>
        </w:rPr>
        <w:t xml:space="preserve">أحبّ أن يتوضّأ فليفعل والغسل أفضل من ذلك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يستفاد ذلك أيضا من صحيحة عبد الرحمن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أينام على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يتوفّى الأنفس </w:t>
      </w:r>
      <w:r>
        <w:rPr>
          <w:rStyle w:val="FootnoteAnchor"/>
          <w:rtl w:val="true"/>
        </w:rPr>
        <w:footnoteReference w:id="396"/>
      </w:r>
      <w:r>
        <w:rPr>
          <w:rFonts w:ascii="Amiri" w:hAnsi="Amiri" w:eastAsia="Amiri" w:cs="Amiri"/>
          <w:color w:val="111111"/>
          <w:sz w:val="28"/>
          <w:sz w:val="28"/>
          <w:szCs w:val="28"/>
          <w:rtl w:val="true"/>
          <w:lang w:bidi="ar-SA"/>
        </w:rPr>
        <w:t xml:space="preserve">في منامها ، فلا يدري ما يطرقه من البليّة إذا فرغ فليغتسل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يستفاد منه تعليل التعجيل باحتمال طروّ الموت على الجنابة ، فلا يكره لولاه كما بالنسبة إلى المعصومين حيث كانوا عالمين بوقت وفاتهم ، فلا يعارض الكراهة ، بل 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أنام على ذلك حتّى أصبح وذلك أني أريد أن أعود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بحمله على العود في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الحدائق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بأنّه لا دلالة في الصحيحة على ارتفاع الكراهة مع انتفاء احتمال الموت ، وقد دلّ غيره </w:t>
      </w:r>
      <w:r>
        <w:rPr>
          <w:rStyle w:val="FootnoteAnchor"/>
          <w:rtl w:val="true"/>
        </w:rPr>
        <w:footnoteReference w:id="400"/>
      </w:r>
      <w:r>
        <w:rPr>
          <w:rFonts w:ascii="Amiri" w:hAnsi="Amiri" w:eastAsia="Amiri" w:cs="Amiri"/>
          <w:color w:val="111111"/>
          <w:sz w:val="28"/>
          <w:sz w:val="28"/>
          <w:szCs w:val="28"/>
          <w:rtl w:val="true"/>
          <w:lang w:bidi="ar-SA"/>
        </w:rPr>
        <w:t>على ثبوت الكراهة مطلقا ، وحمل العود على العود في الانتباه بعيد جدا سيّما مع تعلّق الإرادة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المرسل استثناء النوم على الجنابة مع إرادة العود إلى الجماع ، ولدلالة </w:t>
      </w:r>
    </w:p>
    <w:p>
      <w:pPr>
        <w:pStyle w:val="BookText"/>
        <w:rPr/>
      </w:pPr>
      <w:r>
        <w:rPr>
          <w:rFonts w:ascii="Amiri" w:hAnsi="Amiri" w:eastAsia="Amiri" w:cs="Amiri"/>
          <w:color w:val="111111"/>
          <w:sz w:val="28"/>
          <w:sz w:val="28"/>
          <w:szCs w:val="28"/>
          <w:rtl w:val="true"/>
          <w:lang w:bidi="ar-SA"/>
        </w:rPr>
        <w:t>فعله عليه‌السلام على انتفاء الكراهة ، وهو غير 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فيها على عدم تقديمه الوضوء إلّا أن يستفاد ذلك من عدم ذكره مع تعليل الحكم بإرادة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ففيها دلالة على مدخليّة إرادة العود في النوم على الجنابة إلّا أنّ الرواية يشكل في تقييدها بسائر الإطلاقات ، وما دلّ على التسامح في أدلّة السّنن لا يشمل مثل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يذهب عليك أنّ في الصحيحة المذكورة إشارة إلى وجوب الغسل لنفسه إلّا أنّها ليست بتلك المكانة من الظهور ليمكن الاستناد إليها في مقابلة ما قدّمنا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اعتبار اتصال الوضوء بالنوم وعدم تخلّل الحدث بينهما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سوى العزائم الأربع ما زاد على سبع آيات على المشهور بين الأصحاب كما حكاه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القاضي </w:t>
      </w:r>
      <w:r>
        <w:rPr>
          <w:rStyle w:val="FootnoteAnchor"/>
          <w:rtl w:val="true"/>
        </w:rPr>
        <w:footnoteReference w:id="401"/>
      </w:r>
      <w:r>
        <w:rPr>
          <w:rFonts w:ascii="Amiri" w:hAnsi="Amiri" w:eastAsia="Amiri" w:cs="Amiri"/>
          <w:color w:val="111111"/>
          <w:sz w:val="28"/>
          <w:sz w:val="28"/>
          <w:szCs w:val="28"/>
          <w:rtl w:val="true"/>
          <w:lang w:bidi="ar-SA"/>
        </w:rPr>
        <w:t>المنع منها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الديلمي المنع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السرائر </w:t>
      </w:r>
      <w:r>
        <w:rPr>
          <w:rStyle w:val="FootnoteAnchor"/>
          <w:rtl w:val="true"/>
        </w:rPr>
        <w:footnoteReference w:id="402"/>
      </w:r>
      <w:r>
        <w:rPr>
          <w:rStyle w:val="FootnoteAnchor"/>
          <w:rtl w:val="true"/>
        </w:rPr>
        <w:footnoteReference w:id="403"/>
      </w:r>
      <w:r>
        <w:rPr>
          <w:rFonts w:ascii="Amiri" w:hAnsi="Amiri" w:eastAsia="Amiri" w:cs="Amiri"/>
          <w:color w:val="111111"/>
          <w:sz w:val="28"/>
          <w:sz w:val="28"/>
          <w:szCs w:val="28"/>
          <w:rtl w:val="true"/>
          <w:lang w:bidi="ar-SA"/>
        </w:rPr>
        <w:t>عن بعض علمائنا القول بتحريم ما زاد على السبعين ، واستضعفه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جواز القراءة </w:t>
      </w:r>
      <w:r>
        <w:rPr>
          <w:rStyle w:val="FootnoteAnchor"/>
          <w:rtl w:val="true"/>
        </w:rPr>
        <w:footnoteReference w:id="404"/>
      </w:r>
      <w:r>
        <w:rPr>
          <w:rFonts w:ascii="Amiri" w:hAnsi="Amiri" w:eastAsia="Amiri" w:cs="Amiri"/>
          <w:color w:val="111111"/>
          <w:sz w:val="28"/>
          <w:sz w:val="28"/>
          <w:szCs w:val="28"/>
          <w:rtl w:val="true"/>
          <w:lang w:bidi="ar-SA"/>
        </w:rPr>
        <w:t xml:space="preserve">مطلقا ؛ للمعتبرة المستفيضة الدالّة عليه كصحيحة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والحائض هل يقرءان من القرآن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شاء إلّا السجدة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النفساء والجنب والحائض والرجل يتغوّط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يقرءون ما شاءوا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في خبر السكوني </w:t>
      </w:r>
      <w:r>
        <w:rPr>
          <w:rStyle w:val="FootnoteAnchor"/>
          <w:rtl w:val="true"/>
        </w:rPr>
        <w:footnoteReference w:id="4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يقرءون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الجنب ، وخبر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روايات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صلى‌اللّه‌عليه‌وآله لعلي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في الفراش مع امرءته فلا يقرء القرآن ،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أن تنزل عليهما نار من السماء فتحرقهما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وكأنّهما مستند الديلمي ، فمع عدم حجيّتهما في نفسهما لا تقاومان تلك المعتبرة المعتضدة بالأصل والعمل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حملها على الكراهة ، وكذا الحال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هل يقرء القرآن؟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بينه وبين سبع آيات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زرعة ،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آية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الأول مستند القاضي ، 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مستند الأكثر في الحكم بكراهة ما زاد على السبع ، ولا بأس به لعدم صراحة الخبر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الأخبار الأخر يتعيّن حملها على الكراهة إلّا أنّه يحتمل حملها على الثلاثة ؛ إذ القول بالمنع مطلقا أو على تفصيل معروف بين العامة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منهم الحكم بالكراهة مضافا إلى عدم إشعار المعتبرة المذكورة بالكراهة ، بل قد يستظهر من سياق جملة منها ، فبملاحظة ذلك يمكن المناقشة في ثبوت الكراهة إلّا أن البناء عليها أظهر بعد ظهور الموثقة المذكورة فيها المعتضدة بعمل الأصحاب وعدم صراحة غيرها بخلافها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المستفاد من ظاهر الموثقة الحكم بكراهة السبع أيضا ، وهناك تأمّل آخر من جهة اختلاف لفظ الرواية ؛ إذ في رواية عثمان بن عيسى عن سماعة حكاية السبعة ، وفي رواية زرعة عنه ذكر السبعين ، وكونهما روايتين خلاف الظاهر ؛ إذ الأظهر اتحادهما ، فالاختلاف إنّما يكون من جهة الرواة وكأنّه لذلك ورد الترديد في الحكم بالكراهة بين السبعة والسبعين في كلام بعض الأصحاب إشارة إلى اختلاف لفظ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الفاضلان بكراهة ما زاد على السبعة وتأكدها فيما بعد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تعدد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للكراهة بما ورد من النهي عن قراءته حتّى يتطهّر كقول على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يقرأ العبد القرآن إذا كان على غير طهور حتّى يتطهّر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لا يبعد القول بإطلاق الكراهة ، وحمل ما دلّ على جواز ما دون السبع على الرخصة وتخفيف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ظاهر الرواية المذكورة وغيرها جريان الحكم في المحدث بالأصغر ولم يظهر هناك قول بالتفصيل يعدّ مذهبا أولى إلّا أن يستشكل هناك في ثبوت الكراهة ويدفع ممّا ذكرناه ، ولا بعد فيه بعد ورود الدليل ومناسبته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لقاري القرآن متطهّرا في غير صلاة خمس وعشرون حسنة وغير متطهّر عشر حسنات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فرق بين قراءته عن المصحف أو عن الحفظ ولا بين الآيات القصار والطوال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الآية المتكررة سبعا فما زاد إشكال ، وكذا الحال لو زاد على السبع بتكرار بعضها ، ولو لم يتمّ الآيات ففي ثبوت الكراهة أيضا إشكال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فيه مراعاة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مراعاة العدد في مجموع زمان الجنابة ، فلا يشترط توالي السبع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يعتبر كون القراءة صحيحة ، فلو ظنّ في إعرابها لم يثبت الكراهة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الأظهر خلافه بعد صدق اسم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المصحف فيما عدا الكتابة من الأوراق والجلد ، على ما نصّ عليه الشيخان </w:t>
      </w:r>
      <w:r>
        <w:rPr>
          <w:rStyle w:val="FootnoteAnchor"/>
          <w:rtl w:val="true"/>
        </w:rPr>
        <w:footnoteReference w:id="414"/>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القول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عبارة الفقيه </w:t>
      </w:r>
      <w:r>
        <w:rPr>
          <w:rStyle w:val="FootnoteAnchor"/>
          <w:rtl w:val="true"/>
        </w:rPr>
        <w:footnoteReference w:id="415"/>
      </w:r>
      <w:r>
        <w:rPr>
          <w:rFonts w:ascii="Amiri" w:hAnsi="Amiri" w:eastAsia="Amiri" w:cs="Amiri"/>
          <w:color w:val="111111"/>
          <w:sz w:val="28"/>
          <w:sz w:val="28"/>
          <w:szCs w:val="28"/>
          <w:rtl w:val="true"/>
          <w:lang w:bidi="ar-SA"/>
        </w:rPr>
        <w:t>عدم كراهة مس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الحكم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لا تمسّه على غير طهر ولا جنبا ولا تمسّ خطّه ولا تعلّقه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كانت ظاهرة في المنع إلّا أنّها لضعفها وإطباق الأصحاب سوى الشاذ على خلافه لا ينهض حجّة على المنع ، فيثبت بها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تأمّل في دلالتها ؛ نظرا إلى احتمال حمل مسّ المصحف على مسّ الكتابة إلّا أنّ الأظهر صدقه على الأوراق المتضامّة بالدفتين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فيعمّ الكراهة مسّ الجميع إلّا أنّ الكراهة منوطة بالاتصال بالكتابة ، فلو انفصل عند الجلد لم يكره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النهي عن مسّ خطّه وتعليقه يدلّ عليه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كون خطّه مصحفا عن خطّه كما في بعض النسخ ، ففيه شهادة بكون خطّ المصحف أعمّ منه وإلّا لكان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هذه الرواية دلالة على كراهة مسّ المحدث بالأصغر وتعليقه ، وهو غير معروف بين الأصحاب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الكراهة في المقام ما في الصحيح من أنّ الجنب والحائض يفتحان المصحف </w:t>
      </w:r>
    </w:p>
    <w:p>
      <w:pPr>
        <w:pStyle w:val="BookText"/>
        <w:rPr/>
      </w:pP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اعتضاده بما دلّ على تعظيم الشعائر وتأيّده بفتوى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الكتب السماويّة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الشهيد ولم نجد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لقضية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التسرية إلى الأدعية المأثورة كالصحيفة السجاديّة بل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القرآن ؛ لصحيحة عليّ بن جعفر المتقدّمة في الوضوء بعد حملها على الكراهة لعدم قائل بمضمونها ، وعدم صراحتها إلى </w:t>
      </w:r>
      <w:r>
        <w:rPr>
          <w:rStyle w:val="FootnoteAnchor"/>
          <w:rtl w:val="true"/>
        </w:rPr>
        <w:footnoteReference w:id="418"/>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إلحاق كتابة الأدعية المأثورة به ، وكذا الاخبار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عنده ، كما في التذكرة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عليه الشهرة في كلام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نصّ الشيخان </w:t>
      </w:r>
      <w:r>
        <w:rPr>
          <w:rStyle w:val="FootnoteAnchor"/>
          <w:rtl w:val="true"/>
        </w:rPr>
        <w:footnoteReference w:id="420"/>
      </w:r>
      <w:r>
        <w:rPr>
          <w:rFonts w:ascii="Amiri" w:hAnsi="Amiri" w:eastAsia="Amiri" w:cs="Amiri"/>
          <w:color w:val="111111"/>
          <w:sz w:val="28"/>
          <w:sz w:val="28"/>
          <w:szCs w:val="28"/>
          <w:rtl w:val="true"/>
          <w:lang w:bidi="ar-SA"/>
        </w:rPr>
        <w:t xml:space="preserve">والسيد والفاضلان </w:t>
      </w:r>
      <w:r>
        <w:rPr>
          <w:rStyle w:val="FootnoteAnchor"/>
          <w:rtl w:val="true"/>
        </w:rPr>
        <w:footnoteReference w:id="421"/>
      </w:r>
      <w:r>
        <w:rPr>
          <w:rFonts w:ascii="Amiri" w:hAnsi="Amiri" w:eastAsia="Amiri" w:cs="Amiri"/>
          <w:color w:val="111111"/>
          <w:sz w:val="28"/>
          <w:sz w:val="28"/>
          <w:szCs w:val="28"/>
          <w:rtl w:val="true"/>
          <w:lang w:bidi="ar-SA"/>
        </w:rPr>
        <w:t xml:space="preserve">وغيرهم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يكره الجنابة وهو مختضب للنصوص المستفيضة الدالّة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بعد النهي عن الأمرين إجراء الحكم في الطامث ، التعليل بأنّ الشيطان يحضرهما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اختضب وهو جنب أو أجنب في خضابه لم يؤمن عليه أن يصيبه الشيطان بسوء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 واحد من الأخبار نفي البأس عنه محمول على انتفاء الحرمة ، فلا يدلّ على انتفاء الكراهة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يستثنى من الأخير ما إذا تمّ لون الخضاب وأخذ مأخذه ؛ لرواية أبي سعيد النهي عن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أدلك على شي‌ء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اختضبت بالحناء وأخذ </w:t>
      </w:r>
    </w:p>
    <w:p>
      <w:pPr>
        <w:pStyle w:val="BookText"/>
        <w:rPr/>
      </w:pPr>
      <w:r>
        <w:rPr>
          <w:rFonts w:ascii="Amiri" w:hAnsi="Amiri" w:eastAsia="Amiri" w:cs="Amiri"/>
          <w:color w:val="111111"/>
          <w:sz w:val="28"/>
          <w:sz w:val="28"/>
          <w:szCs w:val="28"/>
          <w:rtl w:val="true"/>
          <w:lang w:bidi="ar-SA"/>
        </w:rPr>
        <w:t xml:space="preserve">الحناء مأخذه وبلغ فحينئذ فجامع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مع تسرية الحكم إلى غير الحنّاء ؛ أخذا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تعليل الحكم بمنع الخضاب من وصول الماء إلى ظاهر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مقصوده منعه من استيلاء الماء تامّا على العضو لبقاء أجزاء منه في المحلّ كما هو معلوم بالتجربة وإن قلنا بجواز حصول اللون من دون الانتقال </w:t>
      </w:r>
      <w:r>
        <w:rPr>
          <w:rStyle w:val="FootnoteAnchor"/>
          <w:rtl w:val="true"/>
        </w:rPr>
        <w:footnoteReference w:id="425"/>
      </w:r>
      <w:r>
        <w:rPr>
          <w:rFonts w:ascii="IRNazanin" w:hAnsi="IRNazanin" w:eastAsia="IRNazanin"/>
          <w:color w:val="111111"/>
          <w:sz w:val="28"/>
          <w:sz w:val="28"/>
          <w:szCs w:val="28"/>
          <w:rtl w:val="true"/>
          <w:lang w:bidi="fa-IR"/>
        </w:rPr>
        <w:t xml:space="preserve">أو قلنا بجواز الانتقال </w:t>
      </w:r>
      <w:r>
        <w:rPr>
          <w:rStyle w:val="FootnoteAnchor"/>
          <w:rtl w:val="true"/>
        </w:rPr>
        <w:footnoteReference w:id="426"/>
      </w:r>
      <w:r>
        <w:rPr>
          <w:rFonts w:ascii="Amiri" w:hAnsi="Amiri" w:eastAsia="Amiri" w:cs="Amiri"/>
          <w:color w:val="111111"/>
          <w:sz w:val="28"/>
          <w:sz w:val="28"/>
          <w:szCs w:val="28"/>
          <w:rtl w:val="true"/>
          <w:lang w:bidi="ar-SA"/>
        </w:rPr>
        <w:t>في الإعراض إلّا أنّه يرد عليه لزوم القول ببقاء الكراهة بعد غسل الخضاب أيضا ؛ لبقاء تلك الأجزاء ،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الإطلاقات عدم الفرق بين كون الخضاب على الشعر أو الجسد وكونه بحناء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 للنهي عنه في خبر السكوني ، وفي خبر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يدهن ثمّ يغتسل؟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الحامل ؛ لما دلّ على كراهة وطيها من غير وضوء الشامل لحال الجنابة وإن حمل الوضوء فيها على ما يعمّ غير الرافع ارتفعت الكراهة بالوضوء ، وإلّا استمرّ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المحتلم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الشهيد </w:t>
      </w:r>
      <w:r>
        <w:rPr>
          <w:rStyle w:val="FootnoteAnchor"/>
          <w:rtl w:val="true"/>
        </w:rPr>
        <w:footnoteReference w:id="428"/>
      </w:r>
      <w:r>
        <w:rPr>
          <w:rFonts w:ascii="IRNazanin" w:hAnsi="IRNazanin" w:eastAsia="IRNazanin"/>
          <w:color w:val="111111"/>
          <w:sz w:val="28"/>
          <w:sz w:val="28"/>
          <w:szCs w:val="28"/>
          <w:rtl w:val="true"/>
          <w:lang w:bidi="fa-IR"/>
        </w:rPr>
        <w:t>، ولم نجد مستنده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المساجد غير المسجدين من غير 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الشهيد وغيره لمّا وصّاه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كرّه لأمّتي العبث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وإتيان </w:t>
      </w:r>
      <w:r>
        <w:rPr>
          <w:rStyle w:val="FootnoteAnchor"/>
          <w:rtl w:val="true"/>
        </w:rPr>
        <w:footnoteReference w:id="429"/>
      </w:r>
      <w:r>
        <w:rPr>
          <w:rFonts w:ascii="IRNazanin" w:hAnsi="IRNazanin" w:eastAsia="IRNazanin"/>
          <w:color w:val="111111"/>
          <w:sz w:val="28"/>
          <w:sz w:val="28"/>
          <w:szCs w:val="28"/>
          <w:rtl w:val="true"/>
          <w:lang w:bidi="fa-IR"/>
        </w:rPr>
        <w:t xml:space="preserve">المساجد جنبا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431"/>
      </w:r>
      <w:r>
        <w:rPr>
          <w:rFonts w:ascii="Amiri" w:hAnsi="Amiri" w:eastAsia="Amiri" w:cs="Amiri"/>
          <w:color w:val="111111"/>
          <w:sz w:val="28"/>
          <w:sz w:val="28"/>
          <w:szCs w:val="28"/>
          <w:rtl w:val="true"/>
          <w:lang w:bidi="ar-SA"/>
        </w:rPr>
        <w:t>عدّه من الخصال الّتي كرهها اللّه للنبيّ صلى‌اللّه‌عليه‌وآله وكرهها النبيّ للأوصياء من ولده وأتباعهم من بعده ، وقد يحمل الكراهة على الحرمة لحرمة اللبث وكون الإتيان مستلزما له في الغالب ، فيقيّد بما دلّ على اختصاصه باللبث بالنسبة إلى سائر المساجد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المشاهد المشرّفة لغير الأنبياء والأئمّة عليهم‌السلام كحضرة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واللبث على ما مرّت الإشارة</w:t>
      </w:r>
      <w:r>
        <w:rPr>
          <w:rFonts w:eastAsia="Amiri" w:cs="Amiri" w:ascii="Amiri" w:hAnsi="Amiri"/>
          <w:color w:val="111111"/>
          <w:sz w:val="28"/>
          <w:szCs w:val="28"/>
          <w:rtl w:val="true"/>
          <w:lang w:bidi="ar-SA"/>
        </w:rPr>
        <w:t xml:space="preserve">. </w:t>
      </w:r>
      <w:bookmarkStart w:id="143" w:name="pg15839_360710"/>
    </w:p>
    <w:p>
      <w:pPr>
        <w:pStyle w:val="Heading4"/>
        <w:numPr>
          <w:ilvl w:val="3"/>
          <w:numId w:val="1"/>
        </w:numPr>
        <w:rPr/>
      </w:pPr>
      <w:bookmarkStart w:id="144" w:name="__RefHeading___Toc14338403_2142443653"/>
      <w:bookmarkStart w:id="145" w:name="_Toc54"/>
      <w:bookmarkEnd w:id="143"/>
      <w:bookmarkEnd w:id="144"/>
      <w:r>
        <w:rPr>
          <w:rtl w:val="true"/>
        </w:rPr>
        <w:t>البحث الثالث</w:t>
      </w:r>
      <w:r>
        <w:rPr>
          <w:rtl w:val="true"/>
        </w:rPr>
        <w:t xml:space="preserve">: </w:t>
      </w:r>
      <w:r>
        <w:rPr>
          <w:rtl w:val="true"/>
        </w:rPr>
        <w:t>في بيان كيفية غسل الجنابة من واجباتها ومندوبها وما يتعلّق بها</w:t>
      </w:r>
      <w:bookmarkEnd w:id="145"/>
    </w:p>
    <w:p>
      <w:pPr>
        <w:pStyle w:val="Heading5"/>
        <w:numPr>
          <w:ilvl w:val="4"/>
          <w:numId w:val="1"/>
        </w:numPr>
        <w:rPr/>
      </w:pPr>
      <w:bookmarkStart w:id="146" w:name="__RefHeading___Toc14338405_2142443653"/>
      <w:bookmarkStart w:id="147" w:name="_Toc55"/>
      <w:bookmarkEnd w:id="146"/>
      <w:r>
        <w:rPr>
          <w:rtl w:val="true"/>
        </w:rPr>
        <w:t>تبصرة</w:t>
      </w:r>
      <w:r>
        <w:rPr>
          <w:rtl w:val="true"/>
        </w:rPr>
        <w:t xml:space="preserve">: [ </w:t>
      </w:r>
      <w:r>
        <w:rPr>
          <w:rtl w:val="true"/>
        </w:rPr>
        <w:t xml:space="preserve">في كيفية الغسل </w:t>
      </w:r>
      <w:r>
        <w:rPr>
          <w:rtl w:val="true"/>
        </w:rPr>
        <w:t>]</w:t>
      </w:r>
      <w:bookmarkEnd w:id="147"/>
    </w:p>
    <w:p>
      <w:pPr>
        <w:pStyle w:val="BookText"/>
        <w:rPr/>
      </w:pPr>
      <w:r>
        <w:rPr>
          <w:rFonts w:ascii="Amiri" w:hAnsi="Amiri" w:eastAsia="Amiri" w:cs="Amiri"/>
          <w:color w:val="111111"/>
          <w:sz w:val="28"/>
          <w:sz w:val="28"/>
          <w:szCs w:val="28"/>
          <w:rtl w:val="true"/>
          <w:lang w:bidi="ar-SA"/>
        </w:rPr>
        <w:t xml:space="preserve">للغسل في الشرع كيفيّتان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 وغسل كلّ من الرأس والجانبين مستوعبا للجميع بلا خلاف فيه ، مراعيا للترتيب من تقديم الرأس على اليمين وتقديمها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فموضع وفاق بين الطائفة ، وقد حكي الإجماع عليه في كلام جماعة من الأجلّة ، واستفاض به الأخبار المأثورة عن العترة الطاهرة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صبّ على رأسه ثلاث أكف ثمّ صبّ على منكبه الأيمن </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تصبّ على رأسك ثلاث أكف ثمّ تصب على سائر جسدك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الموقوفة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أبدأ بالرأس ثمّ افض على سائر جسدك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أسنده الصدوق إلى الصادق عليه‌السلام في كتاب مدينة العلم كما ذكره في الذكرى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يعزى هنا إلى الصدوقين والإسكافي القول بعدم وجوب الترتيب ، وليس ثبت بل </w:t>
      </w:r>
    </w:p>
    <w:p>
      <w:pPr>
        <w:pStyle w:val="BookText"/>
        <w:rPr/>
      </w:pPr>
      <w:r>
        <w:rPr>
          <w:rFonts w:ascii="Amiri" w:hAnsi="Amiri" w:eastAsia="Amiri" w:cs="Amiri"/>
          <w:color w:val="111111"/>
          <w:sz w:val="28"/>
          <w:sz w:val="28"/>
          <w:szCs w:val="28"/>
          <w:rtl w:val="true"/>
          <w:lang w:bidi="ar-SA"/>
        </w:rPr>
        <w:t xml:space="preserve">صريح ما نقله الصدوق في الهداية </w:t>
      </w:r>
      <w:r>
        <w:rPr>
          <w:rStyle w:val="FootnoteAnchor"/>
          <w:rtl w:val="true"/>
        </w:rPr>
        <w:footnoteReference w:id="435"/>
      </w:r>
      <w:r>
        <w:rPr>
          <w:rFonts w:ascii="IRNazanin" w:hAnsi="IRNazanin" w:eastAsia="IRNazanin"/>
          <w:color w:val="111111"/>
          <w:sz w:val="28"/>
          <w:sz w:val="28"/>
          <w:szCs w:val="28"/>
          <w:rtl w:val="true"/>
          <w:lang w:bidi="fa-IR"/>
        </w:rPr>
        <w:t xml:space="preserve">عن والده وجوب </w:t>
      </w:r>
      <w:r>
        <w:rPr>
          <w:rStyle w:val="FootnoteAnchor"/>
          <w:rtl w:val="true"/>
        </w:rPr>
        <w:footnoteReference w:id="436"/>
      </w:r>
      <w:r>
        <w:rPr>
          <w:rFonts w:ascii="Amiri" w:hAnsi="Amiri" w:eastAsia="Amiri" w:cs="Amiri"/>
          <w:color w:val="111111"/>
          <w:sz w:val="28"/>
          <w:sz w:val="28"/>
          <w:szCs w:val="28"/>
          <w:rtl w:val="true"/>
          <w:lang w:bidi="ar-SA"/>
        </w:rPr>
        <w:t xml:space="preserve">الترتيب بينهما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بدأت بغسل جسدك قبل الرأس فأعد الغسل على جسدك بعد غسل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عدم مخالفة ولده له كما هو دأبه عند نقل كلامه ، وهناك روايات مستفيضة يستفاد من إطلاقها عدم وجوب الترتيب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الأخبار المقيّدة كما هو قضية القاعدة ، مضافا إلى ما عرفت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الرقبة هنا في الرأس بلا خلاف فيه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إجماعهم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المعلوم من ملاحظة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إشارة إليه كصحيحة زرارة المتقدّمة ؛ فإنّ ذكر غسل المنكبين بعد ذكر الرأس دليل على دخول الرقبة فيه ؛ لعدم اندراجه في المنكبين الحدم </w:t>
      </w:r>
      <w:r>
        <w:rPr>
          <w:rStyle w:val="FootnoteAnchor"/>
          <w:rtl w:val="true"/>
        </w:rPr>
        <w:footnoteReference w:id="437"/>
      </w:r>
      <w:r>
        <w:rPr>
          <w:rFonts w:ascii="IRNazanin" w:hAnsi="IRNazanin" w:eastAsia="IRNazanin"/>
          <w:color w:val="111111"/>
          <w:sz w:val="28"/>
          <w:sz w:val="28"/>
          <w:szCs w:val="28"/>
          <w:rtl w:val="true"/>
          <w:lang w:bidi="fa-IR"/>
        </w:rPr>
        <w:t>قطعا ، وعدم سقوط غسله أو احتسابه عضوا واحدا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ليصبّ على رأسه ثلاث مرات ملأ كفّيه ، ثمّ ليضرب بكفّ من ماء على صدره وكفّ بين كتفيه ، ثمّ يفيض الماء على جسده كلّه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جماعة من المتأخرين منهم صاحب الذخيرة </w:t>
      </w:r>
      <w:r>
        <w:rPr>
          <w:rStyle w:val="FootnoteAnchor"/>
          <w:rtl w:val="true"/>
        </w:rPr>
        <w:footnoteReference w:id="439"/>
      </w:r>
      <w:r>
        <w:rPr>
          <w:rFonts w:ascii="Amiri" w:hAnsi="Amiri" w:eastAsia="Amiri" w:cs="Amiri"/>
          <w:color w:val="111111"/>
          <w:sz w:val="28"/>
          <w:sz w:val="28"/>
          <w:szCs w:val="28"/>
          <w:rtl w:val="true"/>
          <w:lang w:bidi="ar-SA"/>
        </w:rPr>
        <w:t>بل مال بعضهم إلى خروجها عنه ؛ لفقد النصّ الدالّ على الدخول وخروجها عن اسم الرأس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عليه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يصبّ الماء على رأسه وعلى وجهه وعلى جسده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لقضاء العطف بخروج الوجه عن الرأس ، فخروج الرقبة أولى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وضعفه ظاهر ؛ إذ دخول الوجه </w:t>
      </w:r>
      <w:r>
        <w:rPr>
          <w:rStyle w:val="FootnoteAnchor"/>
          <w:rtl w:val="true"/>
        </w:rPr>
        <w:footnoteReference w:id="440"/>
      </w:r>
      <w:r>
        <w:rPr>
          <w:rFonts w:ascii="Amiri" w:hAnsi="Amiri" w:eastAsia="Amiri" w:cs="Amiri"/>
          <w:color w:val="111111"/>
          <w:sz w:val="28"/>
          <w:sz w:val="28"/>
          <w:szCs w:val="28"/>
          <w:rtl w:val="true"/>
          <w:lang w:bidi="ar-SA"/>
        </w:rPr>
        <w:t>ممّا لا كلام فيه ، فكيف يستدلّ بمفهومه مع عدم البناء على المنطوق لو سلّمت دلالته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كلام غير واحد من الأفاضل أنّه لا ثمرة لهذا الخلاف بعد تصريح الأصحاب بل اتفاقهم على غسلها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الترتيب بين اليمين والشمال فهو المعروف بين الطائفة ، بل اتّفقت عليه الكلمة سوى ما حكي عن الصدوقين والإسكافي من خلوّ كلماتهم عن اعتبار الشرط المذكور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حكي عليه 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w:t>
      </w:r>
      <w:r>
        <w:rPr>
          <w:rStyle w:val="FootnoteAnchor"/>
          <w:rtl w:val="true"/>
        </w:rPr>
        <w:footnoteReference w:id="442"/>
      </w:r>
      <w:r>
        <w:rPr>
          <w:rFonts w:ascii="Amiri" w:hAnsi="Amiri" w:eastAsia="Amiri" w:cs="Amiri"/>
          <w:color w:val="111111"/>
          <w:sz w:val="28"/>
          <w:sz w:val="28"/>
          <w:szCs w:val="28"/>
          <w:rtl w:val="true"/>
          <w:lang w:bidi="ar-SA"/>
        </w:rPr>
        <w:t>جماعة من المتأخرين ؛ لخلوّ الأخبار عن اعتبار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استشكل فيه المحقق في المعتبر </w:t>
      </w:r>
      <w:r>
        <w:rPr>
          <w:rStyle w:val="FootnoteAnchor"/>
          <w:rtl w:val="true"/>
        </w:rPr>
        <w:footnoteReference w:id="443"/>
      </w:r>
      <w:r>
        <w:rPr>
          <w:rFonts w:ascii="Amiri" w:hAnsi="Amiri" w:eastAsia="Amiri" w:cs="Amiri"/>
          <w:color w:val="111111"/>
          <w:sz w:val="28"/>
          <w:sz w:val="28"/>
          <w:szCs w:val="28"/>
          <w:rtl w:val="true"/>
          <w:lang w:bidi="ar-SA"/>
        </w:rPr>
        <w:t xml:space="preserve">حيث ذكر أنّ تقديم الرأس على الجسد ممّا دلّت عليه الأخبار بخلاف تقديم اليمين على الشمال ؛ فإنّها غير صريحة فيه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فقهاءنا اليوم بأجمعهم يفتون بتقديم اليمين على الشمال ويجعلونه شرطا في صحّة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بذلك الثلاثة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والاحتياط من جهة ضعف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بإعراض الأصحاب عن العمل بها قضيّة اليقين بالشغل اليقين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صبّ على منكبه الأيمن مرّتين وعلى منكبه الأيسر مرّتين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الخبر ، لو قيل بدلالة الواو على الترتيب كما نصّ عليه بعض أعاظم أهل العربيّة أو استفادته من الترتيب في الذكر أو يقال بأن قضية الأمر وجوب الغسل كذلك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ذلك إجماعا إلّا مع اعتبار الترتيب ، والأخبار الكثيرة الدالّة على اعتبار الترتيب بين اليمين والشمال في غسل الميّت ، مع ما دلّ على أن غسل الميّت هو غسل الجنابة لخروج النطفة منه كما يدلّ عليه المستفيضة أو أنّه كغسل الجنابة كما في رواية محمّد بن مسلم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كغسل الجنابة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 خلو الأخبار عن التصريح وضوح الحال فيه من جريان السيرة وبناء العمل عليه كما هو المعلوم في هذا الزمان ، بل وسائر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الاكتفاء في إثبات ذلك بالسيرة المعلومة المستمرة الكاشفة عن قول الأئمّة عليهم‌السلام أو تقريرهم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من أشدّ ما أعلم </w:t>
      </w:r>
      <w:r>
        <w:rPr>
          <w:rStyle w:val="FootnoteAnchor"/>
          <w:rtl w:val="true"/>
        </w:rPr>
        <w:footnoteReference w:id="447"/>
      </w:r>
      <w:r>
        <w:rPr>
          <w:rFonts w:ascii="Amiri" w:hAnsi="Amiri" w:eastAsia="Amiri" w:cs="Amiri"/>
          <w:color w:val="111111"/>
          <w:sz w:val="28"/>
          <w:sz w:val="28"/>
          <w:szCs w:val="28"/>
          <w:rtl w:val="true"/>
          <w:lang w:bidi="ar-SA"/>
        </w:rPr>
        <w:t>به البليّة ، ولا يمكن أن يخفى الحكم في مثله على آحاد الطائفة ، فكيف بالعلماء الأجلّة من لدن أعصار الأئمّة عليهم‌السلام إلى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العورة لمّا كانت عضوا مستقلا واقعا على الحدّ المشترك بين العضوين وقع التأمل في الاكتفاء بغسله مرّة واحدة مع أحد الجانبين أو لزوم </w:t>
      </w:r>
      <w:r>
        <w:rPr>
          <w:rStyle w:val="FootnoteAnchor"/>
          <w:rtl w:val="true"/>
        </w:rPr>
        <w:footnoteReference w:id="448"/>
      </w:r>
      <w:r>
        <w:rPr>
          <w:rFonts w:ascii="Amiri" w:hAnsi="Amiri" w:eastAsia="Amiri" w:cs="Amiri"/>
          <w:color w:val="111111"/>
          <w:sz w:val="28"/>
          <w:sz w:val="28"/>
          <w:szCs w:val="28"/>
          <w:rtl w:val="true"/>
          <w:lang w:bidi="ar-SA"/>
        </w:rPr>
        <w:t>تكرير غسله مع الجنبين ، فعن جماعة استظهار الأوّل ، وعن بعضهم البناء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في النظر الاكتفاء بغسله مرّة في اليمين مبتدأ من جانب اليمين منتهيا إلى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قويا في البيضتين إلحاق ما في طرف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جانب اليسار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فيهما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ذلك أولى من غسلها مع الجنبين ، بل تكرار غسلها لا يخلو عن الإشكال ؛ إذ من الظاهر عدم وجوبه في أصل الشرع والإتيان به من باب المقدمة مع انتفاء طريق آخر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معه فلا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ويجب إدخال حدود كلّ من الثلاثة في الآخر من باب المقدّمة على نحو ما مرّ في الوضوء ، فلا بدّ من تكرار الفصول الثلاثة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يكتفى في الفصل بين الرأس واليمين وبينها وبين اليسار بإيصال آخر الأول بأوّل </w:t>
      </w:r>
    </w:p>
    <w:p>
      <w:pPr>
        <w:pStyle w:val="BookText"/>
        <w:rPr/>
      </w:pPr>
      <w:r>
        <w:rPr>
          <w:rFonts w:ascii="IRNazanin" w:hAnsi="IRNazanin" w:eastAsia="IRNazanin"/>
          <w:color w:val="111111"/>
          <w:sz w:val="28"/>
          <w:sz w:val="28"/>
          <w:szCs w:val="28"/>
          <w:rtl w:val="true"/>
          <w:lang w:bidi="fa-IR"/>
        </w:rPr>
        <w:t xml:space="preserve">الآخر </w:t>
      </w:r>
      <w:r>
        <w:rPr>
          <w:rStyle w:val="FootnoteAnchor"/>
          <w:rtl w:val="true"/>
        </w:rPr>
        <w:footnoteReference w:id="449"/>
      </w:r>
      <w:r>
        <w:rPr>
          <w:rFonts w:ascii="Amiri" w:hAnsi="Amiri" w:eastAsia="Amiri" w:cs="Amiri"/>
          <w:color w:val="111111"/>
          <w:sz w:val="28"/>
          <w:sz w:val="28"/>
          <w:szCs w:val="28"/>
          <w:rtl w:val="true"/>
          <w:lang w:bidi="ar-SA"/>
        </w:rPr>
        <w:t>إن أمكن حصول العلم به كذلك ، ويكتفى في حصول الغسل بأقلّ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الاكتفاء بالمسح في غسل الجانبين عند قلّة الماء ، وهو متروك أو محمول على الغسل الخفيف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كون الغسل بالصبّ أو به أو </w:t>
      </w:r>
      <w:r>
        <w:rPr>
          <w:rStyle w:val="FootnoteAnchor"/>
          <w:rtl w:val="true"/>
        </w:rPr>
        <w:footnoteReference w:id="450"/>
      </w:r>
      <w:r>
        <w:rPr>
          <w:rFonts w:ascii="Amiri" w:hAnsi="Amiri" w:eastAsia="Amiri" w:cs="Amiri"/>
          <w:color w:val="111111"/>
          <w:sz w:val="28"/>
          <w:sz w:val="28"/>
          <w:szCs w:val="28"/>
          <w:rtl w:val="true"/>
          <w:lang w:bidi="ar-SA"/>
        </w:rPr>
        <w:t xml:space="preserve">بإمرار اليد أو غيرها أو بالدخول في الماء أو بالخروج عنه أو بالكون تحت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وجوه الغسل كما مرّ القول فيه في الوضوء</w:t>
      </w:r>
      <w:r>
        <w:rPr>
          <w:rFonts w:eastAsia="Amiri" w:cs="Amiri" w:ascii="Amiri" w:hAnsi="Amiri"/>
          <w:color w:val="111111"/>
          <w:sz w:val="28"/>
          <w:szCs w:val="28"/>
          <w:rtl w:val="true"/>
          <w:lang w:bidi="ar-SA"/>
        </w:rPr>
        <w:t xml:space="preserve">. </w:t>
      </w:r>
      <w:bookmarkStart w:id="148" w:name="pg15839_360715"/>
    </w:p>
    <w:p>
      <w:pPr>
        <w:pStyle w:val="Heading5"/>
        <w:numPr>
          <w:ilvl w:val="4"/>
          <w:numId w:val="1"/>
        </w:numPr>
        <w:rPr/>
      </w:pPr>
      <w:bookmarkStart w:id="149" w:name="__RefHeading___Toc14338407_2142443653"/>
      <w:bookmarkStart w:id="150" w:name="_Toc56"/>
      <w:bookmarkEnd w:id="148"/>
      <w:bookmarkEnd w:id="149"/>
      <w:r>
        <w:rPr>
          <w:rtl w:val="true"/>
        </w:rPr>
        <w:t>تبصرة</w:t>
      </w:r>
      <w:r>
        <w:rPr>
          <w:rtl w:val="true"/>
        </w:rPr>
        <w:t xml:space="preserve">: [ </w:t>
      </w:r>
      <w:r>
        <w:rPr>
          <w:rtl w:val="true"/>
        </w:rPr>
        <w:t xml:space="preserve">في الغسل الارتماسي </w:t>
      </w:r>
      <w:r>
        <w:rPr>
          <w:rtl w:val="true"/>
        </w:rPr>
        <w:t>]</w:t>
      </w:r>
      <w:bookmarkEnd w:id="150"/>
    </w:p>
    <w:p>
      <w:pPr>
        <w:pStyle w:val="BookText"/>
        <w:rPr/>
      </w:pPr>
      <w:r>
        <w:rPr>
          <w:rFonts w:ascii="Amiri" w:hAnsi="Amiri" w:eastAsia="Amiri" w:cs="Amiri"/>
          <w:color w:val="111111"/>
          <w:sz w:val="28"/>
          <w:sz w:val="28"/>
          <w:szCs w:val="28"/>
          <w:rtl w:val="true"/>
          <w:lang w:bidi="ar-SA"/>
        </w:rPr>
        <w:t>النحو الثاني من كيفيّتي الغسل الارتماسيّ ، والاجتزاء به في الغسل ممّا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مع ذلك النصوص المستفيضة المشتملة على غير واحد من الصحاح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أن ارتمس في الماء ارتماسة واحدة أجزأه ذلك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صحيحة أخرى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الأخبار اعتبار الوحدة فيه ، وهو حجّة الأصحاب في اعتبار الدفعة العرفيّة حملا للوحدة على الدفعة المتعارفة ، فلا ينافيها الاحتياج إلى التخليل في الشعر الكثيف ونحوه أو إزالة المانع من وصول الماء مع عدم طول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صحّة الغسل مع عدم صدق الوحدة المذكورة كأن دخل شيئا فشيئا في الماء بحيث لم يصدق معه الدفعة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فيه بإمكان حمل الواحد في المقام على ما يقابل المتعدّد ، فالمقصود أنّ الغسل الواحد الحاصل الارتماس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في مقابلة الترتيب المعتبر فيه تعدّد الغسلات ، فلا دلالة فيها على اعتبار حصوله بالدفعة العرفيّة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الغسل في الارتماس حاصلا باستيلاء الماء على البدن تحت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يتّجه اعتبار الواحدة في الارتماس ؛ إذ ليس الارتماس فيه إذا إلّا مقدّمة للغسل ، ووحدة </w:t>
      </w:r>
    </w:p>
    <w:p>
      <w:pPr>
        <w:pStyle w:val="BookText"/>
        <w:rPr/>
      </w:pPr>
      <w:r>
        <w:rPr>
          <w:rFonts w:ascii="IRNazanin" w:hAnsi="IRNazanin" w:eastAsia="IRNazanin"/>
          <w:color w:val="111111"/>
          <w:sz w:val="28"/>
          <w:sz w:val="28"/>
          <w:szCs w:val="28"/>
          <w:rtl w:val="true"/>
          <w:lang w:bidi="fa-IR"/>
        </w:rPr>
        <w:t xml:space="preserve">ومع </w:t>
      </w:r>
      <w:r>
        <w:rPr>
          <w:rStyle w:val="FootnoteAnchor"/>
          <w:rtl w:val="true"/>
        </w:rPr>
        <w:footnoteReference w:id="453"/>
      </w:r>
      <w:r>
        <w:rPr>
          <w:rFonts w:ascii="Amiri" w:hAnsi="Amiri" w:eastAsia="Amiri" w:cs="Amiri"/>
          <w:color w:val="111111"/>
          <w:sz w:val="28"/>
          <w:sz w:val="28"/>
          <w:szCs w:val="28"/>
          <w:rtl w:val="true"/>
          <w:lang w:bidi="ar-SA"/>
        </w:rPr>
        <w:t>تسليم خروجه عن الجسد فهو داخل في الرأس لعين ما ذكروه في اليد ، واندراجه في الجانب الأيمن والأيسر المعبّر به 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قضية الأمر بالإرواء الوارد في حسنة الكاهلي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في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مرها تروي رأسها في الماء وتعصره حتّى يروي ، فإذا روى فلا بأس عليها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قوله عليه‌السلام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شعرة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فهو في النار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كلّ شعرة جنابة فبلّوا الشعر وأنقوا البشرة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إليه ما ورد من الأمر بمبالغة النساء في الغسل من جهة شعر رءوسهنّ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بالنسبة إلى الشعر المختصّ في محلّه ، وإن كان بعض الوجوه المذكورة موهوما ؛ لما مرّ الكلام فيه في مباحث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فالأظهر فيه أيضا عدم الوجوب ؛ نظرا إلى ظاهر الإجماعين المحكيّين المعتضدين بقطع جماعة من الأصحاب ، بل لا يعرف فيه مخالف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به في الوضوء إنّما كان بمعونة فهم الأصحاب ، وهو هنا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المسترسل ، فلا إشكال أصلا ؛ لعدم دخوله في اسم الجسد ولا الرأس ولا اليمين واليسار مطلقا على نحو 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المذكورة لا يشهد بذلك ؛ لاحتمال أن يكون الأمر بالإرواء من جهة استظهار وصول الماء إلى نفس البشرة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السرّ في الأمر بما لغتهنّ في الغسل</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المقصود به مقدار الشعرة كما هو الشائع في العرف ، وهو وإن كان مجازا إلّا أن شيوعه في الاستعمالات وقرينة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عليه ؛ لعدم تحقّق الجنابة في الشعر كما أشعر به المرسلة المذكورة</w:t>
      </w:r>
      <w:r>
        <w:rPr>
          <w:rFonts w:eastAsia="Amiri" w:cs="Amiri" w:ascii="Amiri" w:hAnsi="Amiri"/>
          <w:color w:val="111111"/>
          <w:sz w:val="28"/>
          <w:szCs w:val="28"/>
          <w:rtl w:val="true"/>
          <w:lang w:bidi="ar-SA"/>
        </w:rPr>
        <w:t xml:space="preserve">. </w:t>
      </w:r>
      <w:bookmarkStart w:id="151" w:name="pg15839_360718"/>
    </w:p>
    <w:p>
      <w:pPr>
        <w:pStyle w:val="Heading5"/>
        <w:numPr>
          <w:ilvl w:val="4"/>
          <w:numId w:val="1"/>
        </w:numPr>
        <w:rPr/>
      </w:pPr>
      <w:bookmarkStart w:id="152" w:name="__RefHeading___Toc14338409_2142443653"/>
      <w:bookmarkStart w:id="153" w:name="_Toc57"/>
      <w:bookmarkEnd w:id="151"/>
      <w:bookmarkEnd w:id="152"/>
      <w:r>
        <w:rPr>
          <w:rtl w:val="true"/>
        </w:rPr>
        <w:t>تبصرة</w:t>
      </w:r>
      <w:r>
        <w:rPr>
          <w:rtl w:val="true"/>
        </w:rPr>
        <w:t xml:space="preserve">: [ </w:t>
      </w:r>
      <w:r>
        <w:rPr>
          <w:rtl w:val="true"/>
        </w:rPr>
        <w:t xml:space="preserve">في غسل البشرة والتخليل </w:t>
      </w:r>
      <w:r>
        <w:rPr>
          <w:rtl w:val="true"/>
        </w:rPr>
        <w:t>]</w:t>
      </w:r>
      <w:bookmarkEnd w:id="153"/>
    </w:p>
    <w:p>
      <w:pPr>
        <w:pStyle w:val="BookText"/>
        <w:rPr/>
      </w:pPr>
      <w:r>
        <w:rPr>
          <w:rFonts w:ascii="Amiri" w:hAnsi="Amiri" w:eastAsia="Amiri" w:cs="Amiri"/>
          <w:color w:val="111111"/>
          <w:sz w:val="28"/>
          <w:sz w:val="28"/>
          <w:szCs w:val="28"/>
          <w:rtl w:val="true"/>
          <w:lang w:bidi="ar-SA"/>
        </w:rPr>
        <w:t xml:space="preserve">الواجب في الغسل هو غسل البشرة خاصّة على المعروف بين الأصحاب ، فلا يجب غسل الشعر سواء كان مسترسلا أو محتقنا </w:t>
      </w:r>
      <w:r>
        <w:rPr>
          <w:rStyle w:val="FootnoteAnchor"/>
          <w:rtl w:val="true"/>
        </w:rPr>
        <w:footnoteReference w:id="458"/>
      </w:r>
      <w:r>
        <w:rPr>
          <w:rFonts w:ascii="Amiri" w:hAnsi="Amiri" w:eastAsia="Amiri" w:cs="Amiri"/>
          <w:color w:val="111111"/>
          <w:sz w:val="28"/>
          <w:sz w:val="28"/>
          <w:szCs w:val="28"/>
          <w:rtl w:val="true"/>
          <w:lang w:bidi="ar-SA"/>
        </w:rPr>
        <w:t>بالمحلّ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تخليل الشعر المانع وغيره من سائر الموانع كالخاتم والسوار والدواء المطلّي على العضو ونحوها ، فيجري الماء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الأخير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فيحتج عليه بدلالة الأخبار على وجوب غسل الجسد ، وهو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ظاهر المعتبر </w:t>
      </w:r>
      <w:r>
        <w:rPr>
          <w:rStyle w:val="FootnoteAnchor"/>
          <w:rtl w:val="true"/>
        </w:rPr>
        <w:footnoteReference w:id="459"/>
      </w:r>
      <w:r>
        <w:rPr>
          <w:rFonts w:ascii="Amiri" w:hAnsi="Amiri" w:eastAsia="Amiri" w:cs="Amiri"/>
          <w:color w:val="111111"/>
          <w:sz w:val="28"/>
          <w:sz w:val="28"/>
          <w:szCs w:val="28"/>
          <w:rtl w:val="true"/>
          <w:lang w:bidi="ar-SA"/>
        </w:rPr>
        <w:t xml:space="preserve">والذكرى </w:t>
      </w:r>
      <w:r>
        <w:rPr>
          <w:rStyle w:val="FootnoteAnchor"/>
          <w:rtl w:val="true"/>
        </w:rPr>
        <w:footnoteReference w:id="460"/>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المفيد </w:t>
      </w:r>
      <w:r>
        <w:rPr>
          <w:rStyle w:val="FootnoteAnchor"/>
          <w:rtl w:val="true"/>
        </w:rPr>
        <w:footnoteReference w:id="461"/>
      </w:r>
      <w:r>
        <w:rPr>
          <w:rFonts w:ascii="Amiri" w:hAnsi="Amiri" w:eastAsia="Amiri" w:cs="Amiri"/>
          <w:color w:val="111111"/>
          <w:sz w:val="28"/>
          <w:sz w:val="28"/>
          <w:szCs w:val="28"/>
          <w:rtl w:val="true"/>
          <w:lang w:bidi="ar-SA"/>
        </w:rPr>
        <w:t xml:space="preserve">وجوب غسل الشعر حيث قال عند بيان غسل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الشعر مشدودا 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w:t>
      </w:r>
      <w:r>
        <w:rPr>
          <w:rStyle w:val="FootnoteAnchor"/>
          <w:rtl w:val="true"/>
        </w:rPr>
        <w:footnoteReference w:id="462"/>
      </w:r>
      <w:r>
        <w:rPr>
          <w:rFonts w:ascii="Amiri" w:hAnsi="Amiri" w:eastAsia="Amiri" w:cs="Amiri"/>
          <w:color w:val="111111"/>
          <w:sz w:val="28"/>
          <w:sz w:val="28"/>
          <w:szCs w:val="28"/>
          <w:rtl w:val="true"/>
          <w:lang w:bidi="ar-SA"/>
        </w:rPr>
        <w:t xml:space="preserve">غير واحد من متأخر المتأخرين ، بل حكى صاحب الحدائق </w:t>
      </w:r>
      <w:r>
        <w:rPr>
          <w:rStyle w:val="FootnoteAnchor"/>
          <w:rtl w:val="true"/>
        </w:rPr>
        <w:footnoteReference w:id="463"/>
      </w:r>
      <w:r>
        <w:rPr>
          <w:rFonts w:ascii="Amiri" w:hAnsi="Amiri" w:eastAsia="Amiri" w:cs="Amiri"/>
          <w:color w:val="111111"/>
          <w:sz w:val="28"/>
          <w:sz w:val="28"/>
          <w:szCs w:val="28"/>
          <w:rtl w:val="true"/>
          <w:lang w:bidi="ar-SA"/>
        </w:rPr>
        <w:t xml:space="preserve">عن بعض محقّقي مشايخه تقوية القول بالوجوب ، وجعله موافقا للفتوى </w:t>
      </w:r>
      <w:r>
        <w:rPr>
          <w:rStyle w:val="FootnoteAnchor"/>
          <w:rtl w:val="true"/>
        </w:rPr>
        <w:footnoteReference w:id="464"/>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الإشكال احتمال دخوله الجسد ولو تبعا كما حكموا به في الوضوء ، لدخوله في محلّ الفرض أو لكونه من توابع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الغسل حينئذ حاصلة بحسب الماء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يعتبر فيه حينئذ الوحدة الحقيقيّة لإمكانها فيه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 مجرّد الارتماس غسلا لم يبعد اعتبار الدفعة العرفية ؛ إذ هي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فهم الجماعة وتأيّده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الأخبار المذكورة سقوط الترتيب مع الارتماس كما هو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ظاهر الأصحاب من الشيخ اعتبار الترتيب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المبسوط </w:t>
      </w:r>
      <w:r>
        <w:rPr>
          <w:rStyle w:val="FootnoteAnchor"/>
          <w:rtl w:val="true"/>
        </w:rPr>
        <w:footnoteReference w:id="467"/>
      </w:r>
      <w:r>
        <w:rPr>
          <w:rFonts w:ascii="Amiri" w:hAnsi="Amiri" w:eastAsia="Amiri" w:cs="Amiri"/>
          <w:color w:val="111111"/>
          <w:sz w:val="28"/>
          <w:sz w:val="28"/>
          <w:szCs w:val="28"/>
          <w:rtl w:val="true"/>
          <w:lang w:bidi="ar-SA"/>
        </w:rPr>
        <w:t>عن بعض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 الفاعل في الترتيب بأن ينوي أوّلا غسل رأسه ثمّ جانبه الأيمن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الفاضلين حمل كلامه ظاهرا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وقوفه مرتبا في الواقع وإن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في الاستبصار </w:t>
      </w:r>
      <w:r>
        <w:rPr>
          <w:rStyle w:val="FootnoteAnchor"/>
          <w:rtl w:val="true"/>
        </w:rPr>
        <w:footnoteReference w:id="46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المرتمس يترتّب حكما وإن لم يترتّب فعلا ؛ لأنّه إذا خرج من الماء حكم له أوّلا بطهارة رأسه ثمّ جانبه الأيمن ثمّ جانبه الأيسر احتمل سقوط اعتبار الترتيب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أنّه لا يحكم في المرتب إلّا بتطهير الأعضاء دفعة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بطهارة الأعضاء مرتبا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ذلك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بالطهارة سببها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عليه بغسل رأسه أوّلا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تنزيل ذلك منزلة الترتيب في الفعل المعتبر في المرتب ، فيشتركان في الترتّب في الحمام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فالوجه في اعتبار الترتيب المذكور هو الجمع بين ما دلّ على اعتبار الترتيب في الغسل وما أفاد الاكتفاء بمجرّد الارتماس ، فأراد الجمع بينهما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معارضة بين الأخبار المذكورة بوجه ليحتاج إلى الجمع ، بل الظاهر أنّ كلّا من الطريقين كيفية مستقلّة للغسل ، فلا داعي إلى إرجاع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فرع على القول باعتبار الترتيب المذكور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إعادة الغسل لو وجد لمعة منفصلة من أعضائه ، فإنّه يكفي بغسله وغسل العضو الّذي بعده على القول به ، ولا بدّ من إعادة الغسل بعدمه ؛ لانتفاء الوحدة المعتبرة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النذر بفعله إذا نذر الغسل ترتيبا بخلاف ما إذا لم يعتبر فيه الترتيب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ولا يخفى عليك أنّ كلا من التفريعين المذكورين محلّ كلام ، بل الأظهر عدم تفريعهما على القول المذكور كما يظهر بأدنى تأمّل</w:t>
      </w:r>
      <w:r>
        <w:rPr>
          <w:rFonts w:eastAsia="Amiri" w:cs="Amiri" w:ascii="Amiri" w:hAnsi="Amiri"/>
          <w:color w:val="111111"/>
          <w:sz w:val="28"/>
          <w:szCs w:val="28"/>
          <w:rtl w:val="true"/>
          <w:lang w:bidi="ar-SA"/>
        </w:rPr>
        <w:t xml:space="preserve">. </w:t>
      </w:r>
      <w:bookmarkStart w:id="154" w:name="pg15839_360721"/>
    </w:p>
    <w:p>
      <w:pPr>
        <w:pStyle w:val="Heading5"/>
        <w:numPr>
          <w:ilvl w:val="4"/>
          <w:numId w:val="1"/>
        </w:numPr>
        <w:rPr/>
      </w:pPr>
      <w:bookmarkStart w:id="155" w:name="__RefHeading___Toc14338411_2142443653"/>
      <w:bookmarkStart w:id="156" w:name="_Toc58"/>
      <w:bookmarkEnd w:id="154"/>
      <w:bookmarkEnd w:id="155"/>
      <w:r>
        <w:rPr>
          <w:rtl w:val="true"/>
        </w:rPr>
        <w:t>تبصرة</w:t>
      </w:r>
      <w:r>
        <w:rPr>
          <w:rtl w:val="true"/>
        </w:rPr>
        <w:t xml:space="preserve">: [ </w:t>
      </w:r>
      <w:r>
        <w:rPr>
          <w:rtl w:val="true"/>
        </w:rPr>
        <w:t xml:space="preserve">تنبيهات حول الارتماس </w:t>
      </w:r>
      <w:r>
        <w:rPr>
          <w:rtl w:val="true"/>
        </w:rPr>
        <w:t>]</w:t>
      </w:r>
      <w:bookmarkEnd w:id="156"/>
    </w:p>
    <w:p>
      <w:pPr>
        <w:pStyle w:val="BookText"/>
        <w:rPr/>
      </w:pPr>
      <w:r>
        <w:rPr>
          <w:rFonts w:ascii="Amiri" w:hAnsi="Amiri" w:eastAsia="Amiri" w:cs="Amiri"/>
          <w:color w:val="111111"/>
          <w:sz w:val="28"/>
          <w:sz w:val="28"/>
          <w:szCs w:val="28"/>
          <w:rtl w:val="true"/>
          <w:lang w:bidi="ar-SA"/>
        </w:rPr>
        <w:t xml:space="preserve">وهاهنا أمور ينبغي الاشارة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صحة الارتماس الخروج من الماء ليلقي نفسه فيه دفعة أو صحّ </w:t>
      </w:r>
      <w:r>
        <w:rPr>
          <w:rStyle w:val="FootnoteAnchor"/>
          <w:rtl w:val="true"/>
        </w:rPr>
        <w:footnoteReference w:id="469"/>
      </w:r>
      <w:r>
        <w:rPr>
          <w:rFonts w:ascii="Amiri" w:hAnsi="Amiri" w:eastAsia="Amiri" w:cs="Amiri"/>
          <w:color w:val="111111"/>
          <w:sz w:val="28"/>
          <w:sz w:val="28"/>
          <w:szCs w:val="28"/>
          <w:rtl w:val="true"/>
          <w:lang w:bidi="ar-SA"/>
        </w:rPr>
        <w:t>وإن كان في الماء؟ ظاهر الأصحاب الثاني حيث لم يذكروا ذلك في شرائطه ، وهو 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مختار جماعة من المتأخرين منهم صاحب الذخيرة </w:t>
      </w:r>
      <w:r>
        <w:rPr>
          <w:rStyle w:val="FootnoteAnchor"/>
          <w:rtl w:val="true"/>
        </w:rPr>
        <w:footnoteReference w:id="470"/>
      </w:r>
      <w:r>
        <w:rPr>
          <w:rStyle w:val="FootnoteAnchor"/>
          <w:rtl w:val="true"/>
        </w:rPr>
        <w:footnoteReference w:id="471"/>
      </w:r>
      <w:r>
        <w:rPr>
          <w:rFonts w:ascii="Amiri" w:hAnsi="Amiri" w:eastAsia="Amiri" w:cs="Amiri"/>
          <w:color w:val="111111"/>
          <w:sz w:val="28"/>
          <w:sz w:val="28"/>
          <w:szCs w:val="28"/>
          <w:rtl w:val="true"/>
          <w:lang w:bidi="ar-SA"/>
        </w:rPr>
        <w:t>، كأنّه لتوهّم عدم صدق الارتماس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بمكان من الضعف ؛ إذ من البيّن صدقه حال الكون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الظاهر عدم صدقه مع كون جميع البدن تحت الماء كما هو ظاهر من ملاحظة العرف وإن أسفل الماء إلى مكان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صدقه إذن كما احتمله </w:t>
      </w:r>
      <w:r>
        <w:rPr>
          <w:rStyle w:val="FootnoteAnchor"/>
          <w:rtl w:val="true"/>
        </w:rPr>
        <w:footnoteReference w:id="472"/>
      </w:r>
      <w:r>
        <w:rPr>
          <w:rFonts w:ascii="Amiri" w:hAnsi="Amiri" w:eastAsia="Amiri" w:cs="Amiri"/>
          <w:color w:val="111111"/>
          <w:sz w:val="28"/>
          <w:sz w:val="28"/>
          <w:szCs w:val="28"/>
          <w:rtl w:val="true"/>
          <w:lang w:bidi="ar-SA"/>
        </w:rPr>
        <w:t xml:space="preserve">بعضهم بعيد جدا بل الظاهر اعتبار خروج الرأس كلّه أو أكثره من الماء ، فالقول باعتبار الخروج فيه خاصّة غير بعيد إلّا أن الأظهر عدم اعتباره أيضا لحصول المعنى المقصود مع دخوله في الماء أيضا ؛ إذ الغرض استيلاء الماء على جميع البدن ، وهو حاصل به سيّما إذا قلنا بحصول الغسل و </w:t>
      </w:r>
      <w:r>
        <w:rPr>
          <w:rStyle w:val="FootnoteAnchor"/>
          <w:rtl w:val="true"/>
        </w:rPr>
        <w:footnoteReference w:id="473"/>
      </w:r>
      <w:r>
        <w:rPr>
          <w:rFonts w:ascii="Amiri" w:hAnsi="Amiri" w:eastAsia="Amiri" w:cs="Amiri"/>
          <w:color w:val="111111"/>
          <w:sz w:val="28"/>
          <w:sz w:val="28"/>
          <w:szCs w:val="28"/>
          <w:rtl w:val="true"/>
          <w:lang w:bidi="ar-SA"/>
        </w:rPr>
        <w:t>الارتماس عند استيلاء الماء على الأعضاء ، فإنّ كون الاستيلاء عن رمس ممّا لا دخل له في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يكتفى بحصوله من دونه كما في الوقوف تحت المطر الغزير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وقد نصّ على الاكتفاء بما قلناه جماعة من متأخري المتأخرين ، وهو ظاهر جماعة آخرين أيضا منهم العلامة والشهيد </w:t>
      </w:r>
      <w:r>
        <w:rPr>
          <w:rStyle w:val="FootnoteAnchor"/>
          <w:rtl w:val="true"/>
        </w:rPr>
        <w:footnoteReference w:id="474"/>
      </w:r>
      <w:r>
        <w:rPr>
          <w:rFonts w:ascii="Amiri" w:hAnsi="Amiri" w:eastAsia="Amiri" w:cs="Amiri"/>
          <w:color w:val="111111"/>
          <w:sz w:val="28"/>
          <w:sz w:val="28"/>
          <w:szCs w:val="28"/>
          <w:rtl w:val="true"/>
          <w:lang w:bidi="ar-SA"/>
        </w:rPr>
        <w:t xml:space="preserve">حيث ذكروا في مسألة غسالة الجنب حتّى الغسل اذا نواه بعد الارتماس في الماء ، بل ذكر في الحدائق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نواه بعد تمام الارتماس في الماء ، فإنّه يصح غسله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تأييد لما رجّحناه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الغسل في الارتماس بدخول الأعضاء في الماء أو يتوقف حصوله على استيلائه على جميع البدن؟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عليهما مسألة النيّة ، وأنّه لو عرض مانع من طين ونحوه بعد الدخول في الماء يبقى القول بصحّة الغسل على الأول بخلاف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 الأخبار على تعيين شي‌ء من الوجهين ، وكلام كثير من الأصحاب مطلق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يتعقّل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إطلاق الأخبار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جواز الأمرين ، وهو </w:t>
      </w:r>
      <w:r>
        <w:rPr>
          <w:rStyle w:val="FootnoteAnchor"/>
          <w:rtl w:val="true"/>
        </w:rPr>
        <w:footnoteReference w:id="477"/>
      </w:r>
      <w:r>
        <w:rPr>
          <w:rFonts w:ascii="Amiri" w:hAnsi="Amiri" w:eastAsia="Amiri" w:cs="Amiri"/>
          <w:color w:val="111111"/>
          <w:sz w:val="28"/>
          <w:sz w:val="28"/>
          <w:szCs w:val="28"/>
          <w:rtl w:val="true"/>
          <w:lang w:bidi="ar-SA"/>
        </w:rPr>
        <w:t>الظاهر من جماعة من الأصحاب عند ذكر غسالة الجنب كما قدّمنا الإشارة إليه ، والأحوط نيّة الغسل عند كلّ من الأمرين ، ولو نوى الغسل بمجرّد الرمس من دون تعيين قوي الاكتفاء به ؛ أخذا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حكم الارتماس بالوقوف تحت المطر الغزير بحيث يستوعب جميع البدن وجهان ؛ من خروجه عن اسم الارتماس ، ومن كونه بمنزلته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عدّة من الأخبار كصحيحة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هل يجزيه من غسل الجنابة أن يقوم في المطر حتّى يغسل رأسه وجسده ، وهو يقدر على ما سوى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يغسله اغتساله بالماء أجزأه ذلك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جعفر في كتابه ،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تصيبه الجنابة لا يقدر على الماء فيصيبه المطر أيجزيه ذلك أو عليه التيمّم؟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غسله أجزأه ، وإلّا تيمّم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w:t>
      </w:r>
      <w:r>
        <w:rPr>
          <w:rStyle w:val="FootnoteAnchor"/>
          <w:rtl w:val="true"/>
        </w:rPr>
        <w:footnoteReference w:id="480"/>
      </w:r>
      <w:r>
        <w:rPr>
          <w:rFonts w:ascii="Amiri" w:hAnsi="Amiri" w:eastAsia="Amiri" w:cs="Amiri"/>
          <w:color w:val="111111"/>
          <w:sz w:val="28"/>
          <w:sz w:val="28"/>
          <w:szCs w:val="28"/>
          <w:rtl w:val="true"/>
          <w:lang w:bidi="ar-SA"/>
        </w:rPr>
        <w:t xml:space="preserve">جنابة فقام </w:t>
      </w:r>
      <w:r>
        <w:rPr>
          <w:rStyle w:val="FootnoteAnchor"/>
          <w:rtl w:val="true"/>
        </w:rPr>
        <w:footnoteReference w:id="481"/>
      </w:r>
      <w:r>
        <w:rPr>
          <w:rFonts w:ascii="Amiri" w:hAnsi="Amiri" w:eastAsia="Amiri" w:cs="Amiri"/>
          <w:color w:val="111111"/>
          <w:sz w:val="28"/>
          <w:sz w:val="28"/>
          <w:szCs w:val="28"/>
          <w:rtl w:val="true"/>
          <w:lang w:bidi="ar-SA"/>
        </w:rPr>
        <w:t xml:space="preserve">في المطر حتّى سال على جسده أيجزيه ذلك عن الغسل؟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فيه من جهة كون الإلحاق قياسا والإطلاقات المذكورة منزّلة على غسل الترتيب ؛ لما دلّ على اعتبار الترتيب من الأخبار والإجماع إلّا أنّ الأخذ بظاهرها مع التأيّد بالاعتبار المذكور أظهر ؛ إذ ما ذكر كيفيّة أخرى للغسل ، فلا معارضة توجب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غير واحد من الأصحاب بأفضلية الترتيب على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الأخبار ما يدلّ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تستدل له بأنّه المعروف من فعل المعصومين عليهم‌السلام وأنّ المستفاد من الأخبار أنّ </w:t>
      </w:r>
      <w:r>
        <w:rPr>
          <w:rStyle w:val="FootnoteAnchor"/>
          <w:rtl w:val="true"/>
        </w:rPr>
        <w:footnoteReference w:id="483"/>
      </w:r>
      <w:r>
        <w:rPr>
          <w:rFonts w:ascii="Amiri" w:hAnsi="Amiri" w:eastAsia="Amiri" w:cs="Amiri"/>
          <w:color w:val="111111"/>
          <w:sz w:val="28"/>
          <w:sz w:val="28"/>
          <w:szCs w:val="28"/>
          <w:rtl w:val="true"/>
          <w:lang w:bidi="ar-SA"/>
        </w:rPr>
        <w:t xml:space="preserve">الترتيب هو الأصل في وضع الغسل حيث فسّر الغسل في عدّة أخبار بالمرتّب ، والمذكور في أخبار الارتماس أنّه يجزيه عن غسله ، وهو ظاهر في كون ذلك على خلاف أصل وضعه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المفيد </w:t>
      </w:r>
      <w:r>
        <w:rPr>
          <w:rStyle w:val="FootnoteAnchor"/>
          <w:rtl w:val="true"/>
        </w:rPr>
        <w:footnoteReference w:id="485"/>
      </w:r>
      <w:r>
        <w:rPr>
          <w:rFonts w:ascii="Amiri" w:hAnsi="Amiri" w:eastAsia="Amiri" w:cs="Amiri"/>
          <w:color w:val="111111"/>
          <w:sz w:val="28"/>
          <w:sz w:val="28"/>
          <w:szCs w:val="28"/>
          <w:rtl w:val="true"/>
          <w:lang w:bidi="ar-SA"/>
        </w:rPr>
        <w:t xml:space="preserve">كراهة الارتماس في الماء الراكد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486"/>
      </w:r>
      <w:r>
        <w:rPr>
          <w:rFonts w:ascii="Amiri" w:hAnsi="Amiri" w:eastAsia="Amiri" w:cs="Amiri"/>
          <w:color w:val="111111"/>
          <w:sz w:val="28"/>
          <w:sz w:val="28"/>
          <w:szCs w:val="28"/>
          <w:rtl w:val="true"/>
          <w:lang w:bidi="ar-SA"/>
        </w:rPr>
        <w:t xml:space="preserve">إن كان قليلا أفسده وإن كان </w:t>
      </w:r>
    </w:p>
    <w:p>
      <w:pPr>
        <w:pStyle w:val="BookText"/>
        <w:rPr/>
      </w:pPr>
      <w:r>
        <w:rPr>
          <w:rFonts w:ascii="Amiri" w:hAnsi="Amiri" w:eastAsia="Amiri" w:cs="Amiri"/>
          <w:color w:val="111111"/>
          <w:sz w:val="28"/>
          <w:sz w:val="28"/>
          <w:szCs w:val="28"/>
          <w:rtl w:val="true"/>
          <w:lang w:bidi="ar-SA"/>
        </w:rPr>
        <w:t>كثيرا 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الشيخ في التهذيب </w:t>
      </w:r>
      <w:r>
        <w:rPr>
          <w:rStyle w:val="FootnoteAnchor"/>
          <w:rtl w:val="true"/>
        </w:rPr>
        <w:footnoteReference w:id="487"/>
      </w:r>
      <w:r>
        <w:rPr>
          <w:rFonts w:ascii="Amiri" w:hAnsi="Amiri" w:eastAsia="Amiri" w:cs="Amiri"/>
          <w:color w:val="111111"/>
          <w:sz w:val="28"/>
          <w:sz w:val="28"/>
          <w:szCs w:val="28"/>
          <w:rtl w:val="true"/>
          <w:lang w:bidi="ar-SA"/>
        </w:rPr>
        <w:t>عند شرح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له على الأوّل بأنّ الجنب حكمه حكم النجس ، فإذا لاقى القليل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بذلك خروجه عن الطهوريّة بالاغتسال فيه ؛ إذ لا قائل في الطائفة بظاهر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بصحيحة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من يسأله عن الغدير يجتمع فيه ماء السماء أو يستقى فيه من بئر فيستنجي فيه الإنسان من بول أو يغتسل فيه الجنب ، ما حده الّذي لا يجوز؟ فكتب </w:t>
      </w:r>
      <w:r>
        <w:rPr>
          <w:rStyle w:val="FootnoteAnchor"/>
          <w:rtl w:val="true"/>
        </w:rPr>
        <w:footnoteReference w:id="4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توضّأ من مثل هذا إلّا من ضرورة إليه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يدلّ على كراهة النزول </w:t>
      </w:r>
      <w:r>
        <w:rPr>
          <w:rStyle w:val="FootnoteAnchor"/>
          <w:rtl w:val="true"/>
        </w:rPr>
        <w:footnoteReference w:id="490"/>
      </w:r>
      <w:r>
        <w:rPr>
          <w:rFonts w:ascii="Amiri" w:hAnsi="Amiri" w:eastAsia="Amiri" w:cs="Amiri"/>
          <w:color w:val="111111"/>
          <w:sz w:val="28"/>
          <w:sz w:val="28"/>
          <w:szCs w:val="28"/>
          <w:rtl w:val="true"/>
          <w:lang w:bidi="ar-SA"/>
        </w:rPr>
        <w:t>بينه ، وإلّا لما قيّد الوضوء والغسل منه بحال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ما يرد على كلّ من الوجهين ؛ إذ لا يصلح شي‌ء منهما لإفادة كراهة الاغتسال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الاستدلال بالأخير على كراهة الاغتسال فيه بعد الاغتسال فيه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سواء كان الغسلان مرتبين أو ارتماسيين ، وهو غير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البدأة من الأعلى فيجوز الوجهان بلا خلاف فيه يظهر ؛ أخذا بالإطلاقات ، وظاهر خصوص بعض الروايات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يظهر من بعض الأخبار اعتبار البدأة بالأعلى ، وهي محمولة على بيان المغسول أو على الندب</w:t>
      </w:r>
      <w:r>
        <w:rPr>
          <w:rFonts w:eastAsia="Amiri" w:cs="Amiri" w:ascii="Amiri" w:hAnsi="Amiri"/>
          <w:color w:val="111111"/>
          <w:sz w:val="28"/>
          <w:szCs w:val="28"/>
          <w:rtl w:val="true"/>
          <w:lang w:bidi="ar-SA"/>
        </w:rPr>
        <w:t xml:space="preserve">. </w:t>
      </w:r>
      <w:bookmarkStart w:id="157" w:name="pg15839_360725"/>
    </w:p>
    <w:p>
      <w:pPr>
        <w:pStyle w:val="Heading5"/>
        <w:numPr>
          <w:ilvl w:val="4"/>
          <w:numId w:val="1"/>
        </w:numPr>
        <w:rPr/>
      </w:pPr>
      <w:bookmarkStart w:id="158" w:name="__RefHeading___Toc14338413_2142443653"/>
      <w:bookmarkStart w:id="159" w:name="_Toc59"/>
      <w:bookmarkEnd w:id="157"/>
      <w:bookmarkEnd w:id="158"/>
      <w:r>
        <w:rPr>
          <w:rtl w:val="true"/>
        </w:rPr>
        <w:t>تبصرة</w:t>
      </w:r>
      <w:r>
        <w:rPr>
          <w:rtl w:val="true"/>
        </w:rPr>
        <w:t xml:space="preserve">: [ </w:t>
      </w:r>
      <w:r>
        <w:rPr>
          <w:rtl w:val="true"/>
        </w:rPr>
        <w:t xml:space="preserve">في سائر شرائط الغسل </w:t>
      </w:r>
      <w:r>
        <w:rPr>
          <w:rtl w:val="true"/>
        </w:rPr>
        <w:t>]</w:t>
      </w:r>
      <w:bookmarkEnd w:id="159"/>
    </w:p>
    <w:p>
      <w:pPr>
        <w:pStyle w:val="BookText"/>
        <w:rPr/>
      </w:pPr>
      <w:r>
        <w:rPr>
          <w:rFonts w:ascii="Amiri" w:hAnsi="Amiri" w:eastAsia="Amiri" w:cs="Amiri"/>
          <w:color w:val="111111"/>
          <w:sz w:val="28"/>
          <w:sz w:val="28"/>
          <w:szCs w:val="28"/>
          <w:rtl w:val="true"/>
          <w:lang w:bidi="ar-SA"/>
        </w:rPr>
        <w:t>يشترط في الماء والمكان والآتية ما مرّ في الوضوء ، وكذا الحال في سائر الشرائط الماضية هناك إلّا ما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 الموالاة بشي‌ء من المعنيين بالإجماع وعدّة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تقديم إزالة النجاسة على الغسل أو على غسل العضو أو لا يشترط مطلقا؟ 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عن العلّامة في ظاهر القواعد وجماعة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مذهب جماعة منهم الشهيد </w:t>
      </w:r>
      <w:r>
        <w:rPr>
          <w:rStyle w:val="FootnoteAnchor"/>
          <w:rtl w:val="true"/>
        </w:rPr>
        <w:footnoteReference w:id="49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محكي عن الشيخ في المبسوط </w:t>
      </w:r>
      <w:r>
        <w:rPr>
          <w:rStyle w:val="FootnoteAnchor"/>
          <w:rtl w:val="true"/>
        </w:rPr>
        <w:footnoteReference w:id="494"/>
      </w:r>
      <w:r>
        <w:rPr>
          <w:rFonts w:ascii="Amiri" w:hAnsi="Amiri" w:eastAsia="Amiri" w:cs="Amiri"/>
          <w:color w:val="111111"/>
          <w:sz w:val="28"/>
          <w:sz w:val="28"/>
          <w:szCs w:val="28"/>
          <w:rtl w:val="true"/>
          <w:lang w:bidi="ar-SA"/>
        </w:rPr>
        <w:t>حتّى أنّه صرّح بصحّة الغسل مع بقاء نجاسة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يحتجّ للأوّل بظواهر الأخبار الآمرة بإزالة النجاسة أوّلا ، ثمّ الشروع في غسل الأعضاء العاطفة معهما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يورد عليه باندراج ذلك في سلك جملة من المستحبّات كغسل اليدين أو المضمضة والاستنشاق ونحوهما ، فلا يفيد الوجوب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ويضعّفه أنّ قيام الدليل على حمل غيره على الندب لا يدلّ على حمله عليه مع مخالفته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ليس المنضمّ إليه من المندوبات في غير واحد منها سوى 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ويحتجّ للثاني بأنّ كلّا من الخبث والحدث سبب في وجوب الغسل ، فلا يتداخلان وأنّ الماء القليل إذا ورد على المحلّ النجس ينجس به ، فلا يقوي على رفع الحدث ؛ لما دلّ على اعتبار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أنّ دعوى أصالة عدم التداخل مطلقا غير مسلّم ، وإنّما يسلّم ذلك في خصوص العبادات ، وليس إزالة النجاسة من جملتها ، ولذا يحصل من دون قصدها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أنّه إنّما يجري في الماء المنفعل بالملاقاة دون المعتصم ، وأن غاية ما يسلم من اعتبار الطهارة فيه إنما هو كونه طاهرا قبل الاستعمال لا بعده كما هو الشأن في إزالة الخبث ، فلا ينافيه التنجس به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القول بعدم الاكتفاء بإجرائه </w:t>
      </w:r>
      <w:r>
        <w:rPr>
          <w:rStyle w:val="FootnoteAnchor"/>
          <w:rtl w:val="true"/>
        </w:rPr>
        <w:footnoteReference w:id="495"/>
      </w:r>
      <w:r>
        <w:rPr>
          <w:rFonts w:ascii="Amiri" w:hAnsi="Amiri" w:eastAsia="Amiri" w:cs="Amiri"/>
          <w:color w:val="111111"/>
          <w:sz w:val="28"/>
          <w:sz w:val="28"/>
          <w:szCs w:val="28"/>
          <w:rtl w:val="true"/>
          <w:lang w:bidi="ar-SA"/>
        </w:rPr>
        <w:t>إلى ما بعده مع تأمّل فيه بالنسبة إلى ما يعدّ معه استعمالا واحدا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مع عدم قيام دليل على اعتبار شي‌ء من الأمرين ، بناء على تضعيف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المقام قد ورد في جملة منها الأمر بتطهير الفرج قبل الغسل ، وفي بعضها الأمر بغسل ما أصابه منه ، فيعمّ الفرج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اغسل ما أصاب جسدك من أذى ثمّ اغسل فرجك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يعمّ نجاسة المني وغيره ، فالقول باختصاص الأخبار بنجاسة المني وبعد غيرها عن سياقها ليس على ما ينبغي ، بل الظاهر شمول جميعها لنجاسة البول الحاصل في المحلّ ، غاية الأمر أن يكون أكثرها شاملا لغيرهما من النجاسات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الكلام فيها معا الفارق بين النجاسات ، والقول بأنّ المني لثخانته سيّما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p>
    <w:p>
      <w:pPr>
        <w:pStyle w:val="BookText"/>
        <w:rPr/>
      </w:pPr>
      <w:r>
        <w:rPr>
          <w:rFonts w:ascii="Amiri" w:hAnsi="Amiri" w:eastAsia="Amiri" w:cs="Amiri"/>
          <w:color w:val="111111"/>
          <w:sz w:val="28"/>
          <w:sz w:val="28"/>
          <w:szCs w:val="28"/>
          <w:rtl w:val="true"/>
          <w:lang w:bidi="ar-SA"/>
        </w:rPr>
        <w:t>إلى مزيد كلفة ، بخلاف غيرها لا يصلح علّة للفرق ؛ لعدم وجوب الموالاة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فبعد حمل هذه الأخبار على ظواهرها من لزوم </w:t>
      </w:r>
      <w:r>
        <w:rPr>
          <w:rStyle w:val="FootnoteAnchor"/>
          <w:rtl w:val="true"/>
        </w:rPr>
        <w:footnoteReference w:id="497"/>
      </w:r>
      <w:r>
        <w:rPr>
          <w:rFonts w:ascii="Amiri" w:hAnsi="Amiri" w:eastAsia="Amiri" w:cs="Amiri"/>
          <w:color w:val="111111"/>
          <w:sz w:val="28"/>
          <w:sz w:val="28"/>
          <w:szCs w:val="28"/>
          <w:rtl w:val="true"/>
          <w:lang w:bidi="ar-SA"/>
        </w:rPr>
        <w:t xml:space="preserve">تقديم الغسل على الغسل فينبغي الاقتصار على مواردها من كون الماء غير معتصم ، وحينئذ فيبقى غيرها على حكم الأصل ، والغسل في الارتماس وإن كان خارجا عن مورد تلك الأخبار إلّا أنّ ورود </w:t>
      </w:r>
      <w:r>
        <w:rPr>
          <w:rStyle w:val="FootnoteAnchor"/>
          <w:rtl w:val="true"/>
        </w:rPr>
        <w:footnoteReference w:id="498"/>
      </w:r>
      <w:r>
        <w:rPr>
          <w:rFonts w:ascii="Amiri" w:hAnsi="Amiri" w:eastAsia="Amiri" w:cs="Amiri"/>
          <w:color w:val="111111"/>
          <w:sz w:val="28"/>
          <w:sz w:val="28"/>
          <w:szCs w:val="28"/>
          <w:rtl w:val="true"/>
          <w:lang w:bidi="ar-SA"/>
        </w:rPr>
        <w:t>النجس عليه يوجب نجاسة الماء ، فلا يصلح لإزالة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تأمّل بالنسبة إلى مورد الأخبار المذكورة أيضا ؛ لعدم استبعاد حملها على الاستحباب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القول بعدم الاجتزاء بغسل واحد للأمرين مع عدم اعتصام الماء غير بعيد ؛ لما دلّ على اعتبار الطهارة في ماء الغسل ، ولا ضرورة تدعو إلى استعمال النجس بالاستعمال كما مرّ في مسألة إزالة الأخباث</w:t>
      </w:r>
      <w:r>
        <w:rPr>
          <w:rFonts w:eastAsia="Amiri" w:cs="Amiri" w:ascii="Amiri" w:hAnsi="Amiri"/>
          <w:color w:val="111111"/>
          <w:sz w:val="28"/>
          <w:szCs w:val="28"/>
          <w:rtl w:val="true"/>
          <w:lang w:bidi="ar-SA"/>
        </w:rPr>
        <w:t xml:space="preserve">. </w:t>
      </w:r>
      <w:bookmarkStart w:id="160" w:name="pg15839_360728"/>
    </w:p>
    <w:p>
      <w:pPr>
        <w:pStyle w:val="Heading5"/>
        <w:numPr>
          <w:ilvl w:val="4"/>
          <w:numId w:val="1"/>
        </w:numPr>
        <w:rPr/>
      </w:pPr>
      <w:bookmarkStart w:id="161" w:name="__RefHeading___Toc14338415_2142443653"/>
      <w:bookmarkStart w:id="162" w:name="_Toc60"/>
      <w:bookmarkEnd w:id="160"/>
      <w:bookmarkEnd w:id="161"/>
      <w:r>
        <w:rPr>
          <w:rtl w:val="true"/>
        </w:rPr>
        <w:t>تبصرة</w:t>
      </w:r>
      <w:r>
        <w:rPr>
          <w:rtl w:val="true"/>
        </w:rPr>
        <w:t xml:space="preserve">: [ </w:t>
      </w:r>
      <w:r>
        <w:rPr>
          <w:rtl w:val="true"/>
        </w:rPr>
        <w:t xml:space="preserve">في الاستبراء قبل الغسل </w:t>
      </w:r>
      <w:r>
        <w:rPr>
          <w:rtl w:val="true"/>
        </w:rPr>
        <w:t>]</w:t>
      </w:r>
      <w:bookmarkEnd w:id="162"/>
    </w:p>
    <w:p>
      <w:pPr>
        <w:pStyle w:val="BookText"/>
        <w:rPr/>
      </w:pPr>
      <w:r>
        <w:rPr>
          <w:rFonts w:ascii="Amiri" w:hAnsi="Amiri" w:eastAsia="Amiri" w:cs="Amiri"/>
          <w:color w:val="111111"/>
          <w:sz w:val="28"/>
          <w:sz w:val="28"/>
          <w:szCs w:val="28"/>
          <w:rtl w:val="true"/>
          <w:lang w:bidi="ar-SA"/>
        </w:rPr>
        <w:t>يستحب له الاستبراء قبل الغسل على الأظهر الأشهر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من المتقدمين منهم الشيخ </w:t>
      </w:r>
      <w:r>
        <w:rPr>
          <w:rStyle w:val="FootnoteAnchor"/>
          <w:rtl w:val="true"/>
        </w:rPr>
        <w:footnoteReference w:id="499"/>
      </w:r>
      <w:r>
        <w:rPr>
          <w:rFonts w:ascii="Amiri" w:hAnsi="Amiri" w:eastAsia="Amiri" w:cs="Amiri"/>
          <w:color w:val="111111"/>
          <w:sz w:val="28"/>
          <w:sz w:val="28"/>
          <w:szCs w:val="28"/>
          <w:rtl w:val="true"/>
          <w:lang w:bidi="ar-SA"/>
        </w:rPr>
        <w:t xml:space="preserve">والقاضي </w:t>
      </w:r>
      <w:r>
        <w:rPr>
          <w:rStyle w:val="FootnoteAnchor"/>
          <w:rtl w:val="true"/>
        </w:rPr>
        <w:footnoteReference w:id="500"/>
      </w:r>
      <w:r>
        <w:rPr>
          <w:rFonts w:ascii="Amiri" w:hAnsi="Amiri" w:eastAsia="Amiri" w:cs="Amiri"/>
          <w:color w:val="111111"/>
          <w:sz w:val="28"/>
          <w:sz w:val="28"/>
          <w:szCs w:val="28"/>
          <w:rtl w:val="true"/>
          <w:lang w:bidi="ar-SA"/>
        </w:rPr>
        <w:t xml:space="preserve">والحلبي </w:t>
      </w:r>
      <w:r>
        <w:rPr>
          <w:rStyle w:val="FootnoteAnchor"/>
          <w:rtl w:val="true"/>
        </w:rPr>
        <w:footnoteReference w:id="501"/>
      </w:r>
      <w:r>
        <w:rPr>
          <w:rStyle w:val="FootnoteAnchor"/>
          <w:rtl w:val="true"/>
        </w:rPr>
        <w:footnoteReference w:id="502"/>
      </w:r>
      <w:r>
        <w:rPr>
          <w:rFonts w:ascii="Amiri" w:hAnsi="Amiri" w:eastAsia="Amiri" w:cs="Amiri"/>
          <w:color w:val="111111"/>
          <w:sz w:val="28"/>
          <w:sz w:val="28"/>
          <w:szCs w:val="28"/>
          <w:rtl w:val="true"/>
          <w:lang w:bidi="ar-SA"/>
        </w:rPr>
        <w:t xml:space="preserve">والطوسي </w:t>
      </w:r>
      <w:r>
        <w:rPr>
          <w:rStyle w:val="FootnoteAnchor"/>
          <w:rtl w:val="true"/>
        </w:rPr>
        <w:footnoteReference w:id="503"/>
      </w:r>
      <w:r>
        <w:rPr>
          <w:rFonts w:ascii="Amiri" w:hAnsi="Amiri" w:eastAsia="Amiri" w:cs="Amiri"/>
          <w:color w:val="111111"/>
          <w:sz w:val="28"/>
          <w:sz w:val="28"/>
          <w:szCs w:val="28"/>
          <w:rtl w:val="true"/>
          <w:lang w:bidi="ar-SA"/>
        </w:rPr>
        <w:t xml:space="preserve">وابن زهرة </w:t>
      </w:r>
      <w:r>
        <w:rPr>
          <w:rStyle w:val="FootnoteAnchor"/>
          <w:rtl w:val="true"/>
        </w:rPr>
        <w:footnoteReference w:id="504"/>
      </w:r>
      <w:r>
        <w:rPr>
          <w:rFonts w:ascii="Amiri" w:hAnsi="Amiri" w:eastAsia="Amiri" w:cs="Amiri"/>
          <w:color w:val="111111"/>
          <w:sz w:val="28"/>
          <w:sz w:val="28"/>
          <w:szCs w:val="28"/>
          <w:rtl w:val="true"/>
          <w:lang w:bidi="ar-SA"/>
        </w:rPr>
        <w:t>والكيدري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ذلك أيضا عن جماعة أخرى كالصدوقين والمفيد </w:t>
      </w:r>
      <w:r>
        <w:rPr>
          <w:rStyle w:val="FootnoteAnchor"/>
          <w:rtl w:val="true"/>
        </w:rPr>
        <w:footnoteReference w:id="505"/>
      </w:r>
      <w:r>
        <w:rPr>
          <w:rFonts w:ascii="Amiri" w:hAnsi="Amiri" w:eastAsia="Amiri" w:cs="Amiri"/>
          <w:color w:val="111111"/>
          <w:sz w:val="28"/>
          <w:sz w:val="28"/>
          <w:szCs w:val="28"/>
          <w:rtl w:val="true"/>
          <w:lang w:bidi="ar-SA"/>
        </w:rPr>
        <w:t>والجعفي حيث ذكروا الاستبراء بصيغة الأمر الظاهر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الذكرى </w:t>
      </w:r>
      <w:r>
        <w:rPr>
          <w:rStyle w:val="FootnoteAnchor"/>
          <w:rtl w:val="true"/>
        </w:rPr>
        <w:footnoteReference w:id="506"/>
      </w:r>
      <w:r>
        <w:rPr>
          <w:rFonts w:ascii="IRNazanin" w:hAnsi="IRNazanin" w:eastAsia="IRNazanin"/>
          <w:color w:val="111111"/>
          <w:sz w:val="28"/>
          <w:sz w:val="28"/>
          <w:szCs w:val="28"/>
          <w:rtl w:val="true"/>
          <w:lang w:bidi="fa-IR"/>
        </w:rPr>
        <w:t>إلى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ونفى عنه البأس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وخلوّ أكثر الأخبار الواردة في بيان غسل الجنابة عنه ، ولو كان واجبا لما أهمل ذكره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خلوّ الآية الشريفة عنه ، وأنّه ممّا يعم به البليّة ، فلو كان واجبا لاستفاضت الأوامر الواردة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الدليل عليه ، وأنّه المنساق من الأخبار الواردة في حكم البلل المشتبه الخارج </w:t>
      </w:r>
    </w:p>
    <w:p>
      <w:pPr>
        <w:pStyle w:val="BookText"/>
        <w:rPr/>
      </w:pPr>
      <w:r>
        <w:rPr>
          <w:rFonts w:ascii="Amiri" w:hAnsi="Amiri" w:eastAsia="Amiri" w:cs="Amiri"/>
          <w:color w:val="111111"/>
          <w:sz w:val="28"/>
          <w:sz w:val="28"/>
          <w:szCs w:val="28"/>
          <w:rtl w:val="true"/>
          <w:lang w:bidi="ar-SA"/>
        </w:rPr>
        <w:t>بعد الغسل حيث بين الحكم فيها في كلّ من صورتي البول وعدمه ، الظاهر في 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بالوجوب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يدك اليمنى من المرفقين إلى أصابعك وتبول إن قدرت على البول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نظرا إلى ظهور الطلب في الوجوب ، ومضمرة أحمد بن 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الغسل بعد البول إلّا أن يكون ناسيا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الفقيه </w:t>
      </w:r>
      <w:r>
        <w:rPr>
          <w:rStyle w:val="FootnoteAnchor"/>
          <w:rtl w:val="true"/>
        </w:rPr>
        <w:footnoteReference w:id="5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الغسل من الجنابة فاجتهد أن تبول حتّى يخرج فضلة المني الّتي في إحليلك وإن جهدت ولم تقدر على البول فلا شي‌ء عليك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ظهور تامّ لما ذكر في الوجوب ، فحملها على الندب بقرينة ما مرّ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يحتجّ عليه بالروايات الدالّة على وجوب الغسل مع خروج البلل المشتبه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ووهنه ظاهر ، إذ ذاك إنّما يدلّ على حصول الجنابة المستأنفة لخروج ذلك ، لا على عدم صحّة الغسل ، بل في تلك الروايات إشارة إلى عدم الوجوب كما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في الذكرى </w:t>
      </w:r>
      <w:r>
        <w:rPr>
          <w:rStyle w:val="FootnoteAnchor"/>
          <w:rtl w:val="true"/>
        </w:rPr>
        <w:footnoteReference w:id="511"/>
      </w:r>
      <w:r>
        <w:rPr>
          <w:rFonts w:ascii="Amiri" w:hAnsi="Amiri" w:eastAsia="Amiri" w:cs="Amiri"/>
          <w:color w:val="111111"/>
          <w:sz w:val="28"/>
          <w:sz w:val="28"/>
          <w:szCs w:val="28"/>
          <w:rtl w:val="true"/>
          <w:lang w:bidi="ar-SA"/>
        </w:rPr>
        <w:t xml:space="preserve">بالمحافظة على الغسل من طريان المزيل والمطر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المعظم ، والأخذ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512"/>
      </w:r>
      <w:r>
        <w:rPr>
          <w:rFonts w:ascii="Amiri" w:hAnsi="Amiri" w:eastAsia="Amiri" w:cs="Amiri"/>
          <w:color w:val="111111"/>
          <w:sz w:val="28"/>
          <w:sz w:val="28"/>
          <w:szCs w:val="28"/>
          <w:rtl w:val="true"/>
          <w:lang w:bidi="ar-SA"/>
        </w:rPr>
        <w:t>إنّ المراد بوجوب الاستبراء إمّا الوجوب الشرعي ، فيكون الشارع قد أوجب ذلك عند إرادة الغسل وإن صحّ الغسل لو أخلّ به ، أو الشرطي ليناط به صحّة الغسل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التصريح في كلامهم بشي‌ء من الأمرين وإن كان إرادة الثاني أشبه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واعلم أن استحباب الاستبراء إنّما هو في حق المنزل ، أمّا المولج خاصّة فلا استبراء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جماعة منهم الفاضل والشهيدان </w:t>
      </w:r>
      <w:r>
        <w:rPr>
          <w:rStyle w:val="FootnoteAnchor"/>
          <w:rtl w:val="true"/>
        </w:rPr>
        <w:footnoteReference w:id="513"/>
      </w:r>
      <w:r>
        <w:rPr>
          <w:rFonts w:ascii="Amiri" w:hAnsi="Amiri" w:eastAsia="Amiri" w:cs="Amiri"/>
          <w:color w:val="111111"/>
          <w:sz w:val="28"/>
          <w:sz w:val="28"/>
          <w:szCs w:val="28"/>
          <w:rtl w:val="true"/>
          <w:lang w:bidi="ar-SA"/>
        </w:rPr>
        <w:t>والمحقّق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الأخبار منزّل عليه ؛ لما هو المعلوم من كون العلّة فيه تنقية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يفعل ذلك في مجرّد الإيلاج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التعليل المذكور في بعضها من </w:t>
      </w:r>
      <w:r>
        <w:rPr>
          <w:rStyle w:val="FootnoteAnchor"/>
          <w:rtl w:val="true"/>
        </w:rPr>
        <w:footnoteReference w:id="514"/>
      </w:r>
      <w:r>
        <w:rPr>
          <w:rFonts w:ascii="Amiri" w:hAnsi="Amiri" w:eastAsia="Amiri" w:cs="Amiri"/>
          <w:color w:val="111111"/>
          <w:sz w:val="28"/>
          <w:sz w:val="28"/>
          <w:szCs w:val="28"/>
          <w:rtl w:val="true"/>
          <w:lang w:bidi="ar-SA"/>
        </w:rPr>
        <w:t>أنّ البول لم يدع شيئا ، مضافا إلى أنّه الغالب في الجنابات ، فينصرف إليه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شمول الحكم للمولج أيضا كما يظهر من بعض المتأخرين حيث أورد على الجماعة بعموم الروايات والمنع من انتفاء الفائدة أو عسى أن ينزل ولا يطلع عليه فتحتبس في المجاري لكون الجماع مظنّة لنزول الماء موهون جدّا بأنّ الاحتمال المذكور ممّا يقطع بخلافه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وجه لدوران أحكام الشرع مدار الاحتمالات البعيدة الخارجة من مجاري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الذكرى </w:t>
      </w:r>
      <w:r>
        <w:rPr>
          <w:rStyle w:val="FootnoteAnchor"/>
          <w:rtl w:val="true"/>
        </w:rPr>
        <w:footnoteReference w:id="515"/>
      </w:r>
      <w:r>
        <w:rPr>
          <w:rFonts w:ascii="Amiri" w:hAnsi="Amiri" w:eastAsia="Amiri" w:cs="Amiri"/>
          <w:color w:val="111111"/>
          <w:sz w:val="28"/>
          <w:sz w:val="28"/>
          <w:szCs w:val="28"/>
          <w:rtl w:val="true"/>
          <w:lang w:bidi="ar-SA"/>
        </w:rPr>
        <w:t xml:space="preserve">استحباب الاستبراء مع احتمال نزول الماء ؛ أخذا بالاحتياط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الغسل بالبلل فلا ؛ لعدم ارتفاع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كون الجنابة من إنزال أو إدخال ففي جريان حكم الاستبراء وجهان ، والمتّجه عدم جريان حكم البلل الخارج قبل الاستبراء ؛ أخذا بالأصل إلّا أن يقال بأنّ قضية الإطلاقات وجوب الغسل بخروجه مطلقا ، غاية الأمر خروج ما تحقّق كون جنابته عن غير الإنزال ، فيبقى غيره مندرجا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انسحاب استحباب الاستبراء بالنسبة إلى المرأة قولان ، اختار أوّلهما الشيخان في </w:t>
      </w:r>
    </w:p>
    <w:p>
      <w:pPr>
        <w:pStyle w:val="BookText"/>
        <w:rPr/>
      </w:pPr>
      <w:r>
        <w:rPr>
          <w:rFonts w:ascii="Amiri" w:hAnsi="Amiri" w:eastAsia="Amiri" w:cs="Amiri"/>
          <w:color w:val="111111"/>
          <w:sz w:val="28"/>
          <w:sz w:val="28"/>
          <w:szCs w:val="28"/>
          <w:rtl w:val="true"/>
          <w:lang w:bidi="ar-SA"/>
        </w:rPr>
        <w:t xml:space="preserve">المقنعة </w:t>
      </w:r>
      <w:r>
        <w:rPr>
          <w:rStyle w:val="FootnoteAnchor"/>
          <w:rtl w:val="true"/>
        </w:rPr>
        <w:footnoteReference w:id="516"/>
      </w:r>
      <w:r>
        <w:rPr>
          <w:rFonts w:ascii="Amiri" w:hAnsi="Amiri" w:eastAsia="Amiri" w:cs="Amiri"/>
          <w:color w:val="111111"/>
          <w:sz w:val="28"/>
          <w:sz w:val="28"/>
          <w:szCs w:val="28"/>
          <w:rtl w:val="true"/>
          <w:lang w:bidi="ar-SA"/>
        </w:rPr>
        <w:t xml:space="preserve">والنهاية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الجمل اختيار </w:t>
      </w:r>
      <w:r>
        <w:rPr>
          <w:rStyle w:val="FootnoteAnchor"/>
          <w:rtl w:val="true"/>
        </w:rPr>
        <w:footnoteReference w:id="518"/>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لورود الأخبار في الرجل إلّا صحيحة محمّد بن مسلم المتقدّمة أوّل الباب ، وظاهر سياقها ورودها أيضا في الرجل ؛ للتعليل الوارد فيها بأنّ البول لم يدع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ما احتمله بعض المتأخرين من كون خروج البول بالنسبة إليها أيضا مفتيا للمني مع البول بين المخرجين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من اختلاف المخرج في الرجل أيضا ؛ نظرا إلى اشتراك المخرجين في سافل </w:t>
      </w:r>
      <w:r>
        <w:rPr>
          <w:rStyle w:val="FootnoteAnchor"/>
          <w:rtl w:val="true"/>
        </w:rPr>
        <w:footnoteReference w:id="519"/>
      </w:r>
      <w:r>
        <w:rPr>
          <w:rFonts w:ascii="Amiri" w:hAnsi="Amiri" w:eastAsia="Amiri" w:cs="Amiri"/>
          <w:color w:val="111111"/>
          <w:sz w:val="28"/>
          <w:sz w:val="28"/>
          <w:szCs w:val="28"/>
          <w:rtl w:val="true"/>
          <w:lang w:bidi="ar-SA"/>
        </w:rPr>
        <w:t>الممرّ الّذي هو مظنّة بقاء الاجزاء بخلاف المرأة ؛ إذ لا اشتراك فيها بوجه</w:t>
      </w:r>
      <w:r>
        <w:rPr>
          <w:rFonts w:eastAsia="Amiri" w:cs="Amiri" w:ascii="Amiri" w:hAnsi="Amiri"/>
          <w:color w:val="111111"/>
          <w:sz w:val="28"/>
          <w:szCs w:val="28"/>
          <w:rtl w:val="true"/>
          <w:lang w:bidi="ar-SA"/>
        </w:rPr>
        <w:t xml:space="preserve">. </w:t>
      </w:r>
      <w:bookmarkStart w:id="163" w:name="pg15839_360732"/>
    </w:p>
    <w:p>
      <w:pPr>
        <w:pStyle w:val="Heading5"/>
        <w:numPr>
          <w:ilvl w:val="4"/>
          <w:numId w:val="1"/>
        </w:numPr>
        <w:rPr/>
      </w:pPr>
      <w:bookmarkStart w:id="164" w:name="__RefHeading___Toc14338417_2142443653"/>
      <w:bookmarkStart w:id="165" w:name="_Toc61"/>
      <w:bookmarkEnd w:id="163"/>
      <w:bookmarkEnd w:id="164"/>
      <w:r>
        <w:rPr>
          <w:rtl w:val="true"/>
        </w:rPr>
        <w:t>تبصرة</w:t>
      </w:r>
      <w:r>
        <w:rPr>
          <w:rtl w:val="true"/>
        </w:rPr>
        <w:t xml:space="preserve">: [ </w:t>
      </w:r>
      <w:r>
        <w:rPr>
          <w:rtl w:val="true"/>
        </w:rPr>
        <w:t xml:space="preserve">في التسمية على الغسل </w:t>
      </w:r>
      <w:r>
        <w:rPr>
          <w:rtl w:val="true"/>
        </w:rPr>
        <w:t>]</w:t>
      </w:r>
      <w:bookmarkEnd w:id="165"/>
    </w:p>
    <w:p>
      <w:pPr>
        <w:pStyle w:val="BookText"/>
        <w:rPr/>
      </w:pPr>
      <w:r>
        <w:rPr>
          <w:rFonts w:ascii="Amiri" w:hAnsi="Amiri" w:eastAsia="Amiri" w:cs="Amiri"/>
          <w:color w:val="111111"/>
          <w:sz w:val="28"/>
          <w:sz w:val="28"/>
          <w:szCs w:val="28"/>
          <w:rtl w:val="true"/>
          <w:lang w:bidi="ar-SA"/>
        </w:rPr>
        <w:t xml:space="preserve">يستحب التسمية على الغسل ؛ للمستفيضة الدالّة عليه كرواية جابر الجعفي ،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أحدكم أو أكل أو شرب أو لبس ثوبا أو كلّ شي‌ء يصنع ينبغي أن يسمّي عليه ، فإن هو لم يفعل كان الشيطان فيه شريكا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قويّة الفضيل </w:t>
      </w:r>
      <w:r>
        <w:rPr>
          <w:rStyle w:val="FootnoteAnchor"/>
          <w:rtl w:val="true"/>
        </w:rPr>
        <w:footnoteReference w:id="521"/>
      </w:r>
      <w:r>
        <w:rPr>
          <w:rFonts w:ascii="Amiri" w:hAnsi="Amiri" w:eastAsia="Amiri" w:cs="Amiri"/>
          <w:color w:val="111111"/>
          <w:sz w:val="28"/>
          <w:sz w:val="28"/>
          <w:szCs w:val="28"/>
          <w:rtl w:val="true"/>
          <w:lang w:bidi="ar-SA"/>
        </w:rPr>
        <w:t>، 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قوية العلّامة عن </w:t>
      </w:r>
      <w:r>
        <w:rPr>
          <w:rStyle w:val="FootnoteAnchor"/>
          <w:rtl w:val="true"/>
        </w:rPr>
        <w:footnoteReference w:id="522"/>
      </w:r>
      <w:r>
        <w:rPr>
          <w:rFonts w:ascii="Amiri" w:hAnsi="Amiri" w:eastAsia="Amiri" w:cs="Amiri"/>
          <w:color w:val="111111"/>
          <w:sz w:val="28"/>
          <w:sz w:val="28"/>
          <w:szCs w:val="28"/>
          <w:rtl w:val="true"/>
          <w:lang w:bidi="ar-SA"/>
        </w:rPr>
        <w:t xml:space="preserve">الفضيل عنه </w:t>
      </w:r>
      <w:r>
        <w:rPr>
          <w:rStyle w:val="FootnoteAnchor"/>
          <w:rtl w:val="true"/>
        </w:rPr>
        <w:footnoteReference w:id="523"/>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نحوها مرسلا في مكارم الأخلاق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استحباب التسمية في المقام شيخنا المفيد والقاضي ، وحكي عن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وتسمّي بذكر اللّه قبل إدخال يدك إلى الإناء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تقديم التسمية على إدخال اليد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حصول الوظيفة بتأخيره أيضا إذا قارن بها أوّل أفعاله الواجبة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ذكر كثير من الأصحاب لاستحبابه </w:t>
      </w:r>
      <w:r>
        <w:rPr>
          <w:rStyle w:val="FootnoteAnchor"/>
          <w:rtl w:val="true"/>
        </w:rPr>
        <w:footnoteReference w:id="525"/>
      </w:r>
      <w:r>
        <w:rPr>
          <w:rFonts w:ascii="Amiri" w:hAnsi="Amiri" w:eastAsia="Amiri" w:cs="Amiri"/>
          <w:color w:val="111111"/>
          <w:sz w:val="28"/>
          <w:sz w:val="28"/>
          <w:szCs w:val="28"/>
          <w:rtl w:val="true"/>
          <w:lang w:bidi="ar-SA"/>
        </w:rPr>
        <w:t>في المقام لا يفيد تأمّلهم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لم ينبّهوا عليه ؛ لخلو الأخبار المعروفة منه بالخصوص أو لاتّكالهم على ذكره في الوضوء ؛ تنبيها بالأدنى </w:t>
      </w:r>
    </w:p>
    <w:p>
      <w:pPr>
        <w:pStyle w:val="BookText"/>
        <w:rPr/>
      </w:pPr>
      <w:r>
        <w:rPr>
          <w:rFonts w:ascii="Amiri" w:hAnsi="Amiri" w:eastAsia="Amiri" w:cs="Amiri"/>
          <w:color w:val="111111"/>
          <w:sz w:val="28"/>
          <w:sz w:val="28"/>
          <w:szCs w:val="28"/>
          <w:rtl w:val="true"/>
          <w:lang w:bidi="ar-SA"/>
        </w:rPr>
        <w:t xml:space="preserve">وربّما يقال بحمل </w:t>
      </w:r>
      <w:r>
        <w:rPr>
          <w:rStyle w:val="FootnoteAnchor"/>
          <w:rtl w:val="true"/>
        </w:rPr>
        <w:footnoteReference w:id="526"/>
      </w:r>
      <w:r>
        <w:rPr>
          <w:rFonts w:ascii="Amiri" w:hAnsi="Amiri" w:eastAsia="Amiri" w:cs="Amiri"/>
          <w:color w:val="111111"/>
          <w:sz w:val="28"/>
          <w:sz w:val="28"/>
          <w:szCs w:val="28"/>
          <w:rtl w:val="true"/>
          <w:lang w:bidi="ar-SA"/>
        </w:rPr>
        <w:t>ما دلّ على الاكتفاء بأقل من ذلك عليه ترجيحا لجانب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من سياق تلك الأخبار ، سيّما ما دلّ على الاكتفاء بنصف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يدك اليمنى من المرفق إلى أصابعك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تعطي الاكتفاء بغسل اليمنى خاصّة من المرفق ، فيجوز في غسلها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قضيّة كثير من الإطلاقات الاكتفاء بالمرّة في حصول الوظيفة إلّا أنّ الوارد في المستفيضة تعيّن الثلاث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يفرغ الرجل على يده قبل أن يدخلها الاناء؟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واحدة من حدث البول وثنتان من الغائط وثلاث من الجنابة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فربّما يقال إذن بحمل </w:t>
      </w:r>
      <w:r>
        <w:rPr>
          <w:rStyle w:val="FootnoteAnchor"/>
          <w:rtl w:val="true"/>
        </w:rPr>
        <w:footnoteReference w:id="529"/>
      </w:r>
      <w:r>
        <w:rPr>
          <w:rFonts w:ascii="IRNazanin" w:hAnsi="IRNazanin" w:eastAsia="IRNazanin"/>
          <w:color w:val="111111"/>
          <w:sz w:val="28"/>
          <w:sz w:val="28"/>
          <w:szCs w:val="28"/>
          <w:rtl w:val="true"/>
          <w:lang w:bidi="fa-IR"/>
        </w:rPr>
        <w:t xml:space="preserve">الإطلاق </w:t>
      </w:r>
      <w:r>
        <w:rPr>
          <w:rStyle w:val="FootnoteAnchor"/>
          <w:rtl w:val="true"/>
        </w:rPr>
        <w:footnoteReference w:id="530"/>
      </w:r>
      <w:r>
        <w:rPr>
          <w:rFonts w:ascii="Amiri" w:hAnsi="Amiri" w:eastAsia="Amiri" w:cs="Amiri"/>
          <w:color w:val="111111"/>
          <w:sz w:val="28"/>
          <w:sz w:val="28"/>
          <w:szCs w:val="28"/>
          <w:rtl w:val="true"/>
          <w:lang w:bidi="ar-SA"/>
        </w:rPr>
        <w:t>على المقيّد لكنّ البناء على جواز الوجهين وأرجحيّة الأخير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استحباب الغسل بالأواني المتّسعة الرؤوس كالطشوت ونحوها ممّا يدخل اليد فيها أو يعمّ غيرها من الأواني الّتي يصبّ </w:t>
      </w:r>
      <w:r>
        <w:rPr>
          <w:rStyle w:val="FootnoteAnchor"/>
          <w:rtl w:val="true"/>
        </w:rPr>
        <w:footnoteReference w:id="531"/>
      </w:r>
      <w:r>
        <w:rPr>
          <w:rFonts w:ascii="IRNazanin" w:hAnsi="IRNazanin" w:eastAsia="IRNazanin"/>
          <w:color w:val="111111"/>
          <w:sz w:val="28"/>
          <w:sz w:val="28"/>
          <w:szCs w:val="28"/>
          <w:rtl w:val="true"/>
          <w:lang w:bidi="fa-IR"/>
        </w:rPr>
        <w:t>الماء منها؟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في جريانه بالنسبة إلى سائر المياه المعتصمة كالكر والجاري ونحوهما من ورود بعض الأخبار في الأوّل ، فيحمل إطلاق غيرها عليه حملا للمطلق على المقيّد ، ومن أن إطلاق تلك الأخبار يعطي إطلاق الحكم ، وأنّه من وظائف الغسل ، وليس في غيرها دلالة على انتفاء الحكم من غير مواردها ، غاية الأمر أن لا يدلّ على استحباب غيرها ، فليس هناك تقييد في الحكم ليحمل الإطلاقات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فالأوجه إبقاء الإطلاقات على ظواهرها ، والحكم بإطلاق التوظيف في الصور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 واستحسنه في الذخيرة</w:t>
      </w:r>
      <w:r>
        <w:rPr>
          <w:rFonts w:eastAsia="Amiri" w:cs="Amiri" w:ascii="Amiri" w:hAnsi="Amiri"/>
          <w:color w:val="111111"/>
          <w:sz w:val="28"/>
          <w:szCs w:val="28"/>
          <w:rtl w:val="true"/>
          <w:lang w:bidi="ar-SA"/>
        </w:rPr>
        <w:t xml:space="preserve">. </w:t>
      </w:r>
      <w:bookmarkStart w:id="166" w:name="pg15839_360734"/>
    </w:p>
    <w:p>
      <w:pPr>
        <w:pStyle w:val="Heading5"/>
        <w:numPr>
          <w:ilvl w:val="4"/>
          <w:numId w:val="1"/>
        </w:numPr>
        <w:rPr/>
      </w:pPr>
      <w:bookmarkStart w:id="167" w:name="__RefHeading___Toc14338419_2142443653"/>
      <w:bookmarkStart w:id="168" w:name="_Toc62"/>
      <w:bookmarkEnd w:id="166"/>
      <w:bookmarkEnd w:id="167"/>
      <w:r>
        <w:rPr>
          <w:rtl w:val="true"/>
        </w:rPr>
        <w:t>تبصرة</w:t>
      </w:r>
      <w:r>
        <w:rPr>
          <w:rtl w:val="true"/>
        </w:rPr>
        <w:t xml:space="preserve">: [ </w:t>
      </w:r>
      <w:r>
        <w:rPr>
          <w:rtl w:val="true"/>
        </w:rPr>
        <w:t xml:space="preserve">في غسل اليد قبل إدخالها في الإناء </w:t>
      </w:r>
      <w:r>
        <w:rPr>
          <w:rtl w:val="true"/>
        </w:rPr>
        <w:t>]</w:t>
      </w:r>
      <w:bookmarkEnd w:id="168"/>
    </w:p>
    <w:p>
      <w:pPr>
        <w:pStyle w:val="BookText"/>
        <w:rPr/>
      </w:pPr>
      <w:r>
        <w:rPr>
          <w:rFonts w:ascii="Amiri" w:hAnsi="Amiri" w:eastAsia="Amiri" w:cs="Amiri"/>
          <w:color w:val="111111"/>
          <w:sz w:val="28"/>
          <w:sz w:val="28"/>
          <w:szCs w:val="28"/>
          <w:rtl w:val="true"/>
          <w:lang w:bidi="ar-SA"/>
        </w:rPr>
        <w:t>يستحب غسل اليدين قبل إدخالهما في الإناء مع طهارتهما بلا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به مستفيضة إلّا أنّ في بعضها ذكر اليد مفردة ، وفي بعضها ثنتاه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على حمل الأوّل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بعضها ذكر غسل اليمنى بالخصوص ، وهو لا يمنع من استحباب غسل الأخرى إلّا أنّ المستفاد منها جواز الاقتصار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 فيكون غسلهما معا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المغسول منهما هو مقدار الكفّ إلى الزند للحكم بغسل الكفّ أو الكفين في كثير من تلك الأخبار ، وهو لا يشمل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عليهم‌السلام الواردة في كيفيّة غسل الميّت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يديه ثلاث مرّات كما يغسل الانسان من الجنابة إلى نصف الذراع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بناء على تعلّق المجرور إلى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بتعلّقه بالأوّل ففي دلالته على ذلك إشكال ؛ لاحتمال كون التثنية إذن في مطلق التثليث إلّا أن يقال بدلالة عموم التثنية عليه ، فالظاهر إذن حمل ذلك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يبدأ بغسل يديه إلى المرفقين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محمول على زيادة الفضل ، فهناك مراتب ثلاث في تعيين المقدار المغسول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الأعلى كما أشار إليه في الذكرى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ذكره سبحانه في حال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اللّه على غسله وعند وضوئه طهر جسده كلّه ، ومن لم يذكر اللّه طهر من جسده ما أصاب الماء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شموله للدعاء ، وقد روي دعوات عديدة للغسل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536"/>
      </w:r>
      <w:r>
        <w:rPr>
          <w:rFonts w:ascii="Amiri" w:hAnsi="Amiri" w:eastAsia="Amiri" w:cs="Amiri"/>
          <w:color w:val="111111"/>
          <w:sz w:val="28"/>
          <w:sz w:val="28"/>
          <w:szCs w:val="28"/>
          <w:rtl w:val="true"/>
          <w:lang w:bidi="ar-SA"/>
        </w:rPr>
        <w:t xml:space="preserve">طهّر قلبى واشرح لي صدري وأجر لساني مدحتك والثناء عليك ، اللّهم اجعله لي طهورا وشفاء ونورا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الدعاء بعد الفراغ من الغسل بما ذكره الشهيد في النفلية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طهّر قلبي وزكّ عملي وتقبّل سعيي واجعل ما عندك خيرا لي اللّهم اجعلني من التوابين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المفيد رحمه‌اللّه في المقنعة </w:t>
      </w:r>
      <w:r>
        <w:rPr>
          <w:rStyle w:val="FootnoteAnchor"/>
          <w:rtl w:val="true"/>
        </w:rPr>
        <w:footnoteReference w:id="539"/>
      </w:r>
      <w:r>
        <w:rPr>
          <w:rFonts w:ascii="Amiri" w:hAnsi="Amiri" w:eastAsia="Amiri" w:cs="Amiri"/>
          <w:color w:val="111111"/>
          <w:sz w:val="28"/>
          <w:sz w:val="28"/>
          <w:szCs w:val="28"/>
          <w:rtl w:val="true"/>
          <w:lang w:bidi="ar-SA"/>
        </w:rPr>
        <w:t xml:space="preserve">أيضا لكن 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سعيي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من جنابة فقل </w:t>
      </w:r>
      <w:r>
        <w:rPr>
          <w:rFonts w:eastAsia="Amiri" w:cs="Amiri" w:ascii="Amiri" w:hAnsi="Amiri"/>
          <w:color w:val="111111"/>
          <w:sz w:val="28"/>
          <w:szCs w:val="28"/>
          <w:rtl w:val="true"/>
          <w:lang w:bidi="ar-SA"/>
        </w:rPr>
        <w:t xml:space="preserve">.. » </w:t>
      </w:r>
      <w:r>
        <w:rPr>
          <w:rStyle w:val="FootnoteAnchor"/>
          <w:rtl w:val="true"/>
        </w:rPr>
        <w:footnoteReference w:id="540"/>
      </w:r>
      <w:r>
        <w:rPr>
          <w:rFonts w:ascii="Amiri" w:hAnsi="Amiri" w:eastAsia="Amiri" w:cs="Amiri"/>
          <w:color w:val="111111"/>
          <w:sz w:val="28"/>
          <w:sz w:val="28"/>
          <w:szCs w:val="28"/>
          <w:rtl w:val="true"/>
          <w:lang w:bidi="ar-SA"/>
        </w:rPr>
        <w:t xml:space="preserve">وذكر الدعاء بإسقاط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واردة في خصوص غسل الجنابة لكنّها غير صريحة في كون الدعاء بعد الغسل وإن كان ظاهر لفظها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المضمضة والاستنشاق وتجزيه المرّة في كلّ منهما ، والأفضل تثليثهما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يتمضمض ويستنشق ثلاثا ، ويروى مرّة مرّة تجزيه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عدّة أخبار من نفي المضمضة والاستنشاق في الغسل محمول على نفي وجوبهما ؛ لما توهّمه بعض العامّة أو المراد أنّهما ليسا من أفعال الغسل وإن استحبّا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إليه ما في الفقه </w:t>
      </w:r>
      <w:r>
        <w:rPr>
          <w:rStyle w:val="FootnoteAnchor"/>
          <w:rtl w:val="true"/>
        </w:rPr>
        <w:footnoteReference w:id="5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يفعل فغسله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فرق في استحبابهما بين الغسل الترتيبي والارتماسي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الاستظهار والمبالغة في غسل الأعضاء لحصول مزيد الاطمئنان بأداء الواجب ، وقد دلّ عبارة الفقه على رجحان الاستظهار فيه إذا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النساء الأمر بمبالغتهنّ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تخصيصهن بالذكر من جهة شعور رءوسهنّ أو لوقوع المسامحة منهنّ أكثر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جماعة من الأصحاب باستحباب تخليل ما لا يمنع من وصول الماء ، وربّما يستفاد ذلك من ظاهر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الشعر خفيفا و </w:t>
      </w:r>
      <w:r>
        <w:rPr>
          <w:rStyle w:val="FootnoteAnchor"/>
          <w:rtl w:val="true"/>
        </w:rPr>
        <w:footnoteReference w:id="544"/>
      </w:r>
      <w:r>
        <w:rPr>
          <w:rFonts w:ascii="Amiri" w:hAnsi="Amiri" w:eastAsia="Amiri" w:cs="Amiri"/>
          <w:color w:val="111111"/>
          <w:sz w:val="28"/>
          <w:sz w:val="28"/>
          <w:szCs w:val="28"/>
          <w:rtl w:val="true"/>
          <w:lang w:bidi="ar-SA"/>
        </w:rPr>
        <w:t>لا يمنع استحب تخليله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أيضا إمرار اليد على الجسد لما فيه من زيادة الاطمئنان لوصول الماء إلى الأعضاء ، وللإجماع المحكيّ عليه في الخلاف والتذكرة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اختيار علماء </w:t>
      </w:r>
      <w:r>
        <w:rPr>
          <w:rStyle w:val="FootnoteAnchor"/>
          <w:rtl w:val="true"/>
        </w:rPr>
        <w:footnoteReference w:id="547"/>
      </w:r>
      <w:r>
        <w:rPr>
          <w:rFonts w:ascii="Amiri" w:hAnsi="Amiri" w:eastAsia="Amiri" w:cs="Amiri"/>
          <w:color w:val="111111"/>
          <w:sz w:val="28"/>
          <w:sz w:val="28"/>
          <w:szCs w:val="28"/>
          <w:rtl w:val="true"/>
          <w:lang w:bidi="ar-SA"/>
        </w:rPr>
        <w:t>أهل البيت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الزيادة المذكورة في كتاب المسائل في رواية عليّ بن جعفر ، عن أخيه عليه‌السلام المرويّة صحيحا في التهذيب </w:t>
      </w:r>
      <w:r>
        <w:rPr>
          <w:rStyle w:val="FootnoteAnchor"/>
          <w:rtl w:val="true"/>
        </w:rPr>
        <w:footnoteReference w:id="549"/>
      </w:r>
      <w:r>
        <w:rPr>
          <w:rFonts w:ascii="Amiri" w:hAnsi="Amiri" w:eastAsia="Amiri" w:cs="Amiri"/>
          <w:color w:val="111111"/>
          <w:sz w:val="28"/>
          <w:sz w:val="28"/>
          <w:szCs w:val="28"/>
          <w:rtl w:val="true"/>
          <w:lang w:bidi="ar-SA"/>
        </w:rPr>
        <w:t xml:space="preserve">وغيره الواردة في اغتسال الجنب بالوقوف تحت المطر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ينبغي له أن يتمضمض ويستنشق ، ويمرّ يده على ماء ثالث من جسده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ويومي إليه فحوى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رجلا ارتمس في الماء ارتماسة واحدة أجزأ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ذلك وإن لم يدلك جسده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ظاهر الفقه الرضوي دلالة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الغسل بصاع للمستفيضة الدالّة عليه والإجماع المنقول ، ولا يجب ذلك بإجماع علمائنا ، وحكي عن أبي حنيفة القول بوجوبه ، والروايات من طرقنا ناصّة على خلافه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عدّة </w:t>
      </w:r>
      <w:r>
        <w:rPr>
          <w:rStyle w:val="FootnoteAnchor"/>
          <w:rtl w:val="true"/>
        </w:rPr>
        <w:footnoteReference w:id="553"/>
      </w:r>
      <w:r>
        <w:rPr>
          <w:rFonts w:ascii="Amiri" w:hAnsi="Amiri" w:eastAsia="Amiri" w:cs="Amiri"/>
          <w:color w:val="111111"/>
          <w:sz w:val="28"/>
          <w:sz w:val="28"/>
          <w:szCs w:val="28"/>
          <w:rtl w:val="true"/>
          <w:lang w:bidi="ar-SA"/>
        </w:rPr>
        <w:t>أخبار الاكتفاء بصاع ومدّ لغسل الرجل وزوجته إذا اغتسلا معا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ذلك في صحيحة الفضلاء ، عن الصادقين عليهما‌السلام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رسول اللّه صلى‌اللّه‌عليه‌وآله بمدّ واغتسل بصاع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هو وزوجته بخمسة أمداد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هو فضرب يده في الماء </w:t>
      </w:r>
      <w:r>
        <w:rPr>
          <w:rStyle w:val="FootnoteAnchor"/>
          <w:rtl w:val="true"/>
        </w:rPr>
        <w:footnoteReference w:id="555"/>
      </w:r>
      <w:r>
        <w:rPr>
          <w:rFonts w:ascii="Amiri" w:hAnsi="Amiri" w:eastAsia="Amiri" w:cs="Amiri"/>
          <w:color w:val="111111"/>
          <w:sz w:val="28"/>
          <w:sz w:val="28"/>
          <w:szCs w:val="28"/>
          <w:rtl w:val="true"/>
          <w:lang w:bidi="ar-SA"/>
        </w:rPr>
        <w:t xml:space="preserve">قبلها وأنقى فرجه ، ثمّ ضربت هي فأنقت فرجها ، ثمّ أفاض هو وأفاضت هي </w:t>
      </w:r>
      <w:r>
        <w:rPr>
          <w:rStyle w:val="FootnoteAnchor"/>
          <w:rtl w:val="true"/>
        </w:rPr>
        <w:footnoteReference w:id="556"/>
      </w:r>
      <w:r>
        <w:rPr>
          <w:rFonts w:ascii="Amiri" w:hAnsi="Amiri" w:eastAsia="Amiri" w:cs="Amiri"/>
          <w:color w:val="111111"/>
          <w:sz w:val="28"/>
          <w:sz w:val="28"/>
          <w:szCs w:val="28"/>
          <w:rtl w:val="true"/>
          <w:lang w:bidi="ar-SA"/>
        </w:rPr>
        <w:t xml:space="preserve">على نفسها حتّى فرغا فكان الّذي اغتسل به </w:t>
      </w:r>
    </w:p>
    <w:p>
      <w:pPr>
        <w:pStyle w:val="BookText"/>
        <w:rPr/>
      </w:pPr>
      <w:r>
        <w:rPr>
          <w:rFonts w:ascii="Amiri" w:hAnsi="Amiri" w:eastAsia="Amiri" w:cs="Amiri"/>
          <w:color w:val="111111"/>
          <w:sz w:val="28"/>
          <w:sz w:val="28"/>
          <w:szCs w:val="28"/>
          <w:rtl w:val="true"/>
          <w:lang w:bidi="ar-SA"/>
        </w:rPr>
        <w:t xml:space="preserve">رسول اللّه صلى‌اللّه‌عليه‌وآله ثلاثة أمداد والّذي اغتسلت به مدّين ، وإنّما أجزأ فيهما </w:t>
      </w:r>
      <w:r>
        <w:rPr>
          <w:rStyle w:val="FootnoteAnchor"/>
          <w:rtl w:val="true"/>
        </w:rPr>
        <w:footnoteReference w:id="557"/>
      </w:r>
      <w:r>
        <w:rPr>
          <w:rFonts w:ascii="Amiri" w:hAnsi="Amiri" w:eastAsia="Amiri" w:cs="Amiri"/>
          <w:color w:val="111111"/>
          <w:sz w:val="28"/>
          <w:sz w:val="28"/>
          <w:szCs w:val="28"/>
          <w:rtl w:val="true"/>
          <w:lang w:bidi="ar-SA"/>
        </w:rPr>
        <w:t xml:space="preserve">لأنّهما اشتركا جميعا ، ومن انفرد بالغسل وحده فلا بدّ له من صاع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الأخير محمول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المستحب هو البلوغ إلى هذا المقدار لستة الأسباع وإن زاد على المقدار المفروض أو أنّ المعتبر هو ذلك المقدار من دون زيادة عليه ولا نقيصة؟ وجهان ، فظاهر جماعة من الأصحاب هو الثاني كما يستظهر ذلك من التحديد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الفاضلان على الأوّل ، وظاهر كلامهما دعوى الإجماع عليه ، قال في المعتبر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بصاع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فقهائنا في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المنتهى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بصاع فما زاد مستحب عند علمائنا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وأسند ذلك في الذكرى </w:t>
      </w:r>
      <w:r>
        <w:rPr>
          <w:rStyle w:val="FootnoteAnchor"/>
          <w:rtl w:val="true"/>
        </w:rPr>
        <w:footnoteReference w:id="561"/>
      </w:r>
      <w:r>
        <w:rPr>
          <w:rFonts w:ascii="Amiri" w:hAnsi="Amiri" w:eastAsia="Amiri" w:cs="Amiri"/>
          <w:color w:val="111111"/>
          <w:sz w:val="28"/>
          <w:sz w:val="28"/>
          <w:szCs w:val="28"/>
          <w:rtl w:val="true"/>
          <w:lang w:bidi="ar-SA"/>
        </w:rPr>
        <w:t xml:space="preserve">إلى الشيخ وجماعة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مقيّد بعدم أدائه إلى السرف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الظاهر من الاغتسال بصاع وقوع الغسل بالمقدار المفروض ، فلا يندرج فيه بحسب ظاهر اللفظ ما يزيد عليه ، وإطلاق لفظ الصاع على الصاع فما زاد مجاز لا داعي إلى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يستفاد ذلك من الفحوى حيث إنّ المقصود به الصاع وهو كما يحصل بذلك يحصل بما فوقه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الوضوء مدّ والغسل صاع ، وسيأتي أقوام </w:t>
      </w:r>
    </w:p>
    <w:p>
      <w:pPr>
        <w:pStyle w:val="BookText"/>
        <w:rPr/>
      </w:pPr>
      <w:r>
        <w:rPr>
          <w:rFonts w:ascii="Amiri" w:hAnsi="Amiri" w:eastAsia="Amiri" w:cs="Amiri"/>
          <w:color w:val="111111"/>
          <w:sz w:val="28"/>
          <w:sz w:val="28"/>
          <w:szCs w:val="28"/>
          <w:rtl w:val="true"/>
          <w:lang w:bidi="ar-SA"/>
        </w:rPr>
        <w:t xml:space="preserve">بعدي يستقلّون ذلك فأولئك على خلاف سنّتي ، والثابت على سنّتى معي في حظيرة القدس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منه كراهة الزيادة إلّا أنّ مفادها ما إذا استعمل ذلك لا ما إذا حصلت على سبيل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فحصول الحسنة مع الزيادة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يندرج فيه ماء الاستنجاء وغيره من الأداة؟ ظاهر صحيحة المعتضدة المتقدمة وغيرها ذلك ، ويحتمل التفصيل بين ما يقارن الفعل ويدرج في أفعال الغسل وما يفارقها كما إذا استنجى </w:t>
      </w:r>
      <w:r>
        <w:rPr>
          <w:rStyle w:val="FootnoteAnchor"/>
          <w:rtl w:val="true"/>
        </w:rPr>
        <w:footnoteReference w:id="563"/>
      </w:r>
      <w:r>
        <w:rPr>
          <w:rFonts w:ascii="Amiri" w:hAnsi="Amiri" w:eastAsia="Amiri" w:cs="Amiri"/>
          <w:color w:val="111111"/>
          <w:sz w:val="28"/>
          <w:sz w:val="28"/>
          <w:szCs w:val="28"/>
          <w:rtl w:val="true"/>
          <w:lang w:bidi="ar-SA"/>
        </w:rPr>
        <w:t>أولا ثمّ اغتسل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إزالة سائر النجاسات من البدن فالظاهر خروجها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بناء الأمر في ذلك على التخمين دون التحقيق ، سيّما مع البناء على نفي الاستحباب مع الزيادة ؛ إذ لا يصحّ العلم به إذن إلّا بالوزن أو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باعتبارهما في أداء السنّة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غسل الجنابة وغيرها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اعتبار الزيادة عليه في غسل الحيض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عن محمّد بن الفضيل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الحائض كم يكفيها من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مكيال معروف بالمدينة تسع ستة عشر رجلا يكون ثلاثة أصواع ، وعلى هذا فالبون بعيد بين هذا الغسل وغيرها من الأغسال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66"/>
      </w:r>
      <w:r>
        <w:rPr>
          <w:rFonts w:ascii="Amiri" w:hAnsi="Amiri" w:eastAsia="Amiri" w:cs="Amiri"/>
          <w:color w:val="111111"/>
          <w:sz w:val="28"/>
          <w:sz w:val="28"/>
          <w:szCs w:val="28"/>
          <w:rtl w:val="true"/>
          <w:lang w:bidi="ar-SA"/>
        </w:rPr>
        <w:t>يكره الاستعانة في الغسل على نحو ما مرّ في الوضوء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يكره الوضوء بالماء المسخن في الشمس بالتفصيل الّذي مرّ بيانه ، وكذا يكره عمله</w:t>
      </w:r>
      <w:r>
        <w:rPr>
          <w:rFonts w:eastAsia="Amiri" w:cs="Amiri" w:ascii="Amiri" w:hAnsi="Amiri"/>
          <w:color w:val="111111"/>
          <w:sz w:val="28"/>
          <w:szCs w:val="28"/>
          <w:rtl w:val="true"/>
          <w:lang w:bidi="ar-SA"/>
        </w:rPr>
        <w:t xml:space="preserve">. </w:t>
      </w:r>
      <w:bookmarkStart w:id="169" w:name="pg15839_360740"/>
    </w:p>
    <w:p>
      <w:pPr>
        <w:pStyle w:val="Heading4"/>
        <w:numPr>
          <w:ilvl w:val="3"/>
          <w:numId w:val="1"/>
        </w:numPr>
        <w:rPr/>
      </w:pPr>
      <w:bookmarkStart w:id="170" w:name="__RefHeading___Toc14338421_2142443653"/>
      <w:bookmarkStart w:id="171" w:name="_Toc63"/>
      <w:bookmarkEnd w:id="169"/>
      <w:bookmarkEnd w:id="170"/>
      <w:r>
        <w:rPr>
          <w:rtl w:val="true"/>
        </w:rPr>
        <w:t>البحث</w:t>
      </w:r>
      <w:r>
        <w:rPr>
          <w:rtl w:val="true"/>
        </w:rPr>
        <w:t xml:space="preserve">: </w:t>
      </w:r>
      <w:r>
        <w:rPr>
          <w:rtl w:val="true"/>
        </w:rPr>
        <w:t>في بيان الأغسال المسنونة</w:t>
      </w:r>
      <w:bookmarkEnd w:id="171"/>
    </w:p>
    <w:p>
      <w:pPr>
        <w:pStyle w:val="Heading5"/>
        <w:numPr>
          <w:ilvl w:val="4"/>
          <w:numId w:val="1"/>
        </w:numPr>
        <w:rPr/>
      </w:pPr>
      <w:bookmarkStart w:id="172" w:name="__RefHeading___Toc14338423_2142443653"/>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وهي إمّا زمانيّة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إمّا غائيّة أو سببيّة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والأقوال إمّا أن يكون غايتها دخول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أقسام أربعة</w:t>
      </w:r>
      <w:r>
        <w:rPr>
          <w:rFonts w:eastAsia="Amiri" w:cs="Amiri" w:ascii="Amiri" w:hAnsi="Amiri"/>
          <w:color w:val="111111"/>
          <w:sz w:val="28"/>
          <w:szCs w:val="28"/>
          <w:rtl w:val="true"/>
          <w:lang w:bidi="ar-SA"/>
        </w:rPr>
        <w:t xml:space="preserve">. </w:t>
      </w:r>
      <w:bookmarkStart w:id="174" w:name="pg15839_360741"/>
    </w:p>
    <w:p>
      <w:pPr>
        <w:pStyle w:val="Heading5"/>
        <w:numPr>
          <w:ilvl w:val="4"/>
          <w:numId w:val="1"/>
        </w:numPr>
        <w:rPr/>
      </w:pPr>
      <w:bookmarkStart w:id="175" w:name="__RefHeading___Toc14338425_2142443653"/>
      <w:bookmarkStart w:id="176" w:name="_Toc65"/>
      <w:bookmarkEnd w:id="174"/>
      <w:bookmarkEnd w:id="175"/>
      <w:r>
        <w:rPr>
          <w:rtl w:val="true"/>
        </w:rPr>
        <w:t>تبصرة</w:t>
      </w:r>
      <w:r>
        <w:rPr>
          <w:rtl w:val="true"/>
        </w:rPr>
        <w:t xml:space="preserve">: [ </w:t>
      </w:r>
      <w:r>
        <w:rPr>
          <w:rtl w:val="true"/>
        </w:rPr>
        <w:t xml:space="preserve">في غسل الجمعة </w:t>
      </w:r>
      <w:r>
        <w:rPr>
          <w:rtl w:val="true"/>
        </w:rPr>
        <w:t>]</w:t>
      </w:r>
      <w:bookmarkEnd w:id="176"/>
    </w:p>
    <w:p>
      <w:pPr>
        <w:pStyle w:val="BookText"/>
        <w:rPr/>
      </w:pPr>
      <w:r>
        <w:rPr>
          <w:rFonts w:ascii="Amiri" w:hAnsi="Amiri" w:eastAsia="Amiri" w:cs="Amiri"/>
          <w:color w:val="111111"/>
          <w:sz w:val="28"/>
          <w:sz w:val="28"/>
          <w:szCs w:val="28"/>
          <w:rtl w:val="true"/>
          <w:lang w:bidi="ar-SA"/>
        </w:rPr>
        <w:t>من الأغسال الزمانيّة غسل الجمعة ، ورجحانه في الجملة ممّا قام عليه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 بين آتي الجمعة وغيره عند أصحابنا ، ولبعض العامّة قول باختصاصه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بإجماعنا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بين الأصحاب هو استحبابها ، بل لا يظهر فيه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زمن المفيد إلى ما بعد زمن الشهيد الثاني ، بل ولا يعلم فيه مخالف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تقدّم على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يعزى إلى الكليني </w:t>
      </w:r>
      <w:r>
        <w:rPr>
          <w:rStyle w:val="FootnoteAnchor"/>
          <w:rtl w:val="true"/>
        </w:rPr>
        <w:footnoteReference w:id="568"/>
      </w:r>
      <w:r>
        <w:rPr>
          <w:rFonts w:ascii="Amiri" w:hAnsi="Amiri" w:eastAsia="Amiri" w:cs="Amiri"/>
          <w:color w:val="111111"/>
          <w:sz w:val="28"/>
          <w:sz w:val="28"/>
          <w:szCs w:val="28"/>
          <w:rtl w:val="true"/>
          <w:lang w:bidi="ar-SA"/>
        </w:rPr>
        <w:t xml:space="preserve">والصدوقين </w:t>
      </w:r>
      <w:r>
        <w:rPr>
          <w:rStyle w:val="FootnoteAnchor"/>
          <w:rtl w:val="true"/>
        </w:rPr>
        <w:footnoteReference w:id="569"/>
      </w:r>
      <w:r>
        <w:rPr>
          <w:rFonts w:ascii="Amiri" w:hAnsi="Amiri" w:eastAsia="Amiri" w:cs="Amiri"/>
          <w:color w:val="111111"/>
          <w:sz w:val="28"/>
          <w:sz w:val="28"/>
          <w:szCs w:val="28"/>
          <w:rtl w:val="true"/>
          <w:lang w:bidi="ar-SA"/>
        </w:rPr>
        <w:t>القول بالوجوب لعقده الباب في الكافي بعنوان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الصدوق </w:t>
      </w:r>
      <w:r>
        <w:rPr>
          <w:rStyle w:val="FootnoteAnchor"/>
          <w:rtl w:val="true"/>
        </w:rPr>
        <w:footnoteReference w:id="57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 </w:t>
      </w:r>
      <w:r>
        <w:rPr>
          <w:rStyle w:val="FootnoteAnchor"/>
          <w:rtl w:val="true"/>
        </w:rPr>
        <w:footnoteReference w:id="571"/>
      </w:r>
      <w:r>
        <w:rPr>
          <w:rFonts w:ascii="Amiri" w:hAnsi="Amiri" w:eastAsia="Amiri" w:cs="Amiri"/>
          <w:color w:val="111111"/>
          <w:sz w:val="28"/>
          <w:sz w:val="28"/>
          <w:szCs w:val="28"/>
          <w:rtl w:val="true"/>
          <w:lang w:bidi="ar-SA"/>
        </w:rPr>
        <w:t>أنّه من السنّة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ذلك بمجرده لا يفيد ذهابهم إلى الوجوب ؛ لعدم ثبوت اصطلاحهم فيه على المعنى الجديد ، فلا يبعد حمله على إرادة مطلق الثبوت كما هو الوجه في جملة من الأخبار الواردة في المقام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وكأنّهم عبّروا به محافظة على لفظ الأخبار الواردة فيه ، وفي كلمات الصدوق إشارات على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فخلاف الجماعة فيه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متأخري المتأخرين إلى القول بالوجوب زعما دلالة الأخبار عليه مع ذهاب الجماعة المذكورين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جماعة من المتأخرين كشيخنا البهائي </w:t>
      </w:r>
      <w:r>
        <w:rPr>
          <w:rStyle w:val="FootnoteAnchor"/>
          <w:rtl w:val="true"/>
        </w:rPr>
        <w:footnoteReference w:id="572"/>
      </w:r>
      <w:r>
        <w:rPr>
          <w:rFonts w:ascii="Amiri" w:hAnsi="Amiri" w:eastAsia="Amiri" w:cs="Amiri"/>
          <w:color w:val="111111"/>
          <w:sz w:val="28"/>
          <w:sz w:val="28"/>
          <w:szCs w:val="28"/>
          <w:rtl w:val="true"/>
          <w:lang w:bidi="ar-SA"/>
        </w:rPr>
        <w:t xml:space="preserve">ومولانا التقي المجلسي وصاحب الذخيرة </w:t>
      </w:r>
      <w:r>
        <w:rPr>
          <w:rStyle w:val="FootnoteAnchor"/>
          <w:rtl w:val="true"/>
        </w:rPr>
        <w:footnoteReference w:id="57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بعد الإجماع عليه محصلا ومنقولا في كلام جماعة كالخلاف </w:t>
      </w:r>
      <w:r>
        <w:rPr>
          <w:rStyle w:val="FootnoteAnchor"/>
          <w:rtl w:val="true"/>
        </w:rPr>
        <w:footnoteReference w:id="574"/>
      </w:r>
      <w:r>
        <w:rPr>
          <w:rFonts w:ascii="Amiri" w:hAnsi="Amiri" w:eastAsia="Amiri" w:cs="Amiri"/>
          <w:color w:val="111111"/>
          <w:sz w:val="28"/>
          <w:sz w:val="28"/>
          <w:szCs w:val="28"/>
          <w:rtl w:val="true"/>
          <w:lang w:bidi="ar-SA"/>
        </w:rPr>
        <w:t xml:space="preserve">في غير موضع منه والغنية </w:t>
      </w:r>
      <w:r>
        <w:rPr>
          <w:rStyle w:val="FootnoteAnchor"/>
          <w:rtl w:val="true"/>
        </w:rPr>
        <w:footnoteReference w:id="575"/>
      </w:r>
      <w:r>
        <w:rPr>
          <w:rFonts w:ascii="Amiri" w:hAnsi="Amiri" w:eastAsia="Amiri" w:cs="Amiri"/>
          <w:color w:val="111111"/>
          <w:sz w:val="28"/>
          <w:sz w:val="28"/>
          <w:szCs w:val="28"/>
          <w:rtl w:val="true"/>
          <w:lang w:bidi="ar-SA"/>
        </w:rPr>
        <w:t xml:space="preserve">وظاهر التهذيب وشرح الجمل </w:t>
      </w:r>
      <w:r>
        <w:rPr>
          <w:rStyle w:val="FootnoteAnchor"/>
          <w:rtl w:val="true"/>
        </w:rPr>
        <w:footnoteReference w:id="576"/>
      </w:r>
      <w:r>
        <w:rPr>
          <w:rFonts w:ascii="Amiri" w:hAnsi="Amiri" w:eastAsia="Amiri" w:cs="Amiri"/>
          <w:color w:val="111111"/>
          <w:sz w:val="28"/>
          <w:sz w:val="28"/>
          <w:szCs w:val="28"/>
          <w:rtl w:val="true"/>
          <w:lang w:bidi="ar-SA"/>
        </w:rPr>
        <w:t xml:space="preserve">، ونفي الخلاف عنه في ظاهر الوسيلة </w:t>
      </w:r>
      <w:r>
        <w:rPr>
          <w:rStyle w:val="FootnoteAnchor"/>
          <w:rtl w:val="true"/>
        </w:rPr>
        <w:footnoteReference w:id="577"/>
      </w:r>
      <w:r>
        <w:rPr>
          <w:rFonts w:ascii="IRNazanin" w:hAnsi="IRNazanin" w:eastAsia="IRNazanin"/>
          <w:color w:val="111111"/>
          <w:sz w:val="28"/>
          <w:sz w:val="28"/>
          <w:szCs w:val="28"/>
          <w:rtl w:val="true"/>
          <w:lang w:bidi="fa-IR"/>
        </w:rPr>
        <w:t xml:space="preserve">والسرائر </w:t>
      </w:r>
      <w:r>
        <w:rPr>
          <w:rStyle w:val="FootnoteAnchor"/>
          <w:rtl w:val="true"/>
        </w:rPr>
        <w:footnoteReference w:id="578"/>
      </w:r>
      <w:r>
        <w:rPr>
          <w:rFonts w:ascii="Amiri" w:hAnsi="Amiri" w:eastAsia="Amiri" w:cs="Amiri"/>
          <w:color w:val="111111"/>
          <w:sz w:val="28"/>
          <w:sz w:val="28"/>
          <w:szCs w:val="28"/>
          <w:rtl w:val="true"/>
          <w:lang w:bidi="ar-SA"/>
        </w:rPr>
        <w:t>، الأصل مع عدم نهوض دليل على الوجوب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صحة الإسناد إلى الأصل لإثبات الاستحباب كما يظهر من بعض ،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الثابت بالإجماع هو القدر المشترك بين الحكمين ، ومع نفي الوجوب بالأصل ينتفي الرجحان الحاصل في ضمنه على فرضه ؛ إذ لا بقاء للجنس مع انتفاء الفصل وأصل البراءة لا يقضي بكون الرجحان الثابت هو الحاصل في ضمن الاستحباب ؛ إذ ليس شأنه إلّا نفي الحكم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أصالة البراءة ليس من شأنها إفادة الواقع ، وإنّما قضيّتها إثبات الحكم في الظاهر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ثبوت الاستحباب الظاهري بهما في المقام ؛ إذ من </w:t>
      </w:r>
      <w:r>
        <w:rPr>
          <w:rStyle w:val="FootnoteAnchor"/>
          <w:rtl w:val="true"/>
        </w:rPr>
        <w:footnoteReference w:id="579"/>
      </w:r>
      <w:r>
        <w:rPr>
          <w:rFonts w:ascii="Amiri" w:hAnsi="Amiri" w:eastAsia="Amiri" w:cs="Amiri"/>
          <w:color w:val="111111"/>
          <w:sz w:val="28"/>
          <w:sz w:val="28"/>
          <w:szCs w:val="28"/>
          <w:rtl w:val="true"/>
          <w:lang w:bidi="ar-SA"/>
        </w:rPr>
        <w:t xml:space="preserve">الحكم ببراءة الذمّة من الوجوب والقطع بحصول الرجحان فعلا كما هو معلوم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الاستحباب الظاهري ، وإن احتمل كونه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ذلك كثير منها ما إذا قطع بإتلافه أحد شيئين لغيره مع اختلافهما في القيمة ، فإنّه يحكم بضمانه لأقلّ القيمتين من جهة الأصل ، مع أن الكلام المذكور بعينه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عدّة من الروايات منها 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الجمعة والأضحى والفطر؟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وليس بفريضة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بأنّ السنّة أعم من الندب مدفوع بأنّ ظاهر السؤال وقوعه عن نفس الحكم لا عن خصوصيّة كونه ثابتا بالكتاب أو السنّة ؛ إذ لا يتعلّق به غرض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لم يكن يخفى على مثل علي بن يقطين مع جلالته ليحتاج إلى السؤال ؛ لوضوح عدم وروده في الكتاب ، وعدم توهّم أحد كونه فرضا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استحباب الغسلين الآخرين المنضمّين إليه إجماعا ، فيشهد ذلك بكون الثالث أيضا كذلك ، وأنه المراد بالسنّة ؛ لاتّحاد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أظهريّة السنّة في المندوب ، فتحمل عليه إلا أن تقوم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هذه الصحيحة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غسل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في السفر والحضر إلّا أن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على نفسه القر </w:t>
      </w:r>
      <w:r>
        <w:rPr>
          <w:rFonts w:eastAsia="IRNazanin" w:cs="IRNazanin"/>
          <w:color w:val="111111"/>
          <w:sz w:val="28"/>
          <w:szCs w:val="28"/>
          <w:rtl w:val="true"/>
          <w:lang w:bidi="fa-IR"/>
        </w:rPr>
        <w:t xml:space="preserve">» </w:t>
      </w:r>
      <w:r>
        <w:rPr>
          <w:rStyle w:val="FootnoteAnchor"/>
          <w:rtl w:val="true"/>
        </w:rPr>
        <w:footnoteReference w:id="582"/>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ويقاربهما مرسلة المفيد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الجمعة والفطر سنّة في السفر والحضر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حمزة ، عن غسل العيدين أواجب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ودلالتها على المطلوب أوضح من الأخبار السابقة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الفضل ، عن الرضا عليه‌السلام فيما كتب للمأمون من شرائع الدين غسل يوم الجمعة سنّة وعدّ عدّة من الأغسال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الأغسال سنّة ، وغسل الجنابة فريضة ، وغسل الحيض مثله </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كون السنّة فيها بمعنى النّدب مضافا إلى بعض الوجوه السابقة الحكم بكون غسل الحيض فريضة مع عدم ثبوته بالكتاب ، فيدلّ على كون الفرض فيه بمعنى الواجب ، فيكون السنّة فيه بمعنى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يونس ، عن بعض رجاله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الفرض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وغسل من مسّ ميتا وغسل الإحرام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اندراج غسل الجمعة في الباقي ؛ إذ هو من الأغسال المعروفة المتداولة أقسامه على الرجال والنساء بعد تركه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منها غسل الجمعة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والفرض من ذلك غسل الجنابة والواجب غسل الميّت والإحرام والباقي سنّة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الاستحباب ، وفيه شهادة على كون السنّة في سائر الأخبار بمعنى الندب لكشف الأخبار بعضها عن بعض وفيها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الغسل أربعة عشر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غسل واجب مفروض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 عشر غسلا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غسل الجمعة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غسل الجمعة جعل تتميما للوضوء كما جعلت النوافل تتميما </w:t>
      </w:r>
    </w:p>
    <w:p>
      <w:pPr>
        <w:pStyle w:val="BookText"/>
        <w:rPr/>
      </w:pPr>
      <w:r>
        <w:rPr>
          <w:rFonts w:ascii="Amiri" w:hAnsi="Amiri" w:eastAsia="Amiri" w:cs="Amiri"/>
          <w:color w:val="111111"/>
          <w:sz w:val="28"/>
          <w:sz w:val="28"/>
          <w:szCs w:val="28"/>
          <w:rtl w:val="true"/>
          <w:lang w:bidi="ar-SA"/>
        </w:rPr>
        <w:t xml:space="preserve">للفرائض وصيام النافلة متمما </w:t>
      </w:r>
      <w:r>
        <w:rPr>
          <w:rStyle w:val="FootnoteAnchor"/>
          <w:rtl w:val="true"/>
        </w:rPr>
        <w:footnoteReference w:id="590"/>
      </w:r>
      <w:r>
        <w:rPr>
          <w:rFonts w:ascii="Amiri" w:hAnsi="Amiri" w:eastAsia="Amiri" w:cs="Amiri"/>
          <w:color w:val="111111"/>
          <w:sz w:val="28"/>
          <w:sz w:val="28"/>
          <w:szCs w:val="28"/>
          <w:rtl w:val="true"/>
          <w:lang w:bidi="ar-SA"/>
        </w:rPr>
        <w:t xml:space="preserve">لصيام الفريضة كالقوي المتكرّر في عدّة من الأصول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غسل الجمعة واجبا؟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أتمّ صلاة الفريضة بصلاة النافلة وأتمّ صيام الفريضة بصيام النافلة وأتمّ وضوء الفريضة بغسل يوم الجمعة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وسياق الرواية كالصريح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غسل الجمعة في السفر ويجوز لها تركه في الحضر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لدلالتها على عدم وجوب الغسل عليهنّ ،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عدم وجوبه على الرجال أيضا لعدم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البختري ، عن الصادق عليه‌السلام ، عن أبيه ، عن جدّه ، عن النّبيّ صلى‌اللّه‌عليه‌وآله أنه قال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في كلّ سبعة أيام الغسل ، فاغتسل في كلّ جمعة ولو أنّك تشترى الماء بقوت يومك وتطويه ، فإنّه ليس شي‌ء من التطوع أعظم منه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 ما ذكرناه من الأخبار أيضا أخبار عدة تشهد للاستحباب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 هذه </w:t>
      </w:r>
      <w:r>
        <w:rPr>
          <w:rStyle w:val="FootnoteAnchor"/>
          <w:rtl w:val="true"/>
        </w:rPr>
        <w:footnoteReference w:id="595"/>
      </w:r>
      <w:r>
        <w:rPr>
          <w:rFonts w:ascii="Amiri" w:hAnsi="Amiri" w:eastAsia="Amiri" w:cs="Amiri"/>
          <w:color w:val="111111"/>
          <w:sz w:val="28"/>
          <w:sz w:val="28"/>
          <w:szCs w:val="28"/>
          <w:rtl w:val="true"/>
          <w:lang w:bidi="ar-SA"/>
        </w:rPr>
        <w:t>من الضعف في الإسناد مجبور بالأصل ، وحمل الأصحاب بل الإجماع واعتضاد بعضها بالبعض ، مضافا إلى أنه لو كان الغسل المذكور واجبا لما كان يخفى على آحاد الورى ؛ لعموم البلوى به وتكرّره في كلّ أسبوع ، بل كان حاله في الوجوب أوضح من غسل الجنابة مع أنّ الأمر فيه بالعكس ؛ إذ لو تنزّلنا عن دعوى الاتفاق على الندب فلا أقلّ من الشهرة العظيمة القريبة من الإجماع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 نقل الشهرة عليه في كلامهم ، وقد نصّ عليها في المختلف وكشف الالتباس </w:t>
      </w:r>
    </w:p>
    <w:p>
      <w:pPr>
        <w:pStyle w:val="BookText"/>
        <w:rPr/>
      </w:pPr>
      <w:r>
        <w:rPr>
          <w:rFonts w:ascii="Amiri" w:hAnsi="Amiri" w:eastAsia="Amiri" w:cs="Amiri"/>
          <w:color w:val="111111"/>
          <w:sz w:val="28"/>
          <w:sz w:val="28"/>
          <w:szCs w:val="28"/>
          <w:rtl w:val="true"/>
          <w:lang w:bidi="ar-SA"/>
        </w:rPr>
        <w:t>وكشف اللثام والذخيرة والبحار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ذلك كلّه لا ينبغي مجال لاحتمال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المشتملة على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الحاكمة بوجوبه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يوم الجمعة على الرجال والنساء في الحضر وعلى الرجال في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والموثّق عن غسل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في السفر والحضر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للنساء في السفر لقلّة الماء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أو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يوم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على كلّ ذكر وأنثى عبد أو حرّ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أعليهنّ غسل يوم الجمعة؟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يوم الجمعة إلا أن تكون مريضا أو تخاف على نفسك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غسل الجمعة إلا فاسق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 وهي كما ترى غير واضحة الدلالة على الوجوب ؛ لعدم صراحة لفظ الوجوب في الوجوب المصطلح ، بل ولا ظهوره فيه ، فهي بأجمعها محمولة على الندب بقرينة تلك الأخبار ، وفهم الأصحاب منها ذلك وهو كاف في المقام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اعتضادها بما عرفت من الأصل والإجماع وعمل الطائفة وغيرها ممّا مرّ</w:t>
      </w:r>
      <w:r>
        <w:rPr>
          <w:rFonts w:eastAsia="Amiri" w:cs="Amiri" w:ascii="Amiri" w:hAnsi="Amiri"/>
          <w:color w:val="111111"/>
          <w:sz w:val="28"/>
          <w:szCs w:val="28"/>
          <w:rtl w:val="true"/>
          <w:lang w:bidi="ar-SA"/>
        </w:rPr>
        <w:t xml:space="preserve">. </w:t>
      </w:r>
      <w:bookmarkStart w:id="177" w:name="pg15839_360747"/>
    </w:p>
    <w:p>
      <w:pPr>
        <w:pStyle w:val="Heading5"/>
        <w:numPr>
          <w:ilvl w:val="4"/>
          <w:numId w:val="1"/>
        </w:numPr>
        <w:rPr/>
      </w:pPr>
      <w:bookmarkStart w:id="178" w:name="__RefHeading___Toc14338427_2142443653"/>
      <w:bookmarkStart w:id="179" w:name="_Toc66"/>
      <w:bookmarkEnd w:id="177"/>
      <w:bookmarkEnd w:id="178"/>
      <w:r>
        <w:rPr>
          <w:rtl w:val="true"/>
        </w:rPr>
        <w:t>تبصرة</w:t>
      </w:r>
      <w:r>
        <w:rPr>
          <w:rtl w:val="true"/>
        </w:rPr>
        <w:t xml:space="preserve">: [ </w:t>
      </w:r>
      <w:r>
        <w:rPr>
          <w:rtl w:val="true"/>
        </w:rPr>
        <w:t xml:space="preserve">في وقت غسل الجمعة </w:t>
      </w:r>
      <w:r>
        <w:rPr>
          <w:rtl w:val="true"/>
        </w:rPr>
        <w:t>]</w:t>
      </w:r>
      <w:bookmarkEnd w:id="179"/>
    </w:p>
    <w:p>
      <w:pPr>
        <w:pStyle w:val="BookText"/>
        <w:rPr/>
      </w:pPr>
      <w:r>
        <w:rPr>
          <w:rFonts w:ascii="Amiri" w:hAnsi="Amiri" w:eastAsia="Amiri" w:cs="Amiri"/>
          <w:color w:val="111111"/>
          <w:sz w:val="28"/>
          <w:sz w:val="28"/>
          <w:szCs w:val="28"/>
          <w:rtl w:val="true"/>
          <w:lang w:bidi="ar-SA"/>
        </w:rPr>
        <w:t>الأظهر أنّ وقت غسل الجمعة من طلوع الفجر الثاني إلى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Style w:val="FootnoteAnchor"/>
          <w:rtl w:val="true"/>
        </w:rPr>
        <w:footnoteReference w:id="602"/>
      </w:r>
      <w:r>
        <w:rPr>
          <w:rFonts w:ascii="Amiri" w:hAnsi="Amiri" w:eastAsia="Amiri" w:cs="Amiri"/>
          <w:color w:val="111111"/>
          <w:sz w:val="28"/>
          <w:sz w:val="28"/>
          <w:szCs w:val="28"/>
          <w:rtl w:val="true"/>
          <w:lang w:bidi="ar-SA"/>
        </w:rPr>
        <w:t xml:space="preserve">فلا خلاف فيه بين الأصحاب ، ويدل عليه الإجماع محصّلا ومنقولا في الخلاف </w:t>
      </w:r>
      <w:r>
        <w:rPr>
          <w:rStyle w:val="FootnoteAnchor"/>
          <w:rtl w:val="true"/>
        </w:rPr>
        <w:footnoteReference w:id="603"/>
      </w:r>
      <w:r>
        <w:rPr>
          <w:rFonts w:ascii="Amiri" w:hAnsi="Amiri" w:eastAsia="Amiri" w:cs="Amiri"/>
          <w:color w:val="111111"/>
          <w:sz w:val="28"/>
          <w:sz w:val="28"/>
          <w:szCs w:val="28"/>
          <w:rtl w:val="true"/>
          <w:lang w:bidi="ar-SA"/>
        </w:rPr>
        <w:t xml:space="preserve">وغيره ، والإطلاقات وخصوص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بعد الفجر للجمعة؟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605"/>
      </w:r>
      <w:r>
        <w:rPr>
          <w:rFonts w:ascii="Amiri" w:hAnsi="Amiri" w:eastAsia="Amiri" w:cs="Amiri"/>
          <w:color w:val="111111"/>
          <w:sz w:val="28"/>
          <w:sz w:val="28"/>
          <w:szCs w:val="28"/>
          <w:rtl w:val="true"/>
          <w:lang w:bidi="ar-SA"/>
        </w:rPr>
        <w:t>فهو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أفتى الشيخ </w:t>
      </w:r>
      <w:r>
        <w:rPr>
          <w:rStyle w:val="FootnoteAnchor"/>
          <w:rtl w:val="true"/>
        </w:rPr>
        <w:footnoteReference w:id="606"/>
      </w:r>
      <w:r>
        <w:rPr>
          <w:rFonts w:ascii="IRNazanin" w:hAnsi="IRNazanin" w:eastAsia="IRNazanin"/>
          <w:color w:val="111111"/>
          <w:sz w:val="28"/>
          <w:sz w:val="28"/>
          <w:szCs w:val="28"/>
          <w:rtl w:val="true"/>
          <w:lang w:bidi="fa-IR"/>
        </w:rPr>
        <w:t xml:space="preserve">والقاضى والحلّى </w:t>
      </w:r>
      <w:r>
        <w:rPr>
          <w:rStyle w:val="FootnoteAnchor"/>
          <w:rtl w:val="true"/>
        </w:rPr>
        <w:footnoteReference w:id="607"/>
      </w:r>
      <w:r>
        <w:rPr>
          <w:rFonts w:ascii="Amiri" w:hAnsi="Amiri" w:eastAsia="Amiri" w:cs="Amiri"/>
          <w:color w:val="111111"/>
          <w:sz w:val="28"/>
          <w:sz w:val="28"/>
          <w:szCs w:val="28"/>
          <w:rtl w:val="true"/>
          <w:lang w:bidi="ar-SA"/>
        </w:rPr>
        <w:t xml:space="preserve">والفاضلان وابن سعيد والشهيدان </w:t>
      </w:r>
      <w:r>
        <w:rPr>
          <w:rStyle w:val="FootnoteAnchor"/>
          <w:rtl w:val="true"/>
        </w:rPr>
        <w:footnoteReference w:id="608"/>
      </w:r>
      <w:r>
        <w:rPr>
          <w:rFonts w:ascii="IRNazanin" w:hAnsi="IRNazanin" w:eastAsia="IRNazanin"/>
          <w:color w:val="111111"/>
          <w:sz w:val="28"/>
          <w:sz w:val="28"/>
          <w:szCs w:val="28"/>
          <w:rtl w:val="true"/>
          <w:lang w:bidi="fa-IR"/>
        </w:rPr>
        <w:t xml:space="preserve">وابن فهد </w:t>
      </w:r>
      <w:r>
        <w:rPr>
          <w:rStyle w:val="FootnoteAnchor"/>
          <w:rtl w:val="true"/>
        </w:rPr>
        <w:footnoteReference w:id="609"/>
      </w:r>
      <w:r>
        <w:rPr>
          <w:rFonts w:ascii="Amiri" w:hAnsi="Amiri" w:eastAsia="Amiri" w:cs="Amiri"/>
          <w:color w:val="111111"/>
          <w:sz w:val="28"/>
          <w:sz w:val="28"/>
          <w:szCs w:val="28"/>
          <w:rtl w:val="true"/>
          <w:lang w:bidi="ar-SA"/>
        </w:rPr>
        <w:t>والصيمرى والمحقّق الكركى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ويتراءى من ملاحظة عبائرهم في المقام أقوال أخر في المسألة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آخره بما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ذلك من عبارة الشيخ في طهارة الخلاف </w:t>
      </w:r>
      <w:r>
        <w:rPr>
          <w:rStyle w:val="FootnoteAnchor"/>
          <w:rtl w:val="true"/>
        </w:rPr>
        <w:footnoteReference w:id="61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غسل الجمعة من عند طلوع الفجر يوم الجمعة إلى قرب الزوال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واحتجّ عليه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عبارة الصدوق في الفقيه حيث ذكر فيه من وقت </w:t>
      </w:r>
    </w:p>
    <w:p>
      <w:pPr>
        <w:pStyle w:val="BookText"/>
        <w:rPr/>
      </w:pPr>
      <w:r>
        <w:rPr>
          <w:rFonts w:ascii="Amiri" w:hAnsi="Amiri" w:eastAsia="Amiri" w:cs="Amiri"/>
          <w:color w:val="111111"/>
          <w:sz w:val="28"/>
          <w:sz w:val="28"/>
          <w:szCs w:val="28"/>
          <w:rtl w:val="true"/>
          <w:lang w:bidi="ar-SA"/>
        </w:rPr>
        <w:t xml:space="preserve">طلوع الفجر يوم الجمعة إلى قرب الزوال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حملها على ما هو الغالب من إيقاع ذلك قبل الزوال بشى‌ء يسير ؛ إذ اتصاله بالزوال بعيد جدّا ؛ إذ ربّما يكون في تأخره كذلك وقوع بعض أجزائه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الشيخ في صلاة الخلاف </w:t>
      </w:r>
      <w:r>
        <w:rPr>
          <w:rStyle w:val="FootnoteAnchor"/>
          <w:rtl w:val="true"/>
        </w:rPr>
        <w:footnoteReference w:id="61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الجمعة ما بين طلوع الفجر الثاني إلى أن يصلّى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احتج على ذلك أيضا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ارجاعه إلى المشهور بحمله على أوّل وقتها المحدود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في عبارته الاولى مع حكايته الإجماع في المقامين والبناء فيه على العدول لا يخلو عن بعد ، بل في حكايته المذكورة إشارة إلى كون المقصود من كلامه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الوقت بامتداد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ذلك من إطلاق جماعة من القدماء كما في المقنعة وجمل الشيخ والاقتصاد والمراسم والكافي والوسيلة والغنية وبعض كتب العلامة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الإجماع المنقول أو عدم وجود القائل لكان القول به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الذخيرة والبحار وغيرهما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التحرير </w:t>
      </w:r>
      <w:r>
        <w:rPr>
          <w:rStyle w:val="FootnoteAnchor"/>
          <w:rtl w:val="true"/>
        </w:rPr>
        <w:footnoteReference w:id="614"/>
      </w:r>
      <w:r>
        <w:rPr>
          <w:rFonts w:ascii="Amiri" w:hAnsi="Amiri" w:eastAsia="Amiri" w:cs="Amiri"/>
          <w:color w:val="111111"/>
          <w:sz w:val="28"/>
          <w:sz w:val="28"/>
          <w:szCs w:val="28"/>
          <w:rtl w:val="true"/>
          <w:lang w:bidi="ar-SA"/>
        </w:rPr>
        <w:t>أن الأقرب بعد ظهر الجمعة نية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حصول احتمال بل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 الإطلاقات المذكورة على ما هو المشهور ، فكأنهم اتّكلوا في ترك التقييد على ما هو المتعارف الشائع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ميل الجماعة المذكورة ، وهو لا يقدح في الإجماع ؛ إذ من عادة هؤلاء </w:t>
      </w:r>
    </w:p>
    <w:p>
      <w:pPr>
        <w:pStyle w:val="BookText"/>
        <w:rPr/>
      </w:pPr>
      <w:r>
        <w:rPr>
          <w:rFonts w:ascii="Amiri" w:hAnsi="Amiri" w:eastAsia="Amiri" w:cs="Amiri"/>
          <w:color w:val="111111"/>
          <w:sz w:val="28"/>
          <w:sz w:val="28"/>
          <w:szCs w:val="28"/>
          <w:rtl w:val="true"/>
          <w:lang w:bidi="ar-SA"/>
        </w:rPr>
        <w:t xml:space="preserve">الجماعة التأمل فيما ذكره الأصحاب مع عدم وضوح المستند في </w:t>
      </w:r>
      <w:r>
        <w:rPr>
          <w:rStyle w:val="FootnoteAnchor"/>
          <w:rtl w:val="true"/>
        </w:rPr>
        <w:footnoteReference w:id="615"/>
      </w:r>
      <w:r>
        <w:rPr>
          <w:rFonts w:ascii="Amiri" w:hAnsi="Amiri" w:eastAsia="Amiri" w:cs="Amiri"/>
          <w:color w:val="111111"/>
          <w:sz w:val="28"/>
          <w:sz w:val="28"/>
          <w:szCs w:val="28"/>
          <w:rtl w:val="true"/>
          <w:lang w:bidi="ar-SA"/>
        </w:rPr>
        <w:t xml:space="preserve">أنظارهم كما زعموه في المقام ، مع أنّ في جملة من الأخبار 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لا يغتسل يوم الجمعة أوّل النهار؟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 في آخر النهار ، فإن لم يجد فليقضيه يوم السبت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ظهور القضاء فيما قابل الأداء سيّما مع مقارنته بالقضاء يوم السبت مع القطع بخروجه عن الوقت الموظف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الغسل يوم الجمعة؟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ما بينه وبين الليل فإن فاته اغتسل يوم السبت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بناء على حمل السؤال على فواته في الوقت المعهود لإتمام النهار كما دلّ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الأخير يوجبه الجواب بإرادة ما بينه وبين آخر الليل بعيد من العبارة ، والمعنى الأول أقرب إليها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حملها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خروج الوقت بانقضاء الزمان المعهود آخذا بظاهر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تقرير الإمام عليه ، بل هو أظهر من مطلق التقرير لمكان عود الضمير إلى الجواب إلى الرجل الذي فاته الغسل يوم الجمعة ، فيكون بمنزلة كونه من كلام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هذه الرواية مرسلة الصدوق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الغسل أو فاتك لعلّة فاغتسل بعد العصر أو يوم السبت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بل هي أظهر من جهة أخرى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بيان الحكمة في </w:t>
      </w:r>
      <w:r>
        <w:rPr>
          <w:rStyle w:val="FootnoteAnchor"/>
          <w:rtl w:val="true"/>
        </w:rPr>
        <w:footnoteReference w:id="619"/>
      </w:r>
      <w:r>
        <w:rPr>
          <w:rFonts w:ascii="Amiri" w:hAnsi="Amiri" w:eastAsia="Amiri" w:cs="Amiri"/>
          <w:color w:val="111111"/>
          <w:sz w:val="28"/>
          <w:sz w:val="28"/>
          <w:szCs w:val="28"/>
          <w:rtl w:val="true"/>
          <w:lang w:bidi="ar-SA"/>
        </w:rPr>
        <w:t xml:space="preserve">غسل الجمعة ، فإنها يشبه في كون وضعه قبل الصلاة </w:t>
      </w:r>
    </w:p>
    <w:p>
      <w:pPr>
        <w:pStyle w:val="BookText"/>
        <w:rPr/>
      </w:pPr>
      <w:r>
        <w:rPr>
          <w:rFonts w:ascii="IRNazanin" w:hAnsi="IRNazanin" w:eastAsia="IRNazanin"/>
          <w:color w:val="111111"/>
          <w:sz w:val="28"/>
          <w:sz w:val="28"/>
          <w:szCs w:val="28"/>
          <w:rtl w:val="true"/>
          <w:lang w:bidi="fa-IR"/>
        </w:rPr>
        <w:t>أو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 عن الرجل يدع غسل الجمعة ناسيا أو متعمّدا؟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ناسيا فقد تمّت صلاته وإن كان متعمّدا فليستغفر اللّه ولا يعد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ظاهرة بل صريحة في تقديمه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مرسل عن أبي الحسن عليه‌السلام ، وقد مرّت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فبملاحظة هذه الروايات مع اعتضادها بعمل الأصحاب والإجماع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كما يظهر من فتاواهم حتى أنه حكي عليه في المعنى إجماع الناس مؤذنا باتفاق العامة والخاصة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قوة ما ذكرناه ، مضافا إلى تأيّده بالاحتياط ، فيقيّد بها سائر الإطلاقات ، و </w:t>
      </w:r>
      <w:r>
        <w:rPr>
          <w:rStyle w:val="FootnoteAnchor"/>
          <w:rtl w:val="true"/>
        </w:rPr>
        <w:footnoteReference w:id="621"/>
      </w:r>
      <w:r>
        <w:rPr>
          <w:rFonts w:ascii="Amiri" w:hAnsi="Amiri" w:eastAsia="Amiri" w:cs="Amiri"/>
          <w:color w:val="111111"/>
          <w:sz w:val="28"/>
          <w:sz w:val="28"/>
          <w:szCs w:val="28"/>
          <w:rtl w:val="true"/>
          <w:lang w:bidi="ar-SA"/>
        </w:rPr>
        <w:t xml:space="preserve">لا تعارضها ما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يغتسل للجمعة عند الرواح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كون الرواح عديل الصباح ؛ 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بمعنى الرواح إلى الجمعة ؛ إذ هو المنساق من العبارة ، وأنّ ظاهرها مداومة على ذلك ، ولا سيّما في التأخير فيداوم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جميع ذلك ضعف القول بامتداده طول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الوجهان الأخيران </w:t>
      </w:r>
      <w:r>
        <w:rPr>
          <w:rStyle w:val="FootnoteAnchor"/>
          <w:rtl w:val="true"/>
        </w:rPr>
        <w:footnoteReference w:id="622"/>
      </w:r>
      <w:r>
        <w:rPr>
          <w:rFonts w:ascii="Amiri" w:hAnsi="Amiri" w:eastAsia="Amiri" w:cs="Amiri"/>
          <w:color w:val="111111"/>
          <w:sz w:val="28"/>
          <w:sz w:val="28"/>
          <w:szCs w:val="28"/>
          <w:rtl w:val="true"/>
          <w:lang w:bidi="ar-SA"/>
        </w:rPr>
        <w:t xml:space="preserve">مع عدم ظهور قائل بهما ، عدم انضباط الأول ، فلا يليق بالتحديدات الشرعية ، ومخالفته للأصل والإطلاقات مع عدم ظهور دليل عليه سوى ما قد نصّ دلالته عليه من قوله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فراغك من الغسل قبل الزوال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إرادة التقديم اليسير من جهة الاطمئنان بوقوع جميعه قبل الزوال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دلّ في الصلاة واختلاف الناس في اجتماع الشرائط وعدمه مع عدم اشتراط </w:t>
      </w:r>
    </w:p>
    <w:p>
      <w:pPr>
        <w:pStyle w:val="BookText"/>
        <w:rPr/>
      </w:pPr>
      <w:r>
        <w:rPr>
          <w:rFonts w:ascii="Amiri" w:hAnsi="Amiri" w:eastAsia="Amiri" w:cs="Amiri"/>
          <w:color w:val="111111"/>
          <w:sz w:val="28"/>
          <w:sz w:val="28"/>
          <w:szCs w:val="28"/>
          <w:rtl w:val="true"/>
          <w:lang w:bidi="ar-SA"/>
        </w:rPr>
        <w:t>الغسل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عدة من الأخبار من ارتباط الصلاة بالغسل المذكور لا يفيد بقاء وقته بعد الزوال أيضا ، مع أن الأغلب إيقاع الصلاة في أول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أنه قد نصّ جماعة من الأصحاب منهم الشيخان </w:t>
      </w:r>
      <w:r>
        <w:rPr>
          <w:rStyle w:val="FootnoteAnchor"/>
          <w:rtl w:val="true"/>
        </w:rPr>
        <w:footnoteReference w:id="624"/>
      </w:r>
      <w:r>
        <w:rPr>
          <w:rFonts w:ascii="Amiri" w:hAnsi="Amiri" w:eastAsia="Amiri" w:cs="Amiri"/>
          <w:color w:val="111111"/>
          <w:sz w:val="28"/>
          <w:sz w:val="28"/>
          <w:szCs w:val="28"/>
          <w:rtl w:val="true"/>
          <w:lang w:bidi="ar-SA"/>
        </w:rPr>
        <w:t xml:space="preserve">والقاضي </w:t>
      </w:r>
      <w:r>
        <w:rPr>
          <w:rStyle w:val="FootnoteAnchor"/>
          <w:rtl w:val="true"/>
        </w:rPr>
        <w:footnoteReference w:id="625"/>
      </w:r>
      <w:r>
        <w:rPr>
          <w:rFonts w:ascii="Amiri" w:hAnsi="Amiri" w:eastAsia="Amiri" w:cs="Amiri"/>
          <w:color w:val="111111"/>
          <w:sz w:val="28"/>
          <w:sz w:val="28"/>
          <w:szCs w:val="28"/>
          <w:rtl w:val="true"/>
          <w:lang w:bidi="ar-SA"/>
        </w:rPr>
        <w:t xml:space="preserve">والحلي </w:t>
      </w:r>
      <w:r>
        <w:rPr>
          <w:rStyle w:val="FootnoteAnchor"/>
          <w:rtl w:val="true"/>
        </w:rPr>
        <w:footnoteReference w:id="626"/>
      </w:r>
      <w:r>
        <w:rPr>
          <w:rFonts w:ascii="IRNazanin" w:hAnsi="IRNazanin" w:eastAsia="IRNazanin"/>
          <w:color w:val="111111"/>
          <w:sz w:val="28"/>
          <w:sz w:val="28"/>
          <w:szCs w:val="28"/>
          <w:rtl w:val="true"/>
          <w:lang w:bidi="fa-IR"/>
        </w:rPr>
        <w:t xml:space="preserve">والفاضلان </w:t>
      </w:r>
      <w:r>
        <w:rPr>
          <w:rStyle w:val="FootnoteAnchor"/>
          <w:rtl w:val="true"/>
        </w:rPr>
        <w:footnoteReference w:id="627"/>
      </w:r>
      <w:r>
        <w:rPr>
          <w:rFonts w:ascii="Amiri" w:hAnsi="Amiri" w:eastAsia="Amiri" w:cs="Amiri"/>
          <w:color w:val="111111"/>
          <w:sz w:val="28"/>
          <w:sz w:val="28"/>
          <w:szCs w:val="28"/>
          <w:rtl w:val="true"/>
          <w:lang w:bidi="ar-SA"/>
        </w:rPr>
        <w:t>والشهيدان أنه كلّما قرب الغسل من الزوال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الخلاف وتذكرة الفقهاء </w:t>
      </w:r>
      <w:r>
        <w:rPr>
          <w:rStyle w:val="FootnoteAnchor"/>
          <w:rtl w:val="true"/>
        </w:rPr>
        <w:footnoteReference w:id="62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الأخبار ما يفيد ذلك بصريحه </w:t>
      </w:r>
      <w:r>
        <w:rPr>
          <w:rStyle w:val="FootnoteAnchor"/>
          <w:rtl w:val="true"/>
        </w:rPr>
        <w:footnoteReference w:id="629"/>
      </w:r>
      <w:r>
        <w:rPr>
          <w:rFonts w:ascii="Amiri" w:hAnsi="Amiri" w:eastAsia="Amiri" w:cs="Amiri"/>
          <w:color w:val="111111"/>
          <w:sz w:val="28"/>
          <w:sz w:val="28"/>
          <w:szCs w:val="28"/>
          <w:rtl w:val="true"/>
          <w:lang w:bidi="ar-SA"/>
        </w:rPr>
        <w:t xml:space="preserve">سوى ما في الفقه الرضوي </w:t>
      </w:r>
      <w:r>
        <w:rPr>
          <w:rStyle w:val="FootnoteAnchor"/>
          <w:rtl w:val="true"/>
        </w:rPr>
        <w:footnoteReference w:id="630"/>
      </w:r>
      <w:r>
        <w:rPr>
          <w:rFonts w:ascii="Amiri" w:hAnsi="Amiri" w:eastAsia="Amiri" w:cs="Amiri"/>
          <w:color w:val="111111"/>
          <w:sz w:val="28"/>
          <w:sz w:val="28"/>
          <w:szCs w:val="28"/>
          <w:rtl w:val="true"/>
          <w:lang w:bidi="ar-SA"/>
        </w:rPr>
        <w:t>؛ لوقوع العبارة المذكورة فيه بعينه ، وهو كاف في إثباته مع فتوى الجماعة به ، والتسامح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والد الصدوق بذلك في الرسالة فيما حكاه عنه ولده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الشهيد رجوع الأصحاب على فتاويه عند إعواز النصوص به </w:t>
      </w:r>
      <w:r>
        <w:rPr>
          <w:rStyle w:val="FootnoteAnchor"/>
          <w:rtl w:val="true"/>
        </w:rPr>
        <w:footnoteReference w:id="631"/>
      </w:r>
      <w:r>
        <w:rPr>
          <w:rFonts w:ascii="Amiri" w:hAnsi="Amiri" w:eastAsia="Amiri" w:cs="Amiri"/>
          <w:color w:val="111111"/>
          <w:sz w:val="28"/>
          <w:sz w:val="28"/>
          <w:szCs w:val="28"/>
          <w:rtl w:val="true"/>
          <w:lang w:bidi="ar-SA"/>
        </w:rPr>
        <w:t>، مضافا إلى إشارة التعليل المذكور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ويومى إليه قوله في الصحيحة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فراغك من الغسل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القبليّة فيما يقاربه ، وللصحيحة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يغتسل </w:t>
      </w:r>
      <w:r>
        <w:rPr>
          <w:rFonts w:eastAsia="Amiri" w:cs="Amiri" w:ascii="Amiri" w:hAnsi="Amiri"/>
          <w:color w:val="111111"/>
          <w:sz w:val="28"/>
          <w:szCs w:val="28"/>
          <w:rtl w:val="true"/>
          <w:lang w:bidi="ar-SA"/>
        </w:rPr>
        <w:t xml:space="preserve">.. » </w:t>
      </w:r>
      <w:r>
        <w:rPr>
          <w:rStyle w:val="FootnoteAnchor"/>
          <w:rtl w:val="true"/>
        </w:rPr>
        <w:footnoteReference w:id="632"/>
      </w:r>
      <w:r>
        <w:rPr>
          <w:rFonts w:ascii="Amiri" w:hAnsi="Amiri" w:eastAsia="Amiri" w:cs="Amiri"/>
          <w:color w:val="111111"/>
          <w:sz w:val="28"/>
          <w:sz w:val="28"/>
          <w:szCs w:val="28"/>
          <w:rtl w:val="true"/>
          <w:lang w:bidi="ar-SA"/>
        </w:rPr>
        <w:t>إلى آخره ، بناء على أن الغالب فيه الرواح قريب الزوال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أراد البكور إلى المسجد لم يبعد القول باستحباب تقديمه عليه ليكون في المسجد </w:t>
      </w:r>
    </w:p>
    <w:p>
      <w:pPr>
        <w:pStyle w:val="BookText"/>
        <w:rPr/>
      </w:pPr>
      <w:r>
        <w:rPr>
          <w:rFonts w:ascii="Amiri" w:hAnsi="Amiri" w:eastAsia="Amiri" w:cs="Amiri"/>
          <w:color w:val="111111"/>
          <w:sz w:val="28"/>
          <w:sz w:val="28"/>
          <w:szCs w:val="28"/>
          <w:rtl w:val="true"/>
          <w:lang w:bidi="ar-SA"/>
        </w:rPr>
        <w:t>على أتم الطهور ، ولئلا يحتاج إلى الخروج لأجل الغسل مع ما فيه من الزحمة في الجوامع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واحد من الأخبار دلالة عليه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يوم الجمعة ثم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وابتكر ، ومشى ولم يركب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ودنى من الإمام واستمع ولم يلغ كان له بكلّ خطوة عمل سنة أجر صيامها وقيامها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له حاجة إلى الخروج قبل الزوال لم يبعد إذن استحباب التأخير ؛ للإطلاق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له ذلك مع تقديم الغسل على البكور ، لم يستحب له الإعادة</w:t>
      </w:r>
      <w:r>
        <w:rPr>
          <w:rFonts w:eastAsia="Amiri" w:cs="Amiri" w:ascii="Amiri" w:hAnsi="Amiri"/>
          <w:color w:val="111111"/>
          <w:sz w:val="28"/>
          <w:szCs w:val="28"/>
          <w:rtl w:val="true"/>
          <w:lang w:bidi="ar-SA"/>
        </w:rPr>
        <w:t xml:space="preserve">. </w:t>
      </w:r>
      <w:bookmarkStart w:id="180" w:name="pg15839_360753"/>
    </w:p>
    <w:p>
      <w:pPr>
        <w:pStyle w:val="Heading5"/>
        <w:numPr>
          <w:ilvl w:val="4"/>
          <w:numId w:val="1"/>
        </w:numPr>
        <w:rPr/>
      </w:pPr>
      <w:bookmarkStart w:id="181" w:name="__RefHeading___Toc14338429_2142443653"/>
      <w:bookmarkStart w:id="182" w:name="_Toc67"/>
      <w:bookmarkEnd w:id="180"/>
      <w:bookmarkEnd w:id="181"/>
      <w:r>
        <w:rPr>
          <w:rtl w:val="true"/>
        </w:rPr>
        <w:t>تبصرة</w:t>
      </w:r>
      <w:r>
        <w:rPr>
          <w:rtl w:val="true"/>
        </w:rPr>
        <w:t xml:space="preserve">: [ </w:t>
      </w:r>
      <w:r>
        <w:rPr>
          <w:rtl w:val="true"/>
        </w:rPr>
        <w:t xml:space="preserve">في قضاء الغسل </w:t>
      </w:r>
      <w:r>
        <w:rPr>
          <w:rtl w:val="true"/>
        </w:rPr>
        <w:t>]</w:t>
      </w:r>
      <w:bookmarkEnd w:id="182"/>
    </w:p>
    <w:p>
      <w:pPr>
        <w:pStyle w:val="BookText"/>
        <w:rPr/>
      </w:pPr>
      <w:r>
        <w:rPr>
          <w:rFonts w:ascii="Amiri" w:hAnsi="Amiri" w:eastAsia="Amiri" w:cs="Amiri"/>
          <w:color w:val="111111"/>
          <w:sz w:val="28"/>
          <w:sz w:val="28"/>
          <w:szCs w:val="28"/>
          <w:rtl w:val="true"/>
          <w:lang w:bidi="ar-SA"/>
        </w:rPr>
        <w:t xml:space="preserve">لو فاته الغسل في الوقت المقدر استحب قضاؤه في </w:t>
      </w:r>
      <w:r>
        <w:rPr>
          <w:rFonts w:eastAsia="Amiri" w:cs="Amiri" w:ascii="Amiri" w:hAnsi="Amiri"/>
          <w:color w:val="111111"/>
          <w:sz w:val="28"/>
          <w:szCs w:val="28"/>
          <w:rtl w:val="true"/>
          <w:lang w:bidi="ar-SA"/>
        </w:rPr>
        <w:t xml:space="preserve">[ ... ] </w:t>
      </w:r>
      <w:r>
        <w:rPr>
          <w:rStyle w:val="FootnoteAnchor"/>
          <w:rtl w:val="true"/>
        </w:rPr>
        <w:footnoteReference w:id="635"/>
      </w:r>
      <w:r>
        <w:rPr>
          <w:rFonts w:ascii="Amiri" w:hAnsi="Amiri" w:eastAsia="Amiri" w:cs="Amiri"/>
          <w:color w:val="111111"/>
          <w:sz w:val="28"/>
          <w:sz w:val="28"/>
          <w:szCs w:val="28"/>
          <w:rtl w:val="true"/>
          <w:lang w:bidi="ar-SA"/>
        </w:rPr>
        <w:t>بلا خلاف فيه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يوقع الكلام فيه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الزوال إلى ليلة السبت ، ثم من أوّل يوم السبت إلى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جماعة منهم الشيخ والحلي والفاضلان وابن سعيد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بانضمام ليلة السبت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 في القواعد والشهيد في غير واحد من كتبه ، وابن فهد والمحقّق الكركي والشهيد الثاني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باختصاصه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القول به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636"/>
      </w:r>
      <w:r>
        <w:rPr>
          <w:rFonts w:ascii="Amiri" w:hAnsi="Amiri" w:eastAsia="Amiri" w:cs="Amiri"/>
          <w:color w:val="111111"/>
          <w:sz w:val="28"/>
          <w:sz w:val="28"/>
          <w:szCs w:val="28"/>
          <w:rtl w:val="true"/>
          <w:lang w:bidi="ar-SA"/>
        </w:rPr>
        <w:t>هو ظاهر الفاضلين والشهيد في الشرائع والتلخيص والنفلية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الشهيد الثاني في شرح النفلية ذلك بأنه الموجود في النصوص ، ولذا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بانضمام بعد العصر من يوم الجمعة إلى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القول به </w:t>
      </w:r>
      <w:r>
        <w:rPr>
          <w:rStyle w:val="FootnoteAnchor"/>
          <w:rtl w:val="true"/>
        </w:rPr>
        <w:footnoteReference w:id="637"/>
      </w:r>
      <w:r>
        <w:rPr>
          <w:rFonts w:ascii="Amiri" w:hAnsi="Amiri" w:eastAsia="Amiri" w:cs="Amiri"/>
          <w:color w:val="111111"/>
          <w:sz w:val="28"/>
          <w:sz w:val="28"/>
          <w:szCs w:val="28"/>
          <w:rtl w:val="true"/>
          <w:lang w:bidi="ar-SA"/>
        </w:rPr>
        <w:t>عن ظاهر الصدوقين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هو الأول ؛ للموثقتين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سيّما الثانية ثبوت القضاء بعد النهار مطلقا ، فالقول باختصاص القضاء بيوم السبت ساقط جدا ، والأمر بقضائه يوم السبت </w:t>
      </w:r>
    </w:p>
    <w:p>
      <w:pPr>
        <w:pStyle w:val="BookText"/>
        <w:rPr/>
      </w:pPr>
      <w:r>
        <w:rPr>
          <w:rFonts w:ascii="Amiri" w:hAnsi="Amiri" w:eastAsia="Amiri" w:cs="Amiri"/>
          <w:color w:val="111111"/>
          <w:sz w:val="28"/>
          <w:sz w:val="28"/>
          <w:szCs w:val="28"/>
          <w:rtl w:val="true"/>
          <w:lang w:bidi="ar-SA"/>
        </w:rPr>
        <w:t>لا يقضي بعدم ثبوته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باختصاصه القضاء بما بعد العصرية أيضا مدفوع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والمرسلة المنقولة في الهداية </w:t>
      </w:r>
      <w:r>
        <w:rPr>
          <w:rStyle w:val="FootnoteAnchor"/>
          <w:rtl w:val="true"/>
        </w:rPr>
        <w:footnoteReference w:id="638"/>
      </w:r>
      <w:r>
        <w:rPr>
          <w:rFonts w:ascii="Amiri" w:hAnsi="Amiri" w:eastAsia="Amiri" w:cs="Amiri"/>
          <w:color w:val="111111"/>
          <w:sz w:val="28"/>
          <w:sz w:val="28"/>
          <w:szCs w:val="28"/>
          <w:rtl w:val="true"/>
          <w:lang w:bidi="ar-SA"/>
        </w:rPr>
        <w:t>من الأمر بالاغتسال بعد العصر أو يوم السبت لا يفيد عدم المشروعية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كعبارة الصدوقين على ما هو الغالب من وجود الموانع من الاغتسال بعد الزوال من الاشتغال بالصلاة والتعقيب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وثبوته ليلة السبت لم يقم عليه دليل ؛ لاختصاص الروايات بالسبت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المدعاة في محل المنع سيّما مع المخالفة للوقت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استصحاب جواز الفعل فاسد لثبوت الحكم فيما قبله مقيّدا ، فلا يصح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وشمول يوم السبت له بناء على إرادة مجموع اليوم والليلة منه لا وجه له مع عدم قيام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بما ذكرنا الوجه في الأقوال الأخر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تشريع القضاء هل هو مطلق الفوات سواء كان عمدا أو سهوا أو نسيانا أو نحوها أو يختص بالتارك لعذر؟ وجهان ،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الأكثر كالشيخ والقاضي والحلي والفاضلان وابن سعيد والشهيدان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واحد من كتبهم نسبته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ابن فهد فيه قيام ضرورة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الصدوقين اعتبار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الأوّل ؛ لظاهر عدة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المتقدمة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الأخرى حيث لم يؤخذ فيه العذر في ترك أصله ، واعتباره في ترك الغسل في قضائه في النهار محمول على بيان أفضلية قضائه في الجمعة على السبت أو أن السائل لمّا كان بصدد تدارك الغسل الفائت ، أمره فقضاؤه آخر النهار ثمّ استدرك على صورة عدم تمكنه منه </w:t>
      </w:r>
    </w:p>
    <w:p>
      <w:pPr>
        <w:pStyle w:val="BookText"/>
        <w:rPr/>
      </w:pPr>
      <w:r>
        <w:rPr>
          <w:rFonts w:ascii="Amiri" w:hAnsi="Amiri" w:eastAsia="Amiri" w:cs="Amiri"/>
          <w:color w:val="111111"/>
          <w:sz w:val="28"/>
          <w:sz w:val="28"/>
          <w:szCs w:val="28"/>
          <w:rtl w:val="true"/>
          <w:lang w:bidi="ar-SA"/>
        </w:rPr>
        <w:t>فأمره إذن بالقضاء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 الرواية على ظاهرها ، وبجعل القضاء يوم السبت منوطا بعدم التمكن منه بعد الزوال من الجمعة بخلاف قضائه في الجمعة ، فكأنه لقربه من وقت الأداء صار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القول به من الشيخ في النهاية </w:t>
      </w:r>
      <w:r>
        <w:rPr>
          <w:rStyle w:val="FootnoteAnchor"/>
          <w:rtl w:val="true"/>
        </w:rPr>
        <w:footnoteReference w:id="639"/>
      </w:r>
      <w:r>
        <w:rPr>
          <w:rFonts w:ascii="Amiri" w:hAnsi="Amiri" w:eastAsia="Amiri" w:cs="Amiri"/>
          <w:color w:val="111111"/>
          <w:sz w:val="28"/>
          <w:sz w:val="28"/>
          <w:szCs w:val="28"/>
          <w:rtl w:val="true"/>
          <w:lang w:bidi="ar-SA"/>
        </w:rPr>
        <w:t>حيث أطلق القول به في قضائه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w:t>
      </w:r>
      <w:r>
        <w:rPr>
          <w:rStyle w:val="FootnoteAnchor"/>
          <w:rtl w:val="true"/>
        </w:rPr>
        <w:footnoteReference w:id="640"/>
      </w:r>
      <w:r>
        <w:rPr>
          <w:rFonts w:ascii="Amiri" w:hAnsi="Amiri" w:eastAsia="Amiri" w:cs="Amiri"/>
          <w:color w:val="111111"/>
          <w:sz w:val="28"/>
          <w:sz w:val="28"/>
          <w:szCs w:val="28"/>
          <w:rtl w:val="true"/>
          <w:lang w:bidi="ar-SA"/>
        </w:rPr>
        <w:t>قضاؤه في السبت بعد التمكن منه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العلامة في التحرير </w:t>
      </w:r>
      <w:r>
        <w:rPr>
          <w:rStyle w:val="FootnoteAnchor"/>
          <w:rtl w:val="true"/>
        </w:rPr>
        <w:footnoteReference w:id="641"/>
      </w:r>
      <w:r>
        <w:rPr>
          <w:rFonts w:ascii="Amiri" w:hAnsi="Amiri" w:eastAsia="Amiri" w:cs="Amiri"/>
          <w:color w:val="111111"/>
          <w:sz w:val="28"/>
          <w:sz w:val="28"/>
          <w:szCs w:val="28"/>
          <w:rtl w:val="true"/>
          <w:lang w:bidi="ar-SA"/>
        </w:rPr>
        <w:t>في قضائه في السبت مع تركه تهاونا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إطلاق موثقة ابن بكير الّتي هي أوضح إسنادا من سائر أخبار الباب دالّ على ثبوت القضاء مطلقا ، وليس في غيره ممّا يعادله في السند والدلالة ما يفيد التقييد ، فلا وجه للتأمّل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انجبار الإطلاق بالشهرة ، والظاهر الاعتبار ؛ إذ مع ثبوت القضاء لا يظهر وجه للفرق بين المتعمد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 عبارة النهاية على نحو الرواية ولذا عزا إليه المحقق وغيره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وتعليق الحكم بالناسي في بعض الأخبار كأنه مبنيّ على الحثّ على الفعل حتى أنه لا ينبغي تركه من الناسي ، فذكر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تلك الرواية من الحثّ وأنه لا بد من الإتيان في 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أدرك بعضا من وقت الأداء فهل يكون قضاء مطلقا أو أداء وقضاء؟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أوجهها الأول ؛ لسقوط الأمر بالأداء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ويحتمل سقوط القضاء أيضا بناء على خروجه عن ظواهر الأخبار الدالة على ثبوت القضاء إلا أن الأظهر إذن دلالتها عليه بالفحوى ، 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أدرك بعضا من وقت القضاء فالظاهر سقوط الفعل كما إذا تمكّن منه قريب غروب الشمس يوم الجمعة أو السبت مما لا يسع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يتقوّى الأول جواز إكماله في الوقت الآخر على احتمال يأتي بيانه في المسائل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بعضا من أفعال الغسل عن وقت الأداء عمدا أو سهوا فالأشبه جواز الإكمال في وقت القضاء ، وهل يختص القضائية بذلك الجزء أو يعمّ الجميع؟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أخّره عن وقت القضاء فالظاهر فساد الغسل إلا أن يؤخره عن وقته الأول ، فيحتمل جواز الإكمال في وقته الآخر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عدم ثبوت القضاء بعد يوم السبت أو بعده من أيام الجمعة ، ولا عامل بظاهره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احتمال البناء عليه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بعض الأفاضل بدلالة ظاهر الأدلة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يتسامح في أدلتها مع عدم قيام دليل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الأخبار ما يدلّ على نفي المشروعية منطوقا ولا مفهوما لا بمفهوم اللقب ، ولا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إطباق الأصحاب ظاهر على خلافه ممّا يوهن البناء عليه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وقت </w:t>
      </w:r>
      <w:r>
        <w:rPr>
          <w:rStyle w:val="FootnoteAnchor"/>
          <w:rtl w:val="true"/>
        </w:rPr>
        <w:footnoteReference w:id="642"/>
      </w:r>
      <w:r>
        <w:rPr>
          <w:rFonts w:ascii="IRNazanin" w:hAnsi="IRNazanin" w:eastAsia="IRNazanin"/>
          <w:color w:val="111111"/>
          <w:sz w:val="28"/>
          <w:sz w:val="28"/>
          <w:szCs w:val="28"/>
          <w:rtl w:val="true"/>
          <w:lang w:bidi="fa-IR"/>
        </w:rPr>
        <w:t xml:space="preserve">القضاء أوّلها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جماعة من الأصحاب منهم الشيخ والفاضلان والشهيد ؛ للموثقتين المذكورتين ، ولما فيه من المبادرة إلى الامتثال المطلوب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كونه من وقت الأداء واندراجه في جملة من الإطلاقات ، ولا يعارضه ما يظهر من جماعة من البناء فيه على المنع ؛ لضعف الاحتمال المذكور جدّا ؛ نظرا إلى أقسام الأدلّة الواضحة على فساده ، بخلاف الاحتمال المذكور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الأفضل من أوقاته ما قرب إلى الزوال أو ما بعد العصر؟ وجهان ؛ لما في الأول من المبادرة إلى الامتثال ، وفي الثاني من الاحتياط ؛ لما يظهر من الصدوقين من المنع من التقديم </w:t>
      </w:r>
    </w:p>
    <w:p>
      <w:pPr>
        <w:pStyle w:val="BookText"/>
        <w:rPr/>
      </w:pP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يومي إليه المرسلة المتقدمة ، والأولى ترجيح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السبت فظاهر الإطلاقات عدم الفرق بين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القول بدلالة أخبار التقديم مهما أمكن من المبادرة إلى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الشهيدان أن كلما قرب إلى الزوال من وقت القضاء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مستنده ، وكأنّه مبنيّ على استنباطه من الأداء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وهنه</w:t>
      </w:r>
      <w:r>
        <w:rPr>
          <w:rFonts w:eastAsia="Amiri" w:cs="Amiri" w:ascii="Amiri" w:hAnsi="Amiri"/>
          <w:color w:val="111111"/>
          <w:sz w:val="28"/>
          <w:szCs w:val="28"/>
          <w:rtl w:val="true"/>
          <w:lang w:bidi="ar-SA"/>
        </w:rPr>
        <w:t xml:space="preserve">. </w:t>
      </w:r>
      <w:bookmarkStart w:id="183" w:name="pg15839_360758"/>
    </w:p>
    <w:p>
      <w:pPr>
        <w:pStyle w:val="Heading5"/>
        <w:numPr>
          <w:ilvl w:val="4"/>
          <w:numId w:val="1"/>
        </w:numPr>
        <w:rPr/>
      </w:pPr>
      <w:bookmarkStart w:id="184" w:name="__RefHeading___Toc14338431_2142443653"/>
      <w:bookmarkStart w:id="185" w:name="_Toc68"/>
      <w:bookmarkEnd w:id="183"/>
      <w:bookmarkEnd w:id="184"/>
      <w:r>
        <w:rPr>
          <w:rtl w:val="true"/>
        </w:rPr>
        <w:t>تبصرة</w:t>
      </w:r>
      <w:r>
        <w:rPr>
          <w:rtl w:val="true"/>
        </w:rPr>
        <w:t xml:space="preserve">: [ </w:t>
      </w:r>
      <w:r>
        <w:rPr>
          <w:rtl w:val="true"/>
        </w:rPr>
        <w:t xml:space="preserve">في تقديم غسل الجمعة </w:t>
      </w:r>
      <w:r>
        <w:rPr>
          <w:rtl w:val="true"/>
        </w:rPr>
        <w:t>]</w:t>
      </w:r>
      <w:bookmarkEnd w:id="185"/>
    </w:p>
    <w:p>
      <w:pPr>
        <w:pStyle w:val="BookText"/>
        <w:rPr/>
      </w:pPr>
      <w:r>
        <w:rPr>
          <w:rFonts w:ascii="Amiri" w:hAnsi="Amiri" w:eastAsia="Amiri" w:cs="Amiri"/>
          <w:color w:val="111111"/>
          <w:sz w:val="28"/>
          <w:sz w:val="28"/>
          <w:szCs w:val="28"/>
          <w:rtl w:val="true"/>
          <w:lang w:bidi="ar-SA"/>
        </w:rPr>
        <w:t>يستحب تقديم الغسل يوم الخميس لخائف إعواز الماء يوم الجمعة ، بلا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الصدوقان والشيخ والقاضي والحلبي </w:t>
      </w:r>
      <w:r>
        <w:rPr>
          <w:rStyle w:val="FootnoteAnchor"/>
          <w:rtl w:val="true"/>
        </w:rPr>
        <w:footnoteReference w:id="644"/>
      </w:r>
      <w:r>
        <w:rPr>
          <w:rFonts w:ascii="Amiri" w:hAnsi="Amiri" w:eastAsia="Amiri" w:cs="Amiri"/>
          <w:color w:val="111111"/>
          <w:sz w:val="28"/>
          <w:sz w:val="28"/>
          <w:szCs w:val="28"/>
          <w:rtl w:val="true"/>
          <w:lang w:bidi="ar-SA"/>
        </w:rPr>
        <w:t>والفاضلان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ما رواه المشايخ الثلاثة في الصحيح ، عن الحسين بن موسى بن جعفر عليه‌السلام ، عن أمه ، وأم أحمد بنت موسى بن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الحسن موسى بن جعفر عليه‌السلام في البادية ونحن نريد بغداد ، فقال لنا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اغتسلا اليوم لغد يوم الجمعة فإن الماء فيها غدا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فاغتسلنا يوم الخميس للجمعة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محمد بن الحسين ، عن الصادق عليه‌السلام أنه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تأتون غدا منزلا ليس فيه ماء فاغتسلوا اليوم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فاغتسلنا يوم الخميس للجمعة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مسافرا وتخوّفت عدم الماء يوم الجمعة اغتسل يوم الخميس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الأخبار المذكورة مجبور بالعمل بل الإجماع كما يظهر من كشف اللثام حيث عزاه إلى فتوى الأصحاب مؤذنا باتفاقهم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بين الأصحاب ، مضافا إلى التسامح في أدلة السنن ، فالحكم المذكور مما لا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 التأمّل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الأخبار المذكورة ثبوت الحكم للمسافر ، فهل يعمّ الحكم من خاف عوز الماء في الحضر؟ وجهان ؛ ظاهر الأكثر ذلك ، بل ظاهر الحدائق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والشيخ في النهاية اعتبار السفر وقوفا مع الأخبار ، لكن الظاهر القطع لتنقيح المناط بملاحظة الخبرين الأولين سيّما الأول منهما خصوصا مع ملاحظة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وردت الأخبار في خصوص السفر لكون الغالب حصول العذر فيه دون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جواز التقديم خصوص الإعواز كما هو مورد الأخبار أو يكتفى بمجرّد </w:t>
      </w:r>
      <w:r>
        <w:rPr>
          <w:rStyle w:val="FootnoteAnchor"/>
          <w:rtl w:val="true"/>
        </w:rPr>
        <w:footnoteReference w:id="649"/>
      </w:r>
      <w:r>
        <w:rPr>
          <w:rFonts w:ascii="IRNazanin" w:hAnsi="IRNazanin" w:eastAsia="IRNazanin"/>
          <w:color w:val="111111"/>
          <w:sz w:val="28"/>
          <w:sz w:val="28"/>
          <w:szCs w:val="28"/>
          <w:rtl w:val="true"/>
          <w:lang w:bidi="fa-IR"/>
        </w:rPr>
        <w:t xml:space="preserve">الفوات ولو من جهات أخرى؟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محكّي عن الصدوق والقاضي وابن سعيد والفاضلين والشهيد وابن فهد </w:t>
      </w:r>
      <w:r>
        <w:rPr>
          <w:rStyle w:val="FootnoteAnchor"/>
          <w:rtl w:val="true"/>
        </w:rPr>
        <w:footnoteReference w:id="650"/>
      </w:r>
      <w:r>
        <w:rPr>
          <w:rFonts w:ascii="Amiri" w:hAnsi="Amiri" w:eastAsia="Amiri" w:cs="Amiri"/>
          <w:color w:val="111111"/>
          <w:sz w:val="28"/>
          <w:sz w:val="28"/>
          <w:szCs w:val="28"/>
          <w:rtl w:val="true"/>
          <w:lang w:bidi="ar-SA"/>
        </w:rPr>
        <w:t>؛ وقوفا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محكي عن الشيخ في غير واحد من كتبه والحلي </w:t>
      </w:r>
      <w:r>
        <w:rPr>
          <w:rStyle w:val="FootnoteAnchor"/>
          <w:rtl w:val="true"/>
        </w:rPr>
        <w:footnoteReference w:id="651"/>
      </w:r>
      <w:r>
        <w:rPr>
          <w:rFonts w:ascii="IRNazanin" w:hAnsi="IRNazanin" w:eastAsia="IRNazanin"/>
          <w:color w:val="111111"/>
          <w:sz w:val="28"/>
          <w:sz w:val="28"/>
          <w:szCs w:val="28"/>
          <w:rtl w:val="true"/>
          <w:lang w:bidi="fa-IR"/>
        </w:rPr>
        <w:t xml:space="preserve">والفاضل </w:t>
      </w:r>
      <w:r>
        <w:rPr>
          <w:rStyle w:val="FootnoteAnchor"/>
          <w:rtl w:val="true"/>
        </w:rPr>
        <w:footnoteReference w:id="652"/>
      </w:r>
      <w:r>
        <w:rPr>
          <w:rFonts w:ascii="Amiri" w:hAnsi="Amiri" w:eastAsia="Amiri" w:cs="Amiri"/>
          <w:color w:val="111111"/>
          <w:sz w:val="28"/>
          <w:sz w:val="28"/>
          <w:szCs w:val="28"/>
          <w:rtl w:val="true"/>
          <w:lang w:bidi="ar-SA"/>
        </w:rPr>
        <w:t xml:space="preserve">في </w:t>
      </w:r>
      <w:r>
        <w:rPr>
          <w:rStyle w:val="FootnoteAnchor"/>
          <w:rtl w:val="true"/>
        </w:rPr>
        <w:footnoteReference w:id="653"/>
      </w:r>
      <w:r>
        <w:rPr>
          <w:rFonts w:ascii="Amiri" w:hAnsi="Amiri" w:eastAsia="Amiri" w:cs="Amiri"/>
          <w:color w:val="111111"/>
          <w:sz w:val="28"/>
          <w:sz w:val="28"/>
          <w:szCs w:val="28"/>
          <w:rtl w:val="true"/>
          <w:lang w:bidi="ar-SA"/>
        </w:rPr>
        <w:t xml:space="preserve">التذكرة </w:t>
      </w:r>
      <w:r>
        <w:rPr>
          <w:rStyle w:val="FootnoteAnchor"/>
          <w:rtl w:val="true"/>
        </w:rPr>
        <w:footnoteReference w:id="654"/>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655"/>
      </w:r>
      <w:r>
        <w:rPr>
          <w:rFonts w:ascii="IRNazanin" w:hAnsi="IRNazanin" w:eastAsia="IRNazanin"/>
          <w:color w:val="111111"/>
          <w:sz w:val="28"/>
          <w:sz w:val="28"/>
          <w:szCs w:val="28"/>
          <w:rtl w:val="true"/>
          <w:lang w:bidi="fa-IR"/>
        </w:rPr>
        <w:t>وولده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الأظهر لتنقيح مناط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عليه الأخبار وسائر فتاوى الأصحاب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ظاهر جماعة من المتأخرين الميل إلى الأوّل ؛ وقوفا مع ظواهر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p>
    <w:p>
      <w:pPr>
        <w:pStyle w:val="BookText"/>
        <w:rPr/>
      </w:pPr>
      <w:r>
        <w:rPr>
          <w:rFonts w:ascii="Amiri" w:hAnsi="Amiri" w:eastAsia="Amiri" w:cs="Amiri"/>
          <w:color w:val="111111"/>
          <w:sz w:val="28"/>
          <w:sz w:val="28"/>
          <w:szCs w:val="28"/>
          <w:rtl w:val="true"/>
          <w:lang w:bidi="ar-SA"/>
        </w:rPr>
        <w:t>يستفاد من الرواية الأولى أن قلة الماء يوم الجمعة ، ويعتبر الفصل فيه من تلك الجهة كافية في التقديم ، ولم يكن هناك خوف من تعذر الماء لكنّه خلاف ظاهر الفتوى ، فالقول به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هل يناط بخوف الإعواز أو التعذر أو أنه يعتبر فيه اليأس والتعذر أو المدار فيه على الظن؟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المشهور بل كاد أن يكون إجماعا كما ذكره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محكي من الشيخ 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الفاضل أيضا في بعض كتبه اعتبار الظن تارة والخوف أخرى ، و </w:t>
      </w:r>
      <w:r>
        <w:rPr>
          <w:rStyle w:val="FootnoteAnchor"/>
          <w:rtl w:val="true"/>
        </w:rPr>
        <w:footnoteReference w:id="656"/>
      </w:r>
      <w:r>
        <w:rPr>
          <w:rFonts w:ascii="Amiri" w:hAnsi="Amiri" w:eastAsia="Amiri" w:cs="Amiri"/>
          <w:color w:val="111111"/>
          <w:sz w:val="28"/>
          <w:sz w:val="28"/>
          <w:szCs w:val="28"/>
          <w:rtl w:val="true"/>
          <w:lang w:bidi="ar-SA"/>
        </w:rPr>
        <w:t>كان الأظهر الأول ؛ إذ هو الأظهر من سياق الأخبار ، بل عليه المدار في ما شأنه ذلك من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 جواز التقديم حصول العذر في خصوص وقت الأداء أو لا بدّ من شموله لوقت القضاء إما مطلقا أو لخصوص ما بعد الزوال من الجمعة؟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الشهيدان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ذلك أيضا من إطلاق جماعة منهم حيث علّقوا الحكم بخوف الفوات أو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إطلاق جماعة اختيار الأخير حيث اشترطوا وجود العذر في يوم الجمعة الظاهر في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 الوجهان بأن قضية الأدلة اعتبار العذر في يوم الجمعة ، فيعمّ جميعه مع احتمال انصرافه إلى المتعارف الشائع أعني وقت الأداء أو الوجهان متقاربان ، وقضية الأصل المنع من التقديم إلا في مورد اليقين بشمول الدليل ، وهو ما لو عمّم العذر تمام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الحكم المذكور في ليلة الخميس لخروجه عن النصوص</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يجري في ليلة الجمعة؟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والفاضل وظاهر المحقق والشهيد أنه </w:t>
      </w:r>
    </w:p>
    <w:p>
      <w:pPr>
        <w:pStyle w:val="BookText"/>
        <w:rPr/>
      </w:pPr>
      <w:r>
        <w:rPr>
          <w:rFonts w:ascii="Amiri" w:hAnsi="Amiri" w:eastAsia="Amiri" w:cs="Amiri"/>
          <w:color w:val="111111"/>
          <w:sz w:val="28"/>
          <w:sz w:val="28"/>
          <w:szCs w:val="28"/>
          <w:rtl w:val="true"/>
          <w:lang w:bidi="ar-SA"/>
        </w:rPr>
        <w:t>كذلك ، وعن ظاهر المعظم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لخروجه عن مدلول النص مع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نظيره في قضائه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المقامين باختيار القول بالعدم هناك والقول بالإلحاق هنا ؛ نظرا إلى ظاهر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المنقول عن الخلاف والتذكرة والاستصحاب هنا ليس على ما ينبغي ؛ لعدم وضوح ما ذكره من الاجماع والاستصحاب لو تمّ في المقام جرى في المقامين ، وكذا الأولوية وعدم ظهور المخالف الناص في المقام لا يفيد شيئا مع ظهور خلافه من المعظم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الغسل في الخميس ثم تمكّن منه قبل زوال الجمعة ففي استحباب إعادته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الصدوق والعلامة </w:t>
      </w:r>
      <w:r>
        <w:rPr>
          <w:rStyle w:val="FootnoteAnchor"/>
          <w:rtl w:val="true"/>
        </w:rPr>
        <w:footnoteReference w:id="657"/>
      </w:r>
      <w:r>
        <w:rPr>
          <w:rFonts w:ascii="Amiri" w:hAnsi="Amiri" w:eastAsia="Amiri" w:cs="Amiri"/>
          <w:color w:val="111111"/>
          <w:sz w:val="28"/>
          <w:sz w:val="28"/>
          <w:szCs w:val="28"/>
          <w:rtl w:val="true"/>
          <w:lang w:bidi="ar-SA"/>
        </w:rPr>
        <w:t>في جملة من كتبه والشهيد وابن القطان وابن فهد وجماعة من المتأخرين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يظهر منهم قائل بالوجه الأخير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 الرجوع إلى الإطلاقات</w:t>
      </w:r>
      <w:r>
        <w:rPr>
          <w:rFonts w:eastAsia="Amiri" w:cs="Amiri" w:ascii="Amiri" w:hAnsi="Amiri"/>
          <w:color w:val="111111"/>
          <w:sz w:val="28"/>
          <w:szCs w:val="28"/>
          <w:rtl w:val="true"/>
          <w:lang w:bidi="ar-SA"/>
        </w:rPr>
        <w:t xml:space="preserve">. </w:t>
      </w:r>
      <w:bookmarkStart w:id="186" w:name="pg15839_360762"/>
    </w:p>
    <w:p>
      <w:pPr>
        <w:pStyle w:val="Heading5"/>
        <w:numPr>
          <w:ilvl w:val="4"/>
          <w:numId w:val="1"/>
        </w:numPr>
        <w:rPr/>
      </w:pPr>
      <w:bookmarkStart w:id="187" w:name="__RefHeading___Toc14338433_2142443653"/>
      <w:bookmarkStart w:id="188" w:name="_Toc69"/>
      <w:bookmarkEnd w:id="186"/>
      <w:bookmarkEnd w:id="187"/>
      <w:r>
        <w:rPr>
          <w:rtl w:val="true"/>
        </w:rPr>
        <w:t>تبصرة</w:t>
      </w:r>
      <w:r>
        <w:rPr>
          <w:rtl w:val="true"/>
        </w:rPr>
        <w:t xml:space="preserve">: [ </w:t>
      </w:r>
      <w:r>
        <w:rPr>
          <w:rtl w:val="true"/>
        </w:rPr>
        <w:t xml:space="preserve">في غسل عيد الفطر وعيد الأضحى </w:t>
      </w:r>
      <w:r>
        <w:rPr>
          <w:rtl w:val="true"/>
        </w:rPr>
        <w:t>]</w:t>
      </w:r>
      <w:bookmarkEnd w:id="188"/>
    </w:p>
    <w:p>
      <w:pPr>
        <w:pStyle w:val="BookText"/>
        <w:rPr/>
      </w:pPr>
      <w:r>
        <w:rPr>
          <w:rFonts w:ascii="Amiri" w:hAnsi="Amiri" w:eastAsia="Amiri" w:cs="Amiri"/>
          <w:color w:val="111111"/>
          <w:sz w:val="28"/>
          <w:sz w:val="28"/>
          <w:szCs w:val="28"/>
          <w:rtl w:val="true"/>
          <w:lang w:bidi="ar-SA"/>
        </w:rPr>
        <w:t>من الأغسال الزمانية غسل يومي العيدين الفطر والأضحى بلا خلاف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حكى الاجماع عليه جماعة منهم ابن زهرة </w:t>
      </w:r>
      <w:r>
        <w:rPr>
          <w:rStyle w:val="FootnoteAnchor"/>
          <w:rtl w:val="true"/>
        </w:rPr>
        <w:footnoteReference w:id="658"/>
      </w:r>
      <w:r>
        <w:rPr>
          <w:rFonts w:ascii="Amiri" w:hAnsi="Amiri" w:eastAsia="Amiri" w:cs="Amiri"/>
          <w:color w:val="111111"/>
          <w:sz w:val="28"/>
          <w:sz w:val="28"/>
          <w:szCs w:val="28"/>
          <w:rtl w:val="true"/>
          <w:lang w:bidi="ar-SA"/>
        </w:rPr>
        <w:t>والفاضلان والشهيد وسبطه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ذلك ، المعتبرة المستفيضة المشتملة على الصحاح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 الفطر ويوم الأضحى سنّة لا أحب تركها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الجمعة والأضحى والفطر؟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وليس بفريضة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وعدّ منها العيدين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 وربّما يشعر كلام الصدوق في الهداية </w:t>
      </w:r>
      <w:r>
        <w:rPr>
          <w:rStyle w:val="FootnoteAnchor"/>
          <w:rtl w:val="true"/>
        </w:rPr>
        <w:footnoteReference w:id="662"/>
      </w:r>
      <w:r>
        <w:rPr>
          <w:rFonts w:ascii="Amiri" w:hAnsi="Amiri" w:eastAsia="Amiri" w:cs="Amiri"/>
          <w:color w:val="111111"/>
          <w:sz w:val="28"/>
          <w:sz w:val="28"/>
          <w:szCs w:val="28"/>
          <w:rtl w:val="true"/>
          <w:lang w:bidi="ar-SA"/>
        </w:rPr>
        <w:t>اختيار الوجوب في غسل الأضحى إلا في منى حيث ذكر رواية القاسم بن الوليد المشتملة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 غسل العيدين سنّة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إلا أنه كما ترى ليس فيها دلالة ظاهرة على ذلك ، مع إمكان حمله الرواية على الاستحباب المذكور كما هو المتعيّن بقرينة الأخبار المذكورة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الإجماع المعلوم والمنقول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كثير من الأصحاب على أن وقته تمام النهار من طلوع الفجر إلى الغروب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واستظهره في المدارك </w:t>
      </w:r>
      <w:r>
        <w:rPr>
          <w:rStyle w:val="FootnoteAnchor"/>
          <w:rtl w:val="true"/>
        </w:rPr>
        <w:footnoteReference w:id="664"/>
      </w:r>
      <w:r>
        <w:rPr>
          <w:rFonts w:ascii="Amiri" w:hAnsi="Amiri" w:eastAsia="Amiri" w:cs="Amiri"/>
          <w:color w:val="111111"/>
          <w:sz w:val="28"/>
          <w:sz w:val="28"/>
          <w:szCs w:val="28"/>
          <w:rtl w:val="true"/>
          <w:lang w:bidi="ar-SA"/>
        </w:rPr>
        <w:t>، وهو الظاهر ؛ لظاهر الإطلاقات المذكورة وغيرها المعتضدة بإطلاق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إلى الأول أيضا إطلاق رواية قرب الإسناد ، بإسناده عن علي بن جعفر ، عن أخيه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اغتسل يوم الفطر والأضحى قبل الفجر لم يجزه وأن اغتسل بعد طلوع الفجر أجزأه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عمار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w:t>
      </w:r>
      <w:r>
        <w:rPr>
          <w:rStyle w:val="FootnoteAnchor"/>
          <w:rtl w:val="true"/>
        </w:rPr>
        <w:footnoteReference w:id="666"/>
      </w:r>
      <w:r>
        <w:rPr>
          <w:rFonts w:ascii="IRNazanin" w:hAnsi="IRNazanin" w:eastAsia="IRNazanin"/>
          <w:color w:val="111111"/>
          <w:sz w:val="28"/>
          <w:sz w:val="28"/>
          <w:szCs w:val="28"/>
          <w:rtl w:val="true"/>
          <w:lang w:bidi="fa-IR"/>
        </w:rPr>
        <w:t xml:space="preserve">مضى الوقت فقد جازت صلاته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يستشعر منه انقضاء وقت الغسل بانقضاء وقت الصلاة حيث لم يأمره عليه‌السلام بالغسل بعد انقضاء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668"/>
      </w:r>
      <w:r>
        <w:rPr>
          <w:rFonts w:ascii="Amiri" w:hAnsi="Amiri" w:eastAsia="Amiri" w:cs="Amiri"/>
          <w:color w:val="111111"/>
          <w:sz w:val="28"/>
          <w:sz w:val="28"/>
          <w:szCs w:val="28"/>
          <w:rtl w:val="true"/>
          <w:lang w:bidi="ar-SA"/>
        </w:rPr>
        <w:t>يوهنه احتمال كون السؤال مسبوقا لاستعلام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فترك ذكر الغسل في الجواب لا يفيد انقضاء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رواية الفقه دلالة عليه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طلع الفجر من يوم العيد فاغتسل </w:t>
      </w:r>
      <w:r>
        <w:rPr>
          <w:rFonts w:eastAsia="Amiri" w:cs="Amiri" w:ascii="Amiri" w:hAnsi="Amiri"/>
          <w:color w:val="111111"/>
          <w:sz w:val="28"/>
          <w:szCs w:val="28"/>
          <w:rtl w:val="true"/>
          <w:lang w:bidi="ar-SA"/>
        </w:rPr>
        <w:t xml:space="preserve">» </w:t>
      </w:r>
      <w:r>
        <w:rPr>
          <w:rStyle w:val="FootnoteAnchor"/>
          <w:rtl w:val="true"/>
        </w:rPr>
        <w:footnoteReference w:id="669"/>
      </w:r>
      <w:r>
        <w:rPr>
          <w:rFonts w:ascii="IRNazanin" w:hAnsi="IRNazanin" w:eastAsia="IRNazanin"/>
          <w:color w:val="111111"/>
          <w:sz w:val="28"/>
          <w:sz w:val="28"/>
          <w:szCs w:val="28"/>
          <w:rtl w:val="true"/>
          <w:lang w:bidi="fa-IR"/>
        </w:rPr>
        <w:t>، وهو أول أوقات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إلى وقت الزوال إلا أنها لضعفها لا تنهض مقيدة لتلك الإطلاقات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والفاضل في المنتهى </w:t>
      </w:r>
      <w:r>
        <w:rPr>
          <w:rStyle w:val="FootnoteAnchor"/>
          <w:rtl w:val="true"/>
        </w:rPr>
        <w:footnoteReference w:id="670"/>
      </w:r>
      <w:r>
        <w:rPr>
          <w:rFonts w:ascii="Amiri" w:hAnsi="Amiri" w:eastAsia="Amiri" w:cs="Amiri"/>
          <w:color w:val="111111"/>
          <w:sz w:val="28"/>
          <w:sz w:val="28"/>
          <w:szCs w:val="28"/>
          <w:rtl w:val="true"/>
          <w:lang w:bidi="ar-SA"/>
        </w:rPr>
        <w:t>أن وقته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في ذكرى الشيعة إلى ظاهر الأصحاب مع استظهار امتداده بامتداد النهار ؛ أخذا بإطلاق اليوم كلام الأكثر كما ترى خال عن التقييد ، فنسبة المذكورة لا يخلو عن تأمّل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ويتخرج من تعليل الجمعة أنها إلى الصلاة أو إلى الزوال الذي هو وقت صلاة </w:t>
      </w:r>
    </w:p>
    <w:p>
      <w:pPr>
        <w:pStyle w:val="BookText"/>
        <w:rPr/>
      </w:pP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أشار به إلى رواية العلل التي رواها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المطلوب غير ظاهر ؛ إذ لا إشارة فيها إلى حصر العلة واطرادها مع ذكر علة أخرى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أيضا ضعف القول بالتعبّد ، مضافا إلى أن الصلاة ممّا يترك في كثير من الأحوال ، فلا معنى لإناطة التوقيت به ، واعتبار العذر </w:t>
      </w:r>
      <w:r>
        <w:rPr>
          <w:rStyle w:val="FootnoteAnchor"/>
          <w:rtl w:val="true"/>
        </w:rPr>
        <w:footnoteReference w:id="671"/>
      </w:r>
      <w:r>
        <w:rPr>
          <w:rFonts w:ascii="Amiri" w:hAnsi="Amiri" w:eastAsia="Amiri" w:cs="Amiri"/>
          <w:color w:val="111111"/>
          <w:sz w:val="28"/>
          <w:sz w:val="28"/>
          <w:szCs w:val="28"/>
          <w:rtl w:val="true"/>
          <w:lang w:bidi="ar-SA"/>
        </w:rPr>
        <w:t>فيه خلاف الظاهر ، والبناء على اعتبار الزوال لا يظهر قائل به وإن احتمله الشهيد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في أفضل إيقاعه عند الصلاة كما يستفاد من رواية العلل ، ونصّ عليه جماعة ، مضافا إلى ما فيه من الخروج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بأفضلية ما قبل الزوال مطلقا ؛ أخذا برواية الفقه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وفي الموثقة المذكورة أوّلا دلالة على مطلوبية الغسل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زعم بعضهم دلالتها على كون الغسل المذكور من الأغسال الغائية دون الزمانية ، وأنت خبير بأنه لا دلالة فيها على نفي كونه زمانيا ، غاية الأمر أن يجمع بين الأمرين ويقال فيه لحصول الجهتين كما هو الأظهر إلا أنهم لم يذكروا في غير الأغسال الفعلية ، لكن هذه الرواية ظاهرة الدلالة عليه ، فلا بأس في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كما نصّ عليه كثير من الأصحاب كالصدوقين والمفيد والحلبي والقاضي وابن زهرة والحلي والفاضلان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الغنية والمدارك الإجماع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جماعة من الأغسال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الصحاح المستفيضة وغيرها كصحيحة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أربعة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يوم عرفة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يوم عرفة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فرق فيه بين من كان في الموقف وغيره للإطلاقات وخصوص رواية عبد الرحمن بن سيّابة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عرفة في الأمصار؟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أينما كنت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الإطلاقات كون تمام اليوم وقتا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الفقه </w:t>
      </w:r>
      <w:r>
        <w:rPr>
          <w:rStyle w:val="FootnoteAnchor"/>
          <w:rtl w:val="true"/>
        </w:rPr>
        <w:footnoteReference w:id="675"/>
      </w:r>
      <w:r>
        <w:rPr>
          <w:rFonts w:ascii="Amiri" w:hAnsi="Amiri" w:eastAsia="Amiri" w:cs="Amiri"/>
          <w:color w:val="111111"/>
          <w:sz w:val="28"/>
          <w:sz w:val="28"/>
          <w:szCs w:val="28"/>
          <w:rtl w:val="true"/>
          <w:lang w:bidi="ar-SA"/>
        </w:rPr>
        <w:t>توقيته بما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 للصحيحين العادّين له من مواطن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جماعة من الأصحاب كالصدوق والفاضل والشهيدين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 وهو اليوم الثامن عشر من ذي الحجة على المعروف المحكي عليه الإجماع ، وهو يوم الذي عقد فيه البيعة لمولانا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676"/>
      </w:r>
      <w:r>
        <w:rPr>
          <w:rFonts w:ascii="Amiri" w:hAnsi="Amiri" w:eastAsia="Amiri" w:cs="Amiri"/>
          <w:color w:val="111111"/>
          <w:sz w:val="28"/>
          <w:sz w:val="28"/>
          <w:szCs w:val="28"/>
          <w:rtl w:val="true"/>
          <w:lang w:bidi="ar-SA"/>
        </w:rPr>
        <w:t>حساب المنجمين يوم التاسع عشر من الشهر المذكور إلا أنه لم ير الهلال ليلة الثقلين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الغسل فيه مذكور في كلام جماعة من الأصحاب ، بل الإجماع محكي عليه في التهذيب والغنية والروض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الضعيف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قدر </w:t>
      </w:r>
      <w:r>
        <w:rPr>
          <w:rStyle w:val="FootnoteAnchor"/>
          <w:rtl w:val="true"/>
        </w:rPr>
        <w:footnoteReference w:id="677"/>
      </w:r>
      <w:r>
        <w:rPr>
          <w:rFonts w:ascii="Amiri" w:hAnsi="Amiri" w:eastAsia="Amiri" w:cs="Amiri"/>
          <w:color w:val="111111"/>
          <w:sz w:val="28"/>
          <w:sz w:val="28"/>
          <w:szCs w:val="28"/>
          <w:rtl w:val="true"/>
          <w:lang w:bidi="ar-SA"/>
        </w:rPr>
        <w:t xml:space="preserve">ركعتين يغتسل عند زوال الشمس من قبل أن يزول مقدار نصف ساعة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 اللّه حاجة من حوائج الدنيا والآخرة </w:t>
      </w:r>
      <w:r>
        <w:rPr>
          <w:rStyle w:val="FootnoteAnchor"/>
          <w:rtl w:val="true"/>
        </w:rPr>
        <w:footnoteReference w:id="679"/>
      </w:r>
      <w:r>
        <w:rPr>
          <w:rFonts w:ascii="Amiri" w:hAnsi="Amiri" w:eastAsia="Amiri" w:cs="Amiri"/>
          <w:color w:val="111111"/>
          <w:sz w:val="28"/>
          <w:sz w:val="28"/>
          <w:szCs w:val="28"/>
          <w:rtl w:val="true"/>
          <w:lang w:bidi="ar-SA"/>
        </w:rPr>
        <w:t xml:space="preserve">إلا قضيت له </w:t>
      </w:r>
      <w:r>
        <w:rPr>
          <w:rStyle w:val="FootnoteAnchor"/>
          <w:rtl w:val="true"/>
        </w:rPr>
        <w:footnoteReference w:id="680"/>
      </w:r>
      <w:r>
        <w:rPr>
          <w:rFonts w:ascii="Amiri" w:hAnsi="Amiri" w:eastAsia="Amiri" w:cs="Amiri"/>
          <w:color w:val="111111"/>
          <w:sz w:val="28"/>
          <w:sz w:val="28"/>
          <w:szCs w:val="28"/>
          <w:rtl w:val="true"/>
          <w:lang w:bidi="ar-SA"/>
        </w:rPr>
        <w:t xml:space="preserve">كائنة 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طويلة معروفة بين الأصحاب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الصدوق وشيخه محمد بن الحسن بن الوليد لكنّه من طريق محمد بن موسى </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أثبتناه من كتاب نوادر الحكمة إلّا أن ضعفها منجبر بالشهرة عندنا ، بل قال بعض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رادّ لها سوى الشيخين المذكورين ، مضافا إلى أنه من السنن التي تتسامح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كما ترى تقيّد بوقت استحبابه بخصوص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طاوس في الإقبال عن أبي الحسن الليثي ، عن الصادق عليه‌السلام في حديث ذكر فيه فضل يوم الغدير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صبيحة ذلك اليوم وجب الغسل في صدر نهاره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يعطي التوقيت بأول النهار ، وظاهر الإجماعات المحكية وإطلاق كثير من الطائفة يعطي إطلاق توقيته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له برواية الفقه حيث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ثلاثة وعشرون وعدّ منها غسل يوم غدير خم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فإن ظاهر نسبة الغسل إلى اليوم يعطي جواز إيقاعه في أيّ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للتسامح في أدلة السنن سيّما مع اعتضاده بما ذكر إلا أن الأفضل منه الوقتان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توقيته </w:t>
      </w:r>
      <w:r>
        <w:rPr>
          <w:rStyle w:val="FootnoteAnchor"/>
          <w:rtl w:val="true"/>
        </w:rPr>
        <w:footnoteReference w:id="683"/>
      </w:r>
      <w:r>
        <w:rPr>
          <w:rFonts w:ascii="Amiri" w:hAnsi="Amiri" w:eastAsia="Amiri" w:cs="Amiri"/>
          <w:color w:val="111111"/>
          <w:sz w:val="28"/>
          <w:sz w:val="28"/>
          <w:szCs w:val="28"/>
          <w:rtl w:val="true"/>
          <w:lang w:bidi="ar-SA"/>
        </w:rPr>
        <w:t>بطلوع الفجر إلى قبل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عنه البعد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 الرواية المشهورة مطلوبيّته لأجل الصلاة فيكون من الأغسال الفائتة 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المباهلة على ما ذكره كثير من الأصحاب ، منهم الشيخ </w:t>
      </w:r>
      <w:r>
        <w:rPr>
          <w:rStyle w:val="FootnoteAnchor"/>
          <w:rtl w:val="true"/>
        </w:rPr>
        <w:footnoteReference w:id="684"/>
      </w:r>
      <w:r>
        <w:rPr>
          <w:rFonts w:ascii="Amiri" w:hAnsi="Amiri" w:eastAsia="Amiri" w:cs="Amiri"/>
          <w:color w:val="111111"/>
          <w:sz w:val="28"/>
          <w:sz w:val="28"/>
          <w:szCs w:val="28"/>
          <w:rtl w:val="true"/>
          <w:lang w:bidi="ar-SA"/>
        </w:rPr>
        <w:t xml:space="preserve">في جملة من </w:t>
      </w:r>
    </w:p>
    <w:p>
      <w:pPr>
        <w:pStyle w:val="BookText"/>
        <w:rPr/>
      </w:pPr>
      <w:r>
        <w:rPr>
          <w:rFonts w:ascii="Amiri" w:hAnsi="Amiri" w:eastAsia="Amiri" w:cs="Amiri"/>
          <w:color w:val="111111"/>
          <w:sz w:val="28"/>
          <w:sz w:val="28"/>
          <w:szCs w:val="28"/>
          <w:rtl w:val="true"/>
          <w:lang w:bidi="ar-SA"/>
        </w:rPr>
        <w:t xml:space="preserve">كتبه ، والديلمي والطوسي </w:t>
      </w:r>
      <w:r>
        <w:rPr>
          <w:rStyle w:val="FootnoteAnchor"/>
          <w:rtl w:val="true"/>
        </w:rPr>
        <w:footnoteReference w:id="685"/>
      </w:r>
      <w:r>
        <w:rPr>
          <w:rFonts w:ascii="Amiri" w:hAnsi="Amiri" w:eastAsia="Amiri" w:cs="Amiri"/>
          <w:color w:val="111111"/>
          <w:sz w:val="28"/>
          <w:sz w:val="28"/>
          <w:szCs w:val="28"/>
          <w:rtl w:val="true"/>
          <w:lang w:bidi="ar-SA"/>
        </w:rPr>
        <w:t xml:space="preserve">والحلي </w:t>
      </w:r>
      <w:r>
        <w:rPr>
          <w:rStyle w:val="FootnoteAnchor"/>
          <w:rtl w:val="true"/>
        </w:rPr>
        <w:footnoteReference w:id="686"/>
      </w:r>
      <w:r>
        <w:rPr>
          <w:rFonts w:ascii="Amiri" w:hAnsi="Amiri" w:eastAsia="Amiri" w:cs="Amiri"/>
          <w:color w:val="111111"/>
          <w:sz w:val="28"/>
          <w:sz w:val="28"/>
          <w:szCs w:val="28"/>
          <w:rtl w:val="true"/>
          <w:lang w:bidi="ar-SA"/>
        </w:rPr>
        <w:t xml:space="preserve">وابن سعيد والفاضلان والشهيدان </w:t>
      </w:r>
      <w:r>
        <w:rPr>
          <w:rStyle w:val="FootnoteAnchor"/>
          <w:rtl w:val="true"/>
        </w:rPr>
        <w:footnoteReference w:id="687"/>
      </w:r>
      <w:r>
        <w:rPr>
          <w:rStyle w:val="FootnoteAnchor"/>
          <w:rtl w:val="true"/>
        </w:rPr>
        <w:footnoteReference w:id="688"/>
      </w:r>
      <w:r>
        <w:rPr>
          <w:rFonts w:ascii="IRNazanin" w:hAnsi="IRNazanin" w:eastAsia="IRNazanin"/>
          <w:color w:val="111111"/>
          <w:sz w:val="28"/>
          <w:sz w:val="28"/>
          <w:szCs w:val="28"/>
          <w:rtl w:val="true"/>
          <w:lang w:bidi="fa-IR"/>
        </w:rPr>
        <w:t xml:space="preserve">وابن فهد </w:t>
      </w:r>
      <w:r>
        <w:rPr>
          <w:rStyle w:val="FootnoteAnchor"/>
          <w:rtl w:val="true"/>
        </w:rPr>
        <w:footnoteReference w:id="68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690"/>
      </w:r>
      <w:r>
        <w:rPr>
          <w:rFonts w:ascii="IRNazanin" w:hAnsi="IRNazanin" w:eastAsia="IRNazanin"/>
          <w:color w:val="111111"/>
          <w:sz w:val="28"/>
          <w:sz w:val="28"/>
          <w:szCs w:val="28"/>
          <w:rtl w:val="true"/>
          <w:lang w:bidi="fa-IR"/>
        </w:rPr>
        <w:t>أن العمل به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691"/>
      </w:r>
      <w:r>
        <w:rPr>
          <w:rFonts w:ascii="Amiri" w:hAnsi="Amiri" w:eastAsia="Amiri" w:cs="Amiri"/>
          <w:color w:val="111111"/>
          <w:sz w:val="28"/>
          <w:sz w:val="28"/>
          <w:szCs w:val="28"/>
          <w:rtl w:val="true"/>
          <w:lang w:bidi="ar-SA"/>
        </w:rPr>
        <w:t>الإجماع على استحباب غسل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يحتمل فعل المباهلة ويومها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الأظهر الأخير بقرينة حكاية الإجماع عليه ؛ لعدم معروفيّة الأوّل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وجوب غسل المباهلة في موثقة سماعة ، وهو يحتمل الوجهان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بحسب العبارة هو الأول إلا أن يجعل شهرة الأخير بين الأصحاب قرينة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ففي رواية الإقبال المعروفة في خبر المباهلة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ذلك فابدأ بصوم ذلك اليوم شكرا لله واغتسل والبس أنظف ثيابك </w:t>
      </w:r>
      <w:r>
        <w:rPr>
          <w:rFonts w:eastAsia="Amiri" w:cs="Amiri" w:ascii="Amiri" w:hAnsi="Amiri"/>
          <w:color w:val="111111"/>
          <w:sz w:val="28"/>
          <w:szCs w:val="28"/>
          <w:rtl w:val="true"/>
          <w:lang w:bidi="ar-SA"/>
        </w:rPr>
        <w:t xml:space="preserve">» </w:t>
      </w:r>
      <w:r>
        <w:rPr>
          <w:rStyle w:val="FootnoteAnchor"/>
          <w:rtl w:val="true"/>
        </w:rPr>
        <w:footnoteReference w:id="69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693"/>
      </w:r>
      <w:r>
        <w:rPr>
          <w:rFonts w:ascii="Amiri" w:hAnsi="Amiri" w:eastAsia="Amiri" w:cs="Amiri"/>
          <w:color w:val="111111"/>
          <w:sz w:val="28"/>
          <w:sz w:val="28"/>
          <w:szCs w:val="28"/>
          <w:rtl w:val="true"/>
          <w:lang w:bidi="ar-SA"/>
        </w:rPr>
        <w:t xml:space="preserve">رواية الشيخ في المصباح عن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المباهلة اليوم الرابع والعشرون من ذي الحجة تصلى في ذلك اليوم ما أردت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وأنت على غسل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انجبارهما بعمل الجماعة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تضمّنه الرواية المذكورة من كونه اليوم الرابع والعشرين هو المشهور بين </w:t>
      </w:r>
    </w:p>
    <w:p>
      <w:pPr>
        <w:pStyle w:val="BookText"/>
        <w:rPr/>
      </w:pPr>
      <w:r>
        <w:rPr>
          <w:rFonts w:ascii="Amiri" w:hAnsi="Amiri" w:eastAsia="Amiri" w:cs="Amiri"/>
          <w:color w:val="111111"/>
          <w:sz w:val="28"/>
          <w:sz w:val="28"/>
          <w:szCs w:val="28"/>
          <w:rtl w:val="true"/>
          <w:lang w:bidi="ar-SA"/>
        </w:rPr>
        <w:t xml:space="preserve">الأصحاب على ما ذكره الشهيدان في الذكرى </w:t>
      </w:r>
      <w:r>
        <w:rPr>
          <w:rStyle w:val="FootnoteAnchor"/>
          <w:rtl w:val="true"/>
        </w:rPr>
        <w:footnoteReference w:id="694"/>
      </w:r>
      <w:r>
        <w:rPr>
          <w:rFonts w:ascii="IRNazanin" w:hAnsi="IRNazanin" w:eastAsia="IRNazanin"/>
          <w:color w:val="111111"/>
          <w:sz w:val="28"/>
          <w:sz w:val="28"/>
          <w:szCs w:val="28"/>
          <w:rtl w:val="true"/>
          <w:lang w:bidi="fa-IR"/>
        </w:rPr>
        <w:t xml:space="preserve">والروض </w:t>
      </w:r>
      <w:r>
        <w:rPr>
          <w:rStyle w:val="FootnoteAnchor"/>
          <w:rtl w:val="true"/>
        </w:rPr>
        <w:footnoteReference w:id="695"/>
      </w:r>
      <w:r>
        <w:rPr>
          <w:rFonts w:ascii="Amiri" w:hAnsi="Amiri" w:eastAsia="Amiri" w:cs="Amiri"/>
          <w:color w:val="111111"/>
          <w:sz w:val="28"/>
          <w:sz w:val="28"/>
          <w:szCs w:val="28"/>
          <w:rtl w:val="true"/>
          <w:lang w:bidi="ar-SA"/>
        </w:rPr>
        <w:t xml:space="preserve">وصاحبا الذخيرة </w:t>
      </w:r>
      <w:r>
        <w:rPr>
          <w:rStyle w:val="FootnoteAnchor"/>
          <w:rtl w:val="true"/>
        </w:rPr>
        <w:footnoteReference w:id="696"/>
      </w:r>
      <w:r>
        <w:rPr>
          <w:rFonts w:ascii="Amiri" w:hAnsi="Amiri" w:eastAsia="Amiri" w:cs="Amiri"/>
          <w:color w:val="111111"/>
          <w:sz w:val="28"/>
          <w:sz w:val="28"/>
          <w:szCs w:val="28"/>
          <w:rtl w:val="true"/>
          <w:lang w:bidi="ar-SA"/>
        </w:rPr>
        <w:t xml:space="preserve">وكشف اللثام </w:t>
      </w:r>
      <w:r>
        <w:rPr>
          <w:rStyle w:val="FootnoteAnchor"/>
          <w:rtl w:val="true"/>
        </w:rPr>
        <w:footnoteReference w:id="69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المقاصد </w:t>
      </w:r>
      <w:r>
        <w:rPr>
          <w:rStyle w:val="FootnoteAnchor"/>
          <w:rtl w:val="true"/>
        </w:rPr>
        <w:footnoteReference w:id="698"/>
      </w:r>
      <w:r>
        <w:rPr>
          <w:rFonts w:ascii="IRNazanin" w:hAnsi="IRNazanin" w:eastAsia="IRNazanin"/>
          <w:color w:val="111111"/>
          <w:sz w:val="28"/>
          <w:sz w:val="28"/>
          <w:szCs w:val="28"/>
          <w:rtl w:val="true"/>
          <w:lang w:bidi="fa-IR"/>
        </w:rPr>
        <w:t>أنه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في الإقبال قولا بأنه الواحد والعشرون وآخر بأنه السابع والعشرون ، وذكر أن أصح الروايات أنّه يوم الرابع والعشرين ، وبملاحظة ما ذكرنا يتبيّن قوة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مستند ظاهر للقولين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المولود ، وهو السابع عشر من ربيع الأول على المعروف بين الأصحاب ، وعن الكليني </w:t>
      </w:r>
      <w:r>
        <w:rPr>
          <w:rStyle w:val="FootnoteAnchor"/>
          <w:rtl w:val="true"/>
        </w:rPr>
        <w:footnoteReference w:id="699"/>
      </w:r>
      <w:r>
        <w:rPr>
          <w:rFonts w:ascii="Amiri" w:hAnsi="Amiri" w:eastAsia="Amiri" w:cs="Amiri"/>
          <w:color w:val="111111"/>
          <w:sz w:val="28"/>
          <w:sz w:val="28"/>
          <w:szCs w:val="28"/>
          <w:rtl w:val="true"/>
          <w:lang w:bidi="ar-SA"/>
        </w:rPr>
        <w:t xml:space="preserve">أنه الثاني عشر منه ، وبه </w:t>
      </w:r>
      <w:r>
        <w:rPr>
          <w:rStyle w:val="FootnoteAnchor"/>
          <w:rtl w:val="true"/>
        </w:rPr>
        <w:footnoteReference w:id="700"/>
      </w:r>
      <w:r>
        <w:rPr>
          <w:rFonts w:ascii="Amiri" w:hAnsi="Amiri" w:eastAsia="Amiri" w:cs="Amiri"/>
          <w:color w:val="111111"/>
          <w:sz w:val="28"/>
          <w:sz w:val="28"/>
          <w:szCs w:val="28"/>
          <w:rtl w:val="true"/>
          <w:lang w:bidi="ar-SA"/>
        </w:rPr>
        <w:t>رواية وهو المعروف بين العامة ، فالأظهر البناء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واستحباب الغسل فيه مذكور في كلام جماعة </w:t>
      </w:r>
      <w:r>
        <w:rPr>
          <w:rStyle w:val="FootnoteAnchor"/>
          <w:rtl w:val="true"/>
        </w:rPr>
        <w:footnoteReference w:id="701"/>
      </w:r>
      <w:r>
        <w:rPr>
          <w:rFonts w:ascii="IRNazanin" w:hAnsi="IRNazanin" w:eastAsia="IRNazanin"/>
          <w:color w:val="111111"/>
          <w:sz w:val="28"/>
          <w:sz w:val="28"/>
          <w:szCs w:val="28"/>
          <w:rtl w:val="true"/>
          <w:lang w:bidi="fa-IR"/>
        </w:rPr>
        <w:t>من أجلاء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 عليه الطوسي وابن طاوس والشهيد وابن فهد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الوسيلة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كشف الالتباس إلى الرواية ، وذلك كاف في ثبوت حكم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من جملة الأعياد ، وقد حكى الشيخ الإجماع على استحباب الغسل في الأعياد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المبعث كما نصّ عليه جمع كثير من الأصحاب كالشيخ في عدّة من كتبه </w:t>
      </w:r>
    </w:p>
    <w:p>
      <w:pPr>
        <w:pStyle w:val="BookText"/>
        <w:rPr/>
      </w:pPr>
      <w:r>
        <w:rPr>
          <w:rFonts w:ascii="Amiri" w:hAnsi="Amiri" w:eastAsia="Amiri" w:cs="Amiri"/>
          <w:color w:val="111111"/>
          <w:sz w:val="28"/>
          <w:sz w:val="28"/>
          <w:szCs w:val="28"/>
          <w:rtl w:val="true"/>
          <w:lang w:bidi="ar-SA"/>
        </w:rPr>
        <w:t xml:space="preserve">والحلبي </w:t>
      </w:r>
      <w:r>
        <w:rPr>
          <w:rStyle w:val="FootnoteAnchor"/>
          <w:rtl w:val="true"/>
        </w:rPr>
        <w:footnoteReference w:id="702"/>
      </w:r>
      <w:r>
        <w:rPr>
          <w:rFonts w:ascii="Amiri" w:hAnsi="Amiri" w:eastAsia="Amiri" w:cs="Amiri"/>
          <w:color w:val="111111"/>
          <w:sz w:val="28"/>
          <w:sz w:val="28"/>
          <w:szCs w:val="28"/>
          <w:rtl w:val="true"/>
          <w:lang w:bidi="ar-SA"/>
        </w:rPr>
        <w:t xml:space="preserve">والطوسي والحلي وابن طاوس والفاضلان والشهيدان </w:t>
      </w:r>
      <w:r>
        <w:rPr>
          <w:rStyle w:val="FootnoteAnchor"/>
          <w:rtl w:val="true"/>
        </w:rPr>
        <w:footnoteReference w:id="703"/>
      </w:r>
      <w:r>
        <w:rPr>
          <w:rStyle w:val="FootnoteAnchor"/>
          <w:rtl w:val="true"/>
        </w:rPr>
        <w:footnoteReference w:id="704"/>
      </w:r>
      <w:r>
        <w:rPr>
          <w:rFonts w:ascii="IRNazanin" w:hAnsi="IRNazanin" w:eastAsia="IRNazanin"/>
          <w:color w:val="111111"/>
          <w:sz w:val="28"/>
          <w:sz w:val="28"/>
          <w:szCs w:val="28"/>
          <w:rtl w:val="true"/>
          <w:lang w:bidi="fa-IR"/>
        </w:rPr>
        <w:t xml:space="preserve">وابن فهد </w:t>
      </w:r>
      <w:r>
        <w:rPr>
          <w:rStyle w:val="FootnoteAnchor"/>
          <w:rtl w:val="true"/>
        </w:rPr>
        <w:footnoteReference w:id="705"/>
      </w:r>
      <w:r>
        <w:rPr>
          <w:rFonts w:ascii="Amiri" w:hAnsi="Amiri" w:eastAsia="Amiri" w:cs="Amiri"/>
          <w:color w:val="111111"/>
          <w:sz w:val="28"/>
          <w:sz w:val="28"/>
          <w:szCs w:val="28"/>
          <w:rtl w:val="true"/>
          <w:lang w:bidi="ar-SA"/>
        </w:rPr>
        <w:t>والصيمري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الإجماع </w:t>
      </w:r>
      <w:r>
        <w:rPr>
          <w:rStyle w:val="FootnoteAnchor"/>
          <w:rtl w:val="true"/>
        </w:rPr>
        <w:footnoteReference w:id="70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الوسيلة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والصيمري إسناده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الشرائع </w:t>
      </w:r>
      <w:r>
        <w:rPr>
          <w:rStyle w:val="FootnoteAnchor"/>
          <w:rtl w:val="true"/>
        </w:rPr>
        <w:footnoteReference w:id="707"/>
      </w:r>
      <w:r>
        <w:rPr>
          <w:rFonts w:ascii="Amiri" w:hAnsi="Amiri" w:eastAsia="Amiri" w:cs="Amiri"/>
          <w:color w:val="111111"/>
          <w:sz w:val="28"/>
          <w:sz w:val="28"/>
          <w:szCs w:val="28"/>
          <w:rtl w:val="true"/>
          <w:lang w:bidi="ar-SA"/>
        </w:rPr>
        <w:t>والنافع عدّة من الأغسال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ذلك كله يتعيّن القول بثبوته وإن ترك ذكره في كتب الصدوق والمفيد والقاضي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دحو الأرض ، أعني الخامس والعشرين من ذي القعدة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الشهيد في جملة من كتبه ،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بعض من تأخر عنه ، وليس له ذكر في سائر كتب الأصحاب ، ولا له أثر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أثبت الإسكافي الغسل لكل زمان شريف كما سيجي‌ء ، ولا ريب أنه من الأزمنة الشريفة إلا أنه أيضا لا مستند له في الظاهر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للتاسع من ربيع المولود ، وقد حكي ذلك من فعل أحمد بن إسحاق القمي معلّلا بأنه يوم عيد ، بل هو من الأيام الشريفة العظيمة لما وقع فيه من الواقعة التي فيها قطع أصل الضلالة إلا أن ذلك خلاف المعروف بين علماء التاريخ ، بل خلاف ما ذكره أكثر الأصحاب ، مضافا إلى أن مجرد ذلك لا يثبت استحباب الغسل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النصف من رجب كما نصّ عليه جمع كثير من الأصحاب كالشيخ والطوسي والحلي والفاضلين وابن سعيد والشهيد وابن فهد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الوسيلة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 وغير واحد من كتب الشهيد الثاني أنه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وابن فهد والصيمري أنه من الأغسال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عليه نصّا في الأخبار إلا الرواية الآتية ، وهي غير دالة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أسنده وغيره في نهاية الإحكام وغيرها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أول رجب ووسطه وآخره ؛ لما ذكره في الإقبال أنه وجد في كتب العبادات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شهر رجب فاغتسل في أوله ووسطه وآخره خرج من ذنوبه كيوم ولادته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لا يمنع عن العمل به في المندوبات ولا يبعد حصول الغسل في الوسط بالفعل السابق فلا حاجة إلى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الليلة النصف من شعبان كما ذكره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الوسيلة والغنية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أبي بصير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صوموا شهر شعبان واغتسلوا ليلة النصف منه ، ذلك تخفيف من ربّكم ورحمة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رواية الفقيه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الليلة الأولى من شهر رمضان لعدة من الأخبار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لا يكون به الحكمة فليغتسل أول ليلة من شهر رمضان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أول ليلة من شهر رمضان في نهر جار ويصبّ على رأسه ثلاثين كفّا من الماء طهر إلى شهر رمضان من قابل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الليلة الخامسة عشر منه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الغسل في أول ليلة من شهر رمضان وليلة النصف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الإجماع وللمستفيضة المتكثرة ، منها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ستة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وعدّ منها الليلة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الليلة السابعة عشر ، وعن الرضا عليه‌السلام فيما كتب للمأمون من شرائع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ليلة من شهر رمضان وليلة سبعة عشرة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في الوسيلة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ليالي القدر الثالث المعروفة بالإجماع ، حكاه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الصحاح المستفيضة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هناك غسل ثان في الليلة الثالثة بأن يغتسل مرّة في أول الليل وأخرى في آخره ؛ لما رواه في الإقبال بأسانيده إلى التلعكبري بإسناده إلى يزيد بن معاوية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اغتسل في ليلة ثلاث وعشرين من شهر رمضان مرّة في أول الليل ومرّة في آخره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مضمرا باختلاف يسير في لفظه ، والظاهر أنّ كلّا منهما مستحب برأسه ، فيجوز الاقتصار على أحدهما ، ويؤدي وظيفة الغسل المطلق بأحدهما ، ويجوز الاقتصار على الغسل الواحد في الأثناء ، فيؤدي به وظيفة المطلق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أتى بالغسل الأول فالظاهر عدم جواز الإتيان بالمطلق ثانيا لأوانه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الليلة الرابعة والعشرين منه لغير واحد من الأخبار ، منها ما رواه في الإقبال ، عن كتاب الحسين بن سعيد ، بإسناده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في ليلة أربع وعشرين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ليلة الخامس والعشرين وليلة السابع والعشرين وليلة التاسع والعشرين ، لما حكاه في فلاح السائل عن الشيخ ابن أبي قرّة </w:t>
      </w:r>
      <w:r>
        <w:rPr>
          <w:rStyle w:val="FootnoteAnchor"/>
          <w:rtl w:val="true"/>
        </w:rPr>
        <w:footnoteReference w:id="71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غسل ليلة أربع وعشرين منه وليلة خمس وعشرين منه وليلة سبع وعشرين منه وليلة تسع وعشرين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وروي في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كلّ ليلة من العشر الأخير ؛ لما حكاه في الإقبال عن كتاب علي بن واحد ، عن ابن أبي عمير ، عن بعض أصحابنا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يغتسل في شهر رمضان في العشر الاواخر في كل ليلة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الأعمال لأحمد بن عياش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أول ليلة من شهر رمضان قام رسول اللّه صلى‌اللّه‌عليه‌وآله فحمد اللّه وأثنى عليه حتّى إذا كان أول ليلة من العشر قام وشمّر وشد المئزر وبرز من بيته واعتكف وأحيا الليل كله وكان يغتسل كلّ ليلة منه بين العشاءين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مرجع الضمير وجهان ؛ من ظهور التذكير في رجوعه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برواية الوسائل حيث ذكر أن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العشر من شهر رمضان شمر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720"/>
      </w:r>
      <w:r>
        <w:rPr>
          <w:rFonts w:ascii="Amiri" w:hAnsi="Amiri" w:eastAsia="Amiri" w:cs="Amiri"/>
          <w:color w:val="111111"/>
          <w:sz w:val="28"/>
          <w:sz w:val="28"/>
          <w:szCs w:val="28"/>
          <w:rtl w:val="true"/>
          <w:lang w:bidi="ar-SA"/>
        </w:rPr>
        <w:t>؛ نظرا إلى قرينة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تغيير الأسلوب من الماضي إلى المضارع وإقحام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لذا استظهره في حاشية الوسائل إرجاع الضمير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ظهور السياق في رجوعه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بيان أحوالها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حكاية تأنيث الضمير عن بعض النسخ ، وعلى فرض تذكيره فالأمر فيه سهل مضافا إلى موافقته للرواية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 يدل على استحباب الغسل في العشر ، والظاهر اندراج الأغسال الخاصة بالليالي المخصوصة فيه ، فلا يستحب هناك غسل آخر من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يتأكّد الاستحباب فيما اجتمعت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كل ليلة من ليالي الإفراد منه كما نصّ عليه جملة من أجلة الأصحاب كالشيخ وابن طاوس والشهيدين وابن فهد والصيمري والمحقق الكركي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المصباح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اغتسل في </w:t>
      </w:r>
      <w:r>
        <w:rPr>
          <w:rStyle w:val="FootnoteAnchor"/>
          <w:rtl w:val="true"/>
        </w:rPr>
        <w:footnoteReference w:id="722"/>
      </w:r>
      <w:r>
        <w:rPr>
          <w:rFonts w:ascii="Amiri" w:hAnsi="Amiri" w:eastAsia="Amiri" w:cs="Amiri"/>
          <w:color w:val="111111"/>
          <w:sz w:val="28"/>
          <w:sz w:val="28"/>
          <w:szCs w:val="28"/>
          <w:rtl w:val="true"/>
          <w:lang w:bidi="ar-SA"/>
        </w:rPr>
        <w:t>ليالي الإفراد كلها وخاصة ليلة النصف كان له فيه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ذكره في الإقبال من وجود الرواية المتضمنة لاستحباب الغسل في كل ليلة مفردة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نقله رحمه‌اللّه مع اعتضاده بفتوى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كثرة فضله كفاية في ثبوت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كل ليلة منه ولم نجد به مفت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يدل عليه الرواية المتقدمة على الوجه الأول إلا أنه لعدم تعيّنه لا يثبت به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الفطر ؛ للرواية المتكررة في عدّة من الكتب المعتمدة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723"/>
      </w:r>
      <w:r>
        <w:rPr>
          <w:rFonts w:ascii="Amiri" w:hAnsi="Amiri" w:eastAsia="Amiri" w:cs="Amiri"/>
          <w:color w:val="111111"/>
          <w:sz w:val="28"/>
          <w:sz w:val="28"/>
          <w:szCs w:val="28"/>
          <w:rtl w:val="true"/>
          <w:lang w:bidi="ar-SA"/>
        </w:rPr>
        <w:t xml:space="preserve">ينبغي لنا أن نعمل فيها؟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الشمس فاغتسل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يومي هذه الرواية الغسل عقيب المغرب ، ولا أقل من عدم إفادتها الاستحباب في مطلق الليل إلا أن المذكور في كلام جملة من الأجلة إطلاق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طاوس ورود رواية بكونه قبل الغروب إذا علم أنها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w:t>
      </w:r>
    </w:p>
    <w:p>
      <w:pPr>
        <w:pStyle w:val="BookText"/>
        <w:rPr/>
      </w:pPr>
      <w:r>
        <w:rPr>
          <w:rFonts w:ascii="IRNazanin" w:hAnsi="IRNazanin" w:eastAsia="IRNazanin"/>
          <w:color w:val="111111"/>
          <w:sz w:val="28"/>
          <w:sz w:val="28"/>
          <w:szCs w:val="28"/>
          <w:rtl w:val="true"/>
          <w:lang w:bidi="fa-IR"/>
        </w:rPr>
        <w:t>العمل على الأولى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الحليين ، ولم نجد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الأضحى على ما ذكره في الوسائل حيث عنون الباب باستحباب الغسل ليلة العيدين ويومهما إلا أنه لم يذكر في الباب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الأخبار ما يومي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ذكر هناك مرسلة ابن طاوس الماضية لا ريب أنها في خصوص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لكل زمان شريف من يوم وليلة على ما حكي عن الإسكافي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الفاضلين حيث علّلا استحباب غير واحد من الأغسال بشرف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به مطلق الشرافة كمجموع شهر رمضان أو الأشهر الثلاثة ونحوها ، أو المراد به الشرافة الثابتة لخصوص ذلك الزمان كليلة الجمعة ويوم القدر ونحوهما؟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فالأظهر عدم ثبوته لانتفاء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عليه كثير من الأصحاب منهم الشيخ وابن سعيد والفاضل في عدة من كتبه والشهيد وابن فهد </w:t>
      </w:r>
      <w:r>
        <w:rPr>
          <w:rStyle w:val="FootnoteAnchor"/>
          <w:rtl w:val="true"/>
        </w:rPr>
        <w:footnoteReference w:id="725"/>
      </w:r>
      <w:r>
        <w:rPr>
          <w:rFonts w:ascii="Amiri" w:hAnsi="Amiri" w:eastAsia="Amiri" w:cs="Amiri"/>
          <w:color w:val="111111"/>
          <w:sz w:val="28"/>
          <w:sz w:val="28"/>
          <w:szCs w:val="28"/>
          <w:rtl w:val="true"/>
          <w:lang w:bidi="ar-SA"/>
        </w:rPr>
        <w:t>والصيمري والمحقق الكركي وشيخنا البهائي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المعلّى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النيروز فاغتسل والبس أنظف ثيابك </w:t>
      </w:r>
      <w:r>
        <w:rPr>
          <w:rFonts w:eastAsia="Amiri" w:cs="Amiri" w:ascii="Amiri" w:hAnsi="Amiri"/>
          <w:color w:val="111111"/>
          <w:sz w:val="28"/>
          <w:szCs w:val="28"/>
          <w:rtl w:val="true"/>
          <w:lang w:bidi="ar-SA"/>
        </w:rPr>
        <w:t xml:space="preserve">.. » </w:t>
      </w:r>
      <w:r>
        <w:rPr>
          <w:rStyle w:val="FootnoteAnchor"/>
          <w:rtl w:val="true"/>
        </w:rPr>
        <w:footnoteReference w:id="72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تعيين يوم النيروز اختلاف بين الأصحاب ، ولهم فيه أقوال ليس هذا محل إيرادها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السنة ؛ لرواية السكوني ، عن الصادق عليه‌السلام ، عن آبائه ، 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أول يوم من السنة في ماء جار وصبّ على رأسه ثلاثين </w:t>
      </w:r>
    </w:p>
    <w:p>
      <w:pPr>
        <w:pStyle w:val="BookText"/>
        <w:rPr/>
      </w:pPr>
      <w:r>
        <w:rPr>
          <w:rFonts w:ascii="Amiri" w:hAnsi="Amiri" w:eastAsia="Amiri" w:cs="Amiri"/>
          <w:color w:val="111111"/>
          <w:sz w:val="28"/>
          <w:sz w:val="28"/>
          <w:szCs w:val="28"/>
          <w:rtl w:val="true"/>
          <w:lang w:bidi="ar-SA"/>
        </w:rPr>
        <w:t xml:space="preserve">غرفة كان دواء السنة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في الإقبال ، وقد روى فيه أخبارا عدّة أن رأس السنة شهر رمضان ، وفيه بعد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وأنّ اوّل كلّ سنة أوّل يوم من شهر رمضان ، وهو يحتمل أن يكون من تتمّة الرواية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وأن يكون من كلام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في الإقبال </w:t>
      </w:r>
      <w:r>
        <w:rPr>
          <w:rStyle w:val="FootnoteAnchor"/>
          <w:rtl w:val="true"/>
        </w:rPr>
        <w:footnoteReference w:id="730"/>
      </w:r>
      <w:r>
        <w:rPr>
          <w:rFonts w:ascii="Amiri" w:hAnsi="Amiri" w:eastAsia="Amiri" w:cs="Amiri"/>
          <w:color w:val="111111"/>
          <w:sz w:val="28"/>
          <w:sz w:val="28"/>
          <w:szCs w:val="28"/>
          <w:rtl w:val="true"/>
          <w:lang w:bidi="ar-SA"/>
        </w:rPr>
        <w:t>اختلاف الروايات في بيان أول السنة أنه محرّم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عمل من أدركته من علماء أصحابنا المعتبرين وكثيرا من تصانيف علمائهم الماضين أن أول السنة شهر رمضان على التعيين ، واحتمال الجمع بينهما باختيار </w:t>
      </w:r>
      <w:r>
        <w:rPr>
          <w:rStyle w:val="FootnoteAnchor"/>
          <w:rtl w:val="true"/>
        </w:rPr>
        <w:footnoteReference w:id="732"/>
      </w:r>
      <w:r>
        <w:rPr>
          <w:rFonts w:ascii="Amiri" w:hAnsi="Amiri" w:eastAsia="Amiri" w:cs="Amiri"/>
          <w:color w:val="111111"/>
          <w:sz w:val="28"/>
          <w:sz w:val="28"/>
          <w:szCs w:val="28"/>
          <w:rtl w:val="true"/>
          <w:lang w:bidi="ar-SA"/>
        </w:rPr>
        <w:t xml:space="preserve">الثاني في </w:t>
      </w:r>
      <w:r>
        <w:rPr>
          <w:rStyle w:val="FootnoteAnchor"/>
          <w:rtl w:val="true"/>
        </w:rPr>
        <w:footnoteReference w:id="733"/>
      </w:r>
      <w:r>
        <w:rPr>
          <w:rFonts w:ascii="Amiri" w:hAnsi="Amiri" w:eastAsia="Amiri" w:cs="Amiri"/>
          <w:color w:val="111111"/>
          <w:sz w:val="28"/>
          <w:sz w:val="28"/>
          <w:szCs w:val="28"/>
          <w:rtl w:val="true"/>
          <w:lang w:bidi="ar-SA"/>
        </w:rPr>
        <w:t>أول العام في عبادات الإسلام والثاني في التواريخ والمهام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الشهور عند أهل الحق شهر رمضان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وبجميع ما ذكرنا يتقوى القول بكون المراد من أول السنة في الرواية المذكورة هو اليوم المذكور ، مضافا إلى ما عرفت من رواية نظيره في غسل أول ليلة منه</w:t>
      </w:r>
      <w:r>
        <w:rPr>
          <w:rFonts w:eastAsia="Amiri" w:cs="Amiri" w:ascii="Amiri" w:hAnsi="Amiri"/>
          <w:color w:val="111111"/>
          <w:sz w:val="28"/>
          <w:szCs w:val="28"/>
          <w:rtl w:val="true"/>
          <w:lang w:bidi="ar-SA"/>
        </w:rPr>
        <w:t xml:space="preserve">. </w:t>
      </w:r>
      <w:bookmarkStart w:id="189" w:name="pg15839_360776"/>
    </w:p>
    <w:p>
      <w:pPr>
        <w:pStyle w:val="Heading5"/>
        <w:numPr>
          <w:ilvl w:val="4"/>
          <w:numId w:val="1"/>
        </w:numPr>
        <w:rPr/>
      </w:pPr>
      <w:bookmarkStart w:id="190" w:name="__RefHeading___Toc14338435_2142443653"/>
      <w:bookmarkStart w:id="191" w:name="_Toc70"/>
      <w:bookmarkEnd w:id="189"/>
      <w:bookmarkEnd w:id="190"/>
      <w:r>
        <w:rPr>
          <w:rtl w:val="true"/>
        </w:rPr>
        <w:t>تبصرة</w:t>
      </w:r>
      <w:r>
        <w:rPr>
          <w:rtl w:val="true"/>
        </w:rPr>
        <w:t xml:space="preserve">: [ </w:t>
      </w:r>
      <w:r>
        <w:rPr>
          <w:rtl w:val="true"/>
        </w:rPr>
        <w:t xml:space="preserve">في الأغسال المكانية </w:t>
      </w:r>
      <w:r>
        <w:rPr>
          <w:rtl w:val="true"/>
        </w:rPr>
        <w:t>]</w:t>
      </w:r>
      <w:bookmarkEnd w:id="191"/>
    </w:p>
    <w:p>
      <w:pPr>
        <w:pStyle w:val="BookText"/>
        <w:rPr/>
      </w:pPr>
      <w:r>
        <w:rPr>
          <w:rFonts w:ascii="Amiri" w:hAnsi="Amiri" w:eastAsia="Amiri" w:cs="Amiri"/>
          <w:color w:val="111111"/>
          <w:sz w:val="28"/>
          <w:sz w:val="28"/>
          <w:szCs w:val="28"/>
          <w:rtl w:val="true"/>
          <w:lang w:bidi="ar-SA"/>
        </w:rPr>
        <w:t xml:space="preserve">وأما الأغسال المكانية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دخول حرم مكّة ؛ للمعتبرة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العادّ للأغسال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دخول الحرم يستحب أن لا تدخله إلا بغسل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أربعة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دخول الحرم </w:t>
      </w:r>
      <w:r>
        <w:rPr>
          <w:rStyle w:val="FootnoteAnchor"/>
          <w:rtl w:val="true"/>
        </w:rPr>
        <w:footnoteReference w:id="73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الحرم فيها حرم مكة لانصراف الإطلاق إليه ، وبه نصّ كثير من الأصحاب ، وعليه الإجماع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الوسيلة أنه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جماعة من الأصحاب منهم الصدوق في غير واحد من كتبه والشهيد وشيخنا البهائي ، ولم يذكره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ثبوته للصحيحة المروية في عدة من الكتب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دخلت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وحمله على البلدين كما احتمله بعضهم بيّن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مكّة ؛ للمعتبرة المستفيضة والإجماع عليه محصّلا كما هو الظاهر ومحكيّا كما في الخلاف ، وفي الوسيلة أنه من المندوب بلا خلاف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المدينة ؛ للمعتبرة المستفيضة أيضا ، والإجماع الظاهر والمحكي في الغنية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الوسيلة أيضا أنه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المفيد استحباب الغسل لدخول البلدين من دخلهما لأداء فرض أو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إطلاق النصّ والفتوى ، والظاهر الرجوع في البلدين إلى العرف ، ويحتمل الرجوع إلى الموجود حال صدور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لدخول مسجد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كما نصّ عليه الأصحاب للصحيحة المرويّة في عدّة من الكتب المعتمدة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أردت دخول مسجد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الغنية الإجماع عليه ، وفي الوسيلة أنه من المندوب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لدخول المسجد </w:t>
      </w:r>
      <w:r>
        <w:rPr>
          <w:rFonts w:eastAsia="IRNazanin" w:cs="IRNazanin"/>
          <w:color w:val="111111"/>
          <w:sz w:val="28"/>
          <w:szCs w:val="28"/>
          <w:rtl w:val="true"/>
          <w:lang w:bidi="fa-IR"/>
        </w:rPr>
        <w:t xml:space="preserve">) </w:t>
      </w:r>
      <w:r>
        <w:rPr>
          <w:rStyle w:val="FootnoteAnchor"/>
          <w:rtl w:val="true"/>
        </w:rPr>
        <w:footnoteReference w:id="737"/>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به نصّا إلا أنه منصوص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عليه الإجماع في الخلاف والغنية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الوسيلة أنه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بفحوى الصحيحة المتقدمة المبيّنة للغسل لدخول مسجد الرسول صلى‌اللّه‌عليه‌وآله حيث إنه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لدخول البيت الحرام متصلا به حول مسجد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تكون في تقارنهما إشارة إلى إرادة المسجد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تأمل ، ومع ذلك فالأظهر ثبوته تسامحا في أدلة السنن ، بل عن الجعفي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الإجماعين المحكيين وعده في الوسيلة من المندوب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w:t>
      </w:r>
      <w:r>
        <w:rPr>
          <w:rFonts w:eastAsia="Amiri" w:cs="Amiri" w:ascii="Amiri" w:hAnsi="Amiri"/>
          <w:color w:val="111111"/>
          <w:sz w:val="28"/>
          <w:szCs w:val="28"/>
          <w:rtl w:val="true"/>
          <w:lang w:bidi="ar-SA"/>
        </w:rPr>
        <w:t xml:space="preserve">. </w:t>
      </w:r>
      <w:bookmarkStart w:id="192" w:name="pg15839_360778"/>
    </w:p>
    <w:p>
      <w:pPr>
        <w:pStyle w:val="Heading5"/>
        <w:numPr>
          <w:ilvl w:val="4"/>
          <w:numId w:val="1"/>
        </w:numPr>
        <w:rPr/>
      </w:pPr>
      <w:bookmarkStart w:id="193" w:name="__RefHeading___Toc14338437_2142443653"/>
      <w:bookmarkStart w:id="194" w:name="_Toc71"/>
      <w:bookmarkEnd w:id="192"/>
      <w:bookmarkEnd w:id="193"/>
      <w:r>
        <w:rPr>
          <w:rtl w:val="true"/>
        </w:rPr>
        <w:t>تبصرة</w:t>
      </w:r>
      <w:r>
        <w:rPr>
          <w:rtl w:val="true"/>
        </w:rPr>
        <w:t xml:space="preserve">: [ </w:t>
      </w:r>
      <w:r>
        <w:rPr>
          <w:rtl w:val="true"/>
        </w:rPr>
        <w:t xml:space="preserve">في الأغسال الفعلية </w:t>
      </w:r>
      <w:r>
        <w:rPr>
          <w:rtl w:val="true"/>
        </w:rPr>
        <w:t>]</w:t>
      </w:r>
      <w:bookmarkEnd w:id="194"/>
    </w:p>
    <w:p>
      <w:pPr>
        <w:pStyle w:val="Heading6"/>
        <w:numPr>
          <w:ilvl w:val="5"/>
          <w:numId w:val="1"/>
        </w:numPr>
        <w:rPr/>
      </w:pPr>
      <w:bookmarkStart w:id="195" w:name="__RefHeading___Toc14338439_2142443653"/>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وأما الأغسال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ومشروعيته في الجملة مما لا خلاف فيه بين الطائفة بل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استحبابه فهو المعروف من مذهب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الإجماع عليه جماعة منهم الشيخ في الخلاف وابن زهرة في الغنية والعلامة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بواجب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سنّة بلا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غسل الإحرام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الوسيلة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باستحبابه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بفرض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الشهرة عليه مستفيضة حكاها في المختلف والذخيرة وكشف اللثام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القول بالوجوب في المعتبر إلى شاذّ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 القول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مما حكي عن الإسكافي في كيفية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الشهيد عن الصدوق أنه أطلق وجوب عدّة من الأغسال ، وعدّ منها غسل الإحرام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غير صريح في الوجوب بالمعنى المصطلح ، بل ولا </w:t>
      </w:r>
      <w:r>
        <w:rPr>
          <w:rStyle w:val="FootnoteAnchor"/>
          <w:rtl w:val="true"/>
        </w:rPr>
        <w:footnoteReference w:id="738"/>
      </w:r>
      <w:r>
        <w:rPr>
          <w:rFonts w:ascii="Amiri" w:hAnsi="Amiri" w:eastAsia="Amiri" w:cs="Amiri"/>
          <w:color w:val="111111"/>
          <w:sz w:val="28"/>
          <w:sz w:val="28"/>
          <w:szCs w:val="28"/>
          <w:rtl w:val="true"/>
          <w:lang w:bidi="ar-SA"/>
        </w:rPr>
        <w:t xml:space="preserve">ظاهر فيه بملاحظة </w:t>
      </w:r>
    </w:p>
    <w:p>
      <w:pPr>
        <w:pStyle w:val="BookText"/>
        <w:rPr/>
      </w:pPr>
      <w:r>
        <w:rPr>
          <w:rFonts w:ascii="Amiri" w:hAnsi="Amiri" w:eastAsia="Amiri" w:cs="Amiri"/>
          <w:color w:val="111111"/>
          <w:sz w:val="28"/>
          <w:sz w:val="28"/>
          <w:szCs w:val="28"/>
          <w:rtl w:val="true"/>
          <w:lang w:bidi="ar-SA"/>
        </w:rPr>
        <w:t>المقام حيث عدّ منها لا وجه للقول فيه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صاحب الحدائق حيث ذكر أن القول بالوجوب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السيد في الناصريات بعد حكمه باستحباب الغسل المذكور وتأكّد استحبابه غاية التأكيد ، فلهذا اشتبه الأمر على أكثر أصحابنا واعتقدوا أن غسل الإحرام واجب ؛ لقوة ما ورد في 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يعطي شيوع القول به في الأوائل إلا أن تفرّده في كفاية </w:t>
      </w:r>
      <w:r>
        <w:rPr>
          <w:rStyle w:val="FootnoteAnchor"/>
          <w:rtl w:val="true"/>
        </w:rPr>
        <w:footnoteReference w:id="739"/>
      </w:r>
      <w:r>
        <w:rPr>
          <w:rFonts w:ascii="Amiri" w:hAnsi="Amiri" w:eastAsia="Amiri" w:cs="Amiri"/>
          <w:color w:val="111111"/>
          <w:sz w:val="28"/>
          <w:sz w:val="28"/>
          <w:szCs w:val="28"/>
          <w:rtl w:val="true"/>
          <w:lang w:bidi="ar-SA"/>
        </w:rPr>
        <w:t>ذلك مع حكم غيره بخلافه بشذوذ القائل به ظاهر في توهّمه ذلك من إطلاق كلماتهم الظاهر في البناء على الوجوب ، مع أن المراد به الندب كما فهمه غيره أو دلّ عليه فتاواهم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فالوجه فيه القول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الإجماعات المحكية والشهرة المستفيضة القريبة من الإجماع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وضوح مستند ظاهر للوجوب ولو كان واجبا لقام عليه الشواهد الظاهرة والأدلة القاطعة ؛ لما فيه من عموم البلية ، ولما خفي أمره على آحاد الطائفة ، مع أن الأمر فيه بالعكس ، مضافا إلى ظواهر عدّة من الأخبار ، منها قويّة الفضل بن شاذان ،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للمأمون من شرائع الدين حيث حكم فيها بكون عدّة من الأغسال منها غسل الإحرام سنّة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الجنابة فريضة وغسل الحيض مثله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في بيان كيفية الإحرام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انتهيت إلى العقيق من قبل العراق إلى الوقت من هذه المواقيت ، وأنت تريد الإحرام إن شاء اللّه فانتف إبطيك وقلّم أظفارك واطل عانتك وخذ من شاربك ، ولا يضرّك بأي ذلك بدأت ثم استك واغتسل والبس ثوبيك وليكن فراغك من ذلك إن شاء اللّه عند زوال الشمس </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ذكره في سياق المندوبات يعطي استحبابه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 فيها أيضا الأمر بها في سياق عدّة من المندوبات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ظاهر رواية الفقه أيضا ما يدلّ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بالوجوب ظواهر عدّة من الأخبار ، وفيها ما يشتمل على الأمر بالغسل أو ما عادته إذا لبس بعد الغسل ما لا ينبغي له لبسه أو أكل ما لا ينبغي له أكله أو أن عليه إعادة الغسل إذا نام بعده ، ونحو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ما يدلّ منها على الوجوب مرسلة يونس ، عن بعض رجاله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 منها الفرض ثلاث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الفرض منها؟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وغسل من مسّ ميّتا وغسل للإحرام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رواية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من ذلك غسل الجنابة والواجب غسل الميّت وغسل الإحرام ، والباقي سنّة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شي‌ء من ذلك أن يكون سندا للوجوب ؛ لضعف دلالة الإطلاقات المذكورة ، بل هي محمولة على الندب بقرينة ما ذكرنا </w:t>
      </w:r>
      <w:r>
        <w:rPr>
          <w:rStyle w:val="FootnoteAnchor"/>
          <w:rtl w:val="true"/>
        </w:rPr>
        <w:footnoteReference w:id="744"/>
      </w:r>
      <w:r>
        <w:rPr>
          <w:rFonts w:ascii="Amiri" w:hAnsi="Amiri" w:eastAsia="Amiri" w:cs="Amiri"/>
          <w:color w:val="111111"/>
          <w:sz w:val="28"/>
          <w:sz w:val="28"/>
          <w:szCs w:val="28"/>
          <w:rtl w:val="true"/>
          <w:lang w:bidi="ar-SA"/>
        </w:rPr>
        <w:t>من فهم الأصحاب وظاهر غيرها من الأخبار بل وصريح بعضها الدالة على عدم لزوم الإعادة بسبب النوم أو لبس القميص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لا ينهضان بانفرادهما حجة ، فهما أيضا محمولان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للطواف كما نصّ عليه كثير من الأصحاب ، وحكى 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منهم استحبابه لزيارة البيت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الإجماع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المفتى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مطلق الزيارة أو خصوص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عدّة من الأخبار المشتملة على المعتبرة هو غسل الزيارة أو الغسل لزيارة البيت أو يوم الزيارة ، وأما خصوص الطواف فلم نجد له ذكرا في الأخبار إلا ما في رواية أبي حمزة ، عن الكاظم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اغتسلت بمكة ثم نمت قبل أن تطوف فأعد غسلك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يومي إلى مطلوبية الغسل لأجل الطواف ، ولا بأس به بعد فتوى جماعة من الأصحاب وتأيّده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يعمّ الحكم جميع أنواع الطواف من الواجب والمندوب وطواف الحج والعمرة وطواف الزيارة وطواف النساء وطواف الوداع والطواف المتبرع بها؟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إطلاق جماعة منهم شمول الحكم للجميع ، ونصّ الشهيد الثاني بتعميمه للواجب والمندوب ، واستفادة الحكم كذلك من الأخبار لا يخلو من إشكال ، والبناء على استحباب غسل زيارة البيت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للوقوف بعرفات ، على ما حكي ذكره عن كثير من الأصحاب كالصدوقين </w:t>
      </w:r>
      <w:r>
        <w:rPr>
          <w:rStyle w:val="FootnoteAnchor"/>
          <w:rtl w:val="true"/>
        </w:rPr>
        <w:footnoteReference w:id="746"/>
      </w:r>
      <w:r>
        <w:rPr>
          <w:rFonts w:ascii="Amiri" w:hAnsi="Amiri" w:eastAsia="Amiri" w:cs="Amiri"/>
          <w:color w:val="111111"/>
          <w:sz w:val="28"/>
          <w:sz w:val="28"/>
          <w:szCs w:val="28"/>
          <w:rtl w:val="true"/>
          <w:lang w:bidi="ar-SA"/>
        </w:rPr>
        <w:t>والشيخين والديلمي والقاضي وابن أبي المجد الحلبي والطوسي وابن زهرة والحلي وابن سعيد والفاضل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الخلاف والغنية الإجماع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له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انتهيت إلى عرفات فاضرب خباءك </w:t>
      </w:r>
      <w:r>
        <w:rPr>
          <w:rStyle w:val="FootnoteAnchor"/>
          <w:rtl w:val="true"/>
        </w:rPr>
        <w:footnoteReference w:id="747"/>
      </w:r>
      <w:r>
        <w:rPr>
          <w:rFonts w:ascii="Amiri" w:hAnsi="Amiri" w:eastAsia="Amiri" w:cs="Amiri"/>
          <w:color w:val="111111"/>
          <w:sz w:val="28"/>
          <w:sz w:val="28"/>
          <w:szCs w:val="28"/>
          <w:rtl w:val="true"/>
          <w:lang w:bidi="ar-SA"/>
        </w:rPr>
        <w:t xml:space="preserve">بغيره </w:t>
      </w:r>
      <w:r>
        <w:rPr>
          <w:rStyle w:val="FootnoteAnchor"/>
          <w:rtl w:val="true"/>
        </w:rPr>
        <w:footnoteReference w:id="748"/>
      </w:r>
      <w:r>
        <w:rPr>
          <w:rFonts w:ascii="Amiri" w:hAnsi="Amiri" w:eastAsia="Amiri" w:cs="Amiri"/>
          <w:color w:val="111111"/>
          <w:sz w:val="28"/>
          <w:sz w:val="28"/>
          <w:szCs w:val="28"/>
          <w:rtl w:val="true"/>
          <w:lang w:bidi="ar-SA"/>
        </w:rPr>
        <w:t xml:space="preserve">فإذا زالت الشمس يوم عرفة فاغتسل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يوم عرفة فاقطع التلبية واغتسل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باستظهار حملهما على إرادة غسل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لاحتمال إرادة غسل اليوم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لوقوف المشعر ، وعزي إلى الصدوق والشيخ والشهيد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الخلاف حكاية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والأخبار وكلام أكثر الأصحاب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صحيحة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على طهر بعد ما تصلى الفجر فتقف </w:t>
      </w:r>
      <w:r>
        <w:rPr>
          <w:rStyle w:val="FootnoteAnchor"/>
          <w:rtl w:val="true"/>
        </w:rPr>
        <w:footnoteReference w:id="751"/>
      </w:r>
      <w:r>
        <w:rPr>
          <w:rFonts w:ascii="Amiri" w:hAnsi="Amiri" w:eastAsia="Amiri" w:cs="Amiri"/>
          <w:color w:val="111111"/>
          <w:sz w:val="28"/>
          <w:sz w:val="28"/>
          <w:szCs w:val="28"/>
          <w:rtl w:val="true"/>
          <w:lang w:bidi="ar-SA"/>
        </w:rPr>
        <w:t xml:space="preserve">إن شئت قريبا من الجبل وإن شئت حيث تبيت </w:t>
      </w:r>
      <w:r>
        <w:rPr>
          <w:rFonts w:eastAsia="Amiri" w:cs="Amiri" w:ascii="Amiri" w:hAnsi="Amiri"/>
          <w:color w:val="111111"/>
          <w:sz w:val="28"/>
          <w:szCs w:val="28"/>
          <w:rtl w:val="true"/>
          <w:lang w:bidi="ar-SA"/>
        </w:rPr>
        <w:t xml:space="preserve">» </w:t>
      </w:r>
      <w:r>
        <w:rPr>
          <w:rStyle w:val="FootnoteAnchor"/>
          <w:rtl w:val="true"/>
        </w:rPr>
        <w:footnoteReference w:id="752"/>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إرادة الغسل ، بل وفي ظهوره فيه أيضا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w:t>
      </w:r>
      <w:r>
        <w:rPr>
          <w:rStyle w:val="FootnoteAnchor"/>
          <w:rtl w:val="true"/>
        </w:rPr>
        <w:footnoteReference w:id="754"/>
      </w:r>
      <w:r>
        <w:rPr>
          <w:rFonts w:ascii="Amiri" w:hAnsi="Amiri" w:eastAsia="Amiri" w:cs="Amiri"/>
          <w:color w:val="111111"/>
          <w:sz w:val="28"/>
          <w:sz w:val="28"/>
          <w:szCs w:val="28"/>
          <w:rtl w:val="true"/>
          <w:lang w:bidi="ar-SA"/>
        </w:rPr>
        <w:t>بأولوية ثبوته عرفة من ثبوته للوقوف بعرفة حيث إنه الركن الأعظم ،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تأمل لا يخفى ، فإن اكتفى في ثبوت الغسلين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الإجماع المنقول وفتوى الجماعة وإلّا ففي ثبوتهما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ثبوت الغسلين المذكورين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فهما مغايران لغسل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للنحر والحلق والذبح ؛ لصحيحة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اغتسلت بعد طلوع الفجر أجزأك غسلك ذلك للجنابة وجمعة وعرفة والنحر والحلق والذبح والزيارة </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لزيارة النبي صلى‌اللّه‌عليه‌وآله وكلّ من الأئمة عليهم‌السلام كما نصّ عليه كثير من الأصحاب منهم الشيخان والقاضي وابن أبي المجد الحلبي والطوسي وابن زهرة والحلي وابن سعيد والفاضلان والشهيدان وابن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الغنية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المندوب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وأسنده في نهاية الإحكام والروض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وروده في الزيارة الجامعة المشهورة التي يراد بها كلّ واحد من الأئمة عليهم‌السلام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يزور قبر رسول اللّه صلى‌اللّه‌عليه‌وآله وقبر أمير المؤمنين عليه‌السلام </w:t>
      </w:r>
    </w:p>
    <w:p>
      <w:pPr>
        <w:pStyle w:val="BookText"/>
        <w:rPr/>
      </w:pPr>
      <w:r>
        <w:rPr>
          <w:rFonts w:ascii="Amiri" w:hAnsi="Amiri" w:eastAsia="Amiri" w:cs="Amiri"/>
          <w:color w:val="111111"/>
          <w:sz w:val="28"/>
          <w:sz w:val="28"/>
          <w:szCs w:val="28"/>
          <w:rtl w:val="true"/>
          <w:lang w:bidi="ar-SA"/>
        </w:rPr>
        <w:t xml:space="preserve">وفاطمة والحسن والحسين وقبور الحجج عليهم‌السلام فليغتسل في يوم الجمعة وليلبس ثوبين نظيفين </w:t>
      </w:r>
      <w:r>
        <w:rPr>
          <w:rFonts w:eastAsia="Amiri" w:cs="Amiri" w:ascii="Amiri" w:hAnsi="Amiri"/>
          <w:color w:val="111111"/>
          <w:sz w:val="28"/>
          <w:szCs w:val="28"/>
          <w:rtl w:val="true"/>
          <w:lang w:bidi="ar-SA"/>
        </w:rPr>
        <w:t xml:space="preserve">» </w:t>
      </w:r>
      <w:r>
        <w:rPr>
          <w:rStyle w:val="FootnoteAnchor"/>
          <w:rtl w:val="true"/>
        </w:rPr>
        <w:footnoteReference w:id="757"/>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سليمان بن عيسى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أزورك إذا لم أقدر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تقدر على المجي‌ء فإذا كان في يوم جمعة فاغتسل أو توضأ واصعد إلى سطحك وصلّ ركعتين وتوجّه نحوي ، فإنه من زارني في حياتي فقد زارني في مماتي ومن زارني في مماتي فقد زارني في حياتي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واستحباب الغسل لزيارتهم من البعيد كما هو مفاد هذين الخبرين يفيد استحبابه من القريب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سيّابة ، عن الصادق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عند لقاء كل إمام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تعميمه لزيارتهم أحياء وأمواتا ، ولو خصّ بالأول كما يومى إليه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تعميم الحكم من جهة ما دلّ أن حرمتهم أحياء كحرمتهم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الفقه عدّ غسل الزيارات في عداد الأغسال ، وهو بإطلاقه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تواردت الأخبار به في خصوص زيارة النبي صلى‌اللّه‌عليه‌وآله وأمير المؤمنين عليه‌السلام ومولانا الحسين عليه‌السلام والرضا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 في خصوص زيارة الجوادين عليهما‌السلام والعسكريين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دلالة بالفحوى على تعميم الحكم ، ولا يبعد تعميم الحكم لزيارتهم من القريب والبعيد كما يومي إليه ظاهر إطلاقاتهم ، ويستفاد من الخبرين المتقدمين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السفر إلى زيارة الحسين عليه‌السلام ، بل يستحب فيه غسلان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ابن طاوس أنه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يستحب له إذا أراد السفر أن يغسل ويقول عند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لا حول ولا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76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بصير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الخروج إلى أبي عبد اللّه عليه‌السلام فصم قبل أن تخرج ثلاثة أيام يوم الأربعاء ويوم 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أمسيت ليلة الجمعة فصلّ صلاة الليل ثمّ قم فانظر في نواحي السماء فاغتسل تلك الليلة قبل المغرب ثمّ تنام على طهر ، فإذا أردت المشي إليه فاغتسل ولا تطيب ولا تدّهن ولا تكتحل حتى تأتي القبر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إذا كان له حاجة وأراد لرؤية أحد الأئمة عليهم‌السلام في المنام ، فعن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كانت له إلى اللّه حاجة وأراد أن يراها وأن يعرف موضعه فليغتسل ثلاث ليال يناجي بنا ، فإنه يرانا ويغفر له بنا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لأخذ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تأخذ من التربة فتعمّد لها آخر النهار </w:t>
      </w:r>
      <w:r>
        <w:rPr>
          <w:rStyle w:val="FootnoteAnchor"/>
          <w:rtl w:val="true"/>
        </w:rPr>
        <w:footnoteReference w:id="764"/>
      </w:r>
      <w:r>
        <w:rPr>
          <w:rFonts w:ascii="IRNazanin" w:hAnsi="IRNazanin" w:eastAsia="IRNazanin"/>
          <w:color w:val="111111"/>
          <w:sz w:val="28"/>
          <w:sz w:val="28"/>
          <w:szCs w:val="28"/>
          <w:rtl w:val="true"/>
          <w:lang w:bidi="fa-IR"/>
        </w:rPr>
        <w:t xml:space="preserve">واغتسل </w:t>
      </w:r>
      <w:r>
        <w:rPr>
          <w:rStyle w:val="FootnoteAnchor"/>
          <w:rtl w:val="true"/>
        </w:rPr>
        <w:footnoteReference w:id="765"/>
      </w:r>
      <w:r>
        <w:rPr>
          <w:rFonts w:ascii="IRNazanin" w:hAnsi="IRNazanin" w:eastAsia="IRNazanin"/>
          <w:color w:val="111111"/>
          <w:sz w:val="28"/>
          <w:sz w:val="28"/>
          <w:szCs w:val="28"/>
          <w:rtl w:val="true"/>
          <w:lang w:bidi="fa-IR"/>
        </w:rPr>
        <w:t xml:space="preserve">بماء القراح </w:t>
      </w:r>
      <w:r>
        <w:rPr>
          <w:rStyle w:val="FootnoteAnchor"/>
          <w:rtl w:val="true"/>
        </w:rPr>
        <w:footnoteReference w:id="766"/>
      </w:r>
      <w:r>
        <w:rPr>
          <w:rFonts w:ascii="Amiri" w:hAnsi="Amiri" w:eastAsia="Amiri" w:cs="Amiri"/>
          <w:color w:val="111111"/>
          <w:sz w:val="28"/>
          <w:sz w:val="28"/>
          <w:szCs w:val="28"/>
          <w:rtl w:val="true"/>
          <w:lang w:bidi="ar-SA"/>
        </w:rPr>
        <w:t xml:space="preserve">وتطيب بسعد وادخل فقف عند الرأس وصلّ أربع ركعات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طاوس أيضا قريبا من ذلك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للتنشيط بصلاة الليل ، فعن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يغتسل في الليالي الباردة طلبا للنشاط في صلاة الليل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تخصيصه بالليالي الباردة كما هو مورد الرواية ، وقد يعمّم الحكم ؛ أخذا بإطلاق </w:t>
      </w:r>
    </w:p>
    <w:p>
      <w:pPr>
        <w:pStyle w:val="BookText"/>
        <w:rPr/>
      </w:pPr>
      <w:r>
        <w:rPr>
          <w:rFonts w:ascii="Amiri" w:hAnsi="Amiri" w:eastAsia="Amiri" w:cs="Amiri"/>
          <w:color w:val="111111"/>
          <w:sz w:val="28"/>
          <w:sz w:val="28"/>
          <w:szCs w:val="28"/>
          <w:rtl w:val="true"/>
          <w:lang w:bidi="ar-SA"/>
        </w:rPr>
        <w:t xml:space="preserve">اليد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لعمل الاستفتاح ؛ لما روى عن الصادق عليه‌السلام بطرق عدّة أنه قال 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في رجب يوم ثلاثة عشر وأربعة عشر وخمسة عشر ، فإذا كان يوم الخامس عشر فاغتسل عند الزوال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الحاجة ، فقد ذكر استحباب الغسل له جمع كثير من الأصحاب منهم الشيخان والديلمي والقاضي والحلبي وابن زهرة والطوسي والحلي والفاضلان وابن سعيد والشهيدان وابن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عليه الإجماع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الوسيلة من المندوب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في تذكرة الفقهاء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عدّة من الأخبار الواردة في صلاة الحاجة ، وهي مشتملة على الغسل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الاحتجاج باستحباب الغسل للصلاة للحاجة إشكال ؛ لاشتمال الوارد هناك على كيفيات مخصوصة إلا أن يقال بأن المفهوم من مجموع تلك الأخبار كون الغسل والصلاة والصوم والدعاء من الأعمال المطلوبة حال طلب الحوائج ، فتتفاوت قلّة وكثرة بتفاوت الحوائج والمحتاجين ، فلا خصوصية للكيفية المفروضة في كلّ رواية منها لاستحباب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بعض المتأخرين على فهم ذلك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الغسل مندوبا لمطلق طلب الحاجة سواء أراد الصلاة أو لا ، وفهم ذلك من الأخبار لا يخلو عن إشكال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عدّ في رواية الفقه </w:t>
      </w:r>
      <w:r>
        <w:rPr>
          <w:rStyle w:val="FootnoteAnchor"/>
          <w:rtl w:val="true"/>
        </w:rPr>
        <w:footnoteReference w:id="771"/>
      </w:r>
      <w:r>
        <w:rPr>
          <w:rFonts w:ascii="Amiri" w:hAnsi="Amiri" w:eastAsia="Amiri" w:cs="Amiri"/>
          <w:color w:val="111111"/>
          <w:sz w:val="28"/>
          <w:sz w:val="28"/>
          <w:szCs w:val="28"/>
          <w:rtl w:val="true"/>
          <w:lang w:bidi="ar-SA"/>
        </w:rPr>
        <w:t xml:space="preserve">من جملة الأغسال غسل طلب الحوائج من اللّه تبارك وتعالى ، </w:t>
      </w:r>
    </w:p>
    <w:p>
      <w:pPr>
        <w:pStyle w:val="BookText"/>
        <w:rPr/>
      </w:pPr>
      <w:r>
        <w:rPr>
          <w:rFonts w:ascii="Amiri" w:hAnsi="Amiri" w:eastAsia="Amiri" w:cs="Amiri"/>
          <w:color w:val="111111"/>
          <w:sz w:val="28"/>
          <w:sz w:val="28"/>
          <w:szCs w:val="28"/>
          <w:rtl w:val="true"/>
          <w:lang w:bidi="ar-SA"/>
        </w:rPr>
        <w:t xml:space="preserve">وهو يفيد استحبابه مطلقا سواء صلّى معه أولا </w:t>
      </w:r>
      <w:r>
        <w:rPr>
          <w:rStyle w:val="FootnoteAnchor"/>
          <w:rtl w:val="true"/>
        </w:rPr>
        <w:footnoteReference w:id="772"/>
      </w:r>
      <w:r>
        <w:rPr>
          <w:rFonts w:ascii="Amiri" w:hAnsi="Amiri" w:eastAsia="Amiri" w:cs="Amiri"/>
          <w:color w:val="111111"/>
          <w:sz w:val="28"/>
          <w:sz w:val="28"/>
          <w:szCs w:val="28"/>
          <w:rtl w:val="true"/>
          <w:lang w:bidi="ar-SA"/>
        </w:rPr>
        <w:t>، فالبناء على استحبابه كذلك لا يخلو من قرب وإن كان الأولى الاقتصار على وجه الوجوه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الاستخارة ، على ما نصّ عليه الجماعة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والإجماعات المذكورة معوّلة عليه أيضا نصّا وظاهرا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عليه بصحيحة زرارة ، عن الصادق عليه‌السلام في الأمر يطلبه الطالب من ربّه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يومه على ستّين مسكينا ، على كلّ مسكين صاع بصاع النبي صلى‌اللّه‌عليه‌وآله ، فإذا كان الليل اغتسل في ثلث الليل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رفع رأسه في السجدة الثانية استخار اللّه مائة مرّة ويقول </w:t>
      </w:r>
      <w:r>
        <w:rPr>
          <w:rFonts w:eastAsia="Amiri" w:cs="Amiri" w:ascii="Amiri" w:hAnsi="Amiri"/>
          <w:color w:val="111111"/>
          <w:sz w:val="28"/>
          <w:szCs w:val="28"/>
          <w:rtl w:val="true"/>
          <w:lang w:bidi="ar-SA"/>
        </w:rPr>
        <w:t xml:space="preserve">.. » </w:t>
      </w:r>
      <w:r>
        <w:rPr>
          <w:rStyle w:val="FootnoteAnchor"/>
          <w:rtl w:val="true"/>
        </w:rPr>
        <w:footnoteReference w:id="774"/>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الرواية مسوقة لطلب الحاجة ، وقد ذكر فيه 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الاستخارة لا يدلّ على كونه للاستخارة ؛ لإمكان طلب الخير من اللّه فيما طلبه من الحاجة وأن يسهّله اللّه تعالى له على النحو المرغوب ، فالاحتجاج بها على مطلق الاستخارة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تسليمه فالاستدلال بها على استحباب الغسل لمطلق صلاة الاستخارة مشكل ؛ لاختصاصها بالصورة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الاحتجاج عليه بموثقة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الاستخارة مستحب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الفقه بعد غسل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الأغسال المسنونة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يختصّ الاستحباب بمريد الصلاة ، ولا هو من وظائفها بل ظاهرها كونه من مقدمات الاستخارة سواء صلّى لها أم لا وذكر الدعاء ، والظاهر أنه من أقسام صلاة الحاجة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لصلاة الخوف من الظالم ؛ لما ذكره في المكارم في بيان الصلاة المذكورة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وصلّ ركعتين واكشف عن ركبتيك </w:t>
      </w:r>
      <w:r>
        <w:rPr>
          <w:rFonts w:eastAsia="Amiri" w:cs="Amiri" w:ascii="Amiri" w:hAnsi="Amiri"/>
          <w:color w:val="111111"/>
          <w:sz w:val="28"/>
          <w:szCs w:val="28"/>
          <w:rtl w:val="true"/>
          <w:lang w:bidi="ar-SA"/>
        </w:rPr>
        <w:t xml:space="preserve">.. » </w:t>
      </w:r>
      <w:r>
        <w:rPr>
          <w:rStyle w:val="FootnoteAnchor"/>
          <w:rtl w:val="true"/>
        </w:rPr>
        <w:footnoteReference w:id="775"/>
      </w:r>
      <w:r>
        <w:rPr>
          <w:rFonts w:ascii="Amiri" w:hAnsi="Amiri" w:eastAsia="Amiri" w:cs="Amiri"/>
          <w:color w:val="111111"/>
          <w:sz w:val="28"/>
          <w:sz w:val="28"/>
          <w:szCs w:val="28"/>
          <w:rtl w:val="true"/>
          <w:lang w:bidi="ar-SA"/>
        </w:rPr>
        <w:t xml:space="preserve">إلى آخره ، والظاهر أيضا أنه من أقسام صلاة الحاجة ، ويشهد له </w:t>
      </w:r>
      <w:r>
        <w:rPr>
          <w:rStyle w:val="FootnoteAnchor"/>
          <w:rtl w:val="true"/>
        </w:rPr>
        <w:footnoteReference w:id="776"/>
      </w:r>
      <w:r>
        <w:rPr>
          <w:rFonts w:ascii="Amiri" w:hAnsi="Amiri" w:eastAsia="Amiri" w:cs="Amiri"/>
          <w:color w:val="111111"/>
          <w:sz w:val="28"/>
          <w:sz w:val="28"/>
          <w:szCs w:val="28"/>
          <w:rtl w:val="true"/>
          <w:lang w:bidi="ar-SA"/>
        </w:rPr>
        <w:t xml:space="preserve">الدعاء المذكور </w:t>
      </w:r>
      <w:r>
        <w:rPr>
          <w:rStyle w:val="FootnoteAnchor"/>
          <w:rtl w:val="true"/>
        </w:rPr>
        <w:footnoteReference w:id="777"/>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لصلاة الاستسقاء كما عن الصدوقين والمفيد </w:t>
      </w:r>
      <w:r>
        <w:rPr>
          <w:rStyle w:val="FootnoteAnchor"/>
          <w:rtl w:val="true"/>
        </w:rPr>
        <w:footnoteReference w:id="778"/>
      </w:r>
      <w:r>
        <w:rPr>
          <w:rFonts w:ascii="Amiri" w:hAnsi="Amiri" w:eastAsia="Amiri" w:cs="Amiri"/>
          <w:color w:val="111111"/>
          <w:sz w:val="28"/>
          <w:sz w:val="28"/>
          <w:szCs w:val="28"/>
          <w:rtl w:val="true"/>
          <w:lang w:bidi="ar-SA"/>
        </w:rPr>
        <w:t xml:space="preserve">والسيد والديلمي والقاضي </w:t>
      </w:r>
      <w:r>
        <w:rPr>
          <w:rStyle w:val="FootnoteAnchor"/>
          <w:rtl w:val="true"/>
        </w:rPr>
        <w:footnoteReference w:id="779"/>
      </w:r>
      <w:r>
        <w:rPr>
          <w:rFonts w:ascii="Amiri" w:hAnsi="Amiri" w:eastAsia="Amiri" w:cs="Amiri"/>
          <w:color w:val="111111"/>
          <w:sz w:val="28"/>
          <w:sz w:val="28"/>
          <w:szCs w:val="28"/>
          <w:rtl w:val="true"/>
          <w:lang w:bidi="ar-SA"/>
        </w:rPr>
        <w:t xml:space="preserve">والحلبي </w:t>
      </w:r>
      <w:r>
        <w:rPr>
          <w:rStyle w:val="FootnoteAnchor"/>
          <w:rtl w:val="true"/>
        </w:rPr>
        <w:footnoteReference w:id="780"/>
      </w:r>
      <w:r>
        <w:rPr>
          <w:rFonts w:ascii="Amiri" w:hAnsi="Amiri" w:eastAsia="Amiri" w:cs="Amiri"/>
          <w:color w:val="111111"/>
          <w:sz w:val="28"/>
          <w:sz w:val="28"/>
          <w:szCs w:val="28"/>
          <w:rtl w:val="true"/>
          <w:lang w:bidi="ar-SA"/>
        </w:rPr>
        <w:t xml:space="preserve">وابن أبي المجد وابن زهرة والفاضلان والشهيد </w:t>
      </w:r>
      <w:r>
        <w:rPr>
          <w:rStyle w:val="FootnoteAnchor"/>
          <w:rtl w:val="true"/>
        </w:rPr>
        <w:footnoteReference w:id="781"/>
      </w:r>
      <w:r>
        <w:rPr>
          <w:rFonts w:ascii="Amiri" w:hAnsi="Amiri" w:eastAsia="Amiri" w:cs="Amiri"/>
          <w:color w:val="111111"/>
          <w:sz w:val="28"/>
          <w:sz w:val="28"/>
          <w:szCs w:val="28"/>
          <w:rtl w:val="true"/>
          <w:lang w:bidi="ar-SA"/>
        </w:rPr>
        <w:t>وابن فهد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782"/>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بما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وغسل الاستسقاء واجب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بحمله على زيادة التأكيد للإجماع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اتفاق الأصحاب على عدم وجوبه في المعتبر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دلالة فيها أيضا على كون الغسل لأجل الصلاة ، وقضية إطلاقه تعميم الحكم لمطلقه ، ولو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إليه ما مرّ من استحبابه لمطلق طلب الحاجة وهو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للمباهلة على ما نصّ عليه المفيد والقاضي وابن سعيد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مشهورا بين القدماء ، ونصّ عليه جماعة من المتأخرين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رواية أبي مسروق المذكورة في باب المباهلة من الكافي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فادعهم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Style w:val="FootnoteAnchor"/>
          <w:rtl w:val="true"/>
        </w:rPr>
        <w:footnoteReference w:id="785"/>
      </w:r>
      <w:r>
        <w:rPr>
          <w:rFonts w:ascii="Amiri" w:hAnsi="Amiri" w:eastAsia="Amiri" w:cs="Amiri"/>
          <w:color w:val="111111"/>
          <w:sz w:val="28"/>
          <w:sz w:val="28"/>
          <w:szCs w:val="28"/>
          <w:rtl w:val="true"/>
          <w:lang w:bidi="ar-SA"/>
        </w:rPr>
        <w:t xml:space="preserve">أصنع؟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وصم واغتسل وابرز أنت وهو إلى الجبان </w:t>
      </w:r>
      <w:r>
        <w:rPr>
          <w:rFonts w:eastAsia="Amiri" w:cs="Amiri" w:ascii="Amiri" w:hAnsi="Amiri"/>
          <w:color w:val="111111"/>
          <w:sz w:val="28"/>
          <w:szCs w:val="28"/>
          <w:rtl w:val="true"/>
          <w:lang w:bidi="ar-SA"/>
        </w:rPr>
        <w:t xml:space="preserve">.. » </w:t>
      </w:r>
      <w:r>
        <w:rPr>
          <w:rStyle w:val="FootnoteAnchor"/>
          <w:rtl w:val="true"/>
        </w:rPr>
        <w:footnoteReference w:id="78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عليه فعل الظن فلا يمنع من الاحتجاج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الأصحاب منهم القاضي والحلبي وابن زهرة وابن أبي المجد ، وحكى عليه الإجماع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ما يدلّ عليه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لكلّ فعل يتقرّب به إلى اللّه تعالى ويلجأ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القول به عن الإسكافي ، وقضية إطلاقه استحباب الغسل لفعل كلّ القربات من الصلاة والصيام وأداء الزكاة والصدقة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بعيد جدا ، ولا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القربات التي يؤتى بها عند الالتجاء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الحوائج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عن العبارة المنقولة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لقضاء صلاة الكسوفين مع احتراق القرص وتعمد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ومشروعية الغسل المذكور مما لا يعرف فيه مخالف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يظهر تأمل من جماعة من المتأخرين في الدليل عليه بالنسبة إلى كسوف الشمس ؛ لاختصاص ظواهر الأخبار بالخوف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القول بالفصل كما ادعاه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شمول غير واحد من الأخبار للأمرين بحمل الكسوف فيها على الأعم ، وإن كان ذكر الإسقاط في بعضها شاهدا على إرادة كسف القمر إلا أنه ليس صريحا فيه ليفضي بالتخصيص ، مضافا إلى خصوص رواية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w:t>
      </w:r>
      <w:r>
        <w:rPr>
          <w:rStyle w:val="FootnoteAnchor"/>
          <w:rtl w:val="true"/>
        </w:rPr>
        <w:footnoteReference w:id="787"/>
      </w:r>
      <w:r>
        <w:rPr>
          <w:rFonts w:ascii="Amiri" w:hAnsi="Amiri" w:eastAsia="Amiri" w:cs="Amiri"/>
          <w:color w:val="111111"/>
          <w:sz w:val="28"/>
          <w:sz w:val="28"/>
          <w:szCs w:val="28"/>
          <w:rtl w:val="true"/>
          <w:lang w:bidi="ar-SA"/>
        </w:rPr>
        <w:t xml:space="preserve">انكسفت الشمس أو القمر ولم تعلم به فعليك أن تصلّيهما </w:t>
      </w:r>
      <w:r>
        <w:rPr>
          <w:rStyle w:val="FootnoteAnchor"/>
          <w:rtl w:val="true"/>
        </w:rPr>
        <w:footnoteReference w:id="788"/>
      </w:r>
      <w:r>
        <w:rPr>
          <w:rFonts w:ascii="IRNazanin" w:hAnsi="IRNazanin" w:eastAsia="IRNazanin"/>
          <w:color w:val="111111"/>
          <w:sz w:val="28"/>
          <w:sz w:val="28"/>
          <w:szCs w:val="28"/>
          <w:rtl w:val="true"/>
          <w:lang w:bidi="fa-IR"/>
        </w:rPr>
        <w:t xml:space="preserve">إذا علمت ، </w:t>
      </w:r>
    </w:p>
    <w:p>
      <w:pPr>
        <w:pStyle w:val="BookText"/>
        <w:rPr/>
      </w:pPr>
      <w:r>
        <w:rPr>
          <w:rFonts w:ascii="Amiri" w:hAnsi="Amiri" w:eastAsia="Amiri" w:cs="Amiri"/>
          <w:color w:val="111111"/>
          <w:sz w:val="28"/>
          <w:sz w:val="28"/>
          <w:szCs w:val="28"/>
          <w:rtl w:val="true"/>
          <w:lang w:bidi="ar-SA"/>
        </w:rPr>
        <w:t xml:space="preserve">فإن تركتها متعمّدا حتى تصبح فاغتسل وصلّ ، وإن لم يحترق القرص فاقضها ولا تغتسل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ذكر الكليني رواية تدلّ عليه لا يفيد نفيه له ؛ لعدم الحكاية في كتب الاستدلاليّة عن الإسكافي والعماني فيه شيئا ، بل ذكر في المختلف أن العماني لم يتعرض لهذا الغسل بوجوب ولا ندب ، فإنّ ذلك لا يفيد عدم قولهم بالمشروعيّة ، مع وروده في الأخبار وعدم معارض ظاهر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الغسل المذكور على الوجوب أو الاستحباب؟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الأصحاب هو الثاني بل حكى عليه في الغنية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كشف الالتباس وغيره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غاية المرام إلى الحلي والمتأخرين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منتهى المطلب أنه مذهب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نصّ الشيخ في غير واحد من كتبه ، وابن زهرة والحلي وابن سعيد والفاضلان والآبي والشهيدان وابن فهد والمحقق الكركي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 والمفيد والسيد والشيخ في غير واحد من كتبه والديلمي والقاضي والحلبي والطوسي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في منتهى المطلب بعد اختياره القول بالندب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بالوجوب لصحة الرواية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القاضي في شرح الجمل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عبارة الصدوق في المجالس أنه من دين الإمامية ، وعبارته هناك ليست صريحة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هؤلاء قد نصّ في محلّ آخر بالندب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السيد في المصباح والجمل التردد فيه حيث أسند الوجوب فيهما إلى الرواية ، </w:t>
      </w:r>
    </w:p>
    <w:p>
      <w:pPr>
        <w:pStyle w:val="BookText"/>
        <w:rPr/>
      </w:pPr>
      <w:r>
        <w:rPr>
          <w:rFonts w:ascii="Amiri" w:hAnsi="Amiri" w:eastAsia="Amiri" w:cs="Amiri"/>
          <w:color w:val="111111"/>
          <w:sz w:val="28"/>
          <w:sz w:val="28"/>
          <w:szCs w:val="28"/>
          <w:rtl w:val="true"/>
          <w:lang w:bidi="ar-SA"/>
        </w:rPr>
        <w:t>وكأنه لذلك يعزى إليه القول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في طهارة الوسيلة من الأغسال المختلف فيها لو </w:t>
      </w:r>
      <w:r>
        <w:rPr>
          <w:rStyle w:val="FootnoteAnchor"/>
          <w:rtl w:val="true"/>
        </w:rPr>
        <w:footnoteReference w:id="790"/>
      </w:r>
      <w:r>
        <w:rPr>
          <w:rFonts w:ascii="Amiri" w:hAnsi="Amiri" w:eastAsia="Amiri" w:cs="Amiri"/>
          <w:color w:val="111111"/>
          <w:sz w:val="28"/>
          <w:sz w:val="28"/>
          <w:szCs w:val="28"/>
          <w:rtl w:val="true"/>
          <w:lang w:bidi="ar-SA"/>
        </w:rPr>
        <w:t>لم يحكم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الصدوقين ليست صريحة في الوجوب ، والمصرّح بالوجوب من القدماء من غير ظهور عدول الحلبي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فبذلك كلّه </w:t>
      </w:r>
      <w:r>
        <w:rPr>
          <w:rStyle w:val="FootnoteAnchor"/>
          <w:rtl w:val="true"/>
        </w:rPr>
        <w:footnoteReference w:id="791"/>
      </w:r>
      <w:r>
        <w:rPr>
          <w:rFonts w:ascii="Amiri" w:hAnsi="Amiri" w:eastAsia="Amiri" w:cs="Amiri"/>
          <w:color w:val="111111"/>
          <w:sz w:val="28"/>
          <w:sz w:val="28"/>
          <w:szCs w:val="28"/>
          <w:rtl w:val="true"/>
          <w:lang w:bidi="ar-SA"/>
        </w:rPr>
        <w:t>يظهر ضعف الإجماع المدّعى في المقام ، فالأظهر هو القول بالندب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المحكي والشهرة المعلومة الأصل وعدم وضوح مستند الوجوب ، مضافا إلى ما ظاهره انحصار الواجب في غيره كمرسلة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 منها الفرض ثلاث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نسخ محل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في الأداء فلا يجب في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بالوجوب بعد الإجماعين المحكيين وطريقة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كصحيحة محمد بن مسلم المروية في الخصال ،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w:t>
      </w:r>
      <w:r>
        <w:rPr>
          <w:rStyle w:val="FootnoteAnchor"/>
          <w:rtl w:val="true"/>
        </w:rPr>
        <w:footnoteReference w:id="793"/>
      </w:r>
      <w:r>
        <w:rPr>
          <w:rFonts w:ascii="Amiri" w:hAnsi="Amiri" w:eastAsia="Amiri" w:cs="Amiri"/>
          <w:color w:val="111111"/>
          <w:sz w:val="28"/>
          <w:sz w:val="28"/>
          <w:szCs w:val="28"/>
          <w:rtl w:val="true"/>
          <w:lang w:bidi="ar-SA"/>
        </w:rPr>
        <w:t xml:space="preserve">سبعة عشر موطنا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غسل الكسوف إذا انكسف القرص واستيقظت </w:t>
      </w:r>
      <w:r>
        <w:rPr>
          <w:rStyle w:val="FootnoteAnchor"/>
          <w:rtl w:val="true"/>
        </w:rPr>
        <w:footnoteReference w:id="794"/>
      </w:r>
      <w:r>
        <w:rPr>
          <w:rFonts w:ascii="Amiri" w:hAnsi="Amiri" w:eastAsia="Amiri" w:cs="Amiri"/>
          <w:color w:val="111111"/>
          <w:sz w:val="28"/>
          <w:sz w:val="28"/>
          <w:szCs w:val="28"/>
          <w:rtl w:val="true"/>
          <w:lang w:bidi="ar-SA"/>
        </w:rPr>
        <w:t xml:space="preserve">ولم تصلّ فاغتسل واقض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 أن تغتسل وتقضى الصلاة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نحوا منه في الفقيه مرسلا 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أيضا عن محمد بن مسلم ، عنه عليه‌السلام في الصحيح أيضا إلا أنه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الكسوف إذا احترق القرص كلّه فاغتسل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حريز المروية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انكسف القمر فاستيقظ الرجل ولم يصلّ </w:t>
      </w:r>
    </w:p>
    <w:p>
      <w:pPr>
        <w:pStyle w:val="BookText"/>
        <w:rPr/>
      </w:pPr>
      <w:r>
        <w:rPr>
          <w:rFonts w:ascii="Amiri" w:hAnsi="Amiri" w:eastAsia="Amiri" w:cs="Amiri"/>
          <w:color w:val="111111"/>
          <w:sz w:val="28"/>
          <w:sz w:val="28"/>
          <w:szCs w:val="28"/>
          <w:rtl w:val="true"/>
          <w:lang w:bidi="ar-SA"/>
        </w:rPr>
        <w:t xml:space="preserve">فليغتسل من غد </w:t>
      </w:r>
      <w:r>
        <w:rPr>
          <w:rStyle w:val="FootnoteAnchor"/>
          <w:rtl w:val="true"/>
        </w:rPr>
        <w:footnoteReference w:id="796"/>
      </w:r>
      <w:r>
        <w:rPr>
          <w:rFonts w:ascii="Amiri" w:hAnsi="Amiri" w:eastAsia="Amiri" w:cs="Amiri"/>
          <w:color w:val="111111"/>
          <w:sz w:val="28"/>
          <w:sz w:val="28"/>
          <w:szCs w:val="28"/>
          <w:rtl w:val="true"/>
          <w:lang w:bidi="ar-SA"/>
        </w:rPr>
        <w:t xml:space="preserve">ليقض الصلاة ، وإن لم </w:t>
      </w:r>
      <w:r>
        <w:rPr>
          <w:rStyle w:val="FootnoteAnchor"/>
          <w:rtl w:val="true"/>
        </w:rPr>
        <w:footnoteReference w:id="797"/>
      </w:r>
      <w:r>
        <w:rPr>
          <w:rFonts w:ascii="Amiri" w:hAnsi="Amiri" w:eastAsia="Amiri" w:cs="Amiri"/>
          <w:color w:val="111111"/>
          <w:sz w:val="28"/>
          <w:sz w:val="28"/>
          <w:szCs w:val="28"/>
          <w:rtl w:val="true"/>
          <w:lang w:bidi="ar-SA"/>
        </w:rPr>
        <w:t xml:space="preserve">يستيقظ ولم يعلم بانكساف القمر فليس عليه إلا القضاء بغير غسل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الأخبار كلّها ظواهر يمكن حملها على الاستحباب بمعونة فهم الأصحاب ، مضافا إلى ما عرفت من العمومات وما حكي من الإجماع ، فهو موهون بذهاب الأكثر إلى خلافه ومخالفة ناقله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الاحتياط لا يقوم حجة في مقابلة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بالوجوب لا بدّ من تقديم الغسل على الصلاة كما هو قضية الفائتة ، واستفادة ذلك من الأخبار لا يخلو عن تأمل ؛ لانتفاء ما يدلّ منها على الترتيب إلا أن يقال بدلالة الواو عليه أو يكتفى بالترتيب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عليه صحة الصلاة أو أنه واجب مستقل؟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ظاهرهم البناء على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Style w:val="FootnoteAnchor"/>
          <w:rtl w:val="true"/>
        </w:rPr>
        <w:footnoteReference w:id="799"/>
      </w:r>
      <w:r>
        <w:rPr>
          <w:rFonts w:ascii="Amiri" w:hAnsi="Amiri" w:eastAsia="Amiri" w:cs="Amiri"/>
          <w:color w:val="111111"/>
          <w:sz w:val="28"/>
          <w:sz w:val="28"/>
          <w:szCs w:val="28"/>
          <w:rtl w:val="true"/>
          <w:lang w:bidi="ar-SA"/>
        </w:rPr>
        <w:t xml:space="preserve">يضعف بأن الظاهر عدم توقف الطهارة على ذلك ، وحينئذ فتوقف </w:t>
      </w:r>
      <w:r>
        <w:rPr>
          <w:rStyle w:val="FootnoteAnchor"/>
          <w:rtl w:val="true"/>
        </w:rPr>
        <w:footnoteReference w:id="800"/>
      </w:r>
      <w:r>
        <w:rPr>
          <w:rFonts w:ascii="Amiri" w:hAnsi="Amiri" w:eastAsia="Amiri" w:cs="Amiri"/>
          <w:color w:val="111111"/>
          <w:sz w:val="28"/>
          <w:sz w:val="28"/>
          <w:szCs w:val="28"/>
          <w:rtl w:val="true"/>
          <w:lang w:bidi="ar-SA"/>
        </w:rPr>
        <w:t>الصلاة على غير الطهور بعيد جدا مخالف لغير واحد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بالاستحباب فالظاهر أيضا تقدّمه على الصلاة ؛ أخذا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اعتضاده بالفتوى وسهولة الخطب في أمر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الغسل المذكور أو استحبابه منوط باحتراق القرص وتعمّد الترك ، فلا غسل مع انتفائهما أو أحدهما في ظاهر كلام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 نفي الخلاف عن سقوط الغسل مع انتفاء أحد الامرين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السيد ومنتهى المطلب وتذكرة الفقهاء والمختلف وكشف الرموز وكشف الالتباس وغاية المرام نفي الخلاف في اشتراط الغسل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اعتبار الاستيعاب أنّه المصرّح به في أخبار الباب سوى مرسلة حريز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مصباح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من تعمد ترك هذه الصلاة فوجب عليه من </w:t>
      </w:r>
      <w:r>
        <w:rPr>
          <w:rStyle w:val="FootnoteAnchor"/>
          <w:rtl w:val="true"/>
        </w:rPr>
        <w:footnoteReference w:id="801"/>
      </w:r>
      <w:r>
        <w:rPr>
          <w:rFonts w:ascii="IRNazanin" w:hAnsi="IRNazanin" w:eastAsia="IRNazanin"/>
          <w:color w:val="111111"/>
          <w:sz w:val="28"/>
          <w:sz w:val="28"/>
          <w:szCs w:val="28"/>
          <w:rtl w:val="true"/>
          <w:lang w:bidi="fa-IR"/>
        </w:rPr>
        <w:t>القضاء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إشارة إلى الرواية المذكورة ، وقد روى في الجمل أيضا مرسلا تقييده بصورة عموم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فالأخبار المقيّدة حاكمة على الإطلاق لو فرضنا تكافؤهما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وهي أصحّ وأكثر ، مضافا إلى اعتضاده بالعمل والأصل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دلّ على الإطلاق </w:t>
      </w:r>
      <w:r>
        <w:rPr>
          <w:rStyle w:val="FootnoteAnchor"/>
          <w:rtl w:val="true"/>
        </w:rPr>
        <w:footnoteReference w:id="802"/>
      </w:r>
      <w:r>
        <w:rPr>
          <w:rFonts w:ascii="Amiri" w:hAnsi="Amiri" w:eastAsia="Amiri" w:cs="Amiri"/>
          <w:color w:val="111111"/>
          <w:sz w:val="28"/>
          <w:sz w:val="28"/>
          <w:szCs w:val="28"/>
          <w:rtl w:val="true"/>
          <w:lang w:bidi="ar-SA"/>
        </w:rPr>
        <w:t>مع ضعفه لا جابر له وليس في كلام المفيد في المقنعة والسيد في لمسائل الموصلية ذكر لبيان الشرط المذكور ، بل أطلقا ثبوت الغسل ، فظاهرها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 إطلاقهما على ما هو المعروف ؛ حملا للكسوف على المستوعب ، وعلى اعتبار تعمد الترك أنه المصرح به في رواية الفقه ، وفي مرسلتي الجمل والمصباح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سائر أخبار الباب ، بل صريحها حيث فرض فيها الاستيقاظ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الاستيقاظ المفروض فيها بعد الانجلاء كما ذكره بعض الاجلّاء في غاية الوهن ، بل مقطوع الفساد كما لا يخفى على من 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صحيحة محمد بن مسلم برواية التهذيب كما مرّ إسقاط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كما استظهره غير واحد من الأفاضل سقوط ذلك من قلم الشيخ لوجوده في رواية الفقيه والخصال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الغضّ عنه فلا شبهة في تقديم المقيّد على المطلق سيّما مع الاعتضاد بالأصل والكثرة وعمل الطائفة</w:t>
      </w:r>
      <w:r>
        <w:rPr>
          <w:rFonts w:eastAsia="Amiri" w:cs="Amiri" w:ascii="Amiri" w:hAnsi="Amiri"/>
          <w:color w:val="111111"/>
          <w:sz w:val="28"/>
          <w:szCs w:val="28"/>
          <w:rtl w:val="true"/>
          <w:lang w:bidi="ar-SA"/>
        </w:rPr>
        <w:t xml:space="preserve">. </w:t>
      </w:r>
      <w:bookmarkStart w:id="197" w:name="pg15839_360793"/>
    </w:p>
    <w:p>
      <w:pPr>
        <w:pStyle w:val="BookText"/>
        <w:rPr/>
      </w:pPr>
      <w:bookmarkEnd w:id="197"/>
      <w:r>
        <w:rPr>
          <w:rFonts w:ascii="Amiri" w:hAnsi="Amiri" w:eastAsia="Amiri" w:cs="Amiri"/>
          <w:color w:val="111111"/>
          <w:sz w:val="28"/>
          <w:sz w:val="28"/>
          <w:szCs w:val="28"/>
          <w:rtl w:val="true"/>
          <w:lang w:bidi="ar-SA"/>
        </w:rPr>
        <w:t>وهذا الشرط غير مذكور في ذكرى الشيعة ، فظاهره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عدم ذكره في المقنع إلا أن الموجود في بعض نسخه اعتباره ، وهو الذي حكاه عنه في 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شبهة في ضعف القول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المفيد والمحقق عدم اعتبار الشرطين حيث أطلقا استحباب غسل القاضي للكسوف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الأظهر حملهما على ما هو المعروف ، وإلا فلا يخفى ما فيهما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4338441_2142443653"/>
      <w:bookmarkStart w:id="199" w:name="_Toc73"/>
      <w:bookmarkEnd w:id="198"/>
      <w:r>
        <w:rPr>
          <w:rtl w:val="true"/>
        </w:rPr>
        <w:t xml:space="preserve">[ </w:t>
      </w:r>
      <w:r>
        <w:rPr>
          <w:rtl w:val="true"/>
        </w:rPr>
        <w:t xml:space="preserve">تنبيهات </w:t>
      </w:r>
      <w:r>
        <w:rPr>
          <w:rtl w:val="true"/>
        </w:rPr>
        <w:t>]</w:t>
      </w:r>
      <w:bookmarkEnd w:id="199"/>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ثبوت هذا الغسل بالنسبة إلى الأداء عملا بالأصل وظواهر الأخبار ؛ إذ لو ثبت على الإطلاق لما خصّص فيها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وأثبته العلامة في المختلف ونفى عنه الريب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غير واحد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جماعة منهم ، وهو الظاهر من الشهيد في غير واحد من كتبه حيث لم يقيّده باقتضاء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إطلاق رواية الشيخ ؛ للصحيحة المتقدمة ، بل وظهورها في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 فإثبات الحكم بمجرّده بعيد جدّا ، مضافا إلى مخالفته لسائر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حمل المطلق على المقيّد تقييده بأن الغالب الشروع في الصلاة بعد الشروع في الانكساف ، ولا يعلم حينئذ حصول الاحتراق ؛ ليتحقق التكليف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باستحباب الاغتسال بعد حصوله وإن تقدم عليه الصلاة مخالف لظاهر فتوى الأصحاب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ينقدح وجه نظر لضعف ظاهر رواية الشيخ ؛ إذ </w:t>
      </w:r>
      <w:r>
        <w:rPr>
          <w:rStyle w:val="FootnoteAnchor"/>
          <w:rtl w:val="true"/>
        </w:rPr>
        <w:footnoteReference w:id="803"/>
      </w:r>
      <w:r>
        <w:rPr>
          <w:rFonts w:ascii="Amiri" w:hAnsi="Amiri" w:eastAsia="Amiri" w:cs="Amiri"/>
          <w:color w:val="111111"/>
          <w:sz w:val="28"/>
          <w:sz w:val="28"/>
          <w:szCs w:val="28"/>
          <w:rtl w:val="true"/>
          <w:lang w:bidi="ar-SA"/>
        </w:rPr>
        <w:t xml:space="preserve">ظاهرها استقلال الاحتراق في </w:t>
      </w:r>
    </w:p>
    <w:p>
      <w:pPr>
        <w:pStyle w:val="BookText"/>
        <w:rPr/>
      </w:pPr>
      <w:r>
        <w:rPr>
          <w:rFonts w:ascii="Amiri" w:hAnsi="Amiri" w:eastAsia="Amiri" w:cs="Amiri"/>
          <w:color w:val="111111"/>
          <w:sz w:val="28"/>
          <w:sz w:val="28"/>
          <w:szCs w:val="28"/>
          <w:rtl w:val="true"/>
          <w:lang w:bidi="ar-SA"/>
        </w:rPr>
        <w:t>سببية الغسل المذكور من غير مدخليّة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عرفت خلاف ظاهر الأصحاب ، بل بعضهم حكى الإجماع على خلافه ، ففيه شهادة على حصول التيقّظ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يحتج عليه بما في صدر رواية الفقه من ذكر نحو الإطلاق المذكور إلا أنه ذكر بعده نحو ما في سائر الأخبار ، فالظاهر حمل الصدر على ما يستفاد من العجز ، ومع الغضّ عنه فلا حجة فيه مع انتفاء الجابر ، فالقول بثبوت الحكم في الأداء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بالاحتراق وجهل وجوب الصلاة فهل هو بحكم العامد؟ فظاهر كلماتهم شمول الاستحباب ؛ إذ هو عائد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نصّ الشهيد الثاني في الروضة البهية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واستقربه العلامة في نهاية الإحكام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التفصيل بين الجاهل المحض والمتردّد ، فلا يثبت في الأول حيث إنه غافل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إطلاق الأخبار هو الأول ، فهو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علم الكسوف وجهل الاستيعاب ، فالظاهر ثبوت الغسل ؛ أخذا بإطلاق الأخبار ؛ إذ المأخوذ فيها حصول الاستيعاب لا العلم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وظهر فساد صلاته بعد الانجلاء ففي ثبوت الغسل وجهان ، أظهرهما العدم إلا أن يكون ذلك ناشيا عن جهله بالحكم مع تقصيره في 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ففيه وجهان</w:t>
      </w:r>
      <w:r>
        <w:rPr>
          <w:rFonts w:eastAsia="Amiri" w:cs="Amiri" w:ascii="Amiri" w:hAnsi="Amiri"/>
          <w:color w:val="111111"/>
          <w:sz w:val="28"/>
          <w:szCs w:val="28"/>
          <w:rtl w:val="true"/>
          <w:lang w:bidi="ar-SA"/>
        </w:rPr>
        <w:t xml:space="preserve">. </w:t>
      </w:r>
      <w:bookmarkStart w:id="200" w:name="pg15839_360795"/>
    </w:p>
    <w:p>
      <w:pPr>
        <w:pStyle w:val="Heading5"/>
        <w:numPr>
          <w:ilvl w:val="4"/>
          <w:numId w:val="1"/>
        </w:numPr>
        <w:rPr/>
      </w:pPr>
      <w:bookmarkStart w:id="201" w:name="__RefHeading___Toc14338443_2142443653"/>
      <w:bookmarkStart w:id="202" w:name="_Toc74"/>
      <w:bookmarkEnd w:id="200"/>
      <w:bookmarkEnd w:id="201"/>
      <w:r>
        <w:rPr>
          <w:rtl w:val="true"/>
        </w:rPr>
        <w:t>تبصرة</w:t>
      </w:r>
      <w:r>
        <w:rPr>
          <w:rtl w:val="true"/>
        </w:rPr>
        <w:t xml:space="preserve">: [ </w:t>
      </w:r>
      <w:r>
        <w:rPr>
          <w:rtl w:val="true"/>
        </w:rPr>
        <w:t xml:space="preserve">في الأغسال السببيّة </w:t>
      </w:r>
      <w:r>
        <w:rPr>
          <w:rtl w:val="true"/>
        </w:rPr>
        <w:t>]</w:t>
      </w:r>
      <w:bookmarkEnd w:id="202"/>
    </w:p>
    <w:p>
      <w:pPr>
        <w:pStyle w:val="BookText"/>
        <w:rPr/>
      </w:pPr>
      <w:r>
        <w:rPr>
          <w:rFonts w:ascii="Amiri" w:hAnsi="Amiri" w:eastAsia="Amiri" w:cs="Amiri"/>
          <w:color w:val="111111"/>
          <w:sz w:val="28"/>
          <w:sz w:val="28"/>
          <w:szCs w:val="28"/>
          <w:rtl w:val="true"/>
          <w:lang w:bidi="ar-SA"/>
        </w:rPr>
        <w:t xml:space="preserve">وأما الأغسال السببيّة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واستحبابه في التوبة عن الكفر والكبائر ممّا لا خلاف فيه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منتهى المطلب </w:t>
      </w:r>
      <w:r>
        <w:rPr>
          <w:rStyle w:val="FootnoteAnchor"/>
          <w:rtl w:val="true"/>
        </w:rPr>
        <w:footnoteReference w:id="806"/>
      </w:r>
      <w:r>
        <w:rPr>
          <w:rFonts w:ascii="IRNazanin" w:hAnsi="IRNazanin" w:eastAsia="IRNazanin"/>
          <w:color w:val="111111"/>
          <w:sz w:val="28"/>
          <w:sz w:val="28"/>
          <w:szCs w:val="28"/>
          <w:rtl w:val="true"/>
          <w:lang w:bidi="fa-IR"/>
        </w:rPr>
        <w:t>الإجماع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807"/>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يعمّ الأول ؛ إذ هو من أكبر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w:t>
      </w:r>
      <w:r>
        <w:rPr>
          <w:rStyle w:val="FootnoteAnchor"/>
          <w:rtl w:val="true"/>
        </w:rPr>
        <w:footnoteReference w:id="808"/>
      </w:r>
      <w:r>
        <w:rPr>
          <w:rFonts w:ascii="IRNazanin" w:hAnsi="IRNazanin" w:eastAsia="IRNazanin"/>
          <w:color w:val="111111"/>
          <w:sz w:val="28"/>
          <w:sz w:val="28"/>
          <w:szCs w:val="28"/>
          <w:rtl w:val="true"/>
          <w:lang w:bidi="fa-IR"/>
        </w:rPr>
        <w:t xml:space="preserve">مضافا إلى الإجماع </w:t>
      </w:r>
      <w:r>
        <w:rPr>
          <w:rStyle w:val="FootnoteAnchor"/>
          <w:rtl w:val="true"/>
        </w:rPr>
        <w:footnoteReference w:id="809"/>
      </w:r>
      <w:r>
        <w:rPr>
          <w:rFonts w:ascii="Amiri" w:hAnsi="Amiri" w:eastAsia="Amiri" w:cs="Amiri"/>
          <w:color w:val="111111"/>
          <w:sz w:val="28"/>
          <w:sz w:val="28"/>
          <w:szCs w:val="28"/>
          <w:rtl w:val="true"/>
          <w:lang w:bidi="ar-SA"/>
        </w:rPr>
        <w:t xml:space="preserve">ما سيأتي 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كافرا وأراد التوبة والايمان فليتطهر لي ثوبه وبدنه </w:t>
      </w:r>
      <w:r>
        <w:rPr>
          <w:rFonts w:eastAsia="Amiri" w:cs="Amiri" w:ascii="Amiri" w:hAnsi="Amiri"/>
          <w:color w:val="111111"/>
          <w:sz w:val="28"/>
          <w:szCs w:val="28"/>
          <w:rtl w:val="true"/>
          <w:lang w:bidi="ar-SA"/>
        </w:rPr>
        <w:t xml:space="preserve">» </w:t>
      </w:r>
      <w:r>
        <w:rPr>
          <w:rStyle w:val="FootnoteAnchor"/>
          <w:rtl w:val="true"/>
        </w:rPr>
        <w:footnoteReference w:id="810"/>
      </w:r>
      <w:r>
        <w:rPr>
          <w:rStyle w:val="FootnoteAnchor"/>
          <w:rtl w:val="true"/>
        </w:rPr>
        <w:footnoteReference w:id="811"/>
      </w:r>
      <w:r>
        <w:rPr>
          <w:rFonts w:ascii="IRNazanin" w:hAnsi="IRNazanin" w:eastAsia="IRNazanin"/>
          <w:color w:val="111111"/>
          <w:sz w:val="28"/>
          <w:sz w:val="28"/>
          <w:szCs w:val="28"/>
          <w:rtl w:val="true"/>
          <w:lang w:bidi="fa-IR"/>
        </w:rPr>
        <w:t xml:space="preserve">بحمل تطهر البدن على الغسل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بعد الإجماع صحيحة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كنيفا لي ولى جيران ، وعندهم جواري يتغنّين ويضربن بالعود ، فربما أطلت الجلوس استماعا مني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آتيهن برجلي وإنما هو سماع أسمعه بأذني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 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w:t>
      </w:r>
    </w:p>
    <w:p>
      <w:pPr>
        <w:pStyle w:val="BookText"/>
        <w:rPr/>
      </w:pPr>
      <w:r>
        <w:rPr>
          <w:rFonts w:ascii="Amiri" w:hAnsi="Amiri" w:eastAsia="Amiri" w:cs="Amiri"/>
          <w:color w:val="111111"/>
          <w:sz w:val="28"/>
          <w:sz w:val="28"/>
          <w:szCs w:val="28"/>
          <w:rtl w:val="true"/>
          <w:lang w:bidi="ar-SA"/>
        </w:rPr>
        <w:t xml:space="preserve">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لم أسمع بهذه الآية من كتاب اللّه من عربي ولا عجميّ لا جرم إني لا أعود إن شاء اللّه وإني لأستغفر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فاغتسل ، وصلّ ما بدا لك ، فإنك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واسأله التوبة من كلّ ما يكره ، فإنه لا يكره إلا كل قبيح ، والقبيح دعه لأهله فإن لكلّ أهلا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يحتجّ عليه بالحديث الوارد في أدعية السر ،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عمل كبيرة من امتك فأراد محوها والتطهر منها فليطهر لي بدنه وثيابه وليخرج إلى برية أرضي فيستقبل وجهي ثم ليرفع يديه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مبنيّ على حمل تطهير البدن على الغسل ، وكون الغسل عقيب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بعيدا عن سياق الرواية وإن كانت خالية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الصغائر ففي ثبوت الغسل للتوبة عنها قولان ، أشهرهما الثبوت ؛ إذ هو إطلاق الشيخ في عدّة من كتبه والديلمي والقاضي والطوسي والحلي وابن سعيد والفاضلين والشهيد وغيرهم حيث ذكروا استحباب الغسل للتوبة من غير تفصيل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الفاضل في المنتهى والنهاية والشهيد في ذكرى الشيعة وغيره وابن فهد والمحقق الكركي والشهيد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في غير واحد من كتبه والحلبي وابن زهرة وابن أبي المجد التقييد بالكبائر ، وظاهره نفي الاستحباب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الشرائع والجامع وعدّة من كتب الفاضل والبيان والموجز وغيرها الحكم باستحبابه للتوبة مطلقا من كفر أو فسق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يومي إلى عدم استحبابه للتوبة عن مطلق الصغائر ما لم يصل إلى حدّ 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يحمل الفسق على مطلق العصيان ، فيعمّ الجميع بقرينة مقابلته بالكفر ، ولبناء جماعة منهم على تعميم الأمرين ، ففي منتهى المطلب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من توبة الفسق مستحبّ سواء كان الفسق مشتملا على كبيرة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نهاية الإحكام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الكركي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الفسق بين كونه صغيرة أو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مطلق المقابلة لا يقضي بالتعميم ، و </w:t>
      </w:r>
      <w:r>
        <w:rPr>
          <w:rStyle w:val="FootnoteAnchor"/>
          <w:rtl w:val="true"/>
        </w:rPr>
        <w:footnoteReference w:id="819"/>
      </w:r>
      <w:r>
        <w:rPr>
          <w:rFonts w:ascii="Amiri" w:hAnsi="Amiri" w:eastAsia="Amiri" w:cs="Amiri"/>
          <w:color w:val="111111"/>
          <w:sz w:val="28"/>
          <w:sz w:val="28"/>
          <w:szCs w:val="28"/>
          <w:rtl w:val="true"/>
          <w:lang w:bidi="ar-SA"/>
        </w:rPr>
        <w:t>العبارات المذكورة أيضا لا يفيده ؛ إذ المستفاد منها تعميم الفسق للحاصل من النوعين إنّما يحصل من الصغيرة على فرض الاحتراز عليها ، فلا يدلّ على ثبوته لمطلقها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اكتفى في ثبوت الحكم المذكور بفتوى الجماعة المذكورين ، وإلّا فلم نجد في الأخبار ما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يتخيّل من دلالة الصحيحة المذكورة عليه غير واضح ؛ إذ الظاهر منها حصول الإصرار ، وكون الذنب المفروض فيها من الكبائر ، وجهل القائل به لا يوجب سقوط العصيان مع تقصيره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ذيل الرواية شهادة عليه ، وليس فيها دلالة على ثبوت الحكم المذكور في التوبة عن سائر الذنوب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تسرية الحكم إلى الكبائر وما بحكمها من فحواها ، ولا يجري ذلك بالنسبة إلى الصغائر مع عدم الإصرار عليها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ثبوت الغسل فيها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وأنه قضية الأمر بالغسل </w:t>
      </w:r>
      <w:r>
        <w:rPr>
          <w:rStyle w:val="FootnoteAnchor"/>
          <w:rtl w:val="true"/>
        </w:rPr>
        <w:footnoteReference w:id="821"/>
      </w:r>
      <w:r>
        <w:rPr>
          <w:rFonts w:ascii="Amiri" w:hAnsi="Amiri" w:eastAsia="Amiri" w:cs="Amiri"/>
          <w:color w:val="111111"/>
          <w:sz w:val="28"/>
          <w:sz w:val="28"/>
          <w:szCs w:val="28"/>
          <w:rtl w:val="true"/>
          <w:lang w:bidi="ar-SA"/>
        </w:rPr>
        <w:t xml:space="preserve">للكسوف ، فإنه عقوبة على ترك الفريضة ، وكذا الغسل لرؤية المصلوب وقتل الوزغ مع ما ذكر في تعليله من أنه يخرج من </w:t>
      </w:r>
    </w:p>
    <w:p>
      <w:pPr>
        <w:pStyle w:val="BookText"/>
        <w:rPr/>
      </w:pPr>
      <w:r>
        <w:rPr>
          <w:rFonts w:ascii="Amiri" w:hAnsi="Amiri" w:eastAsia="Amiri" w:cs="Amiri"/>
          <w:color w:val="111111"/>
          <w:sz w:val="28"/>
          <w:sz w:val="28"/>
          <w:szCs w:val="28"/>
          <w:rtl w:val="true"/>
          <w:lang w:bidi="ar-SA"/>
        </w:rPr>
        <w:t>ذنوبه فيغتسل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بعدم ثبوت الحكم في الصغائر بحديث أدعية السر حيث ذكر فيها بعد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كثرت ذنوبه من امتك فيما دون الكبائر حتى يشهر كثرتها ويمقت على اتّباعها فليعمد لي عند طلوع الفجر أو قبل افول الشفق ولينصب وجهه إليّ وليقل </w:t>
      </w:r>
      <w:r>
        <w:rPr>
          <w:rFonts w:eastAsia="Amiri" w:cs="Amiri" w:ascii="Amiri" w:hAnsi="Amiri"/>
          <w:color w:val="111111"/>
          <w:sz w:val="28"/>
          <w:szCs w:val="28"/>
          <w:rtl w:val="true"/>
          <w:lang w:bidi="ar-SA"/>
        </w:rPr>
        <w:t xml:space="preserve">.. » </w:t>
      </w:r>
      <w:r>
        <w:rPr>
          <w:rStyle w:val="FootnoteAnchor"/>
          <w:rtl w:val="true"/>
        </w:rPr>
        <w:footnoteReference w:id="822"/>
      </w:r>
      <w:r>
        <w:rPr>
          <w:rFonts w:ascii="Amiri" w:hAnsi="Amiri" w:eastAsia="Amiri" w:cs="Amiri"/>
          <w:color w:val="111111"/>
          <w:sz w:val="28"/>
          <w:sz w:val="28"/>
          <w:szCs w:val="28"/>
          <w:rtl w:val="true"/>
          <w:lang w:bidi="ar-SA"/>
        </w:rPr>
        <w:t xml:space="preserve">وساق الدعاء من غير ذكر للتطهير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فذكره هناك وتركه هنا ربّما يشهد بالفرق بين المقامين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يدلّ على انتفاء الاستحباب فيها سيّما مع فرض الإصرار فيها ، وثبوته معه ممّا لا كلام فيه ظاهرا ، على أنه يدلّ في المقام على حصول التوبة من العامل ، فهي خارجة عن محلّ البحث</w:t>
      </w:r>
      <w:r>
        <w:rPr>
          <w:rFonts w:eastAsia="Amiri" w:cs="Amiri" w:ascii="Amiri" w:hAnsi="Amiri"/>
          <w:color w:val="111111"/>
          <w:sz w:val="28"/>
          <w:szCs w:val="28"/>
          <w:rtl w:val="true"/>
          <w:lang w:bidi="ar-SA"/>
        </w:rPr>
        <w:t xml:space="preserve">. </w:t>
      </w:r>
      <w:bookmarkStart w:id="203" w:name="pg15839_360799"/>
    </w:p>
    <w:p>
      <w:pPr>
        <w:pStyle w:val="Heading5"/>
        <w:numPr>
          <w:ilvl w:val="4"/>
          <w:numId w:val="1"/>
        </w:numPr>
        <w:rPr/>
      </w:pPr>
      <w:bookmarkStart w:id="204" w:name="__RefHeading___Toc14338445_2142443653"/>
      <w:bookmarkStart w:id="205" w:name="_Toc75"/>
      <w:bookmarkEnd w:id="203"/>
      <w:bookmarkEnd w:id="204"/>
      <w:r>
        <w:rPr>
          <w:rtl w:val="true"/>
        </w:rPr>
        <w:t>تبصرة</w:t>
      </w:r>
      <w:r>
        <w:rPr>
          <w:rtl w:val="true"/>
        </w:rPr>
        <w:t xml:space="preserve">: [ </w:t>
      </w:r>
      <w:r>
        <w:rPr>
          <w:rtl w:val="true"/>
        </w:rPr>
        <w:t xml:space="preserve">في الاغتسال لقتل الوزع </w:t>
      </w:r>
      <w:r>
        <w:rPr>
          <w:rtl w:val="true"/>
        </w:rPr>
        <w:t>]</w:t>
      </w:r>
      <w:bookmarkEnd w:id="205"/>
    </w:p>
    <w:p>
      <w:pPr>
        <w:pStyle w:val="BookText"/>
        <w:rPr/>
      </w:pPr>
      <w:r>
        <w:rPr>
          <w:rFonts w:ascii="Amiri" w:hAnsi="Amiri" w:eastAsia="Amiri" w:cs="Amiri"/>
          <w:color w:val="111111"/>
          <w:sz w:val="28"/>
          <w:sz w:val="28"/>
          <w:szCs w:val="28"/>
          <w:rtl w:val="true"/>
          <w:lang w:bidi="ar-SA"/>
        </w:rPr>
        <w:t xml:space="preserve">ومنها قتل الوزغ على ما ذكره جماعة من الأصحاب منهم المفيد والصدوق في ظاهر كلامه والفاضل وابن سعيد والشهيد في عدّة من كتبه وابن فهد </w:t>
      </w:r>
      <w:r>
        <w:rPr>
          <w:rStyle w:val="FootnoteAnchor"/>
          <w:rtl w:val="true"/>
        </w:rPr>
        <w:footnoteReference w:id="824"/>
      </w:r>
      <w:r>
        <w:rPr>
          <w:rFonts w:ascii="Amiri" w:hAnsi="Amiri" w:eastAsia="Amiri" w:cs="Amiri"/>
          <w:color w:val="111111"/>
          <w:sz w:val="28"/>
          <w:sz w:val="28"/>
          <w:szCs w:val="28"/>
          <w:rtl w:val="true"/>
          <w:lang w:bidi="ar-SA"/>
        </w:rPr>
        <w:t>والصيمري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يذكره كثير من الأصحاب كالشيخ والديلمي والحلبي والقاضي وابن زهرة وابن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الجماعة </w:t>
      </w:r>
      <w:r>
        <w:rPr>
          <w:rStyle w:val="FootnoteAnchor"/>
          <w:rtl w:val="true"/>
        </w:rPr>
        <w:footnoteReference w:id="825"/>
      </w:r>
      <w:r>
        <w:rPr>
          <w:rFonts w:ascii="Amiri" w:hAnsi="Amiri" w:eastAsia="Amiri" w:cs="Amiri"/>
          <w:color w:val="111111"/>
          <w:sz w:val="28"/>
          <w:sz w:val="28"/>
          <w:szCs w:val="28"/>
          <w:rtl w:val="true"/>
          <w:lang w:bidi="ar-SA"/>
        </w:rPr>
        <w:t>والجامع ونهاية الإحكام وذكرى الشيعة التوقّف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المعتبر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ثبوته لما رواه الصفار والكليني والراوندي بإسنادهم عن عبد اللّه بن طلحة ، عن الصادق عليه‌السلام أنه سأله عن الوزغ؟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 وهو مسخ كلّه فإذا قتلته فاغتسل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الصفار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رجس ، هو مسخ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باسقاط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قتل وزغا فعليه الغسل ، والعلة في ذلك أنه يخرج من الذنوب فيغتسل منها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التعليل ليس من الرواية كما يظهر من الفقيه حيث ذكر المرسلة وحكى التعليل عن بعض مشايخه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يحتمل أن يكون ذلك مأخوذا من كلام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الذكرى جعله التعليل المذكور من تتمة الرواية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الرواية مجبور بتكرّرها في عدّة من الكتب المعتمدة وعمل جماعة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829"/>
      </w:r>
      <w:r>
        <w:rPr>
          <w:rFonts w:ascii="Amiri" w:hAnsi="Amiri" w:eastAsia="Amiri" w:cs="Amiri"/>
          <w:color w:val="111111"/>
          <w:sz w:val="28"/>
          <w:sz w:val="28"/>
          <w:szCs w:val="28"/>
          <w:rtl w:val="true"/>
          <w:lang w:bidi="ar-SA"/>
        </w:rPr>
        <w:t>أنها مؤيدة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أراد به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فذلك كاف في ثبوت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ورد في الأخبار العامة من رجحان قتله ، وعن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يموت من بني أمية ميت إلا مسخ وزغا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أن الوزغ جنس واحده الوزغة</w:t>
      </w:r>
      <w:r>
        <w:rPr>
          <w:rFonts w:eastAsia="Amiri" w:cs="Amiri" w:ascii="Amiri" w:hAnsi="Amiri"/>
          <w:color w:val="111111"/>
          <w:sz w:val="28"/>
          <w:szCs w:val="28"/>
          <w:rtl w:val="true"/>
          <w:lang w:bidi="ar-SA"/>
        </w:rPr>
        <w:t xml:space="preserve">. </w:t>
      </w:r>
      <w:bookmarkStart w:id="206" w:name="pg15839_360801"/>
    </w:p>
    <w:p>
      <w:pPr>
        <w:pStyle w:val="Heading5"/>
        <w:numPr>
          <w:ilvl w:val="4"/>
          <w:numId w:val="1"/>
        </w:numPr>
        <w:rPr/>
      </w:pPr>
      <w:bookmarkStart w:id="207" w:name="__RefHeading___Toc14338447_2142443653"/>
      <w:bookmarkStart w:id="208" w:name="_Toc76"/>
      <w:bookmarkEnd w:id="206"/>
      <w:bookmarkEnd w:id="207"/>
      <w:r>
        <w:rPr>
          <w:rtl w:val="true"/>
        </w:rPr>
        <w:t xml:space="preserve">[ </w:t>
      </w:r>
      <w:r>
        <w:rPr>
          <w:rtl w:val="true"/>
        </w:rPr>
        <w:t xml:space="preserve">تبصرة </w:t>
      </w:r>
      <w:r>
        <w:rPr>
          <w:rtl w:val="true"/>
        </w:rPr>
        <w:t xml:space="preserve">]: [ </w:t>
      </w:r>
      <w:r>
        <w:rPr>
          <w:rtl w:val="true"/>
        </w:rPr>
        <w:t xml:space="preserve">في الاغتسال لرؤية المصلوب </w:t>
      </w:r>
      <w:r>
        <w:rPr>
          <w:rtl w:val="true"/>
        </w:rPr>
        <w:t>]</w:t>
      </w:r>
      <w:bookmarkEnd w:id="208"/>
    </w:p>
    <w:p>
      <w:pPr>
        <w:pStyle w:val="Heading6"/>
        <w:numPr>
          <w:ilvl w:val="5"/>
          <w:numId w:val="1"/>
        </w:numPr>
        <w:rPr/>
      </w:pPr>
      <w:bookmarkStart w:id="209" w:name="__RefHeading___Toc14338449_2142443653"/>
      <w:bookmarkStart w:id="210" w:name="_Toc77"/>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سعى إلى رؤية مصلوب من المسلمين </w:t>
      </w:r>
      <w:r>
        <w:rPr>
          <w:rStyle w:val="FootnoteAnchor"/>
          <w:rtl w:val="true"/>
        </w:rPr>
        <w:footnoteReference w:id="831"/>
      </w:r>
      <w:r>
        <w:rPr>
          <w:rFonts w:ascii="Amiri" w:hAnsi="Amiri" w:eastAsia="Amiri" w:cs="Amiri"/>
          <w:color w:val="111111"/>
          <w:sz w:val="28"/>
          <w:sz w:val="28"/>
          <w:szCs w:val="28"/>
          <w:rtl w:val="true"/>
          <w:lang w:bidi="ar-SA"/>
        </w:rPr>
        <w:t>إن كان الصلب بغير حقّ وإلا اختصّ بما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بين الأصحاب من غير خلاف </w:t>
      </w:r>
      <w:r>
        <w:rPr>
          <w:rStyle w:val="FootnoteAnchor"/>
          <w:rtl w:val="true"/>
        </w:rPr>
        <w:footnoteReference w:id="832"/>
      </w:r>
      <w:r>
        <w:rPr>
          <w:rFonts w:ascii="Amiri" w:hAnsi="Amiri" w:eastAsia="Amiri" w:cs="Amiri"/>
          <w:color w:val="111111"/>
          <w:sz w:val="28"/>
          <w:sz w:val="28"/>
          <w:szCs w:val="28"/>
          <w:rtl w:val="true"/>
          <w:lang w:bidi="ar-SA"/>
        </w:rPr>
        <w:t>يعرف هو ثبوت الغسل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 يذكره الشيخان والديلمي والحلي والفاضلان في بعض كتبهما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833"/>
      </w:r>
      <w:r>
        <w:rPr>
          <w:rFonts w:ascii="Amiri" w:hAnsi="Amiri" w:eastAsia="Amiri" w:cs="Amiri"/>
          <w:color w:val="111111"/>
          <w:sz w:val="28"/>
          <w:sz w:val="28"/>
          <w:szCs w:val="28"/>
          <w:rtl w:val="true"/>
          <w:lang w:bidi="ar-SA"/>
        </w:rPr>
        <w:t xml:space="preserve">بعد ذكر رواية الوجوب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عندي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بشى‌ء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w:t>
      </w:r>
      <w:r>
        <w:rPr>
          <w:rStyle w:val="FootnoteAnchor"/>
          <w:rtl w:val="true"/>
        </w:rPr>
        <w:footnoteReference w:id="834"/>
      </w:r>
      <w:r>
        <w:rPr>
          <w:rFonts w:ascii="Amiri" w:hAnsi="Amiri" w:eastAsia="Amiri" w:cs="Amiri"/>
          <w:color w:val="111111"/>
          <w:sz w:val="28"/>
          <w:sz w:val="28"/>
          <w:szCs w:val="28"/>
          <w:rtl w:val="true"/>
          <w:lang w:bidi="ar-SA"/>
        </w:rPr>
        <w:t>نفي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ظاهر الصدوق </w:t>
      </w:r>
      <w:r>
        <w:rPr>
          <w:rStyle w:val="FootnoteAnchor"/>
          <w:rtl w:val="true"/>
        </w:rPr>
        <w:footnoteReference w:id="835"/>
      </w:r>
      <w:r>
        <w:rPr>
          <w:rFonts w:ascii="Amiri" w:hAnsi="Amiri" w:eastAsia="Amiri" w:cs="Amiri"/>
          <w:color w:val="111111"/>
          <w:sz w:val="28"/>
          <w:sz w:val="28"/>
          <w:szCs w:val="28"/>
          <w:rtl w:val="true"/>
          <w:lang w:bidi="ar-SA"/>
        </w:rPr>
        <w:t xml:space="preserve">وصريح الحلبي </w:t>
      </w:r>
      <w:r>
        <w:rPr>
          <w:rStyle w:val="FootnoteAnchor"/>
          <w:rtl w:val="true"/>
        </w:rPr>
        <w:footnoteReference w:id="836"/>
      </w:r>
      <w:r>
        <w:rPr>
          <w:rFonts w:ascii="Amiri" w:hAnsi="Amiri" w:eastAsia="Amiri" w:cs="Amiri"/>
          <w:color w:val="111111"/>
          <w:sz w:val="28"/>
          <w:sz w:val="28"/>
          <w:szCs w:val="28"/>
          <w:rtl w:val="true"/>
          <w:lang w:bidi="ar-SA"/>
        </w:rPr>
        <w:t>وجوب الغسل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في الكافي بكونه شرطا في تكفير الذنب وصحّة التوبة ، فيلزم العزم عليها لهذا الفرض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w:t>
      </w:r>
      <w:r>
        <w:rPr>
          <w:rStyle w:val="FootnoteAnchor"/>
          <w:rtl w:val="true"/>
        </w:rPr>
        <w:footnoteReference w:id="837"/>
      </w:r>
      <w:r>
        <w:rPr>
          <w:rFonts w:ascii="Amiri" w:hAnsi="Amiri" w:eastAsia="Amiri" w:cs="Amiri"/>
          <w:color w:val="111111"/>
          <w:sz w:val="28"/>
          <w:sz w:val="28"/>
          <w:szCs w:val="28"/>
          <w:rtl w:val="true"/>
          <w:lang w:bidi="ar-SA"/>
        </w:rPr>
        <w:t xml:space="preserve">بل صريح </w:t>
      </w:r>
      <w:r>
        <w:rPr>
          <w:rStyle w:val="FootnoteAnchor"/>
          <w:rtl w:val="true"/>
        </w:rPr>
        <w:footnoteReference w:id="838"/>
      </w:r>
      <w:r>
        <w:rPr>
          <w:rFonts w:ascii="Amiri" w:hAnsi="Amiri" w:eastAsia="Amiri" w:cs="Amiri"/>
          <w:color w:val="111111"/>
          <w:sz w:val="28"/>
          <w:sz w:val="28"/>
          <w:szCs w:val="28"/>
          <w:rtl w:val="true"/>
          <w:lang w:bidi="ar-SA"/>
        </w:rPr>
        <w:t xml:space="preserve">العلامة </w:t>
      </w:r>
      <w:r>
        <w:rPr>
          <w:rStyle w:val="FootnoteAnchor"/>
          <w:rtl w:val="true"/>
        </w:rPr>
        <w:footnoteReference w:id="839"/>
      </w:r>
      <w:r>
        <w:rPr>
          <w:rStyle w:val="FootnoteAnchor"/>
          <w:rtl w:val="true"/>
        </w:rPr>
        <w:footnoteReference w:id="840"/>
      </w:r>
      <w:r>
        <w:rPr>
          <w:rFonts w:ascii="IRNazanin" w:hAnsi="IRNazanin" w:eastAsia="IRNazanin"/>
          <w:color w:val="111111"/>
          <w:sz w:val="28"/>
          <w:sz w:val="28"/>
          <w:szCs w:val="28"/>
          <w:rtl w:val="true"/>
          <w:lang w:bidi="fa-IR"/>
        </w:rPr>
        <w:t xml:space="preserve">الفعل </w:t>
      </w:r>
      <w:r>
        <w:rPr>
          <w:rStyle w:val="FootnoteAnchor"/>
          <w:rtl w:val="true"/>
        </w:rPr>
        <w:footnoteReference w:id="841"/>
      </w:r>
      <w:r>
        <w:rPr>
          <w:rFonts w:ascii="Amiri" w:hAnsi="Amiri" w:eastAsia="Amiri" w:cs="Amiri"/>
          <w:color w:val="111111"/>
          <w:sz w:val="28"/>
          <w:sz w:val="28"/>
          <w:szCs w:val="28"/>
          <w:rtl w:val="true"/>
          <w:lang w:bidi="ar-SA"/>
        </w:rPr>
        <w:t xml:space="preserve">المذكور إلا أنه قيّده بما بعد الثلاثة من غير </w:t>
      </w:r>
      <w:bookmarkStart w:id="211" w:name="pg15839_360802"/>
    </w:p>
    <w:p>
      <w:pPr>
        <w:pStyle w:val="BookText"/>
        <w:rPr/>
      </w:pPr>
      <w:bookmarkEnd w:id="211"/>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الصدوق الإطلاق من غير تفصيل بين المصلوب بحق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هو الاستحباب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الصدوق في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إلى رؤية مصلوب فنظر إليه وجب عليه الغسل عقوبة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نحوه أيضا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الندب بقرينة فهم الأصحاب مضافا إلى ضعف الرواية ، فلا يقوم حجة على الوجوب مع انتفاء الجابر وإضراب الأصحاب عن 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بالوجوب ساقط جدّا ، مضافا إلى الإجماع المنقول على الاستحباب المعتضد بفتوى الأصحاب إلا من شذّ</w:t>
      </w:r>
      <w:r>
        <w:rPr>
          <w:rFonts w:eastAsia="IRNazanin" w:cs="IRNazanin"/>
          <w:color w:val="111111"/>
          <w:sz w:val="28"/>
          <w:szCs w:val="28"/>
          <w:rtl w:val="true"/>
          <w:lang w:bidi="fa-IR"/>
        </w:rPr>
        <w:t>.</w:t>
      </w:r>
    </w:p>
    <w:p>
      <w:pPr>
        <w:pStyle w:val="Heading6"/>
        <w:numPr>
          <w:ilvl w:val="5"/>
          <w:numId w:val="1"/>
        </w:numPr>
        <w:rPr/>
      </w:pPr>
      <w:bookmarkStart w:id="212" w:name="__RefHeading___Toc14338451_2142443653"/>
      <w:bookmarkStart w:id="213" w:name="_Toc78"/>
      <w:bookmarkEnd w:id="212"/>
      <w:r>
        <w:rPr>
          <w:rtl w:val="true"/>
        </w:rPr>
        <w:t xml:space="preserve">[ </w:t>
      </w:r>
      <w:r>
        <w:rPr>
          <w:rtl w:val="true"/>
        </w:rPr>
        <w:t xml:space="preserve">تنبيهات </w:t>
      </w:r>
      <w:r>
        <w:rPr>
          <w:rtl w:val="true"/>
        </w:rPr>
        <w:t>]</w:t>
      </w:r>
      <w:bookmarkEnd w:id="213"/>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جماعة من الأصحاب منهم الحلبيون أن يكون المصلوب مسلما ، فلا غسل في السعي إلى رؤية المصلوب الكافر ، وعلّل بأنه لا احترام للكافر ، فيحمل إطلاق النص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يفرّق بين الحربي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جماعة إطلاق الاستحباب ، وهو الأوفق بظاهر النصّ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الغسل تحقق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نصّ جماعة من الأصحاب منهم الشهيد الثاني </w:t>
      </w:r>
      <w:r>
        <w:rPr>
          <w:rStyle w:val="FootnoteAnchor"/>
          <w:rtl w:val="true"/>
        </w:rPr>
        <w:footnoteReference w:id="843"/>
      </w:r>
      <w:r>
        <w:rPr>
          <w:rFonts w:ascii="Amiri" w:hAnsi="Amiri" w:eastAsia="Amiri" w:cs="Amiri"/>
          <w:color w:val="111111"/>
          <w:sz w:val="28"/>
          <w:sz w:val="28"/>
          <w:szCs w:val="28"/>
          <w:rtl w:val="true"/>
          <w:lang w:bidi="ar-SA"/>
        </w:rPr>
        <w:t>في عدّة من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الظاهر للنصّ عليه في الرواية ، وهو الظاهر من فتوى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ويتراءى من إطلاق جماعة عدم اعتباره ولا يبعد 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فيه مطلق الرؤية وإن تعلّق ببعض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رآه في لباسه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 النظر عن سعي إلى رؤيته ، فلا غسل للجاني </w:t>
      </w:r>
      <w:r>
        <w:rPr>
          <w:rStyle w:val="FootnoteAnchor"/>
          <w:rtl w:val="true"/>
        </w:rPr>
        <w:footnoteReference w:id="844"/>
      </w:r>
      <w:r>
        <w:rPr>
          <w:rFonts w:ascii="Amiri" w:hAnsi="Amiri" w:eastAsia="Amiri" w:cs="Amiri"/>
          <w:color w:val="111111"/>
          <w:sz w:val="28"/>
          <w:sz w:val="28"/>
          <w:szCs w:val="28"/>
          <w:rtl w:val="true"/>
          <w:lang w:bidi="ar-SA"/>
        </w:rPr>
        <w:t>عنه كما هو ظاهر كلام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بعض الإطلاقات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مدفوع بظاهر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سعى إلى رؤيته فعدل عنها بعد الوصول إليه فاتّفق له النظر إليه من غير قصد ، قوي عدم ثبوت الحكم ؛ إذ الظاهر من الفعل خصوص الواقع عن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النظر لغرض صحيح ففي ثبوت الغسل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بعض الأفاضل عدمه ؛ لاعتباره انتفاء الغرض الصحيح للرؤية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بناء على كون الغسل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رؤيته حيّا وميّتا كما هو قضية إطلاق الرواية ،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اشتراط مضيّ الثلاثة على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إطلاقهم يعمّ المصلوب بحكم الشرع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النصّ يعمّ الحكم في الثلاثة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وجه التقييد أن المصلوب إنما وضع لعبرة الناس بالنظر إليه وملاحظة أحواله ؛ ليوجب زجر الباقين عن المعصية الموجبة له ، فلا غسل في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إليه ما ذكر في وجهه عن كونه عقوبة على الفعل المذكور ، ولا معنى للعوقبة على الفعل المباح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بالنظر إلى المصلوب بأمر الشرع دون غيره ، فلا يتّجه التقييد </w:t>
      </w:r>
    </w:p>
    <w:p>
      <w:pPr>
        <w:pStyle w:val="BookText"/>
        <w:rPr/>
      </w:pPr>
      <w:r>
        <w:rPr>
          <w:rFonts w:ascii="Amiri" w:hAnsi="Amiri" w:eastAsia="Amiri" w:cs="Amiri"/>
          <w:color w:val="111111"/>
          <w:sz w:val="28"/>
          <w:sz w:val="28"/>
          <w:szCs w:val="28"/>
          <w:rtl w:val="true"/>
          <w:lang w:bidi="ar-SA"/>
        </w:rPr>
        <w:t>بالنسبة إليه ، ولذا أطلق فيه الحكم بعضهم ، وخصّوا التقييد بالأول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الوجه المذكور بأنه لو سلّم فإنه يفيد عدم كون مرجوحيّة النظر إليه في الجملة ، وهو يتمّ لعدم مرجوحيّة النظر مع انتفاء السعي ، فلا ينافي ثبوت الغسل مع النظر المسبّب عن السعي كما هو مورد المسألة إلّا أن يستظهر من إبقاء المصلوب شرعا عدم مرجوحية السعي إليه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بعد </w:t>
      </w:r>
      <w:r>
        <w:rPr>
          <w:rStyle w:val="FootnoteAnchor"/>
          <w:rtl w:val="true"/>
        </w:rPr>
        <w:footnoteReference w:id="846"/>
      </w:r>
      <w:r>
        <w:rPr>
          <w:rFonts w:ascii="Amiri" w:hAnsi="Amiri" w:eastAsia="Amiri" w:cs="Amiri"/>
          <w:color w:val="111111"/>
          <w:sz w:val="28"/>
          <w:sz w:val="28"/>
          <w:szCs w:val="28"/>
          <w:rtl w:val="true"/>
          <w:lang w:bidi="ar-SA"/>
        </w:rPr>
        <w:t>في التقييد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الغالب بل المتعيّن </w:t>
      </w:r>
      <w:r>
        <w:rPr>
          <w:rStyle w:val="FootnoteAnchor"/>
          <w:rtl w:val="true"/>
        </w:rPr>
        <w:footnoteReference w:id="847"/>
      </w:r>
      <w:r>
        <w:rPr>
          <w:rFonts w:ascii="Amiri" w:hAnsi="Amiri" w:eastAsia="Amiri" w:cs="Amiri"/>
          <w:color w:val="111111"/>
          <w:sz w:val="28"/>
          <w:sz w:val="28"/>
          <w:szCs w:val="28"/>
          <w:rtl w:val="true"/>
          <w:lang w:bidi="ar-SA"/>
        </w:rPr>
        <w:t>في مورد الإطلاق له وإن كان من الأفراد الغير الحاصلة زمن الخطاب ، وهو الظاهر المؤيّد بفتوى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اعتبار الثلاثة فالمعتبر منه من حين الصلب ، وهو ظاهر إطلاق الأصحاب ، والمصرّح به في كلام جماعة منهم ابن فهد والمحقّق الكركي والشهيدان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اعتباره من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 أنه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وقع السعي والرؤية في الثلاثة لم يثبت الغسل كما أنه يثبت لو وقع الأمران بعيدها ، ولو وقع السعي في الثلاثة ولا رؤية بعدها فإن كان مقصوده بالسعي ذلك ثبت الغسل في الأظهر ؛ لظاهر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عبارة الأصحاب ، وهو المصرّح به في كلام الفاضلين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سعى في الثلاثة فاتفق الرؤية من دون أن يكون بخصوصه مقصودا بالسعى فكذلك أيضا في وجه قويّ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النظر إليه حال كونه مصلوبا ، فلو نظر إليه بعد إنزاله عن الخشبة لم يثبت الغسل ؛ إذ هو المفهوم من العبارة في العرف ، ولا أقلّ من الشك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ويجدى تعميم الحكم بناء على عدم اشتراط المبدأ في صدق المشتقّ</w:t>
      </w:r>
      <w:r>
        <w:rPr>
          <w:rFonts w:eastAsia="Amiri" w:cs="Amiri" w:ascii="Amiri" w:hAnsi="Amiri"/>
          <w:color w:val="111111"/>
          <w:sz w:val="28"/>
          <w:szCs w:val="28"/>
          <w:rtl w:val="true"/>
          <w:lang w:bidi="ar-SA"/>
        </w:rPr>
        <w:t xml:space="preserve">. </w:t>
      </w:r>
      <w:bookmarkStart w:id="214" w:name="pg15839_360805"/>
    </w:p>
    <w:p>
      <w:pPr>
        <w:pStyle w:val="Heading5"/>
        <w:numPr>
          <w:ilvl w:val="4"/>
          <w:numId w:val="1"/>
        </w:numPr>
        <w:rPr/>
      </w:pPr>
      <w:bookmarkStart w:id="215" w:name="__RefHeading___Toc14338453_2142443653"/>
      <w:bookmarkStart w:id="216" w:name="_Toc79"/>
      <w:bookmarkEnd w:id="214"/>
      <w:bookmarkEnd w:id="215"/>
      <w:r>
        <w:rPr>
          <w:rtl w:val="true"/>
        </w:rPr>
        <w:t>تبصرة</w:t>
      </w:r>
      <w:r>
        <w:rPr>
          <w:rtl w:val="true"/>
        </w:rPr>
        <w:t xml:space="preserve">: [ </w:t>
      </w:r>
      <w:r>
        <w:rPr>
          <w:rtl w:val="true"/>
        </w:rPr>
        <w:t xml:space="preserve">في غسل مسّ الميت </w:t>
      </w:r>
      <w:r>
        <w:rPr>
          <w:rtl w:val="true"/>
        </w:rPr>
        <w:t>]</w:t>
      </w:r>
      <w:bookmarkEnd w:id="216"/>
    </w:p>
    <w:p>
      <w:pPr>
        <w:pStyle w:val="BookText"/>
        <w:rPr/>
      </w:pPr>
      <w:r>
        <w:rPr>
          <w:rFonts w:ascii="Amiri" w:hAnsi="Amiri" w:eastAsia="Amiri" w:cs="Amiri"/>
          <w:color w:val="111111"/>
          <w:sz w:val="28"/>
          <w:sz w:val="28"/>
          <w:szCs w:val="28"/>
          <w:rtl w:val="true"/>
          <w:lang w:bidi="ar-SA"/>
        </w:rPr>
        <w:t xml:space="preserve">ومنها غسل من مسّ ميّتا بعد تغسيله كما نصّ عليه الشيخ وجماعة من المتأخرين للموثق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مسّ ميتا فعليه الغسل وإن كان الميّت قد غسل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بحمله على الندب بالنسبة إلى ما بعد الغسل ؛ لدلالة المستفيضة المتكثرة على عدم وجوب الغسل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الأفاضل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لدفع توهم الغسل سقوط الغسل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آخر على صورة عدم تكامل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صحيحة محمد بن مسلم من ثبوت الغسل بتكفين الميّت ؛ إذ الظاهر ابتناؤه على استلزامه المسّ ، وحمله على الوجوب ؛ حملا للتكفين على الواقع قبل الغسل كما إذا تعذّره محمل </w:t>
      </w:r>
      <w:r>
        <w:rPr>
          <w:rStyle w:val="FootnoteAnchor"/>
          <w:rtl w:val="true"/>
        </w:rPr>
        <w:footnoteReference w:id="849"/>
      </w:r>
      <w:r>
        <w:rPr>
          <w:rFonts w:ascii="Amiri" w:hAnsi="Amiri" w:eastAsia="Amiri" w:cs="Amiri"/>
          <w:color w:val="111111"/>
          <w:sz w:val="28"/>
          <w:sz w:val="28"/>
          <w:szCs w:val="28"/>
          <w:rtl w:val="true"/>
          <w:lang w:bidi="ar-SA"/>
        </w:rPr>
        <w:t>بعيد 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المستفيضة المشتملة على غيره الحكم بعدم ثبوت غسل على من أوصل الميّت القبر معلّلا بأنه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الثياب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فيفيد بالفحوى ثبوت الغسل مع مسّ الجسد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جميع ما ذكرنا لا ينبغي الشك </w:t>
      </w:r>
      <w:r>
        <w:rPr>
          <w:rStyle w:val="FootnoteAnchor"/>
          <w:rtl w:val="true"/>
        </w:rPr>
        <w:footnoteReference w:id="852"/>
      </w:r>
      <w:r>
        <w:rPr>
          <w:rFonts w:ascii="Amiri" w:hAnsi="Amiri" w:eastAsia="Amiri" w:cs="Amiri"/>
          <w:color w:val="111111"/>
          <w:sz w:val="28"/>
          <w:sz w:val="28"/>
          <w:szCs w:val="28"/>
          <w:rtl w:val="true"/>
          <w:lang w:bidi="ar-SA"/>
        </w:rPr>
        <w:t xml:space="preserve">في ثبوت الغسل المذكور ، وأن خلافه </w:t>
      </w:r>
      <w:r>
        <w:rPr>
          <w:rStyle w:val="FootnoteAnchor"/>
          <w:rtl w:val="true"/>
        </w:rPr>
        <w:footnoteReference w:id="853"/>
      </w:r>
      <w:r>
        <w:rPr>
          <w:rFonts w:ascii="Amiri" w:hAnsi="Amiri" w:eastAsia="Amiri" w:cs="Amiri"/>
          <w:color w:val="111111"/>
          <w:sz w:val="28"/>
          <w:sz w:val="28"/>
          <w:szCs w:val="28"/>
          <w:rtl w:val="true"/>
          <w:lang w:bidi="ar-SA"/>
        </w:rPr>
        <w:t xml:space="preserve">كلام </w:t>
      </w:r>
    </w:p>
    <w:p>
      <w:pPr>
        <w:pStyle w:val="BookText"/>
        <w:rPr/>
      </w:pPr>
      <w:r>
        <w:rPr>
          <w:rFonts w:ascii="Amiri" w:hAnsi="Amiri" w:eastAsia="Amiri" w:cs="Amiri"/>
          <w:color w:val="111111"/>
          <w:sz w:val="28"/>
          <w:sz w:val="28"/>
          <w:szCs w:val="28"/>
          <w:rtl w:val="true"/>
          <w:lang w:bidi="ar-SA"/>
        </w:rPr>
        <w:t>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مسّ بعضا من الميّت ففيه وجهان ، وقضية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الصدوق القول بوجوب الغسل بالتكفين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Style w:val="FootnoteAnchor"/>
          <w:rtl w:val="true"/>
        </w:rPr>
        <w:footnoteReference w:id="854"/>
      </w:r>
      <w:r>
        <w:rPr>
          <w:rFonts w:ascii="IRNazanin" w:hAnsi="IRNazanin" w:eastAsia="IRNazanin"/>
          <w:color w:val="111111"/>
          <w:sz w:val="28"/>
          <w:sz w:val="28"/>
          <w:szCs w:val="28"/>
          <w:rtl w:val="true"/>
          <w:lang w:bidi="fa-IR"/>
        </w:rPr>
        <w:t xml:space="preserve">بعد نقل الوجوب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إيجاب الغسل بتكفينه نادر ، والقائل </w:t>
      </w:r>
      <w:r>
        <w:rPr>
          <w:rStyle w:val="FootnoteAnchor"/>
          <w:rtl w:val="true"/>
        </w:rPr>
        <w:footnoteReference w:id="855"/>
      </w:r>
      <w:r>
        <w:rPr>
          <w:rFonts w:ascii="Amiri" w:hAnsi="Amiri" w:eastAsia="Amiri" w:cs="Amiri"/>
          <w:color w:val="111111"/>
          <w:sz w:val="28"/>
          <w:sz w:val="28"/>
          <w:szCs w:val="28"/>
          <w:rtl w:val="true"/>
          <w:lang w:bidi="ar-SA"/>
        </w:rPr>
        <w:t>به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 كلامه كالرواية على الاستحباب وإن كان عبارته في الماسّ أظهر من الرواية ، فالقول باستحباب الغسل بالتكفين المحض بعيد جدّا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على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الشيخان </w:t>
      </w:r>
      <w:r>
        <w:rPr>
          <w:rStyle w:val="FootnoteAnchor"/>
          <w:rtl w:val="true"/>
        </w:rPr>
        <w:footnoteReference w:id="856"/>
      </w:r>
      <w:r>
        <w:rPr>
          <w:rStyle w:val="FootnoteAnchor"/>
          <w:rtl w:val="true"/>
        </w:rPr>
        <w:footnoteReference w:id="857"/>
      </w:r>
      <w:r>
        <w:rPr>
          <w:rFonts w:ascii="Amiri" w:hAnsi="Amiri" w:eastAsia="Amiri" w:cs="Amiri"/>
          <w:color w:val="111111"/>
          <w:sz w:val="28"/>
          <w:sz w:val="28"/>
          <w:szCs w:val="28"/>
          <w:rtl w:val="true"/>
          <w:lang w:bidi="ar-SA"/>
        </w:rPr>
        <w:t xml:space="preserve">والحلبي </w:t>
      </w:r>
      <w:r>
        <w:rPr>
          <w:rStyle w:val="FootnoteAnchor"/>
          <w:rtl w:val="true"/>
        </w:rPr>
        <w:footnoteReference w:id="858"/>
      </w:r>
      <w:r>
        <w:rPr>
          <w:rFonts w:ascii="Amiri" w:hAnsi="Amiri" w:eastAsia="Amiri" w:cs="Amiri"/>
          <w:color w:val="111111"/>
          <w:sz w:val="28"/>
          <w:sz w:val="28"/>
          <w:szCs w:val="28"/>
          <w:rtl w:val="true"/>
          <w:lang w:bidi="ar-SA"/>
        </w:rPr>
        <w:t xml:space="preserve">والقاضي </w:t>
      </w:r>
      <w:r>
        <w:rPr>
          <w:rStyle w:val="FootnoteAnchor"/>
          <w:rtl w:val="true"/>
        </w:rPr>
        <w:footnoteReference w:id="859"/>
      </w:r>
      <w:r>
        <w:rPr>
          <w:rFonts w:ascii="Amiri" w:hAnsi="Amiri" w:eastAsia="Amiri" w:cs="Amiri"/>
          <w:color w:val="111111"/>
          <w:sz w:val="28"/>
          <w:sz w:val="28"/>
          <w:szCs w:val="28"/>
          <w:rtl w:val="true"/>
          <w:lang w:bidi="ar-SA"/>
        </w:rPr>
        <w:t xml:space="preserve">وابن زهرة </w:t>
      </w:r>
      <w:r>
        <w:rPr>
          <w:rStyle w:val="FootnoteAnchor"/>
          <w:rtl w:val="true"/>
        </w:rPr>
        <w:footnoteReference w:id="860"/>
      </w:r>
      <w:r>
        <w:rPr>
          <w:rFonts w:ascii="Amiri" w:hAnsi="Amiri" w:eastAsia="Amiri" w:cs="Amiri"/>
          <w:color w:val="111111"/>
          <w:sz w:val="28"/>
          <w:sz w:val="28"/>
          <w:szCs w:val="28"/>
          <w:rtl w:val="true"/>
          <w:lang w:bidi="ar-SA"/>
        </w:rPr>
        <w:t xml:space="preserve">والحلي والفاضلان والشهيدان </w:t>
      </w:r>
      <w:r>
        <w:rPr>
          <w:rStyle w:val="FootnoteAnchor"/>
          <w:rtl w:val="true"/>
        </w:rPr>
        <w:footnoteReference w:id="861"/>
      </w:r>
      <w:r>
        <w:rPr>
          <w:rStyle w:val="FootnoteAnchor"/>
          <w:rtl w:val="true"/>
        </w:rPr>
        <w:footnoteReference w:id="86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86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موثقة سماعة </w:t>
      </w:r>
      <w:r>
        <w:rPr>
          <w:rStyle w:val="FootnoteAnchor"/>
          <w:rtl w:val="true"/>
        </w:rPr>
        <w:footnoteReference w:id="864"/>
      </w:r>
      <w:r>
        <w:rPr>
          <w:rFonts w:ascii="Amiri" w:hAnsi="Amiri" w:eastAsia="Amiri" w:cs="Amiri"/>
          <w:color w:val="111111"/>
          <w:sz w:val="28"/>
          <w:sz w:val="28"/>
          <w:szCs w:val="28"/>
          <w:rtl w:val="true"/>
          <w:lang w:bidi="ar-SA"/>
        </w:rPr>
        <w:t>، وقد حكم فيها بوجوبه مع عدّة مع الأغسال المندوبة بالإجماع ، ففيه شهادة على كون الوجوب بمعنى مطلق الثبوت ، وهو معنى شائع في الأخبار ، مضافا إلى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 النصّ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الصدوق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جدا والرواية لا تدلّ عليه ؛ إذ لفظ الوجوب في الأخبار أعمّ من الوجوب </w:t>
      </w:r>
    </w:p>
    <w:p>
      <w:pPr>
        <w:pStyle w:val="BookText"/>
        <w:rPr/>
      </w:pPr>
      <w:r>
        <w:rPr>
          <w:rFonts w:ascii="IRNazanin" w:hAnsi="IRNazanin" w:eastAsia="IRNazanin"/>
          <w:color w:val="111111"/>
          <w:sz w:val="28"/>
          <w:sz w:val="28"/>
          <w:szCs w:val="28"/>
          <w:rtl w:val="true"/>
          <w:lang w:bidi="fa-IR"/>
        </w:rPr>
        <w:t>المصطلح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حمل كلامه على نحو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له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اغسلوا صبيانكم من الغمر فإن الشيطان يشمّ الغمر ، فيفزع الصبي في رقاده ويتأذّى به الكاتبان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النية على نحو سائر الأغسال؟ الظاهر ذلك كما هو ظاهر الموثقة العادّة له في ضمن سائر الأغسال ، مضافا إلى ظهور لفظ الغسل فيه وأنّ اعتبار النية هو قضية الأصل في كلّ التكاليف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فيعتبر فيه ما يعتبر في سائر الأغسال من تقديم إزالة النجاسة على نحو ما مرّ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الارتماس فيه وجهان أشبههما ذلك ؛ إذ هو أحد وجهي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أن يكون عقيب الولادة من غير فصل ظاهر؟ ظاهر كثير من عبائرهم ذلك </w:t>
      </w:r>
      <w:r>
        <w:rPr>
          <w:rStyle w:val="FootnoteAnchor"/>
          <w:rtl w:val="true"/>
        </w:rPr>
        <w:footnoteReference w:id="867"/>
      </w:r>
      <w:r>
        <w:rPr>
          <w:rFonts w:ascii="Amiri" w:hAnsi="Amiri" w:eastAsia="Amiri" w:cs="Amiri"/>
          <w:color w:val="111111"/>
          <w:sz w:val="28"/>
          <w:sz w:val="28"/>
          <w:szCs w:val="28"/>
          <w:rtl w:val="true"/>
          <w:lang w:bidi="ar-SA"/>
        </w:rPr>
        <w:t>؛ إذ هو أحد وجهي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أن يكون عقيب الولادة؟ ففي عدّة من كتب الأصحاب أنه عند الولادة ، وفي عدة أخرى أنه حين الولادة ، 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ولد استحب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الأظهر بقاء الحكم ما سمّي مولودا ؛ أخذا بظاهر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في شرح النفلية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يسقط بالتراخي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التقي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تأخيره لغسل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تقييد العبارتين المذكورتين بما ذكرناه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بعد إفاقة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نهاية الإحكام </w:t>
      </w:r>
      <w:r>
        <w:rPr>
          <w:rStyle w:val="FootnoteAnchor"/>
          <w:rtl w:val="true"/>
        </w:rPr>
        <w:footnoteReference w:id="868"/>
      </w:r>
      <w:r>
        <w:rPr>
          <w:rFonts w:ascii="Amiri" w:hAnsi="Amiri" w:eastAsia="Amiri" w:cs="Amiri"/>
          <w:color w:val="111111"/>
          <w:sz w:val="28"/>
          <w:sz w:val="28"/>
          <w:szCs w:val="28"/>
          <w:rtl w:val="true"/>
          <w:lang w:bidi="ar-SA"/>
        </w:rPr>
        <w:t xml:space="preserve">معلّلا بما قيل من أن </w:t>
      </w:r>
    </w:p>
    <w:p>
      <w:pPr>
        <w:pStyle w:val="BookText"/>
        <w:rPr/>
      </w:pPr>
      <w:r>
        <w:rPr>
          <w:rFonts w:ascii="IRNazanin" w:hAnsi="IRNazanin" w:eastAsia="IRNazanin"/>
          <w:color w:val="111111"/>
          <w:sz w:val="28"/>
          <w:sz w:val="28"/>
          <w:szCs w:val="28"/>
          <w:rtl w:val="true"/>
          <w:lang w:bidi="fa-IR"/>
        </w:rPr>
        <w:t xml:space="preserve">زوال </w:t>
      </w:r>
      <w:r>
        <w:rPr>
          <w:rStyle w:val="FootnoteAnchor"/>
          <w:rtl w:val="true"/>
        </w:rPr>
        <w:footnoteReference w:id="869"/>
      </w:r>
      <w:r>
        <w:rPr>
          <w:rFonts w:ascii="Amiri" w:hAnsi="Amiri" w:eastAsia="Amiri" w:cs="Amiri"/>
          <w:color w:val="111111"/>
          <w:sz w:val="28"/>
          <w:sz w:val="28"/>
          <w:szCs w:val="28"/>
          <w:rtl w:val="true"/>
          <w:lang w:bidi="ar-SA"/>
        </w:rPr>
        <w:t>عقله أنزل ، وبأنه مظنة للحدث كالنوم فيسرع له الطهارة كالنوم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من وافقه من الأصحاب سوى شيخنا البهائي ، ولم نجد في الأخبار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والتعليلان المذكوران بمكان من الضعف ، ولذا أنكره في منتهى المطلب </w:t>
      </w:r>
      <w:r>
        <w:rPr>
          <w:rStyle w:val="FootnoteAnchor"/>
          <w:rtl w:val="true"/>
        </w:rPr>
        <w:footnoteReference w:id="870"/>
      </w:r>
      <w:r>
        <w:rPr>
          <w:rFonts w:ascii="Amiri" w:hAnsi="Amiri" w:eastAsia="Amiri" w:cs="Amiri"/>
          <w:color w:val="111111"/>
          <w:sz w:val="28"/>
          <w:sz w:val="28"/>
          <w:szCs w:val="28"/>
          <w:rtl w:val="true"/>
          <w:lang w:bidi="ar-SA"/>
        </w:rPr>
        <w:t xml:space="preserve">بعد حكايته عن الحنابلة </w:t>
      </w:r>
      <w:r>
        <w:rPr>
          <w:rStyle w:val="FootnoteAnchor"/>
          <w:rtl w:val="true"/>
        </w:rPr>
        <w:footnoteReference w:id="871"/>
      </w:r>
      <w:r>
        <w:rPr>
          <w:rFonts w:ascii="Amiri" w:hAnsi="Amiri" w:eastAsia="Amiri" w:cs="Amiri"/>
          <w:color w:val="111111"/>
          <w:sz w:val="28"/>
          <w:sz w:val="28"/>
          <w:szCs w:val="28"/>
          <w:rtl w:val="true"/>
          <w:lang w:bidi="ar-SA"/>
        </w:rPr>
        <w:t>معلّلا بأنه حكم شرعي يتوقف ثبوته على الدليل الشرعي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النفلية </w:t>
      </w:r>
      <w:r>
        <w:rPr>
          <w:rStyle w:val="FootnoteAnchor"/>
          <w:rtl w:val="true"/>
        </w:rPr>
        <w:footnoteReference w:id="872"/>
      </w:r>
      <w:r>
        <w:rPr>
          <w:rFonts w:ascii="Amiri" w:hAnsi="Amiri" w:eastAsia="Amiri" w:cs="Amiri"/>
          <w:color w:val="111111"/>
          <w:sz w:val="28"/>
          <w:sz w:val="28"/>
          <w:szCs w:val="28"/>
          <w:rtl w:val="true"/>
          <w:lang w:bidi="ar-SA"/>
        </w:rPr>
        <w:t>أنه غير ثابت عندنا فالظاهر عدم ثبوته</w:t>
      </w:r>
      <w:r>
        <w:rPr>
          <w:rFonts w:eastAsia="Amiri" w:cs="Amiri" w:ascii="Amiri" w:hAnsi="Amiri"/>
          <w:color w:val="111111"/>
          <w:sz w:val="28"/>
          <w:szCs w:val="28"/>
          <w:rtl w:val="true"/>
          <w:lang w:bidi="ar-SA"/>
        </w:rPr>
        <w:t xml:space="preserve">. </w:t>
      </w:r>
      <w:bookmarkStart w:id="217" w:name="pg15839_360809"/>
    </w:p>
    <w:p>
      <w:pPr>
        <w:pStyle w:val="Heading5"/>
        <w:numPr>
          <w:ilvl w:val="4"/>
          <w:numId w:val="1"/>
        </w:numPr>
        <w:rPr/>
      </w:pPr>
      <w:bookmarkStart w:id="218" w:name="__RefHeading___Toc14338455_2142443653"/>
      <w:bookmarkStart w:id="219" w:name="_Toc80"/>
      <w:bookmarkEnd w:id="217"/>
      <w:bookmarkEnd w:id="218"/>
      <w:r>
        <w:rPr>
          <w:rtl w:val="true"/>
        </w:rPr>
        <w:t>تبصرة</w:t>
      </w:r>
      <w:r>
        <w:rPr>
          <w:rtl w:val="true"/>
        </w:rPr>
        <w:t xml:space="preserve">: [ </w:t>
      </w:r>
      <w:r>
        <w:rPr>
          <w:rtl w:val="true"/>
        </w:rPr>
        <w:t xml:space="preserve">في تأخّر الأغسال السببية </w:t>
      </w:r>
      <w:r>
        <w:rPr>
          <w:rtl w:val="true"/>
        </w:rPr>
        <w:t>]</w:t>
      </w:r>
      <w:bookmarkEnd w:id="219"/>
    </w:p>
    <w:p>
      <w:pPr>
        <w:pStyle w:val="BookText"/>
        <w:rPr/>
      </w:pPr>
      <w:r>
        <w:rPr>
          <w:rFonts w:ascii="Amiri" w:hAnsi="Amiri" w:eastAsia="Amiri" w:cs="Amiri"/>
          <w:color w:val="111111"/>
          <w:sz w:val="28"/>
          <w:sz w:val="28"/>
          <w:szCs w:val="28"/>
          <w:rtl w:val="true"/>
          <w:lang w:bidi="ar-SA"/>
        </w:rPr>
        <w:t>الأغسال السببية كلها متأخرة عن أسبابها ؛ إذ رجحانها فرع حصول أسبابها ، فلا بدّ من تأخير الفعل عنها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متّسعة بعد حصول الأسباب ما دام العمر أو مطلوبة على سبيل الفوريّة العرفية؟ وجهان أقواهما الأول ؛ أخذا بظاهر الإطلاق ، وأن ظاهر السببية قاض ببقاء التكليف ما لم يحصل الفعل وإن كان الأرجح التعجيل ؛ لما دلّ على رجحان المسارعة إلى الخير والمبادرة إلى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يدعى من ظهور الإطلاقات في الفور مطلق أو في خصوص المقام محلّ تأمل</w:t>
      </w:r>
      <w:r>
        <w:rPr>
          <w:rFonts w:eastAsia="Amiri" w:cs="Amiri" w:ascii="Amiri" w:hAnsi="Amiri"/>
          <w:color w:val="111111"/>
          <w:sz w:val="28"/>
          <w:szCs w:val="28"/>
          <w:rtl w:val="true"/>
          <w:lang w:bidi="ar-SA"/>
        </w:rPr>
        <w:t xml:space="preserve">. </w:t>
      </w:r>
      <w:bookmarkStart w:id="220" w:name="pg15839_360810"/>
    </w:p>
    <w:p>
      <w:pPr>
        <w:pStyle w:val="Heading5"/>
        <w:numPr>
          <w:ilvl w:val="4"/>
          <w:numId w:val="1"/>
        </w:numPr>
        <w:rPr/>
      </w:pPr>
      <w:bookmarkStart w:id="221" w:name="__RefHeading___Toc14338457_2142443653"/>
      <w:bookmarkStart w:id="222" w:name="_Toc81"/>
      <w:bookmarkEnd w:id="220"/>
      <w:bookmarkEnd w:id="221"/>
      <w:r>
        <w:rPr>
          <w:rtl w:val="true"/>
        </w:rPr>
        <w:t>تبصرة</w:t>
      </w:r>
      <w:r>
        <w:rPr>
          <w:rtl w:val="true"/>
        </w:rPr>
        <w:t xml:space="preserve">: [ </w:t>
      </w:r>
      <w:r>
        <w:rPr>
          <w:rtl w:val="true"/>
        </w:rPr>
        <w:t xml:space="preserve">في تجديد الغسل </w:t>
      </w:r>
      <w:r>
        <w:rPr>
          <w:rtl w:val="true"/>
        </w:rPr>
        <w:t>]</w:t>
      </w:r>
      <w:bookmarkEnd w:id="222"/>
    </w:p>
    <w:p>
      <w:pPr>
        <w:pStyle w:val="BookText"/>
        <w:rPr/>
      </w:pPr>
      <w:r>
        <w:rPr>
          <w:rFonts w:ascii="Amiri" w:hAnsi="Amiri" w:eastAsia="Amiri" w:cs="Amiri"/>
          <w:color w:val="111111"/>
          <w:sz w:val="28"/>
          <w:sz w:val="28"/>
          <w:szCs w:val="28"/>
          <w:rtl w:val="true"/>
          <w:lang w:bidi="ar-SA"/>
        </w:rPr>
        <w:t>لا يستحب الغسل للتجديد على ظاهر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جماعة من الأجلّة منهم العلامة والشهيد ؛ للأصل وعدم ظهور دليل على شرعيّته ؛ إذ أدلّة تجديد الطهارة مختصة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الطهر على الطهر عشر حسنات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محمول على الوضوء بقرينة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يشير ما في العلوي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بعد الطهور عشر حسنات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ظاهر فهم الأصحاب ، وعدم ظهور قائل بظاهر إطلاقها وإلّا لجاز تجديد كل من الوضوء والغسل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يجوز الإتيان به مع الظن بحصول الحدث على وجه قوي ؛ نظرا إلى مراعاة الاحتياط على ما مرّ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القول بجوازه مع الشك أيضا ، وما ورد من المنع من نقض اليقين بالشك لا يفيد المنع منه ؛ لعدم البناء معه على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احتمل حصول خلل منه في بعض الأحوال أو الشرائط ، وكذا لو أتى بطهارة المضطرّ فارتفع الاضطرار على ما نصّ عليه جماعة من الأصحاب منهم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للخروج عن خلاف القائل بالوجوب ، وإلّا فالحكم لا يخلو عن إشكال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أيضا عدم جواز الإتيان بالغسل مع احتمال حصول سبب الاستحباب كاحتمال </w:t>
      </w:r>
    </w:p>
    <w:p>
      <w:pPr>
        <w:pStyle w:val="BookText"/>
        <w:rPr/>
      </w:pPr>
      <w:r>
        <w:rPr>
          <w:rFonts w:ascii="Amiri" w:hAnsi="Amiri" w:eastAsia="Amiri" w:cs="Amiri"/>
          <w:color w:val="111111"/>
          <w:sz w:val="28"/>
          <w:sz w:val="28"/>
          <w:szCs w:val="28"/>
          <w:rtl w:val="true"/>
          <w:lang w:bidi="ar-SA"/>
        </w:rPr>
        <w:t>كونه يوم الجمعة أو العيد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فليس شي‌ء من ذلك من باب التجديد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نصّ الشهيد </w:t>
      </w:r>
      <w:r>
        <w:rPr>
          <w:rStyle w:val="FootnoteAnchor"/>
          <w:rtl w:val="true"/>
        </w:rPr>
        <w:footnoteReference w:id="875"/>
      </w:r>
      <w:r>
        <w:rPr>
          <w:rFonts w:ascii="Amiri" w:hAnsi="Amiri" w:eastAsia="Amiri" w:cs="Amiri"/>
          <w:color w:val="111111"/>
          <w:sz w:val="28"/>
          <w:sz w:val="28"/>
          <w:szCs w:val="28"/>
          <w:rtl w:val="true"/>
          <w:lang w:bidi="ar-SA"/>
        </w:rPr>
        <w:t>في الغسل عند زوال الرخص والشك في الحدث أنه ينوي فيهما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ضمّ قصد الاحتياط ، فإن كان هناك حدث وارتفع به وإلّا وقع لغوا بالنظر إلى الواقع لكن لا يسقط به الاستحباب من جهة الاحتياط ، فالرجحان حاصل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بالتخيير بين قصد </w:t>
      </w:r>
      <w:r>
        <w:rPr>
          <w:rStyle w:val="FootnoteAnchor"/>
          <w:rtl w:val="true"/>
        </w:rPr>
        <w:footnoteReference w:id="876"/>
      </w:r>
      <w:r>
        <w:rPr>
          <w:rFonts w:ascii="Amiri" w:hAnsi="Amiri" w:eastAsia="Amiri" w:cs="Amiri"/>
          <w:color w:val="111111"/>
          <w:sz w:val="28"/>
          <w:sz w:val="28"/>
          <w:szCs w:val="28"/>
          <w:rtl w:val="true"/>
          <w:lang w:bidi="ar-SA"/>
        </w:rPr>
        <w:t>رفع الحدث وقصد الغسل لأجل السبب المفروض أعني الشك في حصول الحدث أو احتمال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منتهى المطلب </w:t>
      </w:r>
      <w:r>
        <w:rPr>
          <w:rStyle w:val="FootnoteAnchor"/>
          <w:rtl w:val="true"/>
        </w:rPr>
        <w:footnoteReference w:id="877"/>
      </w:r>
      <w:r>
        <w:rPr>
          <w:rFonts w:ascii="Amiri" w:hAnsi="Amiri" w:eastAsia="Amiri" w:cs="Amiri"/>
          <w:color w:val="111111"/>
          <w:sz w:val="28"/>
          <w:sz w:val="28"/>
          <w:szCs w:val="28"/>
          <w:rtl w:val="true"/>
          <w:lang w:bidi="ar-SA"/>
        </w:rPr>
        <w:t xml:space="preserve">جواز التجديد حيث حكم بجواز اغتسال المستحاضة لكل صلاة مستندا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الطهر على الطهر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ذلك بناؤه على شمول الرواية للغسل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bookmarkStart w:id="223" w:name="pg15839_360812"/>
    </w:p>
    <w:p>
      <w:pPr>
        <w:pStyle w:val="Heading5"/>
        <w:numPr>
          <w:ilvl w:val="4"/>
          <w:numId w:val="1"/>
        </w:numPr>
        <w:rPr/>
      </w:pPr>
      <w:bookmarkStart w:id="224" w:name="__RefHeading___Toc14338459_2142443653"/>
      <w:bookmarkStart w:id="225" w:name="_Toc82"/>
      <w:bookmarkEnd w:id="223"/>
      <w:bookmarkEnd w:id="224"/>
      <w:r>
        <w:rPr>
          <w:rtl w:val="true"/>
        </w:rPr>
        <w:t>تبصرة</w:t>
      </w:r>
      <w:r>
        <w:rPr>
          <w:rtl w:val="true"/>
        </w:rPr>
        <w:t xml:space="preserve">: [ </w:t>
      </w:r>
      <w:r>
        <w:rPr>
          <w:rtl w:val="true"/>
        </w:rPr>
        <w:t xml:space="preserve">في مشروعية الغسل بأحد أسبابها </w:t>
      </w:r>
      <w:r>
        <w:rPr>
          <w:rtl w:val="true"/>
        </w:rPr>
        <w:t>]</w:t>
      </w:r>
      <w:bookmarkEnd w:id="225"/>
    </w:p>
    <w:p>
      <w:pPr>
        <w:pStyle w:val="BookText"/>
        <w:rPr/>
      </w:pPr>
      <w:r>
        <w:rPr>
          <w:rFonts w:ascii="Amiri" w:hAnsi="Amiri" w:eastAsia="Amiri" w:cs="Amiri"/>
          <w:color w:val="111111"/>
          <w:sz w:val="28"/>
          <w:sz w:val="28"/>
          <w:szCs w:val="28"/>
          <w:rtl w:val="true"/>
          <w:lang w:bidi="ar-SA"/>
        </w:rPr>
        <w:t>إنما يشرع الغسل مع حصول أحد الأسباب المذكورة من الزمان والمعابد ونحوهما ، فلا يستحب من غير حصول شي‌ء منهما ؛ لانتفاء ما يدل على مشروعيته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من الفاضلين كون الغسل في نفسه من العبادات الراجحة وإن لم يحصل شي‌ء من الأسباب الباعثة على مطلوبيته بالخصوص حيث علّلا استحبابه في بعض المواضع برجحانه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وأىّ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استحباب الاغتسال بماء الفرات كما روى حنان في القوي أن الباقر عليه‌السلام قال لرجل من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أتغتسل من فراتكم في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لمحروم من الخير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في زيارة الحسين عليه‌السلام إلا أنه أسقط عنه الزيارة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يستأنس له بالأخبار الواردة بالاغتسال عند جملة من الأفعال كالروايات الدالّة على رجحان الاغتسال عند طلب الحوائج مع انضمامه إلى عدّة من المستحبات كالصلاة والصوم والصدقة ، فيومي ذلك إلى كون الاغتسال أيضا من قبيل تلك الأفعال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بعدم صلوح الاحتجاج بشي‌ء من المذكورات ، فالأظهر الاقتصار على </w:t>
      </w:r>
    </w:p>
    <w:p>
      <w:pPr>
        <w:pStyle w:val="BookText"/>
        <w:rPr/>
      </w:pPr>
      <w:r>
        <w:rPr>
          <w:rFonts w:ascii="Amiri" w:hAnsi="Amiri" w:eastAsia="Amiri" w:cs="Amiri"/>
          <w:color w:val="111111"/>
          <w:sz w:val="28"/>
          <w:sz w:val="28"/>
          <w:szCs w:val="28"/>
          <w:rtl w:val="true"/>
          <w:lang w:bidi="ar-SA"/>
        </w:rPr>
        <w:t>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قد يعزى إلى البعض من جواز الاتيان بالغسل مكان الوضوء مبنيّ على </w:t>
      </w:r>
      <w:r>
        <w:rPr>
          <w:rStyle w:val="FootnoteAnchor"/>
          <w:rtl w:val="true"/>
        </w:rPr>
        <w:footnoteReference w:id="881"/>
      </w:r>
      <w:r>
        <w:rPr>
          <w:rFonts w:ascii="Amiri" w:hAnsi="Amiri" w:eastAsia="Amiri" w:cs="Amiri"/>
          <w:color w:val="111111"/>
          <w:sz w:val="28"/>
          <w:sz w:val="28"/>
          <w:szCs w:val="28"/>
          <w:rtl w:val="true"/>
          <w:lang w:bidi="ar-SA"/>
        </w:rPr>
        <w:t>ذلك بناء على الاكتفاء بالغسل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ويوهن القول به ظواهر الأخبار الدالة على تعيين الإتيان بالوضوء عند حصول أسبابه دون التخيير بينه وبين الغسل ليكون موجبات الوضوء من موجبات الغسل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يذهب عليك أنه بناء على القول المذكور لا يلزم أن يكون الوضوء من العبادات العينية </w:t>
      </w:r>
      <w:r>
        <w:rPr>
          <w:rStyle w:val="FootnoteAnchor"/>
          <w:rtl w:val="true"/>
        </w:rPr>
        <w:footnoteReference w:id="882"/>
      </w:r>
      <w:r>
        <w:rPr>
          <w:rFonts w:ascii="Amiri" w:hAnsi="Amiri" w:eastAsia="Amiri" w:cs="Amiri"/>
          <w:color w:val="111111"/>
          <w:sz w:val="28"/>
          <w:sz w:val="28"/>
          <w:szCs w:val="28"/>
          <w:rtl w:val="true"/>
          <w:lang w:bidi="ar-SA"/>
        </w:rPr>
        <w:t>بل الظاهر أن المقصود به هي الحالة الحادثة منه ، فتلك الحالة هي المطلوبة في الشرع دون نفس تلك الأفعال كما في إزالة الأخباث ، فتأمل</w:t>
      </w:r>
      <w:r>
        <w:rPr>
          <w:rFonts w:eastAsia="Amiri" w:cs="Amiri" w:ascii="Amiri" w:hAnsi="Amiri"/>
          <w:color w:val="111111"/>
          <w:sz w:val="28"/>
          <w:szCs w:val="28"/>
          <w:rtl w:val="true"/>
          <w:lang w:bidi="ar-SA"/>
        </w:rPr>
        <w:t xml:space="preserve">. </w:t>
      </w:r>
      <w:bookmarkStart w:id="226" w:name="pg15839_360814"/>
    </w:p>
    <w:p>
      <w:pPr>
        <w:pStyle w:val="Heading5"/>
        <w:numPr>
          <w:ilvl w:val="4"/>
          <w:numId w:val="1"/>
        </w:numPr>
        <w:rPr/>
      </w:pPr>
      <w:bookmarkStart w:id="227" w:name="__RefHeading___Toc14338461_2142443653"/>
      <w:bookmarkStart w:id="228" w:name="_Toc83"/>
      <w:bookmarkEnd w:id="226"/>
      <w:bookmarkEnd w:id="227"/>
      <w:r>
        <w:rPr>
          <w:rtl w:val="true"/>
        </w:rPr>
        <w:t>تبصرة</w:t>
      </w:r>
      <w:r>
        <w:rPr>
          <w:rtl w:val="true"/>
        </w:rPr>
        <w:t xml:space="preserve">: [ </w:t>
      </w:r>
      <w:r>
        <w:rPr>
          <w:rtl w:val="true"/>
        </w:rPr>
        <w:t xml:space="preserve">في امتداد وقت الأغسال </w:t>
      </w:r>
      <w:r>
        <w:rPr>
          <w:rtl w:val="true"/>
        </w:rPr>
        <w:t>]</w:t>
      </w:r>
      <w:bookmarkEnd w:id="228"/>
    </w:p>
    <w:p>
      <w:pPr>
        <w:pStyle w:val="BookText"/>
        <w:rPr/>
      </w:pPr>
      <w:r>
        <w:rPr>
          <w:rFonts w:ascii="Amiri" w:hAnsi="Amiri" w:eastAsia="Amiri" w:cs="Amiri"/>
          <w:color w:val="111111"/>
          <w:sz w:val="28"/>
          <w:sz w:val="28"/>
          <w:szCs w:val="28"/>
          <w:rtl w:val="true"/>
          <w:lang w:bidi="ar-SA"/>
        </w:rPr>
        <w:t>قد مرّ أن الغسل الزماني وقته هو الزمان المضاف إليه ، وأما الأغسال المكانية والفعلية والسببية فلا توقيت فيها إلا أن الظاهر تقديم الغسل في الأولين وتأخيره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للزوم تقديم السبب على المسبب ، وكذا الحال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حصول الغاية مغتسلا ، وقد ورد التصريح به في عدّة من المقامات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الحسن في دخول المدينة الأمر بالاغتسال قبل دخولها أو حين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حمل الترديد على كونه من الامام يمكن حمله على التفصيل المبيّن بما لا يتم الغسل متصلا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التعبير بالأخير في الصحيح في غسل الإحرام ودخول المدينة والكعبة وفي خصوص الإحرام في صحيحة اخرى ، وفي حول الحرم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ما قلناه بل يتعيّن الحمل عليه بالنسبة إلى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شهادة على حمل غيره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باستحباب الغسل فيها بالنسبة إلى الكون المتأخر عن الغسل ، وإن حصل مسمّى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يعزى إلى الأكثر تنزيله على صورة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ينافي الوجه الأخير ، بل إنما يتمّ بملاحظته ،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يمتدّ غسل السببي بامتداد العمر أو هو مبني على الفور؟ وجهان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جواز الإتيان به بحيث يصحّ ارتباط الغسل بالسبب المفروض تنزيلا للمطلق على متفاهم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الأغسال الغائية فالظاهر اعتبار المقارنة العرفية بين الغسل والغاية من الفعل ، والكون في المكان كما هو الظاهر المنساق من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التعبير بالحين في الأخبار المتقدمة للإشارة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عدة من الروايات إجزاء غسل اليوم لليوم وغسل الليل لليل ، 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يومك ليومك وغسل ليلتك لليلتك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وأنا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بعض أصحابنا فعرضت له حاجة حتى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الغسل فيغتسل نهارا ليومه ذلك وليلا لليلته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بعد طلوع الفجر كفاه غسله إلى الليل في كل موضع يجب فيه الغسل ، ومن اغتسل ليلا كفاه غسله إلى طلوع الفجر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مانع من الفصل بين الغسل ، وغايته إنما يقرب من مقدار النهار </w:t>
      </w:r>
      <w:r>
        <w:rPr>
          <w:rStyle w:val="FootnoteAnchor"/>
          <w:rtl w:val="true"/>
        </w:rPr>
        <w:footnoteReference w:id="886"/>
      </w:r>
      <w:r>
        <w:rPr>
          <w:rFonts w:ascii="IRNazanin" w:hAnsi="IRNazanin" w:eastAsia="IRNazanin"/>
          <w:color w:val="111111"/>
          <w:sz w:val="28"/>
          <w:sz w:val="28"/>
          <w:szCs w:val="28"/>
          <w:rtl w:val="true"/>
          <w:lang w:bidi="fa-IR"/>
        </w:rPr>
        <w:t>لو اغتسل عنده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بما يقرب من مقدار الليل لو اغتسل عقيب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الفصل زيادة عليه كما دلّ عليه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ويومى إليه عدة من الروايات الواردة في بعض تلك الغايات المبيّنة للغسل في اليوم الذي يأتي فيه بالغاية كيوم الإحرام ويوم الزيارة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جماعة من الأصحاب بمضمون الأخبار المذكورة منهم الشيخ </w:t>
      </w:r>
      <w:r>
        <w:rPr>
          <w:rStyle w:val="FootnoteAnchor"/>
          <w:rtl w:val="true"/>
        </w:rPr>
        <w:footnoteReference w:id="887"/>
      </w:r>
      <w:r>
        <w:rPr>
          <w:rFonts w:ascii="Amiri" w:hAnsi="Amiri" w:eastAsia="Amiri" w:cs="Amiri"/>
          <w:color w:val="111111"/>
          <w:sz w:val="28"/>
          <w:sz w:val="28"/>
          <w:szCs w:val="28"/>
          <w:rtl w:val="true"/>
          <w:lang w:bidi="ar-SA"/>
        </w:rPr>
        <w:t xml:space="preserve">والقاضي والحلي </w:t>
      </w:r>
      <w:r>
        <w:rPr>
          <w:rStyle w:val="FootnoteAnchor"/>
          <w:rtl w:val="true"/>
        </w:rPr>
        <w:footnoteReference w:id="888"/>
      </w:r>
      <w:r>
        <w:rPr>
          <w:rFonts w:ascii="Amiri" w:hAnsi="Amiri" w:eastAsia="Amiri" w:cs="Amiri"/>
          <w:color w:val="111111"/>
          <w:sz w:val="28"/>
          <w:sz w:val="28"/>
          <w:szCs w:val="28"/>
          <w:rtl w:val="true"/>
          <w:lang w:bidi="ar-SA"/>
        </w:rPr>
        <w:t>والفاضلان وابن سعيد والشهيد وغيرهم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الصدوق في المقنع وكذا في الفقيه إجزاء غسل النهار لليلته وبالعكس ؛ لما رواه في </w:t>
      </w:r>
    </w:p>
    <w:p>
      <w:pPr>
        <w:pStyle w:val="BookText"/>
        <w:rPr/>
      </w:pPr>
      <w:r>
        <w:rPr>
          <w:rFonts w:ascii="Amiri" w:hAnsi="Amiri" w:eastAsia="Amiri" w:cs="Amiri"/>
          <w:color w:val="111111"/>
          <w:sz w:val="28"/>
          <w:sz w:val="28"/>
          <w:szCs w:val="28"/>
          <w:rtl w:val="true"/>
          <w:lang w:bidi="ar-SA"/>
        </w:rPr>
        <w:t xml:space="preserve">الفقيه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يومك يجزيك لليلتك وغسل ليلتك يجزيك ليومك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السيد في فلاح السائل عن كتاب مدينة العلم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من البحار القول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الإمام فيها كعبارة المقنع على التوقيت ؛ ليكون بيانا إلى آخر وقت الإجزاء أو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مع الأخبار الماضية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فلا صراحة فيها بإجزاء غسل النهار لليل وعكسه ، مضافا إلى معارضته للنصوص المستفيضة المؤيّدة بعمل الجماعة ، ومخالفته لما يظهر من الأخبار من اعتبار المقاربة بين الغسل والغاية لو أوقع الغسل في أثناء النهار أو الليل ، ففي كون الحدّ فيه أيضا كذلك أو يكتفى به إلى أن يمضي من الآخر مقدار الفائت منه نفسه أو بالنسبة إلى مجموع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في النظر الاجتزاء به</w:t>
      </w:r>
      <w:r>
        <w:rPr>
          <w:rFonts w:eastAsia="Amiri" w:cs="Amiri" w:ascii="Amiri" w:hAnsi="Amiri"/>
          <w:color w:val="111111"/>
          <w:sz w:val="28"/>
          <w:szCs w:val="28"/>
          <w:rtl w:val="true"/>
          <w:lang w:bidi="ar-SA"/>
        </w:rPr>
        <w:t xml:space="preserve">. </w:t>
      </w:r>
      <w:bookmarkStart w:id="229" w:name="pg15839_360817"/>
    </w:p>
    <w:p>
      <w:pPr>
        <w:pStyle w:val="Heading2"/>
        <w:numPr>
          <w:ilvl w:val="1"/>
          <w:numId w:val="1"/>
        </w:numPr>
        <w:rPr/>
      </w:pPr>
      <w:bookmarkStart w:id="230" w:name="__RefHeading___Toc14338463_2142443653"/>
      <w:bookmarkStart w:id="231" w:name="_Toc84"/>
      <w:bookmarkEnd w:id="229"/>
      <w:bookmarkEnd w:id="230"/>
      <w:r>
        <w:rPr>
          <w:rtl w:val="true"/>
        </w:rPr>
        <w:t>الباب</w:t>
      </w:r>
      <w:r>
        <w:rPr>
          <w:rtl w:val="true"/>
        </w:rPr>
        <w:t xml:space="preserve">: </w:t>
      </w:r>
      <w:r>
        <w:rPr>
          <w:rtl w:val="true"/>
        </w:rPr>
        <w:t>في التيمّم</w:t>
      </w:r>
      <w:bookmarkEnd w:id="231"/>
    </w:p>
    <w:p>
      <w:pPr>
        <w:pStyle w:val="Heading3"/>
        <w:numPr>
          <w:ilvl w:val="2"/>
          <w:numId w:val="1"/>
        </w:numPr>
        <w:rPr/>
      </w:pPr>
      <w:bookmarkStart w:id="232" w:name="__RefHeading___Toc14338465_2142443653"/>
      <w:bookmarkStart w:id="233" w:name="_Toc8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وهو عبارة عن مسحات معروفة مشروطة بنية القربة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فيه أيضا في أسبابه وغاياته وشرائطه وأفعاله ولواحقه</w:t>
      </w:r>
      <w:r>
        <w:rPr>
          <w:rFonts w:eastAsia="Amiri" w:cs="Amiri" w:ascii="Amiri" w:hAnsi="Amiri"/>
          <w:color w:val="111111"/>
          <w:sz w:val="28"/>
          <w:szCs w:val="28"/>
          <w:rtl w:val="true"/>
          <w:lang w:bidi="ar-SA"/>
        </w:rPr>
        <w:t xml:space="preserve">. </w:t>
      </w:r>
      <w:bookmarkStart w:id="234" w:name="pg15839_360818"/>
    </w:p>
    <w:p>
      <w:pPr>
        <w:pStyle w:val="Heading3"/>
        <w:numPr>
          <w:ilvl w:val="2"/>
          <w:numId w:val="1"/>
        </w:numPr>
        <w:rPr/>
      </w:pPr>
      <w:bookmarkStart w:id="235" w:name="__RefHeading___Toc14338467_2142443653"/>
      <w:bookmarkStart w:id="236" w:name="_Toc86"/>
      <w:bookmarkEnd w:id="234"/>
      <w:bookmarkEnd w:id="235"/>
      <w:r>
        <w:rPr>
          <w:rtl w:val="true"/>
        </w:rPr>
        <w:t>تبصرة</w:t>
      </w:r>
      <w:r>
        <w:rPr>
          <w:rtl w:val="true"/>
        </w:rPr>
        <w:t xml:space="preserve">: [ </w:t>
      </w:r>
      <w:r>
        <w:rPr>
          <w:rtl w:val="true"/>
        </w:rPr>
        <w:t xml:space="preserve">في أسباب التيمّم وغاياته </w:t>
      </w:r>
      <w:r>
        <w:rPr>
          <w:rtl w:val="true"/>
        </w:rPr>
        <w:t>]</w:t>
      </w:r>
      <w:bookmarkEnd w:id="236"/>
    </w:p>
    <w:p>
      <w:pPr>
        <w:pStyle w:val="Heading4"/>
        <w:numPr>
          <w:ilvl w:val="3"/>
          <w:numId w:val="1"/>
        </w:numPr>
        <w:rPr/>
      </w:pPr>
      <w:bookmarkStart w:id="237" w:name="__RefHeading___Toc14338469_2142443653"/>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أسباب التيمّم هي بعينه أسباب الوضوء والغسل من الأحداث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ثبوته ببعض الأسباب الموجبة لاستحبابهما كإكثار الشعر الباطل أو خروج المذي والتوبة وقتل الوزغ وجهان ، أظهرهما العدم ؛ لعدم ظهور ما يدلّ على مشروعيته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ذلك من جهة احتمال الحدث كما إذا شكّ في وقوع الحدث فقد تعيّن الطهارة أو احتمل حصول خلل في وضوئه أو غسله فالظاهر استحباب التيمّم بدلا عنهما تحصيلا ليقين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وغاياته هي الغايات المذكورة لهما إلا أن الظاهر اختصاصه بالغايات التي تطلب عنده ارتفاع الحدث لأجلها ، فلا يشرع لغيرها كالغسل للزيارة والوضوء للتجديد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فهاهنا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 لكل ما يطلب فيه ارتفاع الحدث ؛ ليكون التيمّم بدلا عن الوضوء أو الغسل الرافعين كالصلاة والصيام والطواف ودخول المسجدين واللبث في سائر المساجد ومسّ كتابة القرآن وتلاوته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عنه الإشكال في التحرير </w:t>
      </w:r>
      <w:r>
        <w:rPr>
          <w:rStyle w:val="FootnoteAnchor"/>
          <w:rtl w:val="true"/>
        </w:rPr>
        <w:footnoteReference w:id="890"/>
      </w:r>
      <w:r>
        <w:rPr>
          <w:rFonts w:ascii="Amiri" w:hAnsi="Amiri" w:eastAsia="Amiri" w:cs="Amiri"/>
          <w:color w:val="111111"/>
          <w:sz w:val="28"/>
          <w:sz w:val="28"/>
          <w:szCs w:val="28"/>
          <w:rtl w:val="true"/>
          <w:lang w:bidi="ar-SA"/>
        </w:rPr>
        <w:t>واستشكل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صاحب المدارك على النفي في المقامين إلا ما دلّ الدليل على ثبوت البدلية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بعض من تأخر عنه في ظاهر كلامه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قلناه النصوص المستفيضة الحاكمة بعموم بدلية التراب عن الماء </w:t>
      </w:r>
    </w:p>
    <w:p>
      <w:pPr>
        <w:pStyle w:val="BookText"/>
        <w:rPr/>
      </w:pP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التيمّم أحد الطهورين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 وأنه بمنزلة الماء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 الماء هو ربّ الصعيد فقد فعل أحد الطهورين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ويومى إليه أيضا قوله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الصعيد عشر سنين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يفيد قيام الصعيد مقام الماء في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مشروعيته بدلا عن غير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الأصل مع الشك في شمول الإطلاقات لمثله وبعده عن طريقة المتشرعة ، وظاهر السيرة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حكى الشهيد الثاني ورود النصّ به في خصوص التيمّم بدلا عن 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وقد ورد النصّ به 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 للنوم ؛ لمرسلة الشيخ والصدوق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ثم آوى إلى فراشه بات وفراشه كمسجده ، فإن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أنه على غير وضوء فليتيمم من دثاره كائنا ما كان ، فإن فعل ذلك لم يزل في الصلاة ما ذكر اللّه تعالى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ينام المسلم وهو جنب ولا ينام إلا على طهور ، فإن لم يجد الماء فليتيمم بالصعيد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التيمّم في هذه الرواية مطلق يعمّ البدل عن الغسل والوضوء ، فالظاهر شمول الحكم للأمرين ، ويمكن القول بشمول الرواية الاولى لهما أيضا بناء على أن يكون الوضوء فيه أعمّ من </w:t>
      </w:r>
    </w:p>
    <w:p>
      <w:pPr>
        <w:pStyle w:val="BookText"/>
        <w:rPr/>
      </w:pPr>
      <w:r>
        <w:rPr>
          <w:rFonts w:ascii="Amiri" w:hAnsi="Amiri" w:eastAsia="Amiri" w:cs="Amiri"/>
          <w:color w:val="111111"/>
          <w:sz w:val="28"/>
          <w:sz w:val="28"/>
          <w:szCs w:val="28"/>
          <w:rtl w:val="true"/>
          <w:lang w:bidi="ar-SA"/>
        </w:rPr>
        <w:t>وضوء الجنب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بعد وظاهر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منها بناء على ما ذكرنا جواز التيمّم عن الوضوء لنوم الجنب ، فيكون ذلك مستثنى مما ذكرنا من عدم مشروعية التيمّم من الوضوء والغسل الغير الرافعين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الاولى بظهوره في غير المحدث بالأكبر وفي الثانية بالتأمّل في صدق الطهور على وضوئه ، فلا يكون التيمّم المذكور فيه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وظاهر الرواية الاولى جواز التيمّم للنوم مع التمكن من الماء أيضا ، وقد نفى الخلاف عنه في الحدائق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ضعف الرواية إلا أن الأظهر الاقتصار على ظاهر مدلولها من نسيان الوضوء لا مع التعمد من تركه وبه يقيد إطلاق مفهوم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الرواية الثانية قد دلّت على رجحان التيمّم بدلا من الوضوء ، ولو مع التمكن عن الماء ، ففيها مخالفة للأصل من تلك الجهة ، ومن الاكتفاء فيه بغبار الدثار ، ولو مع التمكن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جوازه بدلا عن الغسل مع التمكن منه إشكال ، فثبوت مشروعيته كذلك لا يخلو عن تأمل كجوازه للجنب بدلا عن الوضوء مع التمكن من الماء أو عدمه ؛ لما عرفت من خفاء 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فيها بالصحة نظرا إلى ما ذكرناه من الإطلاق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الجنازة ولو مع التمكن من الماء ، على المعروف بين الأصحاب المحكي عليه إجماع الفرقة في الخلاف 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مرّت به جنازة وهو على غير طهر؟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يديه </w:t>
      </w:r>
      <w:r>
        <w:rPr>
          <w:rStyle w:val="FootnoteAnchor"/>
          <w:rtl w:val="true"/>
        </w:rPr>
        <w:footnoteReference w:id="899"/>
      </w:r>
      <w:r>
        <w:rPr>
          <w:rFonts w:ascii="Amiri" w:hAnsi="Amiri" w:eastAsia="Amiri" w:cs="Amiri"/>
          <w:color w:val="111111"/>
          <w:sz w:val="28"/>
          <w:sz w:val="28"/>
          <w:szCs w:val="28"/>
          <w:rtl w:val="true"/>
          <w:lang w:bidi="ar-SA"/>
        </w:rPr>
        <w:t xml:space="preserve">على حائط اللبن فليتيمم به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 تقييده بخوف فوات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المحقق </w:t>
      </w:r>
      <w:r>
        <w:rPr>
          <w:rStyle w:val="FootnoteAnchor"/>
          <w:rtl w:val="true"/>
        </w:rPr>
        <w:footnoteReference w:id="901"/>
      </w:r>
      <w:r>
        <w:rPr>
          <w:rFonts w:ascii="Amiri" w:hAnsi="Amiri" w:eastAsia="Amiri" w:cs="Amiri"/>
          <w:color w:val="111111"/>
          <w:sz w:val="28"/>
          <w:sz w:val="28"/>
          <w:szCs w:val="28"/>
          <w:rtl w:val="true"/>
          <w:lang w:bidi="ar-SA"/>
        </w:rPr>
        <w:t xml:space="preserve">وأنكر جوازه مع </w:t>
      </w:r>
    </w:p>
    <w:p>
      <w:pPr>
        <w:pStyle w:val="BookText"/>
        <w:rPr/>
      </w:pPr>
      <w:r>
        <w:rPr>
          <w:rFonts w:ascii="Amiri" w:hAnsi="Amiri" w:eastAsia="Amiri" w:cs="Amiri"/>
          <w:color w:val="111111"/>
          <w:sz w:val="28"/>
          <w:sz w:val="28"/>
          <w:szCs w:val="28"/>
          <w:rtl w:val="true"/>
          <w:lang w:bidi="ar-SA"/>
        </w:rPr>
        <w:t>التمكن من الماء بمنع الإجماع ؛ لعدم العلم به من فتاوى الأصحاب بخوف فوات الصلاة وضعف الخبر لإضماره ووقف رجلين من رواية ، فلا ينهض حجة على الخروج من الأصل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بعد حجّية الموثق ، وعدم مانع في الإضمار سيّما من سماعة مع اعتضاده بعمل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جوازه مع خوف فوات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الثابت بالعمومات كما عرفت خصوص الصحيح ، عن الرجل يدركه الجنازة وهو على غير وضوء ، فإن ذهب يتوضّأ فاتته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يستدلّ به على مذهب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بعدم دلالته على المنع مع عدم فوت الصلاة كما هو مذهبه لاختصاص السؤال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الاولى والثانية يعمّ ما لو كان محدثا بالأصغر أو الأكبر ، فيجوز التيمّم كذلك بدلا عن كلّ من الأمرين مع التمكن منه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من أحد المسجدين للمحتلم فيهما ، بلا خلاف بين الأصحاب في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خبر أبي حمزة عن الباقر عليه‌السلام المرويّ صحيحا في تهذيب الأحكام </w:t>
      </w:r>
      <w:r>
        <w:rPr>
          <w:rStyle w:val="FootnoteAnchor"/>
          <w:rtl w:val="true"/>
        </w:rPr>
        <w:footnoteReference w:id="903"/>
      </w:r>
      <w:r>
        <w:rPr>
          <w:rFonts w:ascii="Amiri" w:hAnsi="Amiri" w:eastAsia="Amiri" w:cs="Amiri"/>
          <w:color w:val="111111"/>
          <w:sz w:val="28"/>
          <w:sz w:val="28"/>
          <w:szCs w:val="28"/>
          <w:rtl w:val="true"/>
          <w:lang w:bidi="ar-SA"/>
        </w:rPr>
        <w:t xml:space="preserve">، ومرفوعا في الكافي </w:t>
      </w:r>
      <w:r>
        <w:rPr>
          <w:rStyle w:val="FootnoteAnchor"/>
          <w:rtl w:val="true"/>
        </w:rPr>
        <w:footnoteReference w:id="9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نائما في المسجد الحرام أو مسجد الرسول فاحتلم فأصابته جنابة فليتيمم ، ولا يمرّ في المسجد إلا متيمما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الذخيرة </w:t>
      </w:r>
      <w:r>
        <w:rPr>
          <w:rStyle w:val="FootnoteAnchor"/>
          <w:rtl w:val="true"/>
        </w:rPr>
        <w:footnoteReference w:id="9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الحائض إذا أصابها الحيض تفعل كذلك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فيهما بعدم البأس بالمرور في سائر المساجد</w:t>
      </w:r>
      <w:r>
        <w:rPr>
          <w:rFonts w:eastAsia="Amiri" w:cs="Amiri" w:ascii="Amiri" w:hAnsi="Amiri"/>
          <w:color w:val="111111"/>
          <w:sz w:val="28"/>
          <w:szCs w:val="28"/>
          <w:rtl w:val="true"/>
          <w:lang w:bidi="ar-SA"/>
        </w:rPr>
        <w:t xml:space="preserve">. </w:t>
      </w:r>
      <w:bookmarkStart w:id="239" w:name="pg15839_360822"/>
    </w:p>
    <w:p>
      <w:pPr>
        <w:pStyle w:val="BookText"/>
        <w:rPr/>
      </w:pPr>
      <w:bookmarkEnd w:id="239"/>
      <w:r>
        <w:rPr>
          <w:rFonts w:ascii="Amiri" w:hAnsi="Amiri" w:eastAsia="Amiri" w:cs="Amiri"/>
          <w:color w:val="111111"/>
          <w:sz w:val="28"/>
          <w:sz w:val="28"/>
          <w:szCs w:val="28"/>
          <w:rtl w:val="true"/>
          <w:lang w:bidi="ar-SA"/>
        </w:rPr>
        <w:t>وعن الطوسي القول بالاستحباب حملا للرواية عليه ، وهو ضعيف</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4338471_2142443653"/>
      <w:bookmarkStart w:id="241" w:name="_Toc88"/>
      <w:bookmarkEnd w:id="240"/>
      <w:r>
        <w:rPr>
          <w:rtl w:val="true"/>
        </w:rPr>
        <w:t xml:space="preserve">[ </w:t>
      </w:r>
      <w:r>
        <w:rPr>
          <w:rtl w:val="true"/>
        </w:rPr>
        <w:t xml:space="preserve">تنبيهات </w:t>
      </w:r>
      <w:r>
        <w:rPr>
          <w:rtl w:val="true"/>
        </w:rPr>
        <w:t>]</w:t>
      </w:r>
      <w:bookmarkEnd w:id="241"/>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الاغتسال في المسجد بحيث لا يوجب تسرية النجاسة إليه وكانت مدّة الاغتسال مساوية لمدّة التيمّم أو أقلّ منها فهل يتعيّن عليه الغسل أو التيمّم؟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الشهيد تعيّن الغسل عليه ، ولو مع زيادة المدة إلا أنه ذكر عدم عثوره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 أخذا بالأصل من عدم إجزاء التيمّم بدلا عن الغسل مع التمكن منه ، وحملا للرواية المذكورة على الغالب المعتاد من عدم التمكن من الغسل كذلك كما هو الشأن في الإطلاقات ، فلا يفيد جواز التيمّم في الصورة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النصّ المذكور على عدم جواز المرور في المسجد جنبا ، وجواز المكث لأجل التيمّم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فجواز المكث بمقداره لأجل الغسل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جواز المكث لأجل الطهارة الاضطرارية يدلّ بالفحوى على جوازه لأجل الاختيارية بلا ريبة ، فتعيّن </w:t>
      </w:r>
      <w:r>
        <w:rPr>
          <w:rStyle w:val="FootnoteAnchor"/>
          <w:rtl w:val="true"/>
        </w:rPr>
        <w:footnoteReference w:id="906"/>
      </w:r>
      <w:r>
        <w:rPr>
          <w:rFonts w:ascii="Amiri" w:hAnsi="Amiri" w:eastAsia="Amiri" w:cs="Amiri"/>
          <w:color w:val="111111"/>
          <w:sz w:val="28"/>
          <w:sz w:val="28"/>
          <w:szCs w:val="28"/>
          <w:rtl w:val="true"/>
          <w:lang w:bidi="ar-SA"/>
        </w:rPr>
        <w:t>عليه الغسل لما دلّ على عدم جواز التيمّم مع التمكن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مدة الغسل ومقدماته أطول من التيمّم لم يدلّ الرواية على جواز المكث بقدره ، وحينئذ فلا بدّ من الرجوع إلى إطلاق الرواية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صاحب المدارك القول بالثاني ؛ وقوفا مع ظاهر النصّ ومنعا لاشتراط التيمّم مطلقا بفقدان الماء لعدم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جاز أن يكون الأمر بالتيمم مبنيا على الغالب من تعذر الغسل في المسجد فيجوز أن يكون وجهه اقتضاء الغسل فيهما إزالة النجاسة ، فإن </w:t>
      </w:r>
    </w:p>
    <w:p>
      <w:pPr>
        <w:pStyle w:val="BookText"/>
        <w:rPr/>
      </w:pPr>
      <w:r>
        <w:rPr>
          <w:rFonts w:ascii="Amiri" w:hAnsi="Amiri" w:eastAsia="Amiri" w:cs="Amiri"/>
          <w:color w:val="111111"/>
          <w:sz w:val="28"/>
          <w:sz w:val="28"/>
          <w:szCs w:val="28"/>
          <w:rtl w:val="true"/>
          <w:lang w:bidi="ar-SA"/>
        </w:rPr>
        <w:t>مورد الخبر المحتلم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جماعة من الأصحاب تحريم إزالتها في المساجد ، وصرّح بعضهم بعموم المنع ولو كانت في الكثير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زمان مروره بالمسجد أقلّ من مكثه للتيمم أو مساويا له ففي لزوم التيمّم أيضا ؛ أخذا بظاهر الرواية أو سقوطه ؛ نظرا إلى أن المرور أخفّ من المكث سيّما مع كونه أقلّ منه فيقدم عليه أو يتخيّر بين الأمرين لدلالة جواز المكث للتيمم على جواز المرور بالفحوى؟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لحوق الحائض بالجنب إن فاجأها الحيض في أحد المسجدين وجهان ،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والبناء على الإلحاق مختار جماعة من الأصحاب منهم صاحب الحدائق الناضرة </w:t>
      </w:r>
      <w:r>
        <w:rPr>
          <w:rStyle w:val="FootnoteAnchor"/>
          <w:rtl w:val="true"/>
        </w:rPr>
        <w:footnoteReference w:id="907"/>
      </w:r>
      <w:r>
        <w:rPr>
          <w:rFonts w:ascii="Amiri" w:hAnsi="Amiri" w:eastAsia="Amiri" w:cs="Amiri"/>
          <w:color w:val="111111"/>
          <w:sz w:val="28"/>
          <w:sz w:val="28"/>
          <w:szCs w:val="28"/>
          <w:rtl w:val="true"/>
          <w:lang w:bidi="ar-SA"/>
        </w:rPr>
        <w:t xml:space="preserve">المرفوعة </w:t>
      </w:r>
      <w:r>
        <w:rPr>
          <w:rStyle w:val="FootnoteAnchor"/>
          <w:rtl w:val="true"/>
        </w:rPr>
        <w:footnoteReference w:id="908"/>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المحقق ؛ لضعف الرواية ومخالفة الحكم للأصل سيّما بالنسبة إلى الحائض ؛ إذ لا سبيل إليها إلى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ذلك بعد طهرها عن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الفروع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الإلحاق نظرا إلى موافقه الحائض للجنب في كثير من الأحكام إلا أن الأظهر أيضا خلافه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 هو الجنابة الحاصلة في المسجد بالاحتلام ، والظاهر إلحاق غير الاحتلام به ممّا حصل بغير اختياره</w:t>
      </w:r>
      <w:r>
        <w:rPr>
          <w:rFonts w:eastAsia="Amiri" w:cs="Amiri" w:ascii="Amiri" w:hAnsi="Amiri"/>
          <w:color w:val="111111"/>
          <w:sz w:val="28"/>
          <w:szCs w:val="28"/>
          <w:rtl w:val="true"/>
          <w:lang w:bidi="ar-SA"/>
        </w:rPr>
        <w:t xml:space="preserve">. </w:t>
      </w:r>
      <w:bookmarkStart w:id="242" w:name="pg15839_360824"/>
    </w:p>
    <w:p>
      <w:pPr>
        <w:pStyle w:val="Heading3"/>
        <w:numPr>
          <w:ilvl w:val="2"/>
          <w:numId w:val="1"/>
        </w:numPr>
        <w:rPr/>
      </w:pPr>
      <w:bookmarkStart w:id="243" w:name="__RefHeading___Toc14338473_2142443653"/>
      <w:bookmarkStart w:id="244" w:name="_Toc89"/>
      <w:bookmarkEnd w:id="242"/>
      <w:bookmarkEnd w:id="243"/>
      <w:r>
        <w:rPr>
          <w:rtl w:val="true"/>
        </w:rPr>
        <w:t>الفصل الثاني</w:t>
      </w:r>
      <w:r>
        <w:rPr>
          <w:rtl w:val="true"/>
        </w:rPr>
        <w:t xml:space="preserve">: </w:t>
      </w:r>
      <w:r>
        <w:rPr>
          <w:rtl w:val="true"/>
        </w:rPr>
        <w:t>فيما يسوغ التيمّم معه ويوجب انتقال الحكم من الوضوء والغسل إليه</w:t>
      </w:r>
      <w:bookmarkEnd w:id="244"/>
    </w:p>
    <w:p>
      <w:pPr>
        <w:pStyle w:val="Heading4"/>
        <w:numPr>
          <w:ilvl w:val="3"/>
          <w:numId w:val="1"/>
        </w:numPr>
        <w:rPr/>
      </w:pPr>
      <w:bookmarkStart w:id="245" w:name="__RefHeading___Toc14338475_2142443653"/>
      <w:bookmarkStart w:id="246" w:name="_Toc9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وهي أمور أنهاها في المنتهى إلى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فيها العجز عن استعمال الماء</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4338477_2142443653"/>
      <w:bookmarkStart w:id="248" w:name="_Toc91"/>
      <w:bookmarkEnd w:id="247"/>
      <w:r>
        <w:rPr>
          <w:rtl w:val="true"/>
        </w:rPr>
        <w:t>تبصرة</w:t>
      </w:r>
      <w:r>
        <w:rPr>
          <w:rtl w:val="true"/>
        </w:rPr>
        <w:t xml:space="preserve">: [ </w:t>
      </w:r>
      <w:r>
        <w:rPr>
          <w:rtl w:val="true"/>
        </w:rPr>
        <w:t xml:space="preserve">في عدم وجود الماء </w:t>
      </w:r>
      <w:r>
        <w:rPr>
          <w:rtl w:val="true"/>
        </w:rPr>
        <w:t>]</w:t>
      </w:r>
      <w:bookmarkEnd w:id="248"/>
    </w:p>
    <w:p>
      <w:pPr>
        <w:pStyle w:val="Heading5"/>
        <w:numPr>
          <w:ilvl w:val="4"/>
          <w:numId w:val="1"/>
        </w:numPr>
        <w:rPr/>
      </w:pPr>
      <w:bookmarkStart w:id="249" w:name="__RefHeading___Toc14338479_2142443653"/>
      <w:bookmarkStart w:id="250" w:name="_Toc92"/>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من أسباب العجز عدم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انتقال الحكم معه إلى التيمّم بعد الآية الشريفة </w:t>
      </w:r>
      <w:r>
        <w:rPr>
          <w:rStyle w:val="FootnoteAnchor"/>
          <w:rtl w:val="true"/>
        </w:rPr>
        <w:footnoteReference w:id="909"/>
      </w:r>
      <w:r>
        <w:rPr>
          <w:rFonts w:ascii="Amiri" w:hAnsi="Amiri" w:eastAsia="Amiri" w:cs="Amiri"/>
          <w:color w:val="111111"/>
          <w:sz w:val="28"/>
          <w:sz w:val="28"/>
          <w:szCs w:val="28"/>
          <w:rtl w:val="true"/>
          <w:lang w:bidi="ar-SA"/>
        </w:rPr>
        <w:t>النصوص المستفيضة وإجماع الطائفة المعلوم والمنقول في لسان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ذهب بعض العامة إلى اختصاص الحكم بالسفر ، فيسقط التيمّم أيضا لو كان ذلك في الحضر ؛ أخذا بما يتراءى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محجوج بما ذكرناه ، والآية واردة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وجدان الماء إنما يكون سببا لانتقال الحكم مع الطلب إن أمكن ، ففي منتهى المطلب </w:t>
      </w:r>
      <w:r>
        <w:rPr>
          <w:rStyle w:val="FootnoteAnchor"/>
          <w:rtl w:val="true"/>
        </w:rPr>
        <w:footnoteReference w:id="9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الطلب عند إعواز الماء ، فلو أخلّ به مع التمكن لم يعتد به ، وهو مذهب علمائنا أجمع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بعد الإجماع عدم صدق عدم الوجدان إلا معه ، ولاحتمال قربه منه مضافا إلى غير واحد من النصوص ، وما يستفاد من بعض الأخبار من عدم وجوب الطلب محمول على صورة الخوف كما يدلّ عليه 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ضعفه وإضراب الأصحاب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الغريب بناء بعض الفضلاء المتأخرين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بمكان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الطلب هو غلوة سهم في الحزنة وغلوتين في السهلة من الجوانب الأربع على المعروف بين الأصحاب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إجماعنا عليه في الغنية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Style w:val="FootnoteAnchor"/>
          <w:rtl w:val="true"/>
        </w:rPr>
        <w:footnoteReference w:id="913"/>
      </w:r>
      <w:r>
        <w:rPr>
          <w:rFonts w:ascii="Amiri" w:hAnsi="Amiri" w:eastAsia="Amiri" w:cs="Amiri"/>
          <w:color w:val="111111"/>
          <w:sz w:val="28"/>
          <w:sz w:val="28"/>
          <w:szCs w:val="28"/>
          <w:rtl w:val="true"/>
          <w:lang w:bidi="ar-SA"/>
        </w:rPr>
        <w:t xml:space="preserve">أن التحديد بالغلوة في السهلة والغلوتين في الحزنة مما وردت </w:t>
      </w:r>
      <w:r>
        <w:rPr>
          <w:rStyle w:val="FootnoteAnchor"/>
          <w:rtl w:val="true"/>
        </w:rPr>
        <w:footnoteReference w:id="914"/>
      </w:r>
      <w:r>
        <w:rPr>
          <w:rFonts w:ascii="Amiri" w:hAnsi="Amiri" w:eastAsia="Amiri" w:cs="Amiri"/>
          <w:color w:val="111111"/>
          <w:sz w:val="28"/>
          <w:sz w:val="28"/>
          <w:szCs w:val="28"/>
          <w:rtl w:val="true"/>
          <w:lang w:bidi="ar-SA"/>
        </w:rPr>
        <w:t>الروايات وتواتر به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915"/>
      </w:r>
      <w:r>
        <w:rPr>
          <w:rFonts w:ascii="Amiri" w:hAnsi="Amiri" w:eastAsia="Amiri" w:cs="Amiri"/>
          <w:color w:val="111111"/>
          <w:sz w:val="28"/>
          <w:sz w:val="28"/>
          <w:szCs w:val="28"/>
          <w:rtl w:val="true"/>
          <w:lang w:bidi="ar-SA"/>
        </w:rPr>
        <w:t xml:space="preserve">الشيخ في النهاية </w:t>
      </w:r>
      <w:r>
        <w:rPr>
          <w:rStyle w:val="FootnoteAnchor"/>
          <w:rtl w:val="true"/>
        </w:rPr>
        <w:footnoteReference w:id="916"/>
      </w:r>
      <w:r>
        <w:rPr>
          <w:rFonts w:ascii="IRNazanin" w:hAnsi="IRNazanin" w:eastAsia="IRNazanin"/>
          <w:color w:val="111111"/>
          <w:sz w:val="28"/>
          <w:sz w:val="28"/>
          <w:szCs w:val="28"/>
          <w:rtl w:val="true"/>
          <w:lang w:bidi="fa-IR"/>
        </w:rPr>
        <w:t xml:space="preserve">والمبسوط </w:t>
      </w:r>
      <w:r>
        <w:rPr>
          <w:rStyle w:val="FootnoteAnchor"/>
          <w:rtl w:val="true"/>
        </w:rPr>
        <w:footnoteReference w:id="917"/>
      </w:r>
      <w:r>
        <w:rPr>
          <w:rFonts w:ascii="Amiri" w:hAnsi="Amiri" w:eastAsia="Amiri" w:cs="Amiri"/>
          <w:color w:val="111111"/>
          <w:sz w:val="28"/>
          <w:sz w:val="28"/>
          <w:szCs w:val="28"/>
          <w:rtl w:val="true"/>
          <w:lang w:bidi="ar-SA"/>
        </w:rPr>
        <w:t>التخيير بين رمية سهم وسهمين من غير تفصيل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على الأول ، والصحيح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تقدير الطلب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 اعتبار الطلب من كلّ جهة يرجون وجود الماء إلى أن يتحقق عرفا صدق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كلام السيد والخلاف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 المحقق </w:t>
      </w:r>
      <w:r>
        <w:rPr>
          <w:rStyle w:val="FootnoteAnchor"/>
          <w:rtl w:val="true"/>
        </w:rPr>
        <w:footnoteReference w:id="918"/>
      </w:r>
      <w:r>
        <w:rPr>
          <w:rFonts w:ascii="Amiri" w:hAnsi="Amiri" w:eastAsia="Amiri" w:cs="Amiri"/>
          <w:color w:val="111111"/>
          <w:sz w:val="28"/>
          <w:sz w:val="28"/>
          <w:szCs w:val="28"/>
          <w:rtl w:val="true"/>
          <w:lang w:bidi="ar-SA"/>
        </w:rPr>
        <w:t>الطلب دائما ما دام الوقت حتى يخشى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بالغلوة والغلوتين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غير أن الجماعة عملوا بها ، فالوجه أن يطلب من كلّ جهة يرجو فيها الإصابة ولا يكلّف 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زرارة تدلّ على أنه يطلب دائما ما دام في الوقت حتى يخشى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والرواية واضحة السند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في ذلك بعض من تأخر عنه</w:t>
      </w:r>
      <w:r>
        <w:rPr>
          <w:rFonts w:eastAsia="Amiri" w:cs="Amiri" w:ascii="Amiri" w:hAnsi="Amiri"/>
          <w:color w:val="111111"/>
          <w:sz w:val="28"/>
          <w:szCs w:val="28"/>
          <w:rtl w:val="true"/>
          <w:lang w:bidi="ar-SA"/>
        </w:rPr>
        <w:t xml:space="preserve">. </w:t>
      </w:r>
      <w:bookmarkStart w:id="251" w:name="pg15839_360826"/>
    </w:p>
    <w:p>
      <w:pPr>
        <w:pStyle w:val="BookText"/>
        <w:rPr/>
      </w:pPr>
      <w:bookmarkEnd w:id="251"/>
      <w:r>
        <w:rPr>
          <w:rFonts w:ascii="Amiri" w:hAnsi="Amiri" w:eastAsia="Amiri" w:cs="Amiri"/>
          <w:color w:val="111111"/>
          <w:sz w:val="28"/>
          <w:sz w:val="28"/>
          <w:szCs w:val="28"/>
          <w:rtl w:val="true"/>
          <w:lang w:bidi="ar-SA"/>
        </w:rPr>
        <w:t xml:space="preserve">والأقوى هو الأول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والشهرة المعلومة والمنقولة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الماء في السفر وإن كانت الحزونة فغلوة وإن كانت سهولة فغلوتين لا يطلب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زرارة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المسافر الماء ما دام في الوقت ، فإذا خاف أن يفوته الوقت فليتيمم وليصل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يحمل على صورة رجاء حصول الماء والظن به كما سيجي‌ء ، أو على الاستحباب ، أو يقال بأن الأمر بالطلب فيها مطلق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لوقوع الطلب ، فلا يفيد الاستحباب ، فالمقصود أن الطلب إنما يكون مع السعة دون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فيحمل على رواية السكوني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بذلك ضعف الأقوال المذكورة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4338481_2142443653"/>
      <w:bookmarkStart w:id="253" w:name="_Toc93"/>
      <w:bookmarkEnd w:id="252"/>
      <w:r>
        <w:rPr>
          <w:rtl w:val="true"/>
        </w:rPr>
        <w:t xml:space="preserve">[ </w:t>
      </w:r>
      <w:r>
        <w:rPr>
          <w:rtl w:val="true"/>
        </w:rPr>
        <w:t xml:space="preserve">تنبيهات </w:t>
      </w:r>
      <w:r>
        <w:rPr>
          <w:rtl w:val="true"/>
        </w:rPr>
        <w:t>]</w:t>
      </w:r>
      <w:bookmarkEnd w:id="253"/>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الطلب بالمقدار المذكور من سائر الجوانب ؛ لظاهر الإطلاق المؤيّد بفهم الجماعة والاحتياط أو بعد اشتراط صحة التيمّم بالطلب إنما يعلم فراغ الذمة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بالغلوة والغلوتين في ظاهر الرواية مجموع ما يطلب فيه الماء ، فيكون المطلوب من كل جانب نصف غلوة أو غلوة إلا أن أحدا من الأصحاب لم يفهم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يسقط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يتراءى في المقام خلاف بين القائلين بالغلوة والغلوتين من اعتبار بعضهم للطلب من جميع الجوانب كما في المبسوط وغيره ، أو من أمامه واليمين والشمال كما في المقنعة ، أو عن اليمين والشمال كما في النهاية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اتحاد المقصود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عدم ذكر الحلف في المقنعة من جهة الاطلاع عليه حال المجي‌ء ، والمراد باليمين والشمال في الأخيرين حتى الطريق على قدر الغلوة أو </w:t>
      </w:r>
    </w:p>
    <w:p>
      <w:pPr>
        <w:pStyle w:val="BookText"/>
        <w:rPr/>
      </w:pPr>
      <w:r>
        <w:rPr>
          <w:rFonts w:ascii="Amiri" w:hAnsi="Amiri" w:eastAsia="Amiri" w:cs="Amiri"/>
          <w:color w:val="111111"/>
          <w:sz w:val="28"/>
          <w:sz w:val="28"/>
          <w:szCs w:val="28"/>
          <w:rtl w:val="true"/>
          <w:lang w:bidi="ar-SA"/>
        </w:rPr>
        <w:t>الغلوتين ، فيغني عن ذكر الجهتين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عدم الماء هناك سقط وجوب الطلب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حتى من القائلين بوجوب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بعدمه في بعض الجوانب ، فيسقط الطلب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الطلب مع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واضح ؛ لوقوعه لغوا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بعدمه ففي قيامه مقام العلم قولان ، حكي الأول من الإسكافي وبعض المتأخرين ؛ لقيام الظنّ مقام العلم في الشرعيات وعدم تناول ما دلّ على وجوب الطلب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الفاضل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لعدم قيام دليل على حجيته إلا مع اطمئنان النفس بعدمه ، فلا يبعد إلحاقه بالعلم ، بل الظاهر أنه يعدّ علما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الاكتفاء بالعلم بخلوّ خصوص مقدار الغلوات وجهان مبنيّان على أن الواجب هو طلب الماء في خصوص الغلوات أو أن الغلوات هو ظرف الطلب دون المطلوب ، فيجب ملاحظة الخارج عن الغلوات عند الطلب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بل الأظهر الأخير ، وحينئذ فلا بدّ في سقوط الطلب من العلم في جميع المسافة التي تبيّن عدم الماء فيها بالطلب في الغلوات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وجود الماء خارج الغلوات لزمه السفر إليه </w:t>
      </w:r>
      <w:r>
        <w:rPr>
          <w:rStyle w:val="FootnoteAnchor"/>
          <w:rtl w:val="true"/>
        </w:rPr>
        <w:footnoteReference w:id="919"/>
      </w:r>
      <w:r>
        <w:rPr>
          <w:rFonts w:ascii="Amiri" w:hAnsi="Amiri" w:eastAsia="Amiri" w:cs="Amiri"/>
          <w:color w:val="111111"/>
          <w:sz w:val="28"/>
          <w:sz w:val="28"/>
          <w:szCs w:val="28"/>
          <w:rtl w:val="true"/>
          <w:lang w:bidi="ar-SA"/>
        </w:rPr>
        <w:t>مع بقاء الوقت وانتفاء الحرج ، قريبا كان أو بعيدا كما نصّ عليه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الطلب في الغلوات محمول على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زرارة المتقدمة دلالة عليه ، والظاهر أنه قضية الأصل ؛ لتقدم الطهارة المائية على الترابية ، والمفروض تمكنه من الاولى ، فلا يصحّ منه الأخير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بأن الشرط في الانتقال هو عدم وجدان الماء كما هو مدلول الآية والروايات </w:t>
      </w:r>
    </w:p>
    <w:p>
      <w:pPr>
        <w:pStyle w:val="BookText"/>
        <w:rPr/>
      </w:pP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صادق بدون ذلك ؛ إذ مع بعد الماء عنه لا يصدق عليه عرفا أنه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الماء في الأماكن القريبة منه لم يبعد صدق الوجدان عليه في العرف وإن كان خارجا عن الغلوات ، لكن الأظهر بناء الحكم على التمكن ، وربما يفسر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المستفاد من كلام محقّقي المفسرين من الخاصة والعامة كالطبرسي والزمخشري ، فتأمل إلا أنه يعتبر فيه عدم الحرج لما دلّ على نفيه ، فالحطاب والحشاش إذا حضرتهما الصلاة ولم يتمكنا من الماء إلا بالرجوع إلى البلد لم يجب في وجه قويّ مع بعدهما جدّا من البلد واستلزام فوات مقصودهما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الماء عكس طريق المسافر ، فتوقف على الرجوع من بعض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الشريفة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خاف على نفسه من الطلب من لصّ أو سبع في الطريق أو على ماله المتخلّف في رحله سقط عنه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ارتفع الخوف باستصحاب معيّن وجب من باب المقدمة ولو بالاجرة ، وإن كانت زائدة على المعتاد ما لم يضرّ بحاله ، وإن حصل الإجحاف في وجه قويّ وكان زائدا على القدر الّذي يخاف فوته باللصّ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الطلب وتفويته باللصّ وجهان ، وكذا الحال لو لم يتمكن من الطلب لموانع الاخر ، فتسقط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المانع في بعض الجهات أو ببعض المقدار سقط ذلك ووجب الميسور ؛ لعدم سقوط الميسور بالمعسور ولحصول بعض الفائدة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بالسقوط ؛ نظرا إلى عدم التمكن من تمام الواجب ووجوب البعض في ضمن الكلّ بالتبع ، فيسقط بسقوطه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الطلب وتمكّن من الاستنابة وجب لحصول الغرض به وعدم مدخليّته فيه للمباشرة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جواز الاستنابة مع الاختيار أيضا ؛ إذ هو كما عرفت مما اجتمع فيه شرائط متعلّق الوكالة ، فلا فرق بين صورتي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الحدائق </w:t>
      </w:r>
      <w:r>
        <w:rPr>
          <w:rStyle w:val="FootnoteAnchor"/>
          <w:rtl w:val="true"/>
        </w:rPr>
        <w:footnoteReference w:id="921"/>
      </w:r>
      <w:r>
        <w:rPr>
          <w:rFonts w:ascii="Amiri" w:hAnsi="Amiri" w:eastAsia="Amiri" w:cs="Amiri"/>
          <w:color w:val="111111"/>
          <w:sz w:val="28"/>
          <w:sz w:val="28"/>
          <w:szCs w:val="28"/>
          <w:rtl w:val="true"/>
          <w:lang w:bidi="ar-SA"/>
        </w:rPr>
        <w:t>على الثاني بأن ظاهر الأخبار توجّه الخطاب على فاقد الماء نفسه ، فقيام غيره مقامه 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 مضافا على جريان ذلك في صورة الاضطرار ، وقضية الأصل فيه سقوط الطلب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فيه عدالة النائب؟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في الروض </w:t>
      </w:r>
      <w:r>
        <w:rPr>
          <w:rStyle w:val="FootnoteAnchor"/>
          <w:rtl w:val="true"/>
        </w:rPr>
        <w:footnoteReference w:id="922"/>
      </w:r>
      <w:r>
        <w:rPr>
          <w:rFonts w:ascii="Amiri" w:hAnsi="Amiri" w:eastAsia="Amiri" w:cs="Amiri"/>
          <w:color w:val="111111"/>
          <w:sz w:val="28"/>
          <w:sz w:val="28"/>
          <w:szCs w:val="28"/>
          <w:rtl w:val="true"/>
          <w:lang w:bidi="ar-SA"/>
        </w:rPr>
        <w:t>ليصحّ الوقوف به شرعا في سقوط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تعددهما لقيام خبر العدلين مقام اليمين؟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بالاكتفاء بقول الواحد مطلقا ؛ لسماع قول الوكيل في ادّعاء الإتيان بما وكّل فيه كإخباره عن تطهير الثوب ، ومع المال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أوقع الطلب من غير توكيل ويضر به فالظاهر اعتبار العدالة والعدد ؛ لعدم دليل بيّن على الاكتفاء بخبر العدل في مثله إلا أن يقال بعموم ما دلّ على حجيّة خبر العدل في الحكم والموضوع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بعد استشكاله في جواز الإشاعة مع الاختيار وحكمه بالجواز بل الوجوب مع العجز اشترط مراعاة العدالة </w:t>
      </w:r>
      <w:r>
        <w:rPr>
          <w:rStyle w:val="FootnoteAnchor"/>
          <w:rtl w:val="true"/>
        </w:rPr>
        <w:footnoteReference w:id="923"/>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 ما عرفت ؛ إذ لو كان الواجب استنابة العدل لزم القول بالسقوط مع تعذّره ، وإلّا فالواجب الحكم بالجواز مع إمكان الطلب بنفسه أو استنابة العدل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بالطلب الواجب حتى ضاق الوقت فإن تمكن من الطلب في البعض سقط التعذر ووجب بمقدار التمكن على ما مرّ ، وإن لم يتمكن منه أصلا سقط وصحّ تيممه وصلاته من غير لزوم إعادة عليه على الأقوى ، وإن 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واضح ؛ لسقوط الاشتراط مع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آثما بإخراج نفسه عن عنوان المتمكن إلى العاجز ، وأطلق الشيخ والشهيد في الدروس عدم الإعادة لو أخلّ بالطلب الواجب ، فإن اريد بذلك عدم صحة تيممه ؛ نظرا إلى الإخلال بالشرط الذي هو الطلب ففيه منع ظاهر ؛ إذ المسلّم من الشرط إنما هو حال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وجه حينئذ بسقوط الأداء ، ولا لفعله من دون الطهورين وبعد تعيّن فعله مع التيمّم الذي هو أحد الطهورين لا وجه لوجوب القضاء أيضا من دون 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كلامهما على حال السعة ، فيرتفع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الطلب لو ارتفع التمكن لموانع اخر من خوف العدوّ وحصول المرض إلا أنه لا إثم هنا لو لم يكن متوقع الحصول ، ومعه يجري ظاهر الخلاف المذكور مع التسامح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يجري الكلام بالنسبة إلى من كان واجدا للماء فأراقه مع الانحصار أو أخرجه عن ملكه اختيارا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الشهيد في غير واحد من كتبه وجوب الإعادة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حمله على ما مرّ وعن غير واحد من الأصحاب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لوجوب استعماله عليه ، وهو لا يقضي بالفساد لعدم اقتضاء النهي فساد المعاملة إن لم يكن تعلّقه من جهتها ، ولو فعل ذلك بطل الاكتفاء بغيره فلا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القطع بصحة الصلاة إذن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أهرقه قبل دخول الوقت مع علمه بعدم تمكنه منه في الوقت فلا مانع ؛ لعدم وجوب الطهارة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بوجوب إبقاء الماء مع عدم وجوب الطهارة لا معنى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بوجوب الطهارة إذن قبل الوقت فهو مع مخالفته لظاهر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يخصّون الوجوب بما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إنما تطلب لأجل الصلاة ، والمفروض عدم وجوب الصلاة بعد ، فكيف يعقل وجوب مقدمته مع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قيل بوجوب الصلاة مطلقا من غير أن يكون الوقت من شرائط وجوبه لتمّ ذلك إلا أنه مخالف للأخبار وكلام الأصحاب ،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من جواز الجنابة عمدا مع عدم وجدان الماء كالحسن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 أهله في السفر فلا يجد الماء يأتي أهله؟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احبّ أن يفعل ذلك إلا أن يكون شبقا أو يخاف على نفسه </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مستطرفات السرائر </w:t>
      </w:r>
      <w:r>
        <w:rPr>
          <w:rStyle w:val="FootnoteAnchor"/>
          <w:rtl w:val="true"/>
        </w:rPr>
        <w:footnoteReference w:id="925"/>
      </w:r>
      <w:r>
        <w:rPr>
          <w:rFonts w:ascii="Amiri" w:hAnsi="Amiri" w:eastAsia="Amiri" w:cs="Amiri"/>
          <w:color w:val="111111"/>
          <w:sz w:val="28"/>
          <w:sz w:val="28"/>
          <w:szCs w:val="28"/>
          <w:rtl w:val="true"/>
          <w:lang w:bidi="ar-SA"/>
        </w:rPr>
        <w:t xml:space="preserve">بزيادة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بذلك اللذة؟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السكوني ، عن الصادق عليه‌السلام ، عن آبائه عليهم‌السلام عن أبي ذر رضى اللّه عنه أنه أتى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جامعت 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صلى‌اللّه‌عليه‌وآله بمحمل فاستترنا به وبماء فاغتسلت أنا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الصعيد عشر سنين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فحوى الرواية ظاهرة الدلالة على جواز ذلك ، مضافا إلى ما ورد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التراب طهورا كما جعل الماء طهورا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يتيمّم بعد دخول الوقت ويصلي ، ولا إعادة عليه إجماعا كما عن منتهى المطلب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بعضهم إلى حرمة إهراقه حينئذ أيضا بناء </w:t>
      </w:r>
      <w:r>
        <w:rPr>
          <w:rStyle w:val="FootnoteAnchor"/>
          <w:rtl w:val="true"/>
        </w:rPr>
        <w:footnoteReference w:id="928"/>
      </w:r>
      <w:r>
        <w:rPr>
          <w:rFonts w:ascii="Amiri" w:hAnsi="Amiri" w:eastAsia="Amiri" w:cs="Amiri"/>
          <w:color w:val="111111"/>
          <w:sz w:val="28"/>
          <w:sz w:val="28"/>
          <w:szCs w:val="28"/>
          <w:rtl w:val="true"/>
          <w:lang w:bidi="ar-SA"/>
        </w:rPr>
        <w:t xml:space="preserve">لكون البقاء من مقدمة الواجب ، ولسببيّة ترك الواجب المحرم والمفضي إلى المحرّم محرّم ، ولما يظهر من عدة من الأخبار </w:t>
      </w:r>
    </w:p>
    <w:p>
      <w:pPr>
        <w:pStyle w:val="BookText"/>
        <w:rPr/>
      </w:pP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يتيمم بالبلاد الأشهر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ماء من أجل المراعي وصلاح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أجنب في سفر ولم يجد إلا الثلج أو ماء جامدا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الضرورة يتيمم ولا أرى أن يعود إلى هذه الأرض التي توبق دينه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المقنع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أجنبت في أرض ولم تجد إلا ماء جامدا ولم يخلص إلى الصعيد فصلّ بالمسح ، ثم لا تعد إلى الأرض التي توبق فيها دينك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هاتين الروايتين وإن كان فيمن لم يتيسّر له الماء والصعيد إلّا أن فحواهما بل التعليل المذكور فيهما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الأخيرة لضعفها مضافا إلى عدم وضوح دلالتها لا ينهض حجة ، والنهي فيها ليست صريحة في المطلوب ، بل ظاهرها يومي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والصحيحة الاولى ليست صريحة في الحرمة ، فلتحمل على الكراهة ؛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إلى إفضائه إلى الحرام أو كونه من مقدمات الواجب أضعف شي‌ء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ما ذكر بالنسبة إلى نقض الوضوء قبل الوقت مع عدم وجدان الماء أو كان عنده ماء ولم يأخذ للاستعمال ، وكذا السفر قبل الوقت إلى موضع لا ماء فيه مع عدم تمكّنه من العود بعد دخول الوقت وما يشبه ذلك ، والكلام في الجميع واحد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 وصلّى ثم تبيّن وجود الماء في رحله أو أصحابه الباذلين أو قريبا منه ولو في الغلوات </w:t>
      </w:r>
      <w:r>
        <w:rPr>
          <w:rStyle w:val="FootnoteAnchor"/>
          <w:rtl w:val="true"/>
        </w:rPr>
        <w:footnoteReference w:id="933"/>
      </w:r>
      <w:r>
        <w:rPr>
          <w:rFonts w:ascii="Amiri" w:hAnsi="Amiri" w:eastAsia="Amiri" w:cs="Amiri"/>
          <w:color w:val="111111"/>
          <w:sz w:val="28"/>
          <w:sz w:val="28"/>
          <w:szCs w:val="28"/>
          <w:rtl w:val="true"/>
          <w:lang w:bidi="ar-SA"/>
        </w:rPr>
        <w:t xml:space="preserve">أو خارجا عنها بحيث لو سعى إليه في الوقت تمكّن منه من دون حرج فإما أن يكون قد اجتهد وطلب الماء في الغلوات </w:t>
      </w:r>
      <w:r>
        <w:rPr>
          <w:rStyle w:val="FootnoteAnchor"/>
          <w:rtl w:val="true"/>
        </w:rPr>
        <w:footnoteReference w:id="934"/>
      </w:r>
      <w:r>
        <w:rPr>
          <w:rFonts w:ascii="Amiri" w:hAnsi="Amiri" w:eastAsia="Amiri" w:cs="Amiri"/>
          <w:color w:val="111111"/>
          <w:sz w:val="28"/>
          <w:sz w:val="28"/>
          <w:szCs w:val="28"/>
          <w:rtl w:val="true"/>
          <w:lang w:bidi="ar-SA"/>
        </w:rPr>
        <w:t xml:space="preserve">أو لا ، وعلى التقادير فإما أن يكون عالما قبل ذلك </w:t>
      </w:r>
    </w:p>
    <w:p>
      <w:pPr>
        <w:pStyle w:val="BookText"/>
        <w:rPr/>
      </w:pPr>
      <w:r>
        <w:rPr>
          <w:rFonts w:ascii="Amiri" w:hAnsi="Amiri" w:eastAsia="Amiri" w:cs="Amiri"/>
          <w:color w:val="111111"/>
          <w:sz w:val="28"/>
          <w:sz w:val="28"/>
          <w:szCs w:val="28"/>
          <w:rtl w:val="true"/>
          <w:lang w:bidi="ar-SA"/>
        </w:rPr>
        <w:t>بوجود الماء فنسيه أو كان جاهلا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إما أن يأتي بالتيمم في سعة الوقت أو ضيقه ، وعلى الأول فإما أن يكون عليه </w:t>
      </w:r>
      <w:r>
        <w:rPr>
          <w:rStyle w:val="FootnoteAnchor"/>
          <w:rtl w:val="true"/>
        </w:rPr>
        <w:footnoteReference w:id="935"/>
      </w:r>
      <w:r>
        <w:rPr>
          <w:rFonts w:ascii="Amiri" w:hAnsi="Amiri" w:eastAsia="Amiri" w:cs="Amiri"/>
          <w:color w:val="111111"/>
          <w:sz w:val="28"/>
          <w:sz w:val="28"/>
          <w:szCs w:val="28"/>
          <w:rtl w:val="true"/>
          <w:lang w:bidi="ar-SA"/>
        </w:rPr>
        <w:t>بالماء قبل خروج الوقت أو بعده ، فإن صلّى مع الطلب ثم تبين بعد خروج الوقت وجود الماء خارج الغلوات فلا تأمل في صحة صلاته سواء كان ناسيا له أو جاهلا قد صلى في سعة الوقت أو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في ضيق الوقت بحيث لم يتمكن أداء الطهارة المائية بنفسه أو مع أخذ الماء من الموضع الذي فيه لو علم به ، فلا تأمل في الصحة من غير فرق بين الناسي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فعله في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كلام الأصحاب ؛ لحصول الامتثال وظاهر الإطلاقات وصدق الوجدان في بعض فروضه كما إذا كان في رحله ممنوع ؛ إذ الظاهر منه اعتبار العلم بالماء والتمكن من الاستعلام بحسب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Style w:val="FootnoteAnchor"/>
          <w:rtl w:val="true"/>
        </w:rPr>
        <w:footnoteReference w:id="936"/>
      </w:r>
      <w:r>
        <w:rPr>
          <w:rFonts w:ascii="IRNazanin" w:hAnsi="IRNazanin" w:eastAsia="IRNazanin"/>
          <w:color w:val="111111"/>
          <w:sz w:val="28"/>
          <w:sz w:val="28"/>
          <w:szCs w:val="28"/>
          <w:rtl w:val="true"/>
          <w:lang w:bidi="fa-IR"/>
        </w:rPr>
        <w:t>عدم العلم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وبنى في الحدائق على لزوم الإعادة في صورة النسيان ؛ أخذا بموثقة أبي بصير الآتية مع دعوى انجبارها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أعنى به شهرة العمل بها في الجملة ، وأما في هذه المسألة فلا نعرف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يقاوم تلك الإطلاقات المنجبرة بظاهر كلام الأصحاب ، فقد يحمل على الاستحباب أو على صورة ترك الطلب رأسا أو المسامحة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فالمعارضة بينها وبين تلك الإطلاقات من قبيل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وصدق الامتثال مرجّحة لها ، فالاحتياط فيه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الطلب عمدا ، فإن تيمم في السعة فالظاهر فساده ؛ لعدم إتيانه به على النحو المشروع سواء كان الماء موجودا في الغلوات أو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مما لا يمكنه الوصول إليه ؛ لظهور توقف التيمّم على الطلب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ساهيا في تركه أو ناسيا ففي صحة تيممه وجهان من سقوط التكليف بالطلب ، </w:t>
      </w:r>
    </w:p>
    <w:p>
      <w:pPr>
        <w:pStyle w:val="BookText"/>
        <w:rPr/>
      </w:pPr>
      <w:r>
        <w:rPr>
          <w:rFonts w:ascii="Amiri" w:hAnsi="Amiri" w:eastAsia="Amiri" w:cs="Amiri"/>
          <w:color w:val="111111"/>
          <w:sz w:val="28"/>
          <w:sz w:val="28"/>
          <w:szCs w:val="28"/>
          <w:rtl w:val="true"/>
          <w:lang w:bidi="ar-SA"/>
        </w:rPr>
        <w:t>ومن أن ذلك عذر يسقط به العقاب والمؤاخذة فلا يترتب عليه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الثاني ؛ إذ الظاهر من الرواية وكلام الطائفة ثبوت الشرطية ، فبسقوطها بسبب العذر المذكور يحتاج إلى الدليل ، وإلحاقه بعدم المكنة من جهة الخوف من اللصّ وغيره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موثقة أبي بصير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سفر وكان معه ماء ، فنسيه وتيمم وصلّى ، ثم ذكر أن معه ماء قبل أن يخرج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أن يتوضأ ويعيد الصلاة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والمحقق البناء على الصحة في صورة نسيان الماء ، واستدل له بعموم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الخطأ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في المقام بين كون الماء بحيث يمكنه تحصيله بالطلب ، ومن لا يكون كذلك ، فعلى الثاني يبنى على الصحة لتحقق عدم الوجدان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من </w:t>
      </w:r>
      <w:r>
        <w:rPr>
          <w:rStyle w:val="FootnoteAnchor"/>
          <w:rtl w:val="true"/>
        </w:rPr>
        <w:footnoteReference w:id="939"/>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ضاق الوقت عن الطلب رأسا فالظاهر صحة الفعل وعدم لزوم الإعادة ؛ لسقوط الطلب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الماء بحيث لو علم به تمكن من استعماله لتحقق عدم الوجدان في تلك الحال من غير فرق بين تركه متعمدا أو ساهيا ، ولا كونه ناسيا للماء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الشيخ الحكم بلزوم الإعادة فيمن ترك الطلب ، وقد كان ناسيا للماء في رحله ، فعلى ظاهر كلامه يجب الحكم بالإعادة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فيه موثقة أبي بصير المتقدمة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ترى لا تدلّ عليه بوجه ، فالأظهر ما قلناه وفاقا لجماعة من المتأخرين منهم صاحب المدارك ؛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أنه مجال للقول بسقوط التكليف بالأداء إلحاقا له بفاقد الطهورين المتعمد لفقدهما بعده عن مفاد الأدلة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مع الأداء بعيد أيضا ، بل لا نظير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موجودا عنده فأخلّ باستعماله حتى ضاق الوقت عن الطهارة المائية ففي الانتقال إلى التيمّم وإدراك الأداء أو التطهير بالماء والبناء على القضاء قولان ، أوّلهما مختار العلّامة وجماعة ، والثاني مختار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ذلك من جهة عدم اتّساع الوقت للطهارة المائية نفسها أو من جهة مقدماتها كإزالة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جهة إزالة المانع عن وصول الماء ، فالظاهر حينئذ سقوط غسل محلّ المانع كما مرّ إلا أن يستوعب العضو ، ففيه الإشكال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قلناه الإطلاقات الدالّة على تعيين التيمّم عند عدم التمكن من الماء ، والمفروض عدم حصول التمكن لفوت الصلاة بفعل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لا ذلك لوجب القول بسقوط الصلاة إذن أو تكليفه بها من دون طهارة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واضح الفساد ، والأول مخالف للأخبار ، ولما هو معلوم من أن مشروعية التيمّم إنما هو لأجل عدم فوت الأداء ، وإلا لجاز ترك الصلاة ، وانتظار حصول الماء للتمكن منه غالبا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نفسه سببا لفوت المائيّة اختيارا لا يوجب الفرق ؛ إذ غاية الأمر حصول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جواز التيمّم في مثله ولو كان من 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استيقظ في آخر الوقت بحيث لم يمكنه إدراك الصلاة إلا متيمما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سيّما إذا كان من جهة بعض مقدمات تحصيل الماء كاستقائه من البئر ونحوه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انتفاء الخلاف في هذه الصورة ؛ إذ لو أوجب السعي إلى الماء خروج الوقت تعيّن التيمّم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القريب والبعيد في ذلك مما لا يعقل فارقا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بما ذكر ضعف ما حكي عن المحقق الكركي </w:t>
      </w:r>
      <w:r>
        <w:rPr>
          <w:rStyle w:val="FootnoteAnchor"/>
          <w:rtl w:val="true"/>
        </w:rPr>
        <w:footnoteReference w:id="940"/>
      </w:r>
      <w:r>
        <w:rPr>
          <w:rFonts w:ascii="Amiri" w:hAnsi="Amiri" w:eastAsia="Amiri" w:cs="Amiri"/>
          <w:color w:val="111111"/>
          <w:sz w:val="28"/>
          <w:sz w:val="28"/>
          <w:szCs w:val="28"/>
          <w:rtl w:val="true"/>
          <w:lang w:bidi="ar-SA"/>
        </w:rPr>
        <w:t>من التفصيل بين ما إذا كان الماء حاضرا عنده ولم يتمكن من المائية من جهة ضيق الوقت وما إذا لم يكن الماء عنده بحيث لو سعى إليه فات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إذا كان المناط في الوجدان هو التمكن من الاستعمال وإدراك الوقت فهو غير حاصل في المقامين ، وإن كان عدم صدق القدرة على الماء وجدانه فلا فرق أيضا إلّا أن يكون بعيدا عنه جدّا بحيث لا يعدّ في العرف واجدا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يجري الكلام المذكور في سائر شرائط الصلاة المذكور الساقطة حال الاضطرار كطهارة الثوب أو البدن والساتر وتعلّم القراءة والعلة ، والظاهر في الجميع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على القول الآخر فسادها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من الماء ما لا يكفيه إلا لبعض أعضائه انتقل الحكم إلى التيمّم بلا خلاف فيه ظاهرا ، ومحكيا في ظاهر منتهى المطلب </w:t>
      </w:r>
      <w:r>
        <w:rPr>
          <w:rStyle w:val="FootnoteAnchor"/>
          <w:rtl w:val="true"/>
        </w:rPr>
        <w:footnoteReference w:id="941"/>
      </w:r>
      <w:r>
        <w:rPr>
          <w:rFonts w:ascii="Amiri" w:hAnsi="Amiri" w:eastAsia="Amiri" w:cs="Amiri"/>
          <w:color w:val="111111"/>
          <w:sz w:val="28"/>
          <w:sz w:val="28"/>
          <w:szCs w:val="28"/>
          <w:rtl w:val="true"/>
          <w:lang w:bidi="ar-SA"/>
        </w:rPr>
        <w:t>وذكرى الشيعة حيث نسباه إلى علمائنا بل ظاهرهما حكاية الإجماع على سقوط غسل البعض أيضا حيث جعلاه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يحكى عن الشيخ في بعض أقواله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 سواء أريد به البعض في الغسل خاصة وإن أتى بالتيمم تامّا أو الاكتفاء به عن الكلّ أو التبعيض بين المائية والترابية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المعتبرة المستفيضة على سقوط الغسل مع انتفاء ما يكفيه من الماء لغسله وإن كفى للوضوء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أخلّ </w:t>
      </w:r>
      <w:r>
        <w:rPr>
          <w:rStyle w:val="FootnoteAnchor"/>
          <w:rtl w:val="true"/>
        </w:rPr>
        <w:footnoteReference w:id="942"/>
      </w:r>
      <w:r>
        <w:rPr>
          <w:rFonts w:ascii="Amiri" w:hAnsi="Amiri" w:eastAsia="Amiri" w:cs="Amiri"/>
          <w:color w:val="111111"/>
          <w:sz w:val="28"/>
          <w:sz w:val="28"/>
          <w:szCs w:val="28"/>
          <w:rtl w:val="true"/>
          <w:lang w:bidi="ar-SA"/>
        </w:rPr>
        <w:t xml:space="preserve">في خصوص الغسل ؛ نظرا إلى عدم اشتراطها بالموالاة حصول الماء </w:t>
      </w:r>
    </w:p>
    <w:p>
      <w:pPr>
        <w:pStyle w:val="BookText"/>
        <w:rPr/>
      </w:pPr>
      <w:r>
        <w:rPr>
          <w:rFonts w:ascii="Amiri" w:hAnsi="Amiri" w:eastAsia="Amiri" w:cs="Amiri"/>
          <w:color w:val="111111"/>
          <w:sz w:val="28"/>
          <w:sz w:val="28"/>
          <w:szCs w:val="28"/>
          <w:rtl w:val="true"/>
          <w:lang w:bidi="ar-SA"/>
        </w:rPr>
        <w:t xml:space="preserve">بالتدريج بحيث يدرك آخر الوقت متطهرا تعيّن غسل البعض والانتظار ، وإن كان بحيث يلحقه الباقي بعد خروج الوقت لم يجب عليه ذلك ، وإن أدرك به الصلاة اللاحقة إذ لا يجب </w:t>
      </w:r>
      <w:r>
        <w:rPr>
          <w:rStyle w:val="FootnoteAnchor"/>
          <w:rtl w:val="true"/>
        </w:rPr>
        <w:footnoteReference w:id="943"/>
      </w:r>
      <w:r>
        <w:rPr>
          <w:rFonts w:ascii="Amiri" w:hAnsi="Amiri" w:eastAsia="Amiri" w:cs="Amiri"/>
          <w:color w:val="111111"/>
          <w:sz w:val="28"/>
          <w:sz w:val="28"/>
          <w:szCs w:val="28"/>
          <w:rtl w:val="true"/>
          <w:lang w:bidi="ar-SA"/>
        </w:rPr>
        <w:t>الطهارة لها قبل دخول وقتها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اللحوق في الوقت ففي وجوب استعماله مع عدم إمكان حفظه وانتظار آخر الوقت وجهان ؛ احتمله العلّامة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الوجهان في وجوب حفظ ذلك الماء لو أمكن مع احتمال حصول ما يكمله خاصة للوضوء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 عليه كلّ من الوضوء والغسل وكفى الماء لإحدى الطهارتين فلا تأمل في وجوب الإتيان به والتيمّم للأخرى ، ولو اكتفى به لكلّ من الغسل والوضوء منفردا فالظاهر تقديم الغسل والتيمّم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إذن تقديم الغسل على التيمّم ، واحتمل بعضهم التخيير بين الأمرين لكون كل منهما فرضا مستقلا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الاكتفاء بما يجده من الماء على فرجه بالمضاف على وجه لا يسلبه الإطلاق ففي وجوب ذلك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مختار الشيخ ؛ لصدق عدم وجدان الماء المعتبر في مشروعية التيمّم ، والتمكن من إيجاد الماء ليس وجدانا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يميل كلام فخر المحققين واختاره بعض المتأخرين ، وقطع العلّامة في المختلف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صدق التمكن من الماء وأنّ الطهارة بالماء واجبة ، فيجب مقدمته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شرط التيمّم في الآية ليس مطلق عدم التمكن ، بل عدم الوجدان المتحقق في المقام وأن وجدان الماء من شرائط وجوب المائية ، فلا يجب إيجاده لأجلها ؛ لعدم وجوب مقدار الواجب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أن الظاهر من الوجدان في المقام هو التمكن من الماء كيف كان كما يومي </w:t>
      </w:r>
      <w:r>
        <w:rPr>
          <w:rStyle w:val="FootnoteAnchor"/>
          <w:rtl w:val="true"/>
        </w:rPr>
        <w:footnoteReference w:id="944"/>
      </w:r>
      <w:r>
        <w:rPr>
          <w:rFonts w:ascii="Amiri" w:hAnsi="Amiri" w:eastAsia="Amiri" w:cs="Amiri"/>
          <w:color w:val="111111"/>
          <w:sz w:val="28"/>
          <w:sz w:val="28"/>
          <w:szCs w:val="28"/>
          <w:rtl w:val="true"/>
          <w:lang w:bidi="ar-SA"/>
        </w:rPr>
        <w:t>إطلاق الأمر بالوضوء والغسل مقدّما عليه القاضي بوجوب تحصيل مقدمته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أيضا معلوم في المقام من فتاوى الأصحاب ، وكأنّ ذلك هو الوجه في حمل الآية على ذلك كما حكي من أساطين المفسّرين كالطبرسي والزمخشري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فيدفع الإيرادان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لا ذلك لما وجب إذابة الثلج ونحوه ؛ لعدم وجود الماء عنده قبلها ، ولما وجب الوصول إليه من الأماكن البعيدة أو حفر البئر لإخراجه مع عدم صدق الوجدان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يرد </w:t>
      </w:r>
      <w:r>
        <w:rPr>
          <w:rStyle w:val="FootnoteAnchor"/>
          <w:rtl w:val="true"/>
        </w:rPr>
        <w:footnoteReference w:id="945"/>
      </w:r>
      <w:r>
        <w:rPr>
          <w:rFonts w:ascii="Amiri" w:hAnsi="Amiri" w:eastAsia="Amiri" w:cs="Amiri"/>
          <w:color w:val="111111"/>
          <w:sz w:val="28"/>
          <w:sz w:val="28"/>
          <w:szCs w:val="28"/>
          <w:rtl w:val="true"/>
          <w:lang w:bidi="ar-SA"/>
        </w:rPr>
        <w:t xml:space="preserve">على ذلك من بيان الفارق من الوصول إلى الماء الموجود بحفر ونحوه ، وبين إيجاده بعد عدمه بيّن الوهم ؛ لعدم تعليق التيمّم في الآية لوجود الماء ليتمّ الفرق المذكور ، وإنما المعلّق عليه الوجدان </w:t>
      </w:r>
      <w:r>
        <w:rPr>
          <w:rStyle w:val="FootnoteAnchor"/>
          <w:rtl w:val="true"/>
        </w:rPr>
        <w:footnoteReference w:id="946"/>
      </w:r>
      <w:r>
        <w:rPr>
          <w:rFonts w:ascii="Amiri" w:hAnsi="Amiri" w:eastAsia="Amiri" w:cs="Amiri"/>
          <w:color w:val="111111"/>
          <w:sz w:val="28"/>
          <w:sz w:val="28"/>
          <w:szCs w:val="28"/>
          <w:rtl w:val="true"/>
          <w:lang w:bidi="ar-SA"/>
        </w:rPr>
        <w:t>، وهو غير متحقق قبل الوصول إليه بالأسباب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الماء قريبا منه أمكن القول بصدقه ، وهو غير مورد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يتمّ فيما ذكرناه من إذابة الثلج لعدم وجود مسمّى الماء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 الماء قبل الوقت فإن علم بعد الوقت عدم تجدّد شي‌ء اكتفى به ، ولو احتمل تجدّده لزمه تجديد الطلب في وجه قويّ ؛ إذ الأمر بالطلب إنما هو بعد دخول الوقت والاكتفاء بما قبله </w:t>
      </w:r>
      <w:r>
        <w:rPr>
          <w:rStyle w:val="FootnoteAnchor"/>
          <w:rtl w:val="true"/>
        </w:rPr>
        <w:footnoteReference w:id="947"/>
      </w:r>
      <w:r>
        <w:rPr>
          <w:rFonts w:ascii="Amiri" w:hAnsi="Amiri" w:eastAsia="Amiri" w:cs="Amiri"/>
          <w:color w:val="111111"/>
          <w:sz w:val="28"/>
          <w:sz w:val="28"/>
          <w:szCs w:val="28"/>
          <w:rtl w:val="true"/>
          <w:lang w:bidi="ar-SA"/>
        </w:rPr>
        <w:t>غير معلوم ، فينبغي على عدمه لو طلب لصلاة واحدة ، فالظاهر الاكتفاء به لما يأتي من الصلاة حضر وقتها أولا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الفاضل في عدة من كتبه بلزوم إعادة الطلب لما دخل وقتها ما لم يعلم عدم تجدّد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لزوم الطلب له أيضا ، فلا يسقط بالطلب لغيره إلا مع العلم بعدم التجدد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ويدفعه أن لزوم الطلب إنما هو لأجل التيمّم من غير مدخليّة فيه للصلاة ، فإذا صحّ تيمّمه أتى به ما شاء من الصلوات ما لم يجد ماء كما هو قضية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به أيضا لو تيمّم قبل الوقت لغير الصلاة فدخل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بدنه نجاسة وكان محدثا ولم يكن له من الماء ما يكفيه للأمرين ، فإن كانت النجاسة في محلّ الطهارة فلا تأمّل في تقديم الإزالة ، وإن كانت في غيره فالمعروف بين الأصحاب تقديم 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948"/>
      </w:r>
      <w:r>
        <w:rPr>
          <w:rFonts w:ascii="Amiri" w:hAnsi="Amiri" w:eastAsia="Amiri" w:cs="Amiri"/>
          <w:color w:val="111111"/>
          <w:sz w:val="28"/>
          <w:sz w:val="28"/>
          <w:szCs w:val="28"/>
          <w:rtl w:val="true"/>
          <w:lang w:bidi="ar-SA"/>
        </w:rPr>
        <w:t xml:space="preserve">كالمحكيّ عن المعتبر والمنتهى </w:t>
      </w:r>
      <w:r>
        <w:rPr>
          <w:rStyle w:val="FootnoteAnchor"/>
          <w:rtl w:val="true"/>
        </w:rPr>
        <w:footnoteReference w:id="949"/>
      </w:r>
      <w:r>
        <w:rPr>
          <w:rFonts w:ascii="Amiri" w:hAnsi="Amiri" w:eastAsia="Amiri" w:cs="Amiri"/>
          <w:color w:val="111111"/>
          <w:sz w:val="28"/>
          <w:sz w:val="28"/>
          <w:szCs w:val="28"/>
          <w:rtl w:val="true"/>
          <w:lang w:bidi="ar-SA"/>
        </w:rPr>
        <w:t>الإجماع عليه ؛ نظرا إلى وجود بدله بخلاف الإزالة إلا أن المفروض فيها خصوص التيمّم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التعليل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التذكرة إجماع الطائفة عليه حيث حكى الخلاف فيه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الوجه المذكور بأن الانتقال إلى تبدّل الماهية مشروط بعدم وجدان الماء ، والمفروض حصوله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صرفه في الإزالة إنما يكون مانعا بعد ثبوته ، وليس ذلك أولى من القول بسقوط وجوب الإزالة المشروطة بالوجدان من جهة وجوب رفع الحدث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كلّا من رفع الحدث وإزالة الجنب مشروط بالتمكن من الماء ، والمفروض حصوله لأحدهما ، فالترجيح متوقف على الدليل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مجرّد البدل المترتب على عدم وجدان الماء لا يكفي مرجّحا ، فقضية الأصل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تأمّل بعض المتأخرين في الحكم المذكور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بأن وجود البدل من المائية قد يعطي مزيد عناية الشرع إذن بالإزالة </w:t>
      </w:r>
      <w:r>
        <w:rPr>
          <w:rStyle w:val="FootnoteAnchor"/>
          <w:rtl w:val="true"/>
        </w:rPr>
        <w:footnoteReference w:id="950"/>
      </w:r>
      <w:r>
        <w:rPr>
          <w:rFonts w:ascii="Amiri" w:hAnsi="Amiri" w:eastAsia="Amiri" w:cs="Amiri"/>
          <w:color w:val="111111"/>
          <w:sz w:val="28"/>
          <w:sz w:val="28"/>
          <w:szCs w:val="28"/>
          <w:rtl w:val="true"/>
          <w:lang w:bidi="ar-SA"/>
        </w:rPr>
        <w:t xml:space="preserve">الخالية عنه ، فيقدّم عليه ، مضافا إلى الإجماعات المحكية عليه وموافقة للاحتياط ، والأحوط </w:t>
      </w:r>
    </w:p>
    <w:p>
      <w:pPr>
        <w:pStyle w:val="BookText"/>
        <w:rPr/>
      </w:pPr>
      <w:r>
        <w:rPr>
          <w:rFonts w:ascii="Amiri" w:hAnsi="Amiri" w:eastAsia="Amiri" w:cs="Amiri"/>
          <w:color w:val="111111"/>
          <w:sz w:val="28"/>
          <w:sz w:val="28"/>
          <w:szCs w:val="28"/>
          <w:rtl w:val="true"/>
          <w:lang w:bidi="ar-SA"/>
        </w:rPr>
        <w:t>إذن الإتيان بالإزالة أوّلا ثم التيمّم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يذهب عليك أن ذلك إنما هو مع التمكن من التيمّم ، ولو من آخر مراتبه في وجه قوي ، وأما مع العجز عنه مطلق </w:t>
      </w:r>
      <w:r>
        <w:rPr>
          <w:rStyle w:val="FootnoteAnchor"/>
          <w:rtl w:val="true"/>
        </w:rPr>
        <w:footnoteReference w:id="951"/>
      </w:r>
      <w:r>
        <w:rPr>
          <w:rFonts w:ascii="Amiri" w:hAnsi="Amiri" w:eastAsia="Amiri" w:cs="Amiri"/>
          <w:color w:val="111111"/>
          <w:sz w:val="28"/>
          <w:sz w:val="28"/>
          <w:szCs w:val="28"/>
          <w:rtl w:val="true"/>
          <w:lang w:bidi="ar-SA"/>
        </w:rPr>
        <w:t>فلا شبهة في تقديم الرفع</w:t>
      </w:r>
      <w:r>
        <w:rPr>
          <w:rFonts w:eastAsia="Amiri" w:cs="Amiri" w:ascii="Amiri" w:hAnsi="Amiri"/>
          <w:color w:val="111111"/>
          <w:sz w:val="28"/>
          <w:szCs w:val="28"/>
          <w:rtl w:val="true"/>
          <w:lang w:bidi="ar-SA"/>
        </w:rPr>
        <w:t xml:space="preserve">. </w:t>
      </w:r>
      <w:bookmarkStart w:id="254" w:name="pg15839_360841"/>
    </w:p>
    <w:p>
      <w:pPr>
        <w:pStyle w:val="Heading5"/>
        <w:numPr>
          <w:ilvl w:val="4"/>
          <w:numId w:val="1"/>
        </w:numPr>
        <w:rPr/>
      </w:pPr>
      <w:bookmarkStart w:id="255" w:name="__RefHeading___Toc14338483_2142443653"/>
      <w:bookmarkStart w:id="256" w:name="_Toc94"/>
      <w:bookmarkEnd w:id="254"/>
      <w:bookmarkEnd w:id="255"/>
      <w:r>
        <w:rPr>
          <w:rtl w:val="true"/>
        </w:rPr>
        <w:t>تبصرة</w:t>
      </w:r>
      <w:r>
        <w:rPr>
          <w:rtl w:val="true"/>
        </w:rPr>
        <w:t xml:space="preserve">: [ </w:t>
      </w:r>
      <w:r>
        <w:rPr>
          <w:rtl w:val="true"/>
        </w:rPr>
        <w:t xml:space="preserve">في عدم الوصول إلى الماء </w:t>
      </w:r>
      <w:r>
        <w:rPr>
          <w:rtl w:val="true"/>
        </w:rPr>
        <w:t>]</w:t>
      </w:r>
      <w:bookmarkEnd w:id="256"/>
    </w:p>
    <w:p>
      <w:pPr>
        <w:pStyle w:val="BookText"/>
        <w:rPr/>
      </w:pPr>
      <w:r>
        <w:rPr>
          <w:rFonts w:ascii="Amiri" w:hAnsi="Amiri" w:eastAsia="Amiri" w:cs="Amiri"/>
          <w:color w:val="111111"/>
          <w:sz w:val="28"/>
          <w:sz w:val="28"/>
          <w:szCs w:val="28"/>
          <w:rtl w:val="true"/>
          <w:lang w:bidi="ar-SA"/>
        </w:rPr>
        <w:t>من أسباب العجز عن الماء عدم الوصلة إليه وإن وجد ، ككونه في بئر لا آلة له في الوصول إليه أو عند شخص لا يبذله له لا ببيع ولا غيره أو لا يكون واجدا لثمنه أو يكون بينه وبين الماء مسافة يكون عليه حرج في قطعه وإن كان قريبا كما إذا كان مريضا لا يمكنه المشي ، ونحو ذلك مع عدم التمكن من إرسال الغير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المبحث يتمّ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في بئر ولا آلة يتمكن من الاغتراف ولم يتمكن من الوصول إلى الماء إلّا </w:t>
      </w:r>
      <w:r>
        <w:rPr>
          <w:rStyle w:val="FootnoteAnchor"/>
          <w:rtl w:val="true"/>
        </w:rPr>
        <w:footnoteReference w:id="952"/>
      </w:r>
      <w:r>
        <w:rPr>
          <w:rFonts w:ascii="Amiri" w:hAnsi="Amiri" w:eastAsia="Amiri" w:cs="Amiri"/>
          <w:color w:val="111111"/>
          <w:sz w:val="28"/>
          <w:sz w:val="28"/>
          <w:szCs w:val="28"/>
          <w:rtl w:val="true"/>
          <w:lang w:bidi="ar-SA"/>
        </w:rPr>
        <w:t xml:space="preserve">بمشقة وهو </w:t>
      </w:r>
      <w:r>
        <w:rPr>
          <w:rStyle w:val="FootnoteAnchor"/>
          <w:rtl w:val="true"/>
        </w:rPr>
        <w:footnoteReference w:id="953"/>
      </w:r>
      <w:r>
        <w:rPr>
          <w:rFonts w:ascii="Amiri" w:hAnsi="Amiri" w:eastAsia="Amiri" w:cs="Amiri"/>
          <w:color w:val="111111"/>
          <w:sz w:val="28"/>
          <w:sz w:val="28"/>
          <w:szCs w:val="28"/>
          <w:rtl w:val="true"/>
          <w:lang w:bidi="ar-SA"/>
        </w:rPr>
        <w:t>بنفسه تيمم بلا خلاف فيه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منتهى المطلب أنه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ظاهرا ومحكيا ، وما دلّ على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المستفيضة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بالركية وليس معه دلو؟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أن يدخل الركية لأنّ رب الماء هو رب الأرض فليتيمم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منه ما في الصحيحة الأخرى ، وحسنة الحسين بن أبي العلاء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هذه الأخبار محمول على ما هو الغالب من تفسير النزول إلى البئر أو منّة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بالنفس ، فلو صلّى عن ذلك فالظاهر وجوبه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جنبا ولم يكن عنده آنية يكتفي بما يغرف بها ، فظاهر الصحيحة الثانية المنع عن النزول في الماء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تقع في البئر ولا تفسد على القوم ماءهم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مبني على نجاسة البئر ، وعلى استكراه منه ، فيوجب الضرر على الناس أو كان في وقوعه إفساد للماء بوجه آخر كانخباطه بالطين وإفساده بالتغيّر مع كون الماء ملكا للغير أو كونه في تصرفهم أو وقفا يوجب ذلك ، ولا ضرار بالموقوف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خلي من جميع ما ذكر فالظاهر وجوب النزول ؛ أخذا باطلاق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البئر ملكا له وأوجب النزول فيه نقصا فيه من جهة المالية دار مدار الإضرار بحاله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أمكنه تكليف الغير بالنزول من دون تحمل منّة </w:t>
      </w:r>
      <w:r>
        <w:rPr>
          <w:rStyle w:val="FootnoteAnchor"/>
          <w:rtl w:val="true"/>
        </w:rPr>
        <w:footnoteReference w:id="958"/>
      </w:r>
      <w:r>
        <w:rPr>
          <w:rFonts w:ascii="Amiri" w:hAnsi="Amiri" w:eastAsia="Amiri" w:cs="Amiri"/>
          <w:color w:val="111111"/>
          <w:sz w:val="28"/>
          <w:sz w:val="28"/>
          <w:szCs w:val="28"/>
          <w:rtl w:val="true"/>
          <w:lang w:bidi="ar-SA"/>
        </w:rPr>
        <w:t>منه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طلب منه الأجرة إن لم يكن مضرة بحاله وإن أجحف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الآلة الموصلة إلى الماء استعارة أو استيجارا أو شراء ،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أمر مملوكه فالظاهر أنه يدور مدار المشقة والحرج بالنسبة إليه ، فإن ثبت سقط عنه التكليف ؛ إذ لا يجب تكليفه بما يوجب الحرج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حفر طريق إلى الماء بنفسه أو معاونة غيره بما لا ضرر عليه وجب إن كان الأرض ملكه أو مباحا أو تمكن من استيذان المالك ، ولو توقف ذلك على اجتماع الجماعة الفاقدين على الحفر من دون تمكن كل منهم بذلك ، فإن أقدم بذلك من يكتفي بمعونتهم وجب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عليهم الاجتماع من أوّل الأمر؟ وجهان من عدم حصول المكنة بالنسبة إلى كلّ واحد ، وحصولها مع الاجتماع ، فيجب من باب المقدمة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الأظهر ، فعلى هذا يجب عليه إجبار الباقين مع التخلف إن تمكن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الكلام المذكور بالنسبة إلى سائر أسباب الوصلة كشراء الماء أو الآلة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لو كان عند كلّ منهم قطعة حبل ونحوه يتمكن بوصل الجميع من الوصول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الوصول إلى الماء بشدّ الثياب بعضها إلى بعض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على شقّ بعضها وجب مع انتفاء النقص المتفاحش وإلّا فإن أضرّ بحاله وسقط أو مع عدمه ففيه وجهان ؛ من توقف الواجب عليه ، ومن كونه تضييعا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ما ذكر فيما إذا توقف سعيه إلى الماء على إتلاف بعض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موجودا وعدم الثمن الذي يرضي صاحبه بنقله به فهو كفاقد الماء ، وهو مما لا خلاف فيه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تمكّن من اكتساب الثمن وجب عليه من باب المقدمة إن وفي الوقت به ، وإلا فلا وجوب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تمكن من الاقتراض أو الشراء نسيئة فإن كان له بعد ذلك ما يفي به من دون إضراره بحاله وجب ، والقول بكون نفس القرض ضررا فاسدا وإن لم يكن له ذلك ، وكان له مظنة بحصوله ولو من الزكاة ونحوها فالظاهر أنه كذلك ، وإلا فالظاهر عدم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بدوران الأمر مدار الإعسار </w:t>
      </w:r>
      <w:r>
        <w:rPr>
          <w:rStyle w:val="FootnoteAnchor"/>
          <w:rtl w:val="true"/>
        </w:rPr>
        <w:footnoteReference w:id="959"/>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تمكن من الثمن وكان دفعه مضرا بحاله فالمعروف بينهم سقوط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المعتبر إلى الأصحاب مؤذنا </w:t>
      </w:r>
      <w:r>
        <w:rPr>
          <w:rStyle w:val="FootnoteAnchor"/>
          <w:rtl w:val="true"/>
        </w:rPr>
        <w:footnoteReference w:id="960"/>
      </w:r>
      <w:r>
        <w:rPr>
          <w:rFonts w:ascii="Amiri" w:hAnsi="Amiri" w:eastAsia="Amiri" w:cs="Amiri"/>
          <w:color w:val="111111"/>
          <w:sz w:val="28"/>
          <w:sz w:val="28"/>
          <w:szCs w:val="28"/>
          <w:rtl w:val="true"/>
          <w:lang w:bidi="ar-SA"/>
        </w:rPr>
        <w:t>باتفاقهم عليه ، فإن كان الضرر المفروض بدنيّا أو عرضيا في الحال أو في المال فلا تأمل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خوفا من تلف ماله الآخر بما لا يعدّ ضررا في العرف في </w:t>
      </w:r>
      <w:r>
        <w:rPr>
          <w:rStyle w:val="FootnoteAnchor"/>
          <w:rtl w:val="true"/>
        </w:rPr>
        <w:footnoteReference w:id="961"/>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المضرّ بحاله مجرّد الثمن المدفوع ، فالظاهر أنه كذلك ، وهو المعروف من مذهبهم </w:t>
      </w:r>
    </w:p>
    <w:p>
      <w:pPr>
        <w:pStyle w:val="BookText"/>
        <w:rPr/>
      </w:pPr>
      <w:r>
        <w:rPr>
          <w:rFonts w:ascii="Amiri" w:hAnsi="Amiri" w:eastAsia="Amiri" w:cs="Amiri"/>
          <w:color w:val="111111"/>
          <w:sz w:val="28"/>
          <w:sz w:val="28"/>
          <w:szCs w:val="28"/>
          <w:rtl w:val="true"/>
          <w:lang w:bidi="ar-SA"/>
        </w:rPr>
        <w:t>كما عرفت ؛ لما دلّ على نفي الضرر والحرج حيث إن ذلك من أعظم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ويظهر من ملاحظة الأخبار الانتقال إلى التيمّم بأدنى ضرر ، بل والخوف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وابن سعيد دورانه مدار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ملاحظة الإضرار إلا أنه لا </w:t>
      </w:r>
      <w:r>
        <w:rPr>
          <w:rStyle w:val="FootnoteAnchor"/>
          <w:rtl w:val="true"/>
        </w:rPr>
        <w:footnoteReference w:id="962"/>
      </w:r>
      <w:r>
        <w:rPr>
          <w:rFonts w:ascii="Amiri" w:hAnsi="Amiri" w:eastAsia="Amiri" w:cs="Amiri"/>
          <w:color w:val="111111"/>
          <w:sz w:val="28"/>
          <w:sz w:val="28"/>
          <w:szCs w:val="28"/>
          <w:rtl w:val="true"/>
          <w:lang w:bidi="ar-SA"/>
        </w:rPr>
        <w:t>يأبى الحمل على ما ذكرناه ، وقد أفتى بظاهره بعض المتأخرين مصرّحا بوجوب الشراء وإن كان مضرا بحاله ؛ لتمكنه من الشراء ،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بظاهر الإطلاقات الآتية </w:t>
      </w:r>
      <w:r>
        <w:rPr>
          <w:rStyle w:val="FootnoteAnchor"/>
          <w:rtl w:val="true"/>
        </w:rPr>
        <w:footnoteReference w:id="963"/>
      </w:r>
      <w:r>
        <w:rPr>
          <w:rFonts w:ascii="IRNazanin" w:hAnsi="IRNazanin" w:eastAsia="IRNazanin"/>
          <w:color w:val="111111"/>
          <w:sz w:val="28"/>
          <w:sz w:val="28"/>
          <w:szCs w:val="28"/>
          <w:rtl w:val="true"/>
          <w:lang w:bidi="fa-IR"/>
        </w:rPr>
        <w:t xml:space="preserve">وإطلاقات </w:t>
      </w:r>
      <w:r>
        <w:rPr>
          <w:rStyle w:val="FootnoteAnchor"/>
          <w:rtl w:val="true"/>
        </w:rPr>
        <w:footnoteReference w:id="964"/>
      </w:r>
      <w:r>
        <w:rPr>
          <w:rFonts w:ascii="Amiri" w:hAnsi="Amiri" w:eastAsia="Amiri" w:cs="Amiri"/>
          <w:color w:val="111111"/>
          <w:sz w:val="28"/>
          <w:sz w:val="28"/>
          <w:szCs w:val="28"/>
          <w:rtl w:val="true"/>
          <w:lang w:bidi="ar-SA"/>
        </w:rPr>
        <w:t>الآية الشريفة وغيرها ، وهي منزلة على صورة عدم الإضرار بالحال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انحصر طهوره بذلك بأن كان فاقدا للتراب فقد يقال بتعيّن الشراء عليه ؛ لفقدان البدل وشدّة اهتمام الشرع بأمر الصلاة إلا أنه لا يبعد إلحاقه بفاقد الطهورين ، فلو دار أمره إذن بين شراء الماء أو التراب وكان دفع قيمة الماء مضرّا بحاله تعيّن شراء التراب وإن لم يكن الضرر منوطا بالتفاوت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ملكه فباعه بأضعاف قيمته ، فهل يجب عليه الفسخ لو رضي الآخر به أو كان له خيار في الفسخ إذا كان الفسخ مضرّا بحاله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ما ذكرناه عدم الفرق بين كونه زائدا على قيمة مثله في ذلك المكان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يفرق بين كونه مالكا لنفس الماء وقيمته ، فيجب على الأول صرفه في الطهارة ، ولا يجب شراؤه بالقيمة فتأمل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مضرا بحاله وبلغ حدّ الاجحاف فذهب جماعة من الأصحاب منهم الفاضلان والشهيد إلى سقوطه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Style w:val="FootnoteAnchor"/>
          <w:rtl w:val="true"/>
        </w:rPr>
        <w:footnoteReference w:id="965"/>
      </w:r>
      <w:r>
        <w:rPr>
          <w:rFonts w:ascii="Amiri" w:hAnsi="Amiri" w:eastAsia="Amiri" w:cs="Amiri"/>
          <w:color w:val="111111"/>
          <w:sz w:val="28"/>
          <w:sz w:val="28"/>
          <w:szCs w:val="28"/>
          <w:rtl w:val="true"/>
          <w:lang w:bidi="ar-SA"/>
        </w:rPr>
        <w:t>من الضرر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966"/>
      </w:r>
      <w:r>
        <w:rPr>
          <w:rFonts w:ascii="Amiri" w:hAnsi="Amiri" w:eastAsia="Amiri" w:cs="Amiri"/>
          <w:color w:val="111111"/>
          <w:sz w:val="28"/>
          <w:sz w:val="28"/>
          <w:szCs w:val="28"/>
          <w:rtl w:val="true"/>
          <w:lang w:bidi="ar-SA"/>
        </w:rPr>
        <w:t xml:space="preserve">في المعتبر </w:t>
      </w:r>
      <w:r>
        <w:rPr>
          <w:rStyle w:val="FootnoteAnchor"/>
          <w:rtl w:val="true"/>
        </w:rPr>
        <w:footnoteReference w:id="967"/>
      </w:r>
      <w:r>
        <w:rPr>
          <w:rFonts w:ascii="IRNazanin" w:hAnsi="IRNazanin" w:eastAsia="IRNazanin"/>
          <w:color w:val="111111"/>
          <w:sz w:val="28"/>
          <w:sz w:val="28"/>
          <w:szCs w:val="28"/>
          <w:rtl w:val="true"/>
          <w:lang w:bidi="fa-IR"/>
        </w:rPr>
        <w:t xml:space="preserve">بعد ما </w:t>
      </w:r>
    </w:p>
    <w:p>
      <w:pPr>
        <w:pStyle w:val="BookText"/>
        <w:rPr/>
      </w:pPr>
      <w:r>
        <w:rPr>
          <w:rFonts w:ascii="IRNazanin" w:hAnsi="IRNazanin" w:eastAsia="IRNazanin"/>
          <w:color w:val="111111"/>
          <w:sz w:val="28"/>
          <w:sz w:val="28"/>
          <w:szCs w:val="28"/>
          <w:rtl w:val="true"/>
          <w:lang w:bidi="fa-IR"/>
        </w:rPr>
        <w:t>جعل السقوط دائرا مدار الإجحاف 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عليه بأن من خشي من لصّ أخذ ما يجحف به لم يجب السعي وتعريض المال للتلف ، وإذا تيمم هناك دفعا للضرر جاز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رواية يعقوب بن سالم الدالة على عدم وجوب السعي إلى الماء وعلى غلوتين من يمين الطريق ويساره أو نحوهما لئلا يغرر بنفسه ، فيعرض له لص أو سبع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حمل الشراء على ذلك قياس ؛ مضافا إلى وجود الفارق بينهما ؛ إذ لا يناط خوف اللص بالاجحاف أخذا بظاهر النصّ ، ومع عدمه فهو غير 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غير واحد من الأصحاب إلى عدم العبرة بالاجحاف ولزوم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أخذا بظاهر الإطلاقات وعدم حصول الإضرار بالنسبة إلى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مجرد كون الإجحاف ضررا غير معلوم ، مضافا إلى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احتاج إلى الوضوء للصلاة وهو لا يقدر على الماء ، فوجد قدر ما يتوضأ به بمائة درهم أو ألف درهم وهو واجد لها ، يشتري ويتوضأ أو يتيمم؟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يشتري ، قد أصابني مثل ذلك فاشتريت وتوضّأت وما يسرّني بذلك مال كثير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الشراء في صورة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احتجاج الفاضل </w:t>
      </w:r>
      <w:r>
        <w:rPr>
          <w:rStyle w:val="FootnoteAnchor"/>
          <w:rtl w:val="true"/>
        </w:rPr>
        <w:footnoteReference w:id="970"/>
      </w:r>
      <w:r>
        <w:rPr>
          <w:rFonts w:ascii="IRNazanin" w:hAnsi="IRNazanin" w:eastAsia="IRNazanin"/>
          <w:color w:val="111111"/>
          <w:sz w:val="28"/>
          <w:sz w:val="28"/>
          <w:szCs w:val="28"/>
          <w:rtl w:val="true"/>
          <w:lang w:bidi="fa-IR"/>
        </w:rPr>
        <w:t>بها لوجوب الشراء مع عدم الإجحاف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يصل إلى حدّ الاجحاف فإن كان بقدر ثمن المثل فلا خلاف في وجوب الشراء ، وإن زاد عليه فالمعروف منهم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971"/>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الإسكافي القول بسقوط الوجوب لأنه يجوز له التيمّم لحفظ المال ، فلا يناسب </w:t>
      </w:r>
    </w:p>
    <w:p>
      <w:pPr>
        <w:pStyle w:val="BookText"/>
        <w:rPr/>
      </w:pPr>
      <w:r>
        <w:rPr>
          <w:rFonts w:ascii="Amiri" w:hAnsi="Amiri" w:eastAsia="Amiri" w:cs="Amiri"/>
          <w:color w:val="111111"/>
          <w:sz w:val="28"/>
          <w:sz w:val="28"/>
          <w:szCs w:val="28"/>
          <w:rtl w:val="true"/>
          <w:lang w:bidi="ar-SA"/>
        </w:rPr>
        <w:t>وجوب الشراء بأكثر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مضافا إلى ما عرفت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جماعة من الأصحاب بأنه لو بذل له الماء هبة وجب عليه القبول بخلاف ما لو بذل </w:t>
      </w:r>
      <w:r>
        <w:rPr>
          <w:rStyle w:val="FootnoteAnchor"/>
          <w:rtl w:val="true"/>
        </w:rPr>
        <w:footnoteReference w:id="972"/>
      </w:r>
      <w:r>
        <w:rPr>
          <w:rFonts w:ascii="Amiri" w:hAnsi="Amiri" w:eastAsia="Amiri" w:cs="Amiri"/>
          <w:color w:val="111111"/>
          <w:sz w:val="28"/>
          <w:sz w:val="28"/>
          <w:szCs w:val="28"/>
          <w:rtl w:val="true"/>
          <w:lang w:bidi="ar-SA"/>
        </w:rPr>
        <w:t>ثمنه أو الآلة الموصلة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أعاره الآلة وجب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في الجميع حصول المنّة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إذن دوران الحكم مدارها وجودا وعدما ، فربما يحصل المنّة في بذل الماء وربما لا تحصل في بذل الثمن ، وكذا الحال في غيرهما ، بل لا يبعد أن يقال بأن تحمّل مطلق المنّة لا يعدّ ضررا فيدور الحكم مداره ، وهو مما يختلف فيه الأشخاص من الطرفين ، فربّ شخص لا يعدّ تحمل المنّة العظيمة حرجا بالنسبة إليه ، وآخر لا يتحمل أدنى منّة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ذلك في الاستيهاب والاستعارة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التذكرة </w:t>
      </w:r>
      <w:r>
        <w:rPr>
          <w:rStyle w:val="FootnoteAnchor"/>
          <w:rtl w:val="true"/>
        </w:rPr>
        <w:footnoteReference w:id="973"/>
      </w:r>
      <w:r>
        <w:rPr>
          <w:rFonts w:ascii="Amiri" w:hAnsi="Amiri" w:eastAsia="Amiri" w:cs="Amiri"/>
          <w:color w:val="111111"/>
          <w:sz w:val="28"/>
          <w:sz w:val="28"/>
          <w:szCs w:val="28"/>
          <w:rtl w:val="true"/>
          <w:lang w:bidi="ar-SA"/>
        </w:rPr>
        <w:t>بوجوب استيهاب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إطلاقه ما عرفت ، مضافا إلى ما فيه من التزام المهانة في بعض الأحيان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عارض بذل </w:t>
      </w:r>
      <w:r>
        <w:rPr>
          <w:rStyle w:val="FootnoteAnchor"/>
          <w:rtl w:val="true"/>
        </w:rPr>
        <w:footnoteReference w:id="974"/>
      </w:r>
      <w:r>
        <w:rPr>
          <w:rFonts w:ascii="Amiri" w:hAnsi="Amiri" w:eastAsia="Amiri" w:cs="Amiri"/>
          <w:color w:val="111111"/>
          <w:sz w:val="28"/>
          <w:sz w:val="28"/>
          <w:szCs w:val="28"/>
          <w:rtl w:val="true"/>
          <w:lang w:bidi="ar-SA"/>
        </w:rPr>
        <w:t>الثمن عن الماء واجب مضيق كأداء الدين مع انحصار المال فيه قدّم الأهم عند الشرع ، ففي نحو المعارضة بينه وبين حقّ الناس يقدّم حق الناس ، وفي غيره أيضا يلاحظ خصوصية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انحصار الطهور في الماء المفروض ودوران الأمر بين الشراء وترك الصلاة يتقوّى الاهتمام به ، فيقدّم على كثير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تعيّن صرفه في غير الماء فخالف صرفه فيه أثم وصحّت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على القول بفساد البيع في المسألة المتقدّمة فساد الشراء هنا ، وهو ضعيف</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التزم بالضرر في المسائل المتقدمة وحصل الماء وجب عليه الوضوء وإن لم يجب عليه </w:t>
      </w:r>
    </w:p>
    <w:p>
      <w:pPr>
        <w:pStyle w:val="BookText"/>
        <w:rPr/>
      </w:pPr>
      <w:r>
        <w:rPr>
          <w:rFonts w:ascii="Amiri" w:hAnsi="Amiri" w:eastAsia="Amiri" w:cs="Amiri"/>
          <w:color w:val="111111"/>
          <w:sz w:val="28"/>
          <w:sz w:val="28"/>
          <w:szCs w:val="28"/>
          <w:rtl w:val="true"/>
          <w:lang w:bidi="ar-SA"/>
        </w:rPr>
        <w:t>التحصيل ، فثبت التخيير بين الوضوء والتيمّم في كثير من الفروض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بوجوب التيمّم عينا قبل تحصيل الماء في وجوب الوضوء كذلك بعده ، فلا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الزحام يوم الجمعة وعرفة من الخروج من المسجد تيمّم وصلّى بلا خلاف فيه فيما أعلم كما في الحدائق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في الحكم المزبور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 عن أبيه ، عن علي عليه‌السلام أنه سئل عن رجل يكون في وسط الزحام يوم الجمعة أو يوم عرفة لا يستطيع الخروج من كثرة الزحام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معهم ويعيد إذا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 عن أبيه عليه‌السلام ، عن علي عليه‌السلام ، أنه سئل عن رجل يكون في وسط الزحام يوم الجمعة أو يوم عرفة </w:t>
      </w:r>
      <w:r>
        <w:rPr>
          <w:rStyle w:val="FootnoteAnchor"/>
          <w:rtl w:val="true"/>
        </w:rPr>
        <w:footnoteReference w:id="976"/>
      </w:r>
      <w:r>
        <w:rPr>
          <w:rFonts w:ascii="Amiri" w:hAnsi="Amiri" w:eastAsia="Amiri" w:cs="Amiri"/>
          <w:color w:val="111111"/>
          <w:sz w:val="28"/>
          <w:sz w:val="28"/>
          <w:szCs w:val="28"/>
          <w:rtl w:val="true"/>
          <w:lang w:bidi="ar-SA"/>
        </w:rPr>
        <w:t xml:space="preserve">لا يستطيع الخروج من المسجد من كثرة الناس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ويصلي معهم ويعيد إذا انصرف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الراوندي بإسناده ، عن موسى بن جعفر عليه‌السلام ، عن أبيه ، عن آبائه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علي عليه‌السلام عن رجل يكون في زحام في صلاة جمعة أحدث ولا يقدر على الخروج؟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معهم ويعيد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هنا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الزحام إذا كان في يوم الجمعة وخاف فوت الصلاة بالتأخير نظرا إلى ضيق وقتها فالتيمّم جار على القاعدة </w:t>
      </w:r>
      <w:r>
        <w:rPr>
          <w:rStyle w:val="FootnoteAnchor"/>
          <w:rtl w:val="true"/>
        </w:rPr>
        <w:footnoteReference w:id="979"/>
      </w:r>
      <w:r>
        <w:rPr>
          <w:rFonts w:ascii="Amiri" w:hAnsi="Amiri" w:eastAsia="Amiri" w:cs="Amiri"/>
          <w:color w:val="111111"/>
          <w:sz w:val="28"/>
          <w:sz w:val="28"/>
          <w:szCs w:val="28"/>
          <w:rtl w:val="true"/>
          <w:lang w:bidi="ar-SA"/>
        </w:rPr>
        <w:t>بعد حمل الصلاة على صلاة الجمعة كما هو الظاهر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يوم عرفة فلا يجرى الكلام المذكور ؛ إذ غاية الأمر عدم التمكن من الماء في تلك </w:t>
      </w:r>
    </w:p>
    <w:p>
      <w:pPr>
        <w:pStyle w:val="BookText"/>
        <w:rPr/>
      </w:pPr>
      <w:r>
        <w:rPr>
          <w:rFonts w:ascii="Amiri" w:hAnsi="Amiri" w:eastAsia="Amiri" w:cs="Amiri"/>
          <w:color w:val="111111"/>
          <w:sz w:val="28"/>
          <w:sz w:val="28"/>
          <w:szCs w:val="28"/>
          <w:rtl w:val="true"/>
          <w:lang w:bidi="ar-SA"/>
        </w:rPr>
        <w:t>الحال ، وهو لا يقضي بانتقال الحكم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العلامة المجلسي </w:t>
      </w:r>
      <w:r>
        <w:rPr>
          <w:rStyle w:val="FootnoteAnchor"/>
          <w:rtl w:val="true"/>
        </w:rPr>
        <w:footnoteReference w:id="980"/>
      </w:r>
      <w:r>
        <w:rPr>
          <w:rFonts w:ascii="Amiri" w:hAnsi="Amiri" w:eastAsia="Amiri" w:cs="Amiri"/>
          <w:color w:val="111111"/>
          <w:sz w:val="28"/>
          <w:sz w:val="28"/>
          <w:szCs w:val="28"/>
          <w:rtl w:val="true"/>
          <w:lang w:bidi="ar-SA"/>
        </w:rPr>
        <w:t>جواز التيمّم فيه لإدراك فضل الجماعة لا سيّما الجماعة المشتملة على تلك الكثرة العظيمة الواقعة في مثل هذا اليوم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أجد قائلا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الحكم بالصحة في صلاء الجمعة الواقعة كذلك ، وحمل الأمر بالإعادة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باعادة الصلاة بعد ذلك مما اشتمل عليه بالنصوص المذكورة ، وقد أفتى به الشيخ وجماعة إلّا أنه غير جار على القواعد ؛ إذ لو حكم بصحة الفعل المتقدم فقد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إذن لوجوب الاعادة ، وإلّا فلا يتّجه الأمر بالتيمم والتلبس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العلامة المجلسي </w:t>
      </w:r>
      <w:r>
        <w:rPr>
          <w:rStyle w:val="FootnoteAnchor"/>
          <w:rtl w:val="true"/>
        </w:rPr>
        <w:footnoteReference w:id="981"/>
      </w:r>
      <w:r>
        <w:rPr>
          <w:rFonts w:ascii="Amiri" w:hAnsi="Amiri" w:eastAsia="Amiri" w:cs="Amiri"/>
          <w:color w:val="111111"/>
          <w:sz w:val="28"/>
          <w:sz w:val="28"/>
          <w:szCs w:val="28"/>
          <w:rtl w:val="true"/>
          <w:lang w:bidi="ar-SA"/>
        </w:rPr>
        <w:t>حمل الأخبار المذكورة على ما إذا كانت الصلاة مع المخالفين كما هو المتداول عن إقامتهم للجمعة والجماعات ، فإذا لم يمكنه الخروج ولا ترك الصلاة خوفا منهم يتيمم ويصلّي ، ثم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بعض المتأخرين في حمل الخبرين مصرّحا بأن المأتيّ به إنما هو صورة الصلاة ، وردّ ما ذكر في انطباق الحكم في التيمّم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الجمعة بأنّ الجمعة إنّما يصلّي معهم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فيجري فيه حكم الظهر ، ووجّه الأمر بالتيمّم مع ذلك بأنّ رواية مسعدة بن صدقة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تدلّ على المنع من الإتيان بصورة الصلاة محدثا ، فقد يكون الوجه فيهما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تنطبق الروايتان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بأن الصلاة الواقعة على جهة التقية الصحيحة مجزية كما هو قضية الأخبار وفتاوى الأصحاب ، فلا يتّجه الأمر بالاعادة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التقية إنما يحكم بصحته مع وقوعه موافقا لمذهب من يتّقى منه ، </w:t>
      </w:r>
    </w:p>
    <w:p>
      <w:pPr>
        <w:pStyle w:val="BookText"/>
        <w:rPr/>
      </w:pPr>
      <w:r>
        <w:rPr>
          <w:rFonts w:ascii="Amiri" w:hAnsi="Amiri" w:eastAsia="Amiri" w:cs="Amiri"/>
          <w:color w:val="111111"/>
          <w:sz w:val="28"/>
          <w:sz w:val="28"/>
          <w:szCs w:val="28"/>
          <w:rtl w:val="true"/>
          <w:lang w:bidi="ar-SA"/>
        </w:rPr>
        <w:t>فلا يتّجه الحكم بالصحة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فإنما يتمّم بالنسبة إلى زحام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ما عرفت من أنه إنما يؤتى بها ظهرا ، فالبناء على الصحة فيه أيضا مشكل ؛ إذ جواز التيمّم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في الجمعة ، والمفروض عدم الإتيان بها ، فإذن يشكل الحكم في المقامين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تعيين الفعل للتقية يتعيّن الواجب ، ومعه يجب الطهارة </w:t>
      </w:r>
      <w:r>
        <w:rPr>
          <w:rStyle w:val="FootnoteAnchor"/>
          <w:rtl w:val="true"/>
        </w:rPr>
        <w:footnoteReference w:id="983"/>
      </w:r>
      <w:r>
        <w:rPr>
          <w:rFonts w:ascii="Amiri" w:hAnsi="Amiri" w:eastAsia="Amiri" w:cs="Amiri"/>
          <w:color w:val="111111"/>
          <w:sz w:val="28"/>
          <w:sz w:val="28"/>
          <w:szCs w:val="28"/>
          <w:rtl w:val="true"/>
          <w:lang w:bidi="ar-SA"/>
        </w:rPr>
        <w:t>لأجلها ، فإذا تعذر المائية تعيّن بدلها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فالمتّبع في المقام هو البناء على القواعد ، فحينئذ إن بني على صحة الصلاة الأولى كان الأمر بالإعادة على جهة الندب ، وإلا كان على ظاهره من الوجوب</w:t>
      </w:r>
      <w:r>
        <w:rPr>
          <w:rFonts w:eastAsia="Amiri" w:cs="Amiri" w:ascii="Amiri" w:hAnsi="Amiri"/>
          <w:color w:val="111111"/>
          <w:sz w:val="28"/>
          <w:szCs w:val="28"/>
          <w:rtl w:val="true"/>
          <w:lang w:bidi="ar-SA"/>
        </w:rPr>
        <w:t xml:space="preserve">. </w:t>
      </w:r>
      <w:bookmarkStart w:id="257" w:name="pg15839_360850"/>
    </w:p>
    <w:p>
      <w:pPr>
        <w:pStyle w:val="Heading5"/>
        <w:numPr>
          <w:ilvl w:val="4"/>
          <w:numId w:val="1"/>
        </w:numPr>
        <w:rPr/>
      </w:pPr>
      <w:bookmarkStart w:id="258" w:name="__RefHeading___Toc14338485_2142443653"/>
      <w:bookmarkStart w:id="259" w:name="_Toc95"/>
      <w:bookmarkEnd w:id="257"/>
      <w:bookmarkEnd w:id="258"/>
      <w:r>
        <w:rPr>
          <w:rtl w:val="true"/>
        </w:rPr>
        <w:t>تبصرة</w:t>
      </w:r>
      <w:r>
        <w:rPr>
          <w:rtl w:val="true"/>
        </w:rPr>
        <w:t xml:space="preserve">: [ </w:t>
      </w:r>
      <w:r>
        <w:rPr>
          <w:rtl w:val="true"/>
        </w:rPr>
        <w:t xml:space="preserve">في خوف الضرر من استعمال الماء </w:t>
      </w:r>
      <w:r>
        <w:rPr>
          <w:rtl w:val="true"/>
        </w:rPr>
        <w:t>]</w:t>
      </w:r>
      <w:bookmarkEnd w:id="259"/>
    </w:p>
    <w:p>
      <w:pPr>
        <w:pStyle w:val="BookText"/>
        <w:rPr/>
      </w:pPr>
      <w:r>
        <w:rPr>
          <w:rFonts w:ascii="Amiri" w:hAnsi="Amiri" w:eastAsia="Amiri" w:cs="Amiri"/>
          <w:color w:val="111111"/>
          <w:sz w:val="28"/>
          <w:sz w:val="28"/>
          <w:szCs w:val="28"/>
          <w:rtl w:val="true"/>
          <w:lang w:bidi="ar-SA"/>
        </w:rPr>
        <w:t>من أسباب العجز عن الماء أن يكون في استعماله أو في السعي إليه خوف الضرر من مرض أو زيادته أو بطوء برئه أو عطش شديد لا يتحمّل في العادة أو خوف الهلكة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ذلك في الجملة سببا للانتقال إلى التيمّم مما لا خلاف فيه إلا أن توضيح خصوصياته وبيان ما لعلّه وقع الاشكال فيه من جزئياته يستدعي 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سعيه خوف الهلاك من سبع أو عدوّ ويخاف منه على نفسه ، فلا شكّ في سقوطه والرجوع إلى التيمّم ، وكذا لو خاف على عرضه أو من أذاه بما لا يتحمّل في العادة كالأسر والضرب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أمن القتل أو خاف على ماله كلصّ يصادفه أو عدوّ معرضه لا يخاف منه على غير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ذهاب ماله ضرر عليه من جهات اخر أولا في ظاهر كلام الأصحاب ، بل صريحهم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بقربه ماء و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خاف أن سعى إليه على نفسه من سبع أو عدوّ أو على ماله من غاصب أو سارق جاز له التيمّم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منتهى المطلب </w:t>
      </w:r>
      <w:r>
        <w:rPr>
          <w:rStyle w:val="FootnoteAnchor"/>
          <w:rtl w:val="true"/>
        </w:rPr>
        <w:footnoteReference w:id="985"/>
      </w:r>
      <w:r>
        <w:rPr>
          <w:rFonts w:ascii="Amiri" w:hAnsi="Amiri" w:eastAsia="Amiri" w:cs="Amiri"/>
          <w:color w:val="111111"/>
          <w:sz w:val="28"/>
          <w:sz w:val="28"/>
          <w:szCs w:val="28"/>
          <w:rtl w:val="true"/>
          <w:lang w:bidi="ar-SA"/>
        </w:rPr>
        <w:t>بعد ذكر الخوف على النفس أو المال من اللصّ والسبع والعدوّ ونحوهما أنه كالعادم لا نعرف فيه خلافا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الحدائق في خصوص الخوف على المال مع اعترافه بكونه مما اتفق عليه الأصحاب ؛ نظرا إلى عدم وروده بالخصوص في شي‌ء من الأخبار ، وأن قضية الإطلاقات فيه </w:t>
      </w:r>
    </w:p>
    <w:p>
      <w:pPr>
        <w:pStyle w:val="BookText"/>
        <w:rPr/>
      </w:pPr>
      <w:r>
        <w:rPr>
          <w:rFonts w:ascii="Amiri" w:hAnsi="Amiri" w:eastAsia="Amiri" w:cs="Amiri"/>
          <w:color w:val="111111"/>
          <w:sz w:val="28"/>
          <w:sz w:val="28"/>
          <w:szCs w:val="28"/>
          <w:rtl w:val="true"/>
          <w:lang w:bidi="ar-SA"/>
        </w:rPr>
        <w:t>وجوب السعي لتوقف الواجب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الاستناد على ما دلّ على وجوب حفظ المال وصيانته معارض بما دلّ على وجوب الوضوء والغسل من الآية والرواية مع صراحتها ووضوحها ، فيجب تقديم العمل بها وإرجاع ما خالفها على غير </w:t>
      </w:r>
      <w:r>
        <w:rPr>
          <w:rStyle w:val="FootnoteAnchor"/>
          <w:rtl w:val="true"/>
        </w:rPr>
        <w:footnoteReference w:id="986"/>
      </w:r>
      <w:r>
        <w:rPr>
          <w:rFonts w:ascii="Amiri" w:hAnsi="Amiri" w:eastAsia="Amiri" w:cs="Amiri"/>
          <w:color w:val="111111"/>
          <w:sz w:val="28"/>
          <w:sz w:val="28"/>
          <w:szCs w:val="28"/>
          <w:rtl w:val="true"/>
          <w:lang w:bidi="ar-SA"/>
        </w:rPr>
        <w:t xml:space="preserve">تلك الصورة ثمّ </w:t>
      </w:r>
      <w:r>
        <w:rPr>
          <w:rStyle w:val="FootnoteAnchor"/>
          <w:rtl w:val="true"/>
        </w:rPr>
        <w:footnoteReference w:id="987"/>
      </w:r>
      <w:r>
        <w:rPr>
          <w:rFonts w:ascii="Amiri" w:hAnsi="Amiri" w:eastAsia="Amiri" w:cs="Amiri"/>
          <w:color w:val="111111"/>
          <w:sz w:val="28"/>
          <w:sz w:val="28"/>
          <w:szCs w:val="28"/>
          <w:rtl w:val="true"/>
          <w:lang w:bidi="ar-SA"/>
        </w:rPr>
        <w:t>منع من وجوب حفظ المال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ذلك ؛ إذ الظاهر الاكتفاء فيه بما دلّ على نفي الضرر والحرج ؛ إذ التعرض لذلك من أعظم الحرج سيّما إذا كان المأخوذ منه مضرّا بحاله ، وما دلّ على وجوب حفظ المال المعتضد بفتوى الطائفة والاجماعات المنقولة المؤيّدة بعدم ظهور الخلاف فيه بعد القضاء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بمعارضتها بما دلّ على وجوب الوضوء والغسل مدفوع بأن أقصى مراتب المعارضة الرجوع إلى المرجّحات ، ولا شكّ في ترجيحها لجانب المشهور ؛ لاعتضادها بالشهرة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بصراحة تلك العمومات غير واضح ؛ إذ لا وضوح في إطلاقها بالنسبة إلى الصورة المذكورة ، مضافا إلى ما رواه في الدعائم عنهم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إذا لم يجد الماء إلا بموضع يخاف فيه على نفسه إن مضى في طلبه من لصوص أو سباع أو ما يخاف منه التلف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ذكر الخوف من اللصوص يشهد بأن المراد من الخوف فيه أعمّ من الخوف على المال ، وإطلاق الخوف على النفس على ما يعمّه شائع في العرف ؛ لرجوع الضرر على نفسه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يعقوب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يكون معه ماء والماء عن يمين الطريق ويساره غلوتين أو نحو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أمره أن يغرر بنفسه فيعرض له لص أو سبع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احتجّ بها الأصحاب على نحو </w:t>
      </w:r>
      <w:r>
        <w:rPr>
          <w:rStyle w:val="FootnoteAnchor"/>
          <w:rtl w:val="true"/>
        </w:rPr>
        <w:footnoteReference w:id="98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دلالتها على ذلك إشكال ؛ إذ التغرير بالنفس تعريضها للهلاك إلا أن يقال بأن المفهوم منها عرفا في المقام ما يعم ذلك ، سيّما بملاحظة </w:t>
      </w:r>
      <w:r>
        <w:rPr>
          <w:rStyle w:val="FootnoteAnchor"/>
          <w:rtl w:val="true"/>
        </w:rPr>
        <w:footnoteReference w:id="990"/>
      </w:r>
      <w:r>
        <w:rPr>
          <w:rFonts w:ascii="IRNazanin" w:hAnsi="IRNazanin" w:eastAsia="IRNazanin"/>
          <w:color w:val="111111"/>
          <w:sz w:val="28"/>
          <w:sz w:val="28"/>
          <w:szCs w:val="28"/>
          <w:rtl w:val="true"/>
          <w:lang w:bidi="fa-IR"/>
        </w:rPr>
        <w:t>فهمهم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الوجوه ظاهرة </w:t>
      </w:r>
      <w:r>
        <w:rPr>
          <w:rStyle w:val="FootnoteAnchor"/>
          <w:rtl w:val="true"/>
        </w:rPr>
        <w:footnoteReference w:id="991"/>
      </w:r>
      <w:r>
        <w:rPr>
          <w:rFonts w:ascii="Amiri" w:hAnsi="Amiri" w:eastAsia="Amiri" w:cs="Amiri"/>
          <w:color w:val="111111"/>
          <w:sz w:val="28"/>
          <w:sz w:val="28"/>
          <w:szCs w:val="28"/>
          <w:rtl w:val="true"/>
          <w:lang w:bidi="ar-SA"/>
        </w:rPr>
        <w:t xml:space="preserve">الدلالة على المقصود فيما إذا كان المأخوذ منه مضرّا بحاله أو كان عليه في التعرض لذلك إهانة أو حرج لا يتحمل في المعتاد كما هو الغالب في التعرض للسرّاق وقطّاع الطريق ، بل </w:t>
      </w:r>
      <w:r>
        <w:rPr>
          <w:rStyle w:val="FootnoteAnchor"/>
          <w:rtl w:val="true"/>
        </w:rPr>
        <w:footnoteReference w:id="992"/>
      </w:r>
      <w:r>
        <w:rPr>
          <w:rFonts w:ascii="Amiri" w:hAnsi="Amiri" w:eastAsia="Amiri" w:cs="Amiri"/>
          <w:color w:val="111111"/>
          <w:sz w:val="28"/>
          <w:sz w:val="28"/>
          <w:szCs w:val="28"/>
          <w:rtl w:val="true"/>
          <w:lang w:bidi="ar-SA"/>
        </w:rPr>
        <w:t>الظاهر أنه المتيقّن من الإجماع المنقول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خلّي من ذلك كلّه فقضية الأصل فيه وجوب تحصيل الماء كما إذا منع الجائر الخروج إلى الماء إلا لمن بذل مبلغا من المال ، وكان غير مضر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إذا غصب ماءه المملوك وتوقف استنقاذه على شرائه منه أو منعه من أخذ الماء المباح ، ولم يمكن الاستيذان منه إلّا ببذل المال ، فلا يبعد في ذلك كله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سعيه إلى الماء على تضييع بعض أمواله فالظاهر جريان التفصيل المذكور على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الوقوع في الهلكة من استعمال الماء أو خاف من ازدياد المرض أو خوف </w:t>
      </w:r>
      <w:r>
        <w:rPr>
          <w:rStyle w:val="FootnoteAnchor"/>
          <w:rtl w:val="true"/>
        </w:rPr>
        <w:footnoteReference w:id="993"/>
      </w:r>
      <w:r>
        <w:rPr>
          <w:rFonts w:ascii="Amiri" w:hAnsi="Amiri" w:eastAsia="Amiri" w:cs="Amiri"/>
          <w:color w:val="111111"/>
          <w:sz w:val="28"/>
          <w:sz w:val="28"/>
          <w:szCs w:val="28"/>
          <w:rtl w:val="true"/>
          <w:lang w:bidi="ar-SA"/>
        </w:rPr>
        <w:t>بطء برئه جاز له التيمّم بالإجماع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استفاضت الأخبار في انتقال </w:t>
      </w:r>
      <w:r>
        <w:rPr>
          <w:rStyle w:val="FootnoteAnchor"/>
          <w:rtl w:val="true"/>
        </w:rPr>
        <w:footnoteReference w:id="994"/>
      </w:r>
      <w:r>
        <w:rPr>
          <w:rFonts w:ascii="Amiri" w:hAnsi="Amiri" w:eastAsia="Amiri" w:cs="Amiri"/>
          <w:color w:val="111111"/>
          <w:sz w:val="28"/>
          <w:sz w:val="28"/>
          <w:szCs w:val="28"/>
          <w:rtl w:val="true"/>
          <w:lang w:bidi="ar-SA"/>
        </w:rPr>
        <w:t xml:space="preserve">حكم المجدور </w:t>
      </w:r>
      <w:r>
        <w:rPr>
          <w:rStyle w:val="FootnoteAnchor"/>
          <w:rtl w:val="true"/>
        </w:rPr>
        <w:footnoteReference w:id="995"/>
      </w:r>
      <w:r>
        <w:rPr>
          <w:rFonts w:ascii="Amiri" w:hAnsi="Amiri" w:eastAsia="Amiri" w:cs="Amiri"/>
          <w:color w:val="111111"/>
          <w:sz w:val="28"/>
          <w:sz w:val="28"/>
          <w:szCs w:val="28"/>
          <w:rtl w:val="true"/>
          <w:lang w:bidi="ar-SA"/>
        </w:rPr>
        <w:t>والذي به القروح والجروح وغيرهما إلى التيمّم ، مضافا إلى ما دلّ على انتفاء الحرج والضرر والمنع من إلقاء النفس على التهلكة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تعمّده الجنابة على الحال المذكور وغيره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الشيخين في المقنعة </w:t>
      </w:r>
      <w:r>
        <w:rPr>
          <w:rStyle w:val="FootnoteAnchor"/>
          <w:rtl w:val="true"/>
        </w:rPr>
        <w:footnoteReference w:id="996"/>
      </w:r>
      <w:r>
        <w:rPr>
          <w:rFonts w:ascii="IRNazanin" w:hAnsi="IRNazanin" w:eastAsia="IRNazanin"/>
          <w:color w:val="111111"/>
          <w:sz w:val="28"/>
          <w:sz w:val="28"/>
          <w:szCs w:val="28"/>
          <w:rtl w:val="true"/>
          <w:lang w:bidi="fa-IR"/>
        </w:rPr>
        <w:t xml:space="preserve">والخلاف </w:t>
      </w:r>
      <w:r>
        <w:rPr>
          <w:rStyle w:val="FootnoteAnchor"/>
          <w:rtl w:val="true"/>
        </w:rPr>
        <w:footnoteReference w:id="997"/>
      </w:r>
      <w:r>
        <w:rPr>
          <w:rFonts w:ascii="Amiri" w:hAnsi="Amiri" w:eastAsia="Amiri" w:cs="Amiri"/>
          <w:color w:val="111111"/>
          <w:sz w:val="28"/>
          <w:sz w:val="28"/>
          <w:szCs w:val="28"/>
          <w:rtl w:val="true"/>
          <w:lang w:bidi="ar-SA"/>
        </w:rPr>
        <w:t>أن من أجنب مختارا وجب عليه الغسل وإن خاف به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التلف على نفسه يتيمم ويصلي ويعيد الصلاة إذا وجد الماء واغتسل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وفصّل صاحب الوسائل ، فأوجب الغسل ولو مع حمل </w:t>
      </w:r>
      <w:r>
        <w:rPr>
          <w:rStyle w:val="FootnoteAnchor"/>
          <w:rtl w:val="true"/>
        </w:rPr>
        <w:footnoteReference w:id="998"/>
      </w:r>
      <w:r>
        <w:rPr>
          <w:rFonts w:ascii="Amiri" w:hAnsi="Amiri" w:eastAsia="Amiri" w:cs="Amiri"/>
          <w:color w:val="111111"/>
          <w:sz w:val="28"/>
          <w:sz w:val="28"/>
          <w:szCs w:val="28"/>
          <w:rtl w:val="true"/>
          <w:lang w:bidi="ar-SA"/>
        </w:rPr>
        <w:t>الضرر الشديد إلا إذا خاف التلف ، فيتيمّم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 لما دلّ على انتقال الحكم إلى التيمّم عند الخوف من الضرر ، والمعتبرة المستفيضة المشتملة على الصحاح وغيرها الآمرة بالتيمم لمن أصابه جنابة وهو مجدور أو به القروح أو الجروح أو يخاف البرد على اختلاف مورد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ورد في بعضها الأمر بإعادة الصلاة عند الأمن من البرد ، وهي حجة الشيخ على لزوم الإعادة ، وهي محمولة على الاستحباب ؛ لخلوّ غيرها منه ، وإن قضية الأمر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على المنع من إلقاء النفس إلى التهلكة ، وعدم تعلق التكليف بما يوجب الحرج والضرر ، مع تأيّدها بالشهرة العظيمة بين الطائفة ، وموافقة الكتاب والسنّة والعقل من الأمر بحفظ النفس ، بل ينبغي القطع بالمنع في صورة الخوف من تلف النفس كما هو مذهب </w:t>
      </w:r>
      <w:r>
        <w:rPr>
          <w:rStyle w:val="FootnoteAnchor"/>
          <w:rtl w:val="true"/>
        </w:rPr>
        <w:footnoteReference w:id="999"/>
      </w:r>
      <w:r>
        <w:rPr>
          <w:rFonts w:ascii="Amiri" w:hAnsi="Amiri" w:eastAsia="Amiri" w:cs="Amiri"/>
          <w:color w:val="111111"/>
          <w:sz w:val="28"/>
          <w:sz w:val="28"/>
          <w:szCs w:val="28"/>
          <w:rtl w:val="true"/>
          <w:lang w:bidi="ar-SA"/>
        </w:rPr>
        <w:t xml:space="preserve">الشيخين ، فلا وجه لترك الأحكام المعلومة من العقل وضرورة الشرع بمجرد ظواهر الإطلاقات مطرحة عند </w:t>
      </w:r>
      <w:r>
        <w:rPr>
          <w:rStyle w:val="FootnoteAnchor"/>
          <w:rtl w:val="true"/>
        </w:rPr>
        <w:footnoteReference w:id="1000"/>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تعمد الجنابة في الصورة المذكورة ليست مجزية إلا بعد دخول الوقت كما </w:t>
      </w:r>
    </w:p>
    <w:p>
      <w:pPr>
        <w:pStyle w:val="BookText"/>
        <w:rPr/>
      </w:pPr>
      <w:r>
        <w:rPr>
          <w:rFonts w:ascii="Amiri" w:hAnsi="Amiri" w:eastAsia="Amiri" w:cs="Amiri"/>
          <w:color w:val="111111"/>
          <w:sz w:val="28"/>
          <w:sz w:val="28"/>
          <w:szCs w:val="28"/>
          <w:rtl w:val="true"/>
          <w:lang w:bidi="ar-SA"/>
        </w:rPr>
        <w:t>عرفت ، فلا فرق إذن بينه وبين حصوله من دون تعمد في عدم تحقق العصيان ، فلا وجه إذن لتكليفه بهذا الحرج الشديد مع إذن الشارع في فعله كما دلّ عليه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ينبغي القول به على المنع من دون تعمد الجنابة كما قد يومي إليه عبارة الإسكافي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الشيخين </w:t>
      </w:r>
      <w:r>
        <w:rPr>
          <w:rStyle w:val="FootnoteAnchor"/>
          <w:rtl w:val="true"/>
        </w:rPr>
        <w:footnoteReference w:id="1001"/>
      </w:r>
      <w:r>
        <w:rPr>
          <w:rFonts w:ascii="IRNazanin" w:hAnsi="IRNazanin" w:eastAsia="IRNazanin"/>
          <w:color w:val="111111"/>
          <w:sz w:val="28"/>
          <w:sz w:val="28"/>
          <w:szCs w:val="28"/>
          <w:rtl w:val="true"/>
          <w:lang w:bidi="fa-IR"/>
        </w:rPr>
        <w:t xml:space="preserve">أربع </w:t>
      </w:r>
      <w:r>
        <w:rPr>
          <w:rStyle w:val="FootnoteAnchor"/>
          <w:rtl w:val="true"/>
        </w:rPr>
        <w:footnoteReference w:id="1002"/>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 عن رجل يصيبه الجنابة في أرض باردة ولا يجد الماء وعسى أن يكون الماء جامدا؟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على ما كان حدثه أجل إنه فعل ذلك فمرض شهرا من البرد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على ما كان ، فإنه لا بدّ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الصادق عليه‌السلام أنه اضطر إليه هو فأتوه به مسخنا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الغسل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منه صحيحة الأقطع ، ومرفوعة علي بن أحمد ، عن الصادق عليه‌السلام عن مجدور أصابته جنابة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أجنب نفسه فليغتسل ، وإن كان احتلم فليتمم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علي بن ابراهيم المضمر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أجنب نفسه فعليه أن يغتسل على ما كان منه ، وإن احتلم فليتيمم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بعدم مقاومة هذه الأخبار لما ذكرناه لو كانت صريحة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والصحيحتان لا دلالة فيهما على حكم المتعمد </w:t>
      </w:r>
      <w:r>
        <w:rPr>
          <w:rStyle w:val="FootnoteAnchor"/>
          <w:rtl w:val="true"/>
        </w:rPr>
        <w:footnoteReference w:id="1006"/>
      </w:r>
      <w:r>
        <w:rPr>
          <w:rFonts w:ascii="Amiri" w:hAnsi="Amiri" w:eastAsia="Amiri" w:cs="Amiri"/>
          <w:color w:val="111111"/>
          <w:sz w:val="28"/>
          <w:sz w:val="28"/>
          <w:szCs w:val="28"/>
          <w:rtl w:val="true"/>
          <w:lang w:bidi="ar-SA"/>
        </w:rPr>
        <w:t>، فهما متعارضان بما أشرنا إليه من الإطلاقات مع تكثّرها واعتضادها بالعقل والنقل والعمل ، فلا مناصّ من طرحهما وإرجاعهما إلى قائلهما مع احتمال حملهما على التقية ؛ إذ لا صراحة فيهما على جواز التيمّم مع خوف التلف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جماعة من العامّة كالشافعي وابن حنبل والحسن البصري وغيرهم اقتصار </w:t>
      </w:r>
    </w:p>
    <w:p>
      <w:pPr>
        <w:pStyle w:val="BookText"/>
        <w:rPr/>
      </w:pPr>
      <w:r>
        <w:rPr>
          <w:rFonts w:ascii="Amiri" w:hAnsi="Amiri" w:eastAsia="Amiri" w:cs="Amiri"/>
          <w:color w:val="111111"/>
          <w:sz w:val="28"/>
          <w:sz w:val="28"/>
          <w:szCs w:val="28"/>
          <w:rtl w:val="true"/>
          <w:lang w:bidi="ar-SA"/>
        </w:rPr>
        <w:t>الحكم بمشروعية التيمّم من جهة الخوف بالخوف على النفس دون غيرها من المرض بطئه أو شدته ، والمرفوعتان لا حجة فيهما سيّما مع معارضتهما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التصريح فيهما بالجواز مع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يحملان على كون تعمد الجنابة شاهدا على قوة بدنه بحيث لا يضرّه الماء ، فلذا أمره بالغسل بخلاف ما إذا احتلم ، فيبنى فيه على </w:t>
      </w:r>
      <w:r>
        <w:rPr>
          <w:rStyle w:val="FootnoteAnchor"/>
          <w:rtl w:val="true"/>
        </w:rPr>
        <w:footnoteReference w:id="1007"/>
      </w:r>
      <w:r>
        <w:rPr>
          <w:rFonts w:ascii="IRNazanin" w:hAnsi="IRNazanin" w:eastAsia="IRNazanin"/>
          <w:color w:val="111111"/>
          <w:sz w:val="28"/>
          <w:sz w:val="28"/>
          <w:szCs w:val="28"/>
          <w:rtl w:val="true"/>
          <w:lang w:bidi="fa-IR"/>
        </w:rPr>
        <w:t>ظاهر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والمنساق من المحكي عن الشيخين هو وجوب الغسل مع الخوف على التلف في استعمال الماء ، فهل يسري الحكم عندهما فيما لو كان الخوف من التلف في تحصيله لو </w:t>
      </w:r>
      <w:r>
        <w:rPr>
          <w:rStyle w:val="FootnoteAnchor"/>
          <w:rtl w:val="true"/>
        </w:rPr>
        <w:footnoteReference w:id="1008"/>
      </w:r>
      <w:r>
        <w:rPr>
          <w:rFonts w:ascii="Amiri" w:hAnsi="Amiri" w:eastAsia="Amiri" w:cs="Amiri"/>
          <w:color w:val="111111"/>
          <w:sz w:val="28"/>
          <w:sz w:val="28"/>
          <w:szCs w:val="28"/>
          <w:rtl w:val="true"/>
          <w:lang w:bidi="ar-SA"/>
        </w:rPr>
        <w:t>كان الخوف منه من جهة شدة العطش بالنسبة إليه أو على نفس محترمة؟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كانت المسألة جارية على القاعدة ، فلا يبعد قصرهما من </w:t>
      </w:r>
      <w:r>
        <w:rPr>
          <w:rStyle w:val="FootnoteAnchor"/>
          <w:rtl w:val="true"/>
        </w:rPr>
        <w:footnoteReference w:id="1009"/>
      </w:r>
      <w:r>
        <w:rPr>
          <w:rFonts w:ascii="Amiri" w:hAnsi="Amiri" w:eastAsia="Amiri" w:cs="Amiri"/>
          <w:color w:val="111111"/>
          <w:sz w:val="28"/>
          <w:sz w:val="28"/>
          <w:szCs w:val="28"/>
          <w:rtl w:val="true"/>
          <w:lang w:bidi="ar-SA"/>
        </w:rPr>
        <w:t>الحكم على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شهادة على ضعف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تسرية الحكم عندهما إلى سائر الوجوه المرجوحة للتيمم الخالية عن خوف التلف وجهان ؛ من ملاحظة ما عرفت ، وأولوية الحكم بالنسبة إلى النصوص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الأخبار في حكم من به القروح والجروح ، فالمستفاد من جملة منها وجوب الطهارة المائية غير أنه يبنى على عمل الجبيرة ، وفي عدّة </w:t>
      </w:r>
      <w:r>
        <w:rPr>
          <w:rStyle w:val="FootnoteAnchor"/>
          <w:rtl w:val="true"/>
        </w:rPr>
        <w:footnoteReference w:id="1010"/>
      </w:r>
      <w:r>
        <w:rPr>
          <w:rFonts w:ascii="Amiri" w:hAnsi="Amiri" w:eastAsia="Amiri" w:cs="Amiri"/>
          <w:color w:val="111111"/>
          <w:sz w:val="28"/>
          <w:sz w:val="28"/>
          <w:szCs w:val="28"/>
          <w:rtl w:val="true"/>
          <w:lang w:bidi="ar-SA"/>
        </w:rPr>
        <w:t>الحكم بالانتقال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يرى التدافع في ذلك بين كلام الأصحاب حيث أوجبوا عمل الجبيرة في تحت الجبائر ، وجعلوا القروح والجروح من الأسباب الباعثة للتيمم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بيّن الاندفاع ؛ إذ من الظاهر أنّ عدّهم ذلك من الأمور الباعثة للانتقال إلى التيمّم إنما هو بعد تعذر المائية ، لا مع التمكن من الطهارة المائية ، فاحتمال إرادة التخيير بين الأمرين في </w:t>
      </w:r>
    </w:p>
    <w:p>
      <w:pPr>
        <w:pStyle w:val="BookText"/>
        <w:rPr/>
      </w:pPr>
      <w:r>
        <w:rPr>
          <w:rFonts w:ascii="Amiri" w:hAnsi="Amiri" w:eastAsia="Amiri" w:cs="Amiri"/>
          <w:color w:val="111111"/>
          <w:sz w:val="28"/>
          <w:sz w:val="28"/>
          <w:szCs w:val="28"/>
          <w:rtl w:val="true"/>
          <w:lang w:bidi="ar-SA"/>
        </w:rPr>
        <w:t xml:space="preserve">الجميع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الوجه في الجمع بين الأخبار ، فالمفروض في أخبار الجبيرة عدم التضرر بمجرد استعمال الماء ، ولو في غير محل الجبيرة ، وفي أخبار العدول إلى التيمّم ما لو كان مجرد استعمال الماء مضرا له ، وفي بعض الأخبار شهادة عليه كرواية العياشي</w:t>
      </w:r>
      <w:r>
        <w:rPr>
          <w:rFonts w:eastAsia="Amiri" w:cs="Amiri" w:ascii="Amiri" w:hAnsi="Amiri"/>
          <w:color w:val="111111"/>
          <w:sz w:val="28"/>
          <w:szCs w:val="28"/>
          <w:rtl w:val="true"/>
          <w:lang w:bidi="ar-SA"/>
        </w:rPr>
        <w:t xml:space="preserve">. </w:t>
      </w:r>
      <w:bookmarkStart w:id="260" w:name="pg15839_360857"/>
    </w:p>
    <w:p>
      <w:pPr>
        <w:pStyle w:val="Heading4"/>
        <w:numPr>
          <w:ilvl w:val="3"/>
          <w:numId w:val="1"/>
        </w:numPr>
        <w:rPr/>
      </w:pPr>
      <w:bookmarkStart w:id="261" w:name="__RefHeading___Toc14338487_2142443653"/>
      <w:bookmarkStart w:id="262" w:name="_Toc96"/>
      <w:bookmarkEnd w:id="260"/>
      <w:bookmarkEnd w:id="261"/>
      <w:r>
        <w:rPr>
          <w:rtl w:val="true"/>
        </w:rPr>
        <w:t xml:space="preserve">[ </w:t>
      </w:r>
      <w:r>
        <w:rPr>
          <w:rtl w:val="true"/>
        </w:rPr>
        <w:t xml:space="preserve">تتمة في القروح والجروح </w:t>
      </w:r>
      <w:r>
        <w:rPr>
          <w:rtl w:val="true"/>
        </w:rPr>
        <w:t>]:</w:t>
      </w:r>
      <w:bookmarkEnd w:id="262"/>
    </w:p>
    <w:p>
      <w:pPr>
        <w:pStyle w:val="Heading5"/>
        <w:numPr>
          <w:ilvl w:val="4"/>
          <w:numId w:val="1"/>
        </w:numPr>
        <w:rPr/>
      </w:pPr>
      <w:bookmarkStart w:id="263" w:name="__RefHeading___Toc14338489_2142443653"/>
      <w:bookmarkStart w:id="264" w:name="_Toc97"/>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يبقى الكلام في ذلك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تضرر باستعمال الماء في غير محل القروح من الأعضاء المتّصلة بها مع التمكن من استعماله في الأعضاء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عمّت الجبيرة كل العضو أو غالب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يكن التضرر بالماء من القروح والجروح والكسر كالرمد ووجع المفاصل ونحوها ، فهل يجري في ذلك كله حكم الجبيرة أو ينتقل الحكم إلى التيمّم؟ إشكال ، والظاهر الرجوع إلى الأصل في كل ما يقع الشكّ في اندراجه في الأخبار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يقتضيه الأصل في ذلك هو الرجوع إلى التيمّم عند تعذّر استعمال الماء في تمام الأعضاء ، فالعجز عن استعماله في البعض كالعجز عن استعماله في الكلّ بلا تفاوت ؛ إذ الأجزاء إنما تكون مطلوبة تبعا للكل ، ومع سقوط الطلب المتعلق بالكل لا يبقى طلب بالأبعاض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أنه لو قصر </w:t>
      </w:r>
      <w:r>
        <w:rPr>
          <w:rStyle w:val="FootnoteAnchor"/>
          <w:rtl w:val="true"/>
        </w:rPr>
        <w:footnoteReference w:id="1011"/>
      </w:r>
      <w:r>
        <w:rPr>
          <w:rFonts w:ascii="Amiri" w:hAnsi="Amiri" w:eastAsia="Amiri" w:cs="Amiri"/>
          <w:color w:val="111111"/>
          <w:sz w:val="28"/>
          <w:sz w:val="28"/>
          <w:szCs w:val="28"/>
          <w:rtl w:val="true"/>
          <w:lang w:bidi="ar-SA"/>
        </w:rPr>
        <w:t xml:space="preserve">الماء عن شي‌ء لم يجب عليه الإتيان بالباقي وإن كان ذلك يسيرا جدا قولا واحدا ، فكذا الحال إذا كان في بعض الأعضاء مرض يمنعه عن الاستعمال فيه إلا أنه قد دلّ أخبار الجبائر في المواضع الثلاثة لقيام عمل الجبيرة مقام غسل الكل ظاهرا </w:t>
      </w:r>
      <w:r>
        <w:rPr>
          <w:rStyle w:val="FootnoteAnchor"/>
          <w:rtl w:val="true"/>
        </w:rPr>
        <w:footnoteReference w:id="1012"/>
      </w:r>
      <w:r>
        <w:rPr>
          <w:rFonts w:ascii="Amiri" w:hAnsi="Amiri" w:eastAsia="Amiri" w:cs="Amiri"/>
          <w:color w:val="111111"/>
          <w:sz w:val="28"/>
          <w:sz w:val="28"/>
          <w:szCs w:val="28"/>
          <w:rtl w:val="true"/>
          <w:lang w:bidi="ar-SA"/>
        </w:rPr>
        <w:t>، فحينئذ لا تأمّل في تقديم ذلك على التيمّم لكونه طهارة مائية محرّمة بالإجماع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البيّن تقديمها على الترابية ، فيبقى غيرها مندرجة تحت الأصل إلا أن يدّعى ظهور تسرية الحكم إلى الجميع من تلك الأخبار ، وهو محل منع ، ففي نحو الرمد لا تأمّل في الانتقال إلى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ظاهر الأصحاب ، واحتمل الشيخ فيه الجمع ، واستقرب في الحدائق </w:t>
      </w:r>
      <w:r>
        <w:rPr>
          <w:rStyle w:val="FootnoteAnchor"/>
          <w:rtl w:val="true"/>
        </w:rPr>
        <w:footnoteReference w:id="1013"/>
      </w:r>
      <w:r>
        <w:rPr>
          <w:rFonts w:ascii="Amiri" w:hAnsi="Amiri" w:eastAsia="Amiri" w:cs="Amiri"/>
          <w:color w:val="111111"/>
          <w:sz w:val="28"/>
          <w:sz w:val="28"/>
          <w:szCs w:val="28"/>
          <w:rtl w:val="true"/>
          <w:lang w:bidi="ar-SA"/>
        </w:rPr>
        <w:t>فيه التفصيل بين تضرّره باستعمال الماء بغسل الوجه وما إذا لم يتضرر بغسل ما عدا العين ، فيحكم في الأول بالانتقال إلى التيمّم وفي الثاني بالإتيان بعمل الجبيرة من الاكتفاء بغسل ما حوله مع الانكشاف ، وبالمسح على الدواء الموضوع إن كان عليه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القروح والجروح في بعض الأخبار إنما وقع في كلام بعض السائلين والعبرة </w:t>
      </w:r>
      <w:r>
        <w:rPr>
          <w:rStyle w:val="FootnoteAnchor"/>
          <w:rtl w:val="true"/>
        </w:rPr>
        <w:footnoteReference w:id="1014"/>
      </w:r>
      <w:r>
        <w:rPr>
          <w:rFonts w:ascii="Amiri" w:hAnsi="Amiri" w:eastAsia="Amiri" w:cs="Amiri"/>
          <w:color w:val="111111"/>
          <w:sz w:val="28"/>
          <w:sz w:val="28"/>
          <w:szCs w:val="28"/>
          <w:rtl w:val="true"/>
          <w:lang w:bidi="ar-SA"/>
        </w:rPr>
        <w:t>بعموم الجواب ، وفي بعض يجري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أن الواجب شرعا هو الوضوء ، ولا يجوز الانتقال عنه إلا بدليل واضح ، ومجرد تضرر العين خاصة لا يثبت كونه ناقلا شرعا سيّما مع وجود النصوص في نظائره من القروح والجروح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بضعف ما ذكره ؛ إذ دعوى شمول الروايات لمثله غريب ، والقول بشمول الجواب لغير محل السؤال مع تعلقه بخصوص مورد السؤال وعدم اشتماله على ما يعمّ غيره أصلا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منه ادّعاؤه جريان الدليل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نظائره من القروح والجروح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ومثله الحال فيما لو تضرّر باستعمال الماء في غير محل الجبيرة مما يخرج عن حدودها في العرف ؛ لعدم ظهور اندراجه في تلك الأخبار ، بل ظهور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عمّ الجبيرة كلّ العضو أو غالب الأعضاء وجهان من إطلاق بعض أخبار الجبائر وعدم وضوح اندراج الفرض المذكور فيها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حكم الفاضل في غير واحد من كتبه بشمول حكم الجبيرة حتى فيما لو عمّ جميع الأعضاء المغسولة في الوضوء ، فاكتفى فيها بالمسح عليها ، ثم على الرأس والرجلين ببقية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يؤيده إطلاق حسنة كليب الأسدي ،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كسيرا كيف يصنع في </w:t>
      </w:r>
    </w:p>
    <w:p>
      <w:pPr>
        <w:pStyle w:val="BookText"/>
        <w:rPr/>
      </w:pPr>
      <w:r>
        <w:rPr>
          <w:rFonts w:ascii="Amiri" w:hAnsi="Amiri" w:eastAsia="Amiri" w:cs="Amiri"/>
          <w:color w:val="111111"/>
          <w:sz w:val="28"/>
          <w:sz w:val="28"/>
          <w:szCs w:val="28"/>
          <w:rtl w:val="true"/>
          <w:lang w:bidi="ar-SA"/>
        </w:rPr>
        <w:t xml:space="preserve">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يتخوف على نفسه فليمسح على جبائره وليصلّ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انصرافها إلى من عمّ الجبيرة أعضاءه غير معلوم ، وقضية الأصل المذكور في مثله الجمع بين الأمرين</w:t>
      </w:r>
      <w:r>
        <w:rPr>
          <w:rFonts w:eastAsia="Amiri" w:cs="Amiri" w:ascii="Amiri" w:hAnsi="Amiri"/>
          <w:color w:val="111111"/>
          <w:sz w:val="28"/>
          <w:szCs w:val="28"/>
          <w:rtl w:val="true"/>
          <w:lang w:bidi="ar-SA"/>
        </w:rPr>
        <w:t xml:space="preserve">. </w:t>
      </w:r>
      <w:bookmarkStart w:id="265" w:name="pg15839_360860"/>
    </w:p>
    <w:p>
      <w:pPr>
        <w:pStyle w:val="Heading5"/>
        <w:numPr>
          <w:ilvl w:val="4"/>
          <w:numId w:val="1"/>
        </w:numPr>
        <w:rPr/>
      </w:pPr>
      <w:bookmarkStart w:id="266" w:name="__RefHeading___Toc14338491_2142443653"/>
      <w:bookmarkStart w:id="267" w:name="_Toc98"/>
      <w:bookmarkEnd w:id="265"/>
      <w:bookmarkEnd w:id="266"/>
      <w:r>
        <w:rPr>
          <w:rtl w:val="true"/>
        </w:rPr>
        <w:t>تبصرة</w:t>
      </w:r>
      <w:r>
        <w:rPr>
          <w:rtl w:val="true"/>
        </w:rPr>
        <w:t xml:space="preserve">: [ </w:t>
      </w:r>
      <w:r>
        <w:rPr>
          <w:rtl w:val="true"/>
        </w:rPr>
        <w:t xml:space="preserve">في المرض المسوغ للتيمّم </w:t>
      </w:r>
      <w:r>
        <w:rPr>
          <w:rtl w:val="true"/>
        </w:rPr>
        <w:t>]</w:t>
      </w:r>
      <w:bookmarkEnd w:id="267"/>
    </w:p>
    <w:p>
      <w:pPr>
        <w:pStyle w:val="BookText"/>
        <w:rPr/>
      </w:pPr>
      <w:r>
        <w:rPr>
          <w:rFonts w:ascii="Amiri" w:hAnsi="Amiri" w:eastAsia="Amiri" w:cs="Amiri"/>
          <w:color w:val="111111"/>
          <w:sz w:val="28"/>
          <w:sz w:val="28"/>
          <w:szCs w:val="28"/>
          <w:rtl w:val="true"/>
          <w:lang w:bidi="ar-SA"/>
        </w:rPr>
        <w:t xml:space="preserve">المرض المسوغ للتيمم أعمّ من الموجود حال التيمّم أو المتوقع باستعمال الماء بحيث يخاف من استعماله حدوثه ، إما بالنظر إلى ما يعهد من حاله أو أحوال أمثاله أو بأخبار من يعتمد عليه في ذلك كالطبيب وإن كان كافرا أو فاسقا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المنتهى </w:t>
      </w:r>
      <w:r>
        <w:rPr>
          <w:rStyle w:val="FootnoteAnchor"/>
          <w:rtl w:val="true"/>
        </w:rPr>
        <w:footnoteReference w:id="1017"/>
      </w:r>
      <w:r>
        <w:rPr>
          <w:rFonts w:ascii="Amiri" w:hAnsi="Amiri" w:eastAsia="Amiri" w:cs="Amiri"/>
          <w:color w:val="111111"/>
          <w:sz w:val="28"/>
          <w:sz w:val="28"/>
          <w:szCs w:val="28"/>
          <w:rtl w:val="true"/>
          <w:lang w:bidi="ar-SA"/>
        </w:rPr>
        <w:t>قصر الحكم على أخبار المسلم العارف والعارف الفاسق أو المراهق لحصول الظن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للقطع بحصول الظن من أخبار العارف الكافر ، بل قد يحصل منه ظن أقوى من الحاصل بقول المسلم إذا كان أكثر تجربة منه ، ولذا يقدّم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الأمر دائر مدار الخوف المتعارف ، ولو حصل الخوف من دون اعتبار احتمالات بعيدة غير قابلة للخوف المعتاد فالظاهر عدم جواز البناء عليه كما إذا لم يحصل له الخوف مع حصول أسبابه ، فلا عبرة فيه أيضا بالأمن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الحال أيضا في حصول الخوف باختلاف المخوف منه ، فإن كان أمرا عظيما يحصل الخوف منه بأدنى أمارة بخلاف ما إذا كان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ضابطة كلية في سائر موارد الخوف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المرض الموجود إما أن يكون مانعا من تمكن استعمال أو يكون استعماله باعثا لزيادة المرض أو بطء برئه على النحو المذكور إلا أنه على الأول يجب عليه التولية إن أمكنه ، ويقدم على التيمّم ولو أمكنه المباشرة فيه لصحة التولية في المائية أو لنا بالإجماع فيقدم على الترابية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شقّ عليه استعمال الماء بحيث لا يتحمل عادة كان بمنزلة عدم التمكن لارتفاع الحرج ، ولو تحملها وباشره بنفسه فإن كان مضرا بحاله بحيث يمنع شرعا من إضراره نفسه كذلك فإن لم يتمكن من التولية فسد قطعا ، وإن تمكن منه ففي الصحة وجهان من بقاء التكليف بالمائية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العمل بالمباشرة المحرّمة لا يقضي بالفساد لكونها من مقدمته ، ومن اتحادها بالعمل كما هو الظاهر في صورة إيصاله الماء إلى الأعضاء بآلة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يكن مضرّا بحاله كذلك ففي الصحة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الصحة في صورة إمكان التولية لعدم حرمة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المرض الذي يخاف من حصوله أو زيادته أو بطء برئه إمّا أن يخاف معه من التلف أو المضرة العظيمة التي تمنع من تحمله في الشريعة أو المشقة التي لا تتحمّل في العادة مع خلوّه عن حرمة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الثلاثة لا خلاف في الانتقال إلى التيمّم ، ولو استعمل الماء حينئذ فسدت الطهارة لسقوط الأمر بالمائية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في الأخير الصحة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إلى التيمّم رخصة من الشرع وتوسعة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أنّ قضيّة الأدلّة سقوط المائيّة و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انتقال الحكم إلى </w:t>
      </w:r>
      <w:r>
        <w:rPr>
          <w:rStyle w:val="FootnoteAnchor"/>
          <w:rtl w:val="true"/>
        </w:rPr>
        <w:footnoteReference w:id="1019"/>
      </w:r>
      <w:r>
        <w:rPr>
          <w:rFonts w:ascii="Amiri" w:hAnsi="Amiri" w:eastAsia="Amiri" w:cs="Amiri"/>
          <w:color w:val="111111"/>
          <w:sz w:val="28"/>
          <w:sz w:val="28"/>
          <w:szCs w:val="28"/>
          <w:rtl w:val="true"/>
          <w:lang w:bidi="ar-SA"/>
        </w:rPr>
        <w:t>الترابية ، فالحكم بالجواز يحتاج إلى الدليل لسقوطه الوجوب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المائية مستحبة ففي جوازها وجهان ؛ من كون المندوب أقلّ اهتماما من الواجب فهو أولى بالسقوط ، ومن انتفاء الخروج في إثبات التكاليف المندوبة وإن كانت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يدلّ عليه الدليل إذن صحة التيمّم ، وأما عدم صحة المائية فغير معلوم ، وقضية الإطلاقات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وجه سيّما ما لا نقول فيه ببدلية التيمّم كغسل الجمعة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بحيث يمكن تحمله في المعتاد ففي إباحة التيمّم وجهان بل قولان ، وظاهر الأكثر </w:t>
      </w:r>
    </w:p>
    <w:p>
      <w:pPr>
        <w:pStyle w:val="BookText"/>
        <w:rPr/>
      </w:pPr>
      <w:r>
        <w:rPr>
          <w:rFonts w:ascii="Amiri" w:hAnsi="Amiri" w:eastAsia="Amiri" w:cs="Amiri"/>
          <w:color w:val="111111"/>
          <w:sz w:val="28"/>
          <w:sz w:val="28"/>
          <w:szCs w:val="28"/>
          <w:rtl w:val="true"/>
          <w:lang w:bidi="ar-SA"/>
        </w:rPr>
        <w:t>عدم إباحته بالمرض اليسير ، ومثّلوه بالصداع ووجع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جماعة من المتأخرين إباحته منهم شيخنا البهائي والعلامة المجلسي ، وحكي ذلك عن ظاهر العلّامة في النهاية والإرشاد والشهيد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الكركي تقوية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لهم بظاهر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إنما يدلّ على صورة وجود المرض ، وأنه أعظم من الشين مع إطباقهم على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وثوق في المرض بوقوفه على حدّ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يقتضي حصول الإباحة بمجرد حصول المرض وإن لم يكن هناك مانع من الاستعمال ، وهو خلاف الإجماع ، فالأظهر تنزيله على صورة أخرى بالضرر </w:t>
      </w:r>
      <w:r>
        <w:rPr>
          <w:rStyle w:val="FootnoteAnchor"/>
          <w:rtl w:val="true"/>
        </w:rPr>
        <w:footnoteReference w:id="1020"/>
      </w:r>
      <w:r>
        <w:rPr>
          <w:rFonts w:ascii="Amiri" w:hAnsi="Amiri" w:eastAsia="Amiri" w:cs="Amiri"/>
          <w:color w:val="111111"/>
          <w:sz w:val="28"/>
          <w:sz w:val="28"/>
          <w:szCs w:val="28"/>
          <w:rtl w:val="true"/>
          <w:lang w:bidi="ar-SA"/>
        </w:rPr>
        <w:t>كما هو الحال في غيره ، فالأظهر دوران الحكم مدار صدق الضرر كما هو الشأن في إفطار المريض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إباحة الشين له فهو مبني على كونه ضررا ، وهو كذلك في الغالب قد يحمل على إطلاقاتهم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في منتهى المطلب من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نهاية الإحكام والروض من التصريح بعدم الفرق بين شديده وضعفه </w:t>
      </w:r>
      <w:r>
        <w:rPr>
          <w:rStyle w:val="FootnoteAnchor"/>
          <w:rtl w:val="true"/>
        </w:rPr>
        <w:footnoteReference w:id="1021"/>
      </w:r>
      <w:r>
        <w:rPr>
          <w:rFonts w:ascii="Amiri" w:hAnsi="Amiri" w:eastAsia="Amiri" w:cs="Amiri"/>
          <w:color w:val="111111"/>
          <w:sz w:val="28"/>
          <w:sz w:val="28"/>
          <w:szCs w:val="28"/>
          <w:rtl w:val="true"/>
          <w:lang w:bidi="ar-SA"/>
        </w:rPr>
        <w:t xml:space="preserve">ليس على ما ينبغي سيّما مع ما في الأخير من التعليل بالإطلاق مع خلوّ الأخبار فيه </w:t>
      </w:r>
      <w:r>
        <w:rPr>
          <w:rStyle w:val="FootnoteAnchor"/>
          <w:rtl w:val="true"/>
        </w:rPr>
        <w:footnoteReference w:id="1022"/>
      </w:r>
      <w:r>
        <w:rPr>
          <w:rFonts w:ascii="Amiri" w:hAnsi="Amiri" w:eastAsia="Amiri" w:cs="Amiri"/>
          <w:color w:val="111111"/>
          <w:sz w:val="28"/>
          <w:sz w:val="28"/>
          <w:szCs w:val="28"/>
          <w:rtl w:val="true"/>
          <w:lang w:bidi="ar-SA"/>
        </w:rPr>
        <w:t>رأسا ، وعدم ظهور مستند للحكم سوى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يستند إلى إطلاق الإجماع المنقول وإطلاقات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الإجماع كذلك غير معلوم ، بل المحقق منه ما يدور مدار الضرر لا غير ، ولو خاف من انجرار اليسير إلى الكثير فلا تأمل في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الخلاف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كلامهم لو تحمل ذلك ففي الصحة وجهان ، ولو أمكنه دفع المرض بالدواء بحيث يحصل الاطمئنان منه فالأظهر وجوبه مع التمكن منه ، وحينئذ ففي وجوب استعلام الأمر وجه قويّ إن احتمل وجود دواء يمنع منه</w:t>
      </w:r>
      <w:r>
        <w:rPr>
          <w:rFonts w:eastAsia="Amiri" w:cs="Amiri" w:ascii="Amiri" w:hAnsi="Amiri"/>
          <w:color w:val="111111"/>
          <w:sz w:val="28"/>
          <w:szCs w:val="28"/>
          <w:rtl w:val="true"/>
          <w:lang w:bidi="ar-SA"/>
        </w:rPr>
        <w:t xml:space="preserve">. </w:t>
      </w:r>
      <w:bookmarkStart w:id="268" w:name="pg15839_360863"/>
    </w:p>
    <w:p>
      <w:pPr>
        <w:pStyle w:val="Heading5"/>
        <w:numPr>
          <w:ilvl w:val="4"/>
          <w:numId w:val="1"/>
        </w:numPr>
        <w:rPr/>
      </w:pPr>
      <w:bookmarkStart w:id="269" w:name="__RefHeading___Toc14338493_2142443653"/>
      <w:bookmarkStart w:id="270" w:name="_Toc99"/>
      <w:bookmarkEnd w:id="268"/>
      <w:bookmarkEnd w:id="269"/>
      <w:r>
        <w:rPr>
          <w:rtl w:val="true"/>
        </w:rPr>
        <w:t>تبصرة</w:t>
      </w:r>
      <w:r>
        <w:rPr>
          <w:rtl w:val="true"/>
        </w:rPr>
        <w:t xml:space="preserve">: [ </w:t>
      </w:r>
      <w:r>
        <w:rPr>
          <w:rtl w:val="true"/>
        </w:rPr>
        <w:t xml:space="preserve">في خوف العطش لو استعمل الماء الطهارة </w:t>
      </w:r>
      <w:r>
        <w:rPr>
          <w:rtl w:val="true"/>
        </w:rPr>
        <w:t>]</w:t>
      </w:r>
      <w:bookmarkEnd w:id="270"/>
    </w:p>
    <w:p>
      <w:pPr>
        <w:pStyle w:val="Heading6"/>
        <w:numPr>
          <w:ilvl w:val="5"/>
          <w:numId w:val="1"/>
        </w:numPr>
        <w:rPr/>
      </w:pPr>
      <w:bookmarkStart w:id="271" w:name="__RefHeading___Toc14338495_2142443653"/>
      <w:bookmarkStart w:id="272" w:name="_Toc100"/>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لو خاف العطش باستعمال الماء في الطهارة بأن لم يكن عنده ما يضطر إليه لشربه انتقل الحكم إلى التيمّم بلا خلاف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أنه مذهب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بعد ذلك المعتبرة المستفيضة المشتملة على غير واحد من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يكون معه الماء القليل ، فإن هو اغتسل خاف العطش ، أيغتسل به أو يتيمّم؟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يتيمّم ، وكذلك إذا أراد الوضوء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الرجل يكون معه الماء في السفر فيخاف قلّته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بالصعيد ويستقي الماء فإن اللّه عزوجل جعلهما طهورا الماء والصعيد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أن يكون العطش المخوف منه شديدا بحيث لا يتحمّل عادة لا مجرد عطش في الجملة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تنزيل إطلاق الأخبار عليه ؛ إذ هو المتيقن من وقوعه في المقام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العطش معلوما أو مظنونا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دورانه مدار الخوف كما هو المنصوص في عدة من النصوص ، ويحصل كما مرّ بشهادة الحال وأخبار العارف الواحد ، ولو كان طبيبا </w:t>
      </w:r>
      <w:r>
        <w:rPr>
          <w:rStyle w:val="FootnoteAnchor"/>
          <w:rtl w:val="true"/>
        </w:rPr>
        <w:footnoteReference w:id="1025"/>
      </w:r>
      <w:r>
        <w:rPr>
          <w:rFonts w:ascii="Amiri" w:hAnsi="Amiri" w:eastAsia="Amiri" w:cs="Amiri"/>
          <w:color w:val="111111"/>
          <w:sz w:val="28"/>
          <w:sz w:val="28"/>
          <w:szCs w:val="28"/>
          <w:rtl w:val="true"/>
          <w:lang w:bidi="ar-SA"/>
        </w:rPr>
        <w:t>فاسقا أو كافرا ، بل الظاهر الاكتفاء فيه بعد العلم بوجود ماء غيره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لزوم التحبيس </w:t>
      </w:r>
      <w:r>
        <w:rPr>
          <w:rStyle w:val="FootnoteAnchor"/>
          <w:rtl w:val="true"/>
        </w:rPr>
        <w:footnoteReference w:id="1026"/>
      </w:r>
      <w:r>
        <w:rPr>
          <w:rFonts w:ascii="Amiri" w:hAnsi="Amiri" w:eastAsia="Amiri" w:cs="Amiri"/>
          <w:color w:val="111111"/>
          <w:sz w:val="28"/>
          <w:sz w:val="28"/>
          <w:szCs w:val="28"/>
          <w:rtl w:val="true"/>
          <w:lang w:bidi="ar-SA"/>
        </w:rPr>
        <w:t xml:space="preserve">حينئذ حسب المقدور ، فيستبيح به التيمّم إذا قضت العادة بحصول العطش مع عدم الماء في الجهل </w:t>
      </w:r>
      <w:r>
        <w:rPr>
          <w:rStyle w:val="FootnoteAnchor"/>
          <w:rtl w:val="true"/>
        </w:rPr>
        <w:footnoteReference w:id="1027"/>
      </w:r>
      <w:r>
        <w:rPr>
          <w:rFonts w:ascii="Amiri" w:hAnsi="Amiri" w:eastAsia="Amiri" w:cs="Amiri"/>
          <w:color w:val="111111"/>
          <w:sz w:val="28"/>
          <w:sz w:val="28"/>
          <w:szCs w:val="28"/>
          <w:rtl w:val="true"/>
          <w:lang w:bidi="ar-SA"/>
        </w:rPr>
        <w:t>بوجوده فيه ، ولو أمكنه دفع العطش بشي‌ء تعيّن للطهارة ، وإن كان ذلك بقلّة الأكل الغير الواصل إلى حدّ المشقة المجوّزة أو بالسير إلى الماء أو بعدم السير إلى الشمس إن لم يتضرر بالتخلف عن الرفقة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النصّ خلافه إلا أن ينزّل على صورة التضرّر كما هو الشأن في الأعذار ؛ أخذا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ماء نجس وتمكّن من دفع العطش به واستعمال الطاهر في الطهارة لحرمة شرب النجس وإن كانت الضرورة مسوّغة له بعد حصولها إلا أن إلجاء النفس إلى المحرّم محرّم وإن صرّح عنوان المحرّم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جواز شرب النجس إنما هو في صورة الخوف على النفس ونحوها أو المشقة التي لا يمكن تحملها في العادة ، فيقتصر إذن على 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إباحة التيمّم إنما يرى </w:t>
      </w:r>
      <w:r>
        <w:rPr>
          <w:rStyle w:val="FootnoteAnchor"/>
          <w:rtl w:val="true"/>
        </w:rPr>
        <w:footnoteReference w:id="1028"/>
      </w:r>
      <w:r>
        <w:rPr>
          <w:rFonts w:ascii="Amiri" w:hAnsi="Amiri" w:eastAsia="Amiri" w:cs="Amiri"/>
          <w:color w:val="111111"/>
          <w:sz w:val="28"/>
          <w:sz w:val="28"/>
          <w:szCs w:val="28"/>
          <w:rtl w:val="true"/>
          <w:lang w:bidi="ar-SA"/>
        </w:rPr>
        <w:t>المشقة الّتي لا تتحمل في المعتاد وإن أمكن الصبر على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يومي عبارة المدارك إلى نحو تأمل فيه حيث استجود الحكم المذكور إن ثبت تحريم شرب النجس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بوضوح حرمة شرب النجس ، وجواز الشرب حال الضرورة لا يقضي بجواز إلجاء النفس إليه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استبقاء الماء إنما هو في صورة التمكن من التيمّم ، ومع عدمه إنما يعتبر خوف العطش الشديد الباعث على الموت ونحوه أو ما لا يمكن تحمّله في المعتاد لخروجه عن مورد النصوص ، فيرجع فيه إلى الأصل مع ما علم من اهتمام الشرع في خصوص الصلاة</w:t>
      </w:r>
      <w:r>
        <w:rPr>
          <w:rFonts w:eastAsia="Amiri" w:cs="Amiri" w:ascii="Amiri" w:hAnsi="Amiri"/>
          <w:color w:val="111111"/>
          <w:sz w:val="28"/>
          <w:szCs w:val="28"/>
          <w:rtl w:val="true"/>
          <w:lang w:bidi="ar-SA"/>
        </w:rPr>
        <w:t xml:space="preserve">. </w:t>
      </w:r>
      <w:bookmarkStart w:id="273" w:name="pg15839_360865"/>
    </w:p>
    <w:p>
      <w:pPr>
        <w:pStyle w:val="BookText"/>
        <w:rPr/>
      </w:pPr>
      <w:bookmarkEnd w:id="273"/>
      <w:r>
        <w:rPr>
          <w:rFonts w:ascii="Amiri" w:hAnsi="Amiri" w:eastAsia="Amiri" w:cs="Amiri"/>
          <w:color w:val="111111"/>
          <w:sz w:val="28"/>
          <w:sz w:val="28"/>
          <w:szCs w:val="28"/>
          <w:rtl w:val="true"/>
          <w:lang w:bidi="ar-SA"/>
        </w:rPr>
        <w:t xml:space="preserve">فهناك فرق في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المفروضة في هذا الباب بين إمكان التيمّم مع ترك المائيّة وعدمه ،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احتاج إلى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الماء بعد الشرب ونحوه كالطبخ ونحوه دار صحة التيمّم مدار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الموثقة المذكورة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إليه لإزالة النجاسة فإن كان مع حصولها ودخول الوقت قدّمها على ما مرّ ، ولو كان قبل الوقت جاز الإتيان بكل منهما ، وإن كان بعده قبل حصول النجاسة صحت الطهارة ، وإن علم بطرو النجاسة قبل فعل الصلاة على إشكال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4338497_2142443653"/>
      <w:bookmarkStart w:id="275" w:name="_Toc101"/>
      <w:bookmarkEnd w:id="274"/>
      <w:r>
        <w:rPr>
          <w:rtl w:val="true"/>
        </w:rPr>
        <w:t xml:space="preserve">[ </w:t>
      </w:r>
      <w:r>
        <w:rPr>
          <w:rtl w:val="true"/>
        </w:rPr>
        <w:t xml:space="preserve">تنبيهات </w:t>
      </w:r>
      <w:r>
        <w:rPr>
          <w:rtl w:val="true"/>
        </w:rPr>
        <w:t>]</w:t>
      </w:r>
      <w:bookmarkEnd w:id="275"/>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بين عطش نفسه أو عياله أو نفس مؤمنة ؛ لما دلّ على وجوب حفظها وإن حرمة أخيه المؤمن أعظم من 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إن بلغ حدّ الخوف على النفس وما هو بمنزلتها ، وأما مع عدمها فغاية ما دلّ عليه رفع الحرج وعدم التزامه بالمشقة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دفع الحرج عن غيره فلا شاهد عليه ، ولذا لا يجب عليه الدفع مع عدم اقتضائه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الغير من جملة عياله جرى فيه الحكم المذكور بل الظاهر ثبوت ذلك مع انتفاء المشقة الشديدة أيضا ؛ لوجوب الإنفاق عليه على النحو المعروف إلا أن يسقطه عنه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تقديم حقوق الناس على حقه تعالى ، بل لا يبعد جريان ذلك بالنسبة إلى من يجب عليه الإنفاق من غير تعلّق بذمته كالأبوين ؛ إذ لو قلنا باندراجه في حقوق الناس فظاهر ، وإلّا فهناك واجبان تعارضا ، ويقدّم الثاني لانتفاء ما يقوم مقامه كما مرّ نظيره في الدوران بينه وبين إزالة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يشكل الحال فيما إذا كان فاقدا للطهورين مع بذل الماء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صورة عدم وجوب الإنفاق بأن في تكليفه بإبقاء أخيه المؤمن في الشدة من الحرج ، مضافا إلى ما دلّ على شدة احترام المؤمن وأن حرمته أعظم من الكعبة إلى غير ذلك ، مع تأيده بظاهر إطلاق الأصحاب وأنه يستحب له مود </w:t>
      </w:r>
      <w:r>
        <w:rPr>
          <w:rStyle w:val="FootnoteAnchor"/>
          <w:rtl w:val="true"/>
        </w:rPr>
        <w:footnoteReference w:id="1030"/>
      </w:r>
      <w:r>
        <w:rPr>
          <w:rFonts w:ascii="Amiri" w:hAnsi="Amiri" w:eastAsia="Amiri" w:cs="Amiri"/>
          <w:color w:val="111111"/>
          <w:sz w:val="28"/>
          <w:sz w:val="28"/>
          <w:szCs w:val="28"/>
          <w:rtl w:val="true"/>
          <w:lang w:bidi="ar-SA"/>
        </w:rPr>
        <w:t>على نفسه التي يقدم مراعاتها على الطهارة المائية فتقديمه على المسوغ دليل على تسويغه ، فبملاحظة ذلك كله ربما يتقوى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المذكور بالنسبة إلى الذمي والمعاهد والمخالف للحق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به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خلافه ؛ إذ لا دليل على وجوب محافظتهم وإنقاذهم من الهلكة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جواز إتلافهم لاعتصامهم ببعض الأسباب الباعثة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جماعة من الأصحاب منهم العلامة والشهيد بجريان الحكم في صورة الخوف على دابّته وكلّ حيوان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عدم الفرق بين كونه مملوكا له أو لغيره ، وكونه في يده أو 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لم يقم عليه دليل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مبني على الملازمة بين وجوب الحفظ وحرمة الاتلاف بناء على تقييد خوف العطش بالمهلك ، مضافا إلى ما ورد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كبد حرّاء 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يفيد الأخير جريان الحكم في العطش الشديد البالغ حدّ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يرد عليه من المنع أنه قد يجوز إتلافه بالذبح فيما يكون محلّل اللحم أو قصد تذكيته من جهة الانتفاع بجلده ونحوه أو نقله بالبيع ونحوه مع تمكّن المشتري من 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له القول به في مملوكه إذا خاف تلفه من جهة لزوم حفظ المال وعدم وجوب 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فيما إذا كان تلفه مضرّا بحاله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عدمه ففي عدم وجوبه إشكال مرّت الإشارة إليه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وبنى في الحدائق على وجوب المائية في الصورتين بناء على زعمه من وجوب صرف </w:t>
      </w:r>
    </w:p>
    <w:p>
      <w:pPr>
        <w:pStyle w:val="BookText"/>
        <w:rPr/>
      </w:pPr>
      <w:r>
        <w:rPr>
          <w:rFonts w:ascii="Amiri" w:hAnsi="Amiri" w:eastAsia="Amiri" w:cs="Amiri"/>
          <w:color w:val="111111"/>
          <w:sz w:val="28"/>
          <w:sz w:val="28"/>
          <w:szCs w:val="28"/>
          <w:rtl w:val="true"/>
          <w:lang w:bidi="ar-SA"/>
        </w:rPr>
        <w:t>المال في مثله وإن بلغ حدّ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آخر لثبوت الحكم المذكور في خصوص المملوك ، وهو وجوب الإنفاق عليه على نحو ما مرّ فيمن يجب عليه الانفاق من الإنسان ، فحينئذ يتعارض فيه الوجهان مع حصول البدل لأحدهما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فيه مع إمكان ذبحه أو بيعه من القادر على سقيه ونحو ذلك ؛ لعدم تعيّن الإنفاق عليه حينئذ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مع إبقائه كذلك يجب عليه الانفاق ، وإن كان عاصيا فيه 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لم يكن عطش الدابة موجبا للخوف على نفس الراكب أو نفس أخرى محترمة أو ما هو بمنزلتها وإلّا تعين التيمّم بلا خلاف فيه ، وكذا إذا كان موجبا لمضرّة شديدة لا يتحمّل في العادة أو باعثا على تعريض أمواله </w:t>
      </w:r>
      <w:r>
        <w:rPr>
          <w:rStyle w:val="FootnoteAnchor"/>
          <w:rtl w:val="true"/>
        </w:rPr>
        <w:footnoteReference w:id="1032"/>
      </w:r>
      <w:r>
        <w:rPr>
          <w:rFonts w:ascii="Amiri" w:hAnsi="Amiri" w:eastAsia="Amiri" w:cs="Amiri"/>
          <w:color w:val="111111"/>
          <w:sz w:val="28"/>
          <w:sz w:val="28"/>
          <w:szCs w:val="28"/>
          <w:rtl w:val="true"/>
          <w:lang w:bidi="ar-SA"/>
        </w:rPr>
        <w:t>وأحماله للتلف مع كونه مضرا بحاله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أيضا إذا كان مقيدا به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سبّب ذلك تخلفه عن الرفقة مع عدم إضرار به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وقع في الحدائق </w:t>
      </w:r>
      <w:r>
        <w:rPr>
          <w:rStyle w:val="FootnoteAnchor"/>
          <w:rtl w:val="true"/>
        </w:rPr>
        <w:footnoteReference w:id="1033"/>
      </w:r>
      <w:r>
        <w:rPr>
          <w:rFonts w:ascii="Amiri" w:hAnsi="Amiri" w:eastAsia="Amiri" w:cs="Amiri"/>
          <w:color w:val="111111"/>
          <w:sz w:val="28"/>
          <w:sz w:val="28"/>
          <w:szCs w:val="28"/>
          <w:rtl w:val="true"/>
          <w:lang w:bidi="ar-SA"/>
        </w:rPr>
        <w:t xml:space="preserve">من استدراكه ذلك مع حكمه بوجوب التيمّم مع تلف الدابّة وعدم العبرة بتلف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ينبغي أن يستثنى منه ما لو كان محتاجا إلى الدابة بحيث يضره فوتها كما إذا كان في سفر لا يمكن قطعه إلا بها أو يحتاج إليها لنقل أثقاله وأحماله ، فإنه يجوز أن تصرف الماء إليها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يسوغ التيمّم بما ذكرنا إذا لم يكن ترك الشرب مطلوبا بالنسبة إليه كما إذا كان شرب الماء مضرّا به لحصول حرج في بدنه ونحوه ، وكذا لو منعه عنه صوم الواجب إذا لم يخف </w:t>
      </w:r>
    </w:p>
    <w:p>
      <w:pPr>
        <w:pStyle w:val="BookText"/>
        <w:rPr/>
      </w:pPr>
      <w:r>
        <w:rPr>
          <w:rFonts w:ascii="Amiri" w:hAnsi="Amiri" w:eastAsia="Amiri" w:cs="Amiri"/>
          <w:color w:val="111111"/>
          <w:sz w:val="28"/>
          <w:sz w:val="28"/>
          <w:szCs w:val="28"/>
          <w:rtl w:val="true"/>
          <w:lang w:bidi="ar-SA"/>
        </w:rPr>
        <w:t xml:space="preserve">من وصوله إلى حدّ يجب عليه الإفطار ؛ </w:t>
      </w:r>
      <w:r>
        <w:rPr>
          <w:rStyle w:val="FootnoteAnchor"/>
          <w:rtl w:val="true"/>
        </w:rPr>
        <w:footnoteReference w:id="1034"/>
      </w:r>
      <w:r>
        <w:rPr>
          <w:rFonts w:ascii="Amiri" w:hAnsi="Amiri" w:eastAsia="Amiri" w:cs="Amiri"/>
          <w:color w:val="111111"/>
          <w:sz w:val="28"/>
          <w:sz w:val="28"/>
          <w:szCs w:val="28"/>
          <w:rtl w:val="true"/>
          <w:lang w:bidi="ar-SA"/>
        </w:rPr>
        <w:t>إذ الظاهر الفرق بين الضرورتين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لو كان بانيا على الصوم ومع استحبابه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أيضا احتماله قبول الآخر وتمكنه من بذله ، ولو علم بانتفاء ذلك تعيّن الطهارة ومع الشك وجهان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كون سفره محرّما أو مباحا في وجه قوي ، ولو أمكن رفع العطش بالرجوع تعيّن في المحرّم دون المحلّل إن وجب أو كان تركه مضرا بحاله ، ومع عدمه فوجهان</w:t>
      </w:r>
      <w:r>
        <w:rPr>
          <w:rFonts w:eastAsia="Amiri" w:cs="Amiri" w:ascii="Amiri" w:hAnsi="Amiri"/>
          <w:color w:val="111111"/>
          <w:sz w:val="28"/>
          <w:szCs w:val="28"/>
          <w:rtl w:val="true"/>
          <w:lang w:bidi="ar-SA"/>
        </w:rPr>
        <w:t xml:space="preserve">. </w:t>
      </w:r>
      <w:bookmarkStart w:id="276" w:name="pg15839_360869"/>
    </w:p>
    <w:p>
      <w:pPr>
        <w:pStyle w:val="Heading3"/>
        <w:numPr>
          <w:ilvl w:val="2"/>
          <w:numId w:val="1"/>
        </w:numPr>
        <w:rPr/>
      </w:pPr>
      <w:bookmarkStart w:id="277" w:name="__RefHeading___Toc14338499_2142443653"/>
      <w:bookmarkStart w:id="278" w:name="_Toc102"/>
      <w:bookmarkEnd w:id="276"/>
      <w:bookmarkEnd w:id="277"/>
      <w:r>
        <w:rPr>
          <w:rtl w:val="true"/>
        </w:rPr>
        <w:t>الفصل الثالث</w:t>
      </w:r>
      <w:r>
        <w:rPr>
          <w:rtl w:val="true"/>
        </w:rPr>
        <w:t xml:space="preserve">: </w:t>
      </w:r>
      <w:r>
        <w:rPr>
          <w:rtl w:val="true"/>
        </w:rPr>
        <w:t>في بيان الأمور التي يصحّ معها التيمّم مع الاختيار أو الاضطرار</w:t>
      </w:r>
      <w:bookmarkEnd w:id="278"/>
    </w:p>
    <w:p>
      <w:pPr>
        <w:pStyle w:val="Heading4"/>
        <w:numPr>
          <w:ilvl w:val="3"/>
          <w:numId w:val="1"/>
        </w:numPr>
        <w:rPr/>
      </w:pPr>
      <w:bookmarkStart w:id="279" w:name="__RefHeading___Toc14338501_2142443653"/>
      <w:bookmarkStart w:id="280" w:name="_Toc103"/>
      <w:bookmarkEnd w:id="279"/>
      <w:r>
        <w:rPr>
          <w:rtl w:val="true"/>
        </w:rPr>
        <w:t>تبصرة</w:t>
      </w:r>
      <w:r>
        <w:rPr>
          <w:rtl w:val="true"/>
        </w:rPr>
        <w:t xml:space="preserve">: [ </w:t>
      </w:r>
      <w:r>
        <w:rPr>
          <w:rtl w:val="true"/>
        </w:rPr>
        <w:t xml:space="preserve">في التيمّم على الأرض </w:t>
      </w:r>
      <w:r>
        <w:rPr>
          <w:rtl w:val="true"/>
        </w:rPr>
        <w:t>]</w:t>
      </w:r>
      <w:bookmarkEnd w:id="280"/>
    </w:p>
    <w:p>
      <w:pPr>
        <w:pStyle w:val="Heading5"/>
        <w:numPr>
          <w:ilvl w:val="4"/>
          <w:numId w:val="1"/>
        </w:numPr>
        <w:rPr/>
      </w:pPr>
      <w:bookmarkStart w:id="281" w:name="__RefHeading___Toc14338503_2142443653"/>
      <w:bookmarkStart w:id="282" w:name="_Toc104"/>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ذهب أكثر الأصحاب إلى جواز التيمّم اختيارا لكلّ ما صدق عليه اسم الأرض من تراب وحجر ورمل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الاسكافي فيما حكي عنه ، والشيخ في عدة من كتبه والسيد في أحد قوليه ، والفاضلان والشهيدان والمحقق الكركي وكثير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الخلاف حكاية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أن التيمّم بالحجر مذهب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035"/>
      </w:r>
      <w:r>
        <w:rPr>
          <w:rFonts w:ascii="Amiri" w:hAnsi="Amiri" w:eastAsia="Amiri" w:cs="Amiri"/>
          <w:color w:val="111111"/>
          <w:sz w:val="28"/>
          <w:sz w:val="28"/>
          <w:szCs w:val="28"/>
          <w:rtl w:val="true"/>
          <w:lang w:bidi="ar-SA"/>
        </w:rPr>
        <w:t>أن الحجر الصلب كالرخام إذا لم يكن عليه غبار يجوز التيمّم 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إسناد جواز التيمّم بكلّ ما يقع عليه اسم الأرض إلى أكثر </w:t>
      </w:r>
      <w:r>
        <w:rPr>
          <w:rStyle w:val="FootnoteAnchor"/>
          <w:rtl w:val="true"/>
        </w:rPr>
        <w:footnoteReference w:id="1036"/>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المفيد في ظاهر كلامه ، والسيد في قوله الآخر ، والحلبي والحلي إلى التخصيص بالتراب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ومنشأ الخلاف الواقع بينهم اختلاف أهل اللغة في معنى الصعيد ؛ </w:t>
      </w:r>
      <w:r>
        <w:rPr>
          <w:rStyle w:val="FootnoteAnchor"/>
          <w:rtl w:val="true"/>
        </w:rPr>
        <w:footnoteReference w:id="1037"/>
      </w:r>
      <w:r>
        <w:rPr>
          <w:rFonts w:ascii="Amiri" w:hAnsi="Amiri" w:eastAsia="Amiri" w:cs="Amiri"/>
          <w:color w:val="111111"/>
          <w:sz w:val="28"/>
          <w:sz w:val="28"/>
          <w:szCs w:val="28"/>
          <w:rtl w:val="true"/>
          <w:lang w:bidi="ar-SA"/>
        </w:rPr>
        <w:t xml:space="preserve">لتعلق التيمّم به في نصّ الكتاب ، فعن تغلب والزجاج </w:t>
      </w:r>
      <w:r>
        <w:rPr>
          <w:rStyle w:val="FootnoteAnchor"/>
          <w:rtl w:val="true"/>
        </w:rPr>
        <w:footnoteReference w:id="1038"/>
      </w:r>
      <w:r>
        <w:rPr>
          <w:rFonts w:ascii="Amiri" w:hAnsi="Amiri" w:eastAsia="Amiri" w:cs="Amiri"/>
          <w:color w:val="111111"/>
          <w:sz w:val="28"/>
          <w:sz w:val="28"/>
          <w:szCs w:val="28"/>
          <w:rtl w:val="true"/>
          <w:lang w:bidi="ar-SA"/>
        </w:rPr>
        <w:t>أنه وجه الأرض ترابا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الخليل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فسّره الزمخشري في الأساس والمطرزي في المغرب والأزهري في المصباح المنير والراغب </w:t>
      </w:r>
      <w:r>
        <w:rPr>
          <w:rStyle w:val="FootnoteAnchor"/>
          <w:rtl w:val="true"/>
        </w:rPr>
        <w:footnoteReference w:id="1039"/>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بعد التفسير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في كلّ كلام العرب يطلق على وجوه على التراب الذي على وجه الأرض ، وعلى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شهادة على أن أصل المعنى هو الأول ، والثاني مما يطلق عليه اللفظ ، ولا دلالة فيه على كونه خصوص المستعمل فيه ، فقد يكون إطلاقه عليه من جهة أنه من مصاديق وجه الأرض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يوافق مذهب أصحابنا في أن التيمّم يجوز بالحجر سواء كان تراب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الزجاج أيضا في علة تسمية ذلك صعيدا أنه نهاية ما يصعد من باطن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فعيلا بمعنى الفاعل كما نصّ عليه غير واحد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الجوهري </w:t>
      </w:r>
      <w:r>
        <w:rPr>
          <w:rStyle w:val="FootnoteAnchor"/>
          <w:rtl w:val="true"/>
        </w:rPr>
        <w:footnoteReference w:id="1041"/>
      </w:r>
      <w:r>
        <w:rPr>
          <w:rFonts w:ascii="Amiri" w:hAnsi="Amiri" w:eastAsia="Amiri" w:cs="Amiri"/>
          <w:color w:val="111111"/>
          <w:sz w:val="28"/>
          <w:sz w:val="28"/>
          <w:szCs w:val="28"/>
          <w:rtl w:val="true"/>
          <w:lang w:bidi="ar-SA"/>
        </w:rPr>
        <w:t xml:space="preserve">وابن الفارسي </w:t>
      </w:r>
      <w:r>
        <w:rPr>
          <w:rStyle w:val="FootnoteAnchor"/>
          <w:rtl w:val="true"/>
        </w:rPr>
        <w:footnoteReference w:id="1042"/>
      </w:r>
      <w:r>
        <w:rPr>
          <w:rFonts w:ascii="Amiri" w:hAnsi="Amiri" w:eastAsia="Amiri" w:cs="Amiri"/>
          <w:color w:val="111111"/>
          <w:sz w:val="28"/>
          <w:sz w:val="28"/>
          <w:szCs w:val="28"/>
          <w:rtl w:val="true"/>
          <w:lang w:bidi="ar-SA"/>
        </w:rPr>
        <w:t xml:space="preserve">في المجمل أنه التراب </w:t>
      </w:r>
      <w:r>
        <w:rPr>
          <w:rStyle w:val="FootnoteAnchor"/>
          <w:rtl w:val="true"/>
        </w:rPr>
        <w:footnoteReference w:id="1043"/>
      </w:r>
      <w:r>
        <w:rPr>
          <w:rFonts w:ascii="Amiri" w:hAnsi="Amiri" w:eastAsia="Amiri" w:cs="Amiri"/>
          <w:color w:val="111111"/>
          <w:sz w:val="28"/>
          <w:sz w:val="28"/>
          <w:szCs w:val="28"/>
          <w:rtl w:val="true"/>
          <w:lang w:bidi="ar-SA"/>
        </w:rPr>
        <w:t>الخالص الذي لا يخالطه سبخ ولا رمل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هذه الأقوال لا يعادل الأقوال السابقة مع اعتضادها بما عرفت ، مضافا إلى الشهرة بين الأصحاب وموافقته في الجملة عن المنقول عن الأكثر ، فيما رواه في معاني </w:t>
      </w:r>
    </w:p>
    <w:p>
      <w:pPr>
        <w:pStyle w:val="BookText"/>
        <w:rPr/>
      </w:pPr>
      <w:r>
        <w:rPr>
          <w:rFonts w:ascii="Amiri" w:hAnsi="Amiri" w:eastAsia="Amiri" w:cs="Amiri"/>
          <w:color w:val="111111"/>
          <w:sz w:val="28"/>
          <w:sz w:val="28"/>
          <w:szCs w:val="28"/>
          <w:rtl w:val="true"/>
          <w:lang w:bidi="ar-SA"/>
        </w:rPr>
        <w:t xml:space="preserve">الأخبار عن الصادق عليه‌السلام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الفقه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المرتفع من الأرض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فسّره الصدوق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فيمكن الاستدلال على المقصود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الآية بعد تفسيرها بما ذكرنا لقول هؤلاء الأجلاء المعتضد بما عرفت ، وانتفاء ما يقاومه فيما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عدّة من النصوص المستفيضة المشتملة على الصحاح وغيره المعتضد دلالتها بفتوى معظم الطائفة والإجماعات المحكيّة كما مرّ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في عدة من الكتب المعتبرة كالمحاسن </w:t>
      </w:r>
      <w:r>
        <w:rPr>
          <w:rStyle w:val="FootnoteAnchor"/>
          <w:rtl w:val="true"/>
        </w:rPr>
        <w:footnoteReference w:id="1046"/>
      </w:r>
      <w:r>
        <w:rPr>
          <w:rFonts w:ascii="Amiri" w:hAnsi="Amiri" w:eastAsia="Amiri" w:cs="Amiri"/>
          <w:color w:val="111111"/>
          <w:sz w:val="28"/>
          <w:sz w:val="28"/>
          <w:szCs w:val="28"/>
          <w:rtl w:val="true"/>
          <w:lang w:bidi="ar-SA"/>
        </w:rPr>
        <w:t xml:space="preserve">وبصائر الدرجات والكافي </w:t>
      </w:r>
      <w:r>
        <w:rPr>
          <w:rStyle w:val="FootnoteAnchor"/>
          <w:rtl w:val="true"/>
        </w:rPr>
        <w:footnoteReference w:id="1047"/>
      </w:r>
      <w:r>
        <w:rPr>
          <w:rFonts w:ascii="Amiri" w:hAnsi="Amiri" w:eastAsia="Amiri" w:cs="Amiri"/>
          <w:color w:val="111111"/>
          <w:sz w:val="28"/>
          <w:sz w:val="28"/>
          <w:szCs w:val="28"/>
          <w:rtl w:val="true"/>
          <w:lang w:bidi="ar-SA"/>
        </w:rPr>
        <w:t xml:space="preserve">والفقيه </w:t>
      </w:r>
      <w:r>
        <w:rPr>
          <w:rStyle w:val="FootnoteAnchor"/>
          <w:rtl w:val="true"/>
        </w:rPr>
        <w:footnoteReference w:id="1048"/>
      </w:r>
      <w:r>
        <w:rPr>
          <w:rFonts w:ascii="IRNazanin" w:hAnsi="IRNazanin" w:eastAsia="IRNazanin"/>
          <w:color w:val="111111"/>
          <w:sz w:val="28"/>
          <w:sz w:val="28"/>
          <w:szCs w:val="28"/>
          <w:rtl w:val="true"/>
          <w:lang w:bidi="fa-IR"/>
        </w:rPr>
        <w:t xml:space="preserve">والخصال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عدة من الأخبار الواردة في بيان كيفية التيمّم الآمرة بضرب اليدين على الأرض كالصحيح على الأصح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على الأرض مرّتين ، وتضرب بكفّيك على الأرض ثم تنفضهما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الرجل طهورا وكان جنبا فليمسح من الأرض وليصلّ ، فإذا وجد ماء فليغتسل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صحيحة عبد اللّه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فاته الماء لم تفته الأرض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يومي إليه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 الماء هو رب الأرض فليتيمم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عدة من الوضوءات البيانية المشتملة على الضرب على الأرض ، وهي وإن لم تكن دالّة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حكايات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التعبير فيها بلفظ الأرض إشارة إلى ذلك سيّما ما اشتمل من ذلك على حكاية الإمام عليه‌السلام فعل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رواية النوادر ، عن موسى بن جعفر عليه‌السلام ، عن آبائه ، عن علي عليه‌السلام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أتيمم بالصفا الثابتة على وجه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الدعائم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يجزي بالصفا الثابت على الأرض إذا كان عليه غبار ولم يكن مبلولا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وضعفهما مجبور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رخّص التيمّم حال الاختيار بالتراب لذكر ذلك في الأخبار ، وذكر انتقال التكاليف مع العجز عنه إلى التيمّم بالحجر ونحوه ، ولوقع ذلك في أسئلة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كثيرا يقع إلحاقه إليه لكثرة الأراضي الرملية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الأخبار ذكر التيمّم بالطين والغبار بعد العجز عن الصعيد مع عدم إشارة إلى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بالاقتصار على التراب بعد الإجماع المحكي عليه عن الغنية الآية الشريفة </w:t>
      </w:r>
    </w:p>
    <w:p>
      <w:pPr>
        <w:pStyle w:val="BookText"/>
        <w:rPr/>
      </w:pPr>
      <w:r>
        <w:rPr>
          <w:rFonts w:ascii="Amiri" w:hAnsi="Amiri" w:eastAsia="Amiri" w:cs="Amiri"/>
          <w:color w:val="111111"/>
          <w:sz w:val="28"/>
          <w:sz w:val="28"/>
          <w:szCs w:val="28"/>
          <w:rtl w:val="true"/>
          <w:lang w:bidi="ar-SA"/>
        </w:rPr>
        <w:t>بدعوى كون الصعيد هو التراب كما نصّ عليه جماعة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عنه والقول بتعارض كلماتهم فلا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قضية الأصل لزوم الاقتصار على التراب لحصول اليقين بالفراغ ، مضافا إلى ظواهر عدة من الأخبار كصحيحة رفاعة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مبتلّة ليس فيها تراب ولا ماء فانظر أجفّ موضع تجده ، فتيمم فيه فإن ذلك توسيع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في ثلج فلينظر لبد سرجه ، فليتيمم من غباره أو شي‌ء مغبّر ، وإن كان في حال لا تجد إلا الطين فلا بأس أن يتيمم منه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إشارة إلى المطلوب من وجوه عديدة لمقابلة </w:t>
      </w:r>
      <w:r>
        <w:rPr>
          <w:rStyle w:val="FootnoteAnchor"/>
          <w:rtl w:val="true"/>
        </w:rPr>
        <w:footnoteReference w:id="1058"/>
      </w:r>
      <w:r>
        <w:rPr>
          <w:rFonts w:ascii="Amiri" w:hAnsi="Amiri" w:eastAsia="Amiri" w:cs="Amiri"/>
          <w:color w:val="111111"/>
          <w:sz w:val="28"/>
          <w:sz w:val="28"/>
          <w:szCs w:val="28"/>
          <w:rtl w:val="true"/>
          <w:lang w:bidi="ar-SA"/>
        </w:rPr>
        <w:t>التراب بالماء ، والأمر بالتيمم على أجفّ المواضع الشامل بإطلاقه الحجر بعد انتفاء التراب ، ثم بيان أن ذلك توسيع من أنه لإنباته بأن ذلك من التوسّع الخارج عن حدّ التكليف الأول الأمر بالتيمم على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ذلك صحيحة عبد اللّه بن المغيرة الموقوفة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الأرض مبتلّة ليس فيها تراب ولا ماء فانظر أجفّ موضع تجده فتيمم من غباره أو شي‌ء مغبّر ، وإن كان في حال لا تجد إلا الطين فلا بأس أن يتيمم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أيضا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 وترابها طهورا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 فإن إقحام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المقام مقام الامتنان يقضي بذكر الأعم دليل على اختصاصه به ، وإلا لكان ذلك لغوا بل مخلّا بالمقصود في المقام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الصحيح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 xml:space="preserve">، وقوله عليه‌السلام في رواية ابن ميسرة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ربّ الماء ربّ التراب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 ومرسلة علي بن مطر ، عن </w:t>
      </w:r>
    </w:p>
    <w:p>
      <w:pPr>
        <w:pStyle w:val="BookText"/>
        <w:rPr/>
      </w:pPr>
      <w:r>
        <w:rPr>
          <w:rFonts w:ascii="Amiri" w:hAnsi="Amiri" w:eastAsia="Amiri" w:cs="Amiri"/>
          <w:color w:val="111111"/>
          <w:sz w:val="28"/>
          <w:sz w:val="28"/>
          <w:szCs w:val="28"/>
          <w:rtl w:val="true"/>
          <w:lang w:bidi="ar-SA"/>
        </w:rPr>
        <w:t xml:space="preserve">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يصيب الماء والتراب أيتيمّم بالطين؟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ظاهر آية المائدة من زيادة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كون ذلك الصعيد مما له قابلية للتعلق بالكفّ فلا يراد منه الحجر ونحوه ، سيّما بملاحظة صحيحة زرارة الواردة في بيان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الإجماع موهون بمخالفة الأكثر ، والآية قد عرفت الحال فيها ، وأصالة الشغل مدفوع بقيام الدليل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لا دلالة ظاهرة فيها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رفاعة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وصفها العلامة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الاشتمال على محمد بن عيسى الأشعري ، ولم يصرّح بتوثيقه أصحاب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الذبّ عنه بما يظهر من اعتماد ابنه وغيره من المشايخ عليه وجلالته بين الأصحاب ، مضافا إلى قرائن أخر يفيد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الرواية أنه مع عدم وجدان المحل الجافّ للتيمم يراعى أجفّ تلك المواضع ، ولا دلالة فيها على تعيّن التراب أوّلا ، ثم الانتقال إلى غيره من الأحجار ، بل الظاهر منها مراعاة الجافّ أوّلا ، ثم المبتلّ مراعيا للأجفّ ، فالحيثية المسوق لها الكلام هو </w:t>
      </w:r>
      <w:r>
        <w:rPr>
          <w:rStyle w:val="FootnoteAnchor"/>
          <w:rtl w:val="true"/>
        </w:rPr>
        <w:footnoteReference w:id="1063"/>
      </w:r>
      <w:r>
        <w:rPr>
          <w:rFonts w:ascii="IRNazanin" w:hAnsi="IRNazanin" w:eastAsia="IRNazanin"/>
          <w:color w:val="111111"/>
          <w:sz w:val="28"/>
          <w:sz w:val="28"/>
          <w:szCs w:val="28"/>
          <w:rtl w:val="true"/>
          <w:lang w:bidi="fa-IR"/>
        </w:rPr>
        <w:t xml:space="preserve">فقدان الماء </w:t>
      </w:r>
      <w:r>
        <w:rPr>
          <w:rStyle w:val="FootnoteAnchor"/>
          <w:rtl w:val="true"/>
        </w:rPr>
        <w:footnoteReference w:id="1064"/>
      </w:r>
      <w:r>
        <w:rPr>
          <w:rFonts w:ascii="Amiri" w:hAnsi="Amiri" w:eastAsia="Amiri" w:cs="Amiri"/>
          <w:color w:val="111111"/>
          <w:sz w:val="28"/>
          <w:sz w:val="28"/>
          <w:szCs w:val="28"/>
          <w:rtl w:val="true"/>
          <w:lang w:bidi="ar-SA"/>
        </w:rPr>
        <w:t>الجاف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السبب في ذكر التوسعة في المقام ؛ نظرا إلى تركّب ما يتيمم به من التراب والماء ، فلا دلالة فيها على خروج الحجر من الصعيد كذكر خصوص التراب فيها وفي الأخبار المتأخرة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ربما يقيّده النبوي المذكور إلا أنه لضعف إسناده بل كونه من طرق العامة كما هو الظاهر وخلوّ المحكي من طرق الخاصة عنه لا ينهض حجة ، بل الظاهر من المحكي عن طرق الخاصة خلافه كما بيّنّا</w:t>
      </w:r>
      <w:r>
        <w:rPr>
          <w:rFonts w:eastAsia="Amiri" w:cs="Amiri" w:ascii="Amiri" w:hAnsi="Amiri"/>
          <w:color w:val="111111"/>
          <w:sz w:val="28"/>
          <w:szCs w:val="28"/>
          <w:rtl w:val="true"/>
          <w:lang w:bidi="ar-SA"/>
        </w:rPr>
        <w:t xml:space="preserve">. </w:t>
      </w:r>
      <w:bookmarkStart w:id="283" w:name="pg15839_360875"/>
    </w:p>
    <w:p>
      <w:pPr>
        <w:pStyle w:val="BookText"/>
        <w:rPr/>
      </w:pPr>
      <w:bookmarkEnd w:id="283"/>
      <w:r>
        <w:rPr>
          <w:rFonts w:ascii="Amiri" w:hAnsi="Amiri" w:eastAsia="Amiri" w:cs="Amiri"/>
          <w:color w:val="111111"/>
          <w:sz w:val="28"/>
          <w:sz w:val="28"/>
          <w:szCs w:val="28"/>
          <w:rtl w:val="true"/>
          <w:lang w:bidi="ar-SA"/>
        </w:rPr>
        <w:t xml:space="preserve">ومع الغضّ عن ذلك فلا تقاوم </w:t>
      </w:r>
      <w:r>
        <w:rPr>
          <w:rStyle w:val="FootnoteAnchor"/>
          <w:rtl w:val="true"/>
        </w:rPr>
        <w:footnoteReference w:id="1065"/>
      </w:r>
      <w:r>
        <w:rPr>
          <w:rFonts w:ascii="Amiri" w:hAnsi="Amiri" w:eastAsia="Amiri" w:cs="Amiri"/>
          <w:color w:val="111111"/>
          <w:sz w:val="28"/>
          <w:sz w:val="28"/>
          <w:szCs w:val="28"/>
          <w:rtl w:val="true"/>
          <w:lang w:bidi="ar-SA"/>
        </w:rPr>
        <w:t>ما ذكرناه من الأدلة على الاكتفاء بوجه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Style w:val="FootnoteAnchor"/>
          <w:rtl w:val="true"/>
        </w:rPr>
        <w:footnoteReference w:id="1066"/>
      </w:r>
      <w:r>
        <w:rPr>
          <w:rFonts w:ascii="Amiri" w:hAnsi="Amiri" w:eastAsia="Amiri" w:cs="Amiri"/>
          <w:color w:val="111111"/>
          <w:sz w:val="28"/>
          <w:sz w:val="28"/>
          <w:szCs w:val="28"/>
          <w:rtl w:val="true"/>
          <w:lang w:bidi="ar-SA"/>
        </w:rPr>
        <w:t xml:space="preserve">بعد الحكم بمتانة الاحتجاج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التأويل مع وجود المعارض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عرفت بذلك الحال في دلالة الأخبار المذكورة ، فتأمل</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4338505_2142443653"/>
      <w:bookmarkStart w:id="285" w:name="_Toc105"/>
      <w:bookmarkEnd w:id="284"/>
      <w:r>
        <w:rPr>
          <w:rtl w:val="true"/>
        </w:rPr>
        <w:t xml:space="preserve">[ </w:t>
      </w:r>
      <w:r>
        <w:rPr>
          <w:rtl w:val="true"/>
        </w:rPr>
        <w:t xml:space="preserve">تتميم </w:t>
      </w:r>
      <w:r>
        <w:rPr>
          <w:rtl w:val="true"/>
        </w:rPr>
        <w:t>]</w:t>
      </w:r>
      <w:bookmarkEnd w:id="285"/>
    </w:p>
    <w:p>
      <w:pPr>
        <w:pStyle w:val="BookText"/>
        <w:rPr/>
      </w:pPr>
      <w:r>
        <w:rPr>
          <w:rFonts w:ascii="Amiri" w:hAnsi="Amiri" w:eastAsia="Amiri" w:cs="Amiri"/>
          <w:color w:val="111111"/>
          <w:sz w:val="28"/>
          <w:sz w:val="28"/>
          <w:szCs w:val="28"/>
          <w:rtl w:val="true"/>
          <w:lang w:bidi="ar-SA"/>
        </w:rPr>
        <w:t xml:space="preserve">لنتمّم </w:t>
      </w:r>
      <w:r>
        <w:rPr>
          <w:rStyle w:val="FootnoteAnchor"/>
          <w:rtl w:val="true"/>
        </w:rPr>
        <w:footnoteReference w:id="1067"/>
      </w:r>
      <w:r>
        <w:rPr>
          <w:rFonts w:ascii="Amiri" w:hAnsi="Amiri" w:eastAsia="Amiri" w:cs="Amiri"/>
          <w:color w:val="111111"/>
          <w:sz w:val="28"/>
          <w:sz w:val="28"/>
          <w:szCs w:val="28"/>
          <w:rtl w:val="true"/>
          <w:lang w:bidi="ar-SA"/>
        </w:rPr>
        <w:t xml:space="preserve">الكلام في المرام بذكر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ما عرفت جواز التيمّم بوجه الأرض كون الحجر في مرتبة التراب ، وكذا غيره من سائر ما يصدق عليه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باختصاصه بالتراب فينبغي القول بعدم جواز التيمّم به مطلقا سواء كان في حال الاختيار أو الاضطرار ؛ لعدم ذكر التيمّم بالأحجار في شي‌ء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المحكي عن الإسكافي </w:t>
      </w:r>
      <w:r>
        <w:rPr>
          <w:rStyle w:val="FootnoteAnchor"/>
          <w:rtl w:val="true"/>
        </w:rPr>
        <w:footnoteReference w:id="106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من السبخ ولا ممن </w:t>
      </w:r>
      <w:r>
        <w:rPr>
          <w:rStyle w:val="FootnoteAnchor"/>
          <w:rtl w:val="true"/>
        </w:rPr>
        <w:footnoteReference w:id="1069"/>
      </w:r>
      <w:r>
        <w:rPr>
          <w:rFonts w:ascii="Amiri" w:hAnsi="Amiri" w:eastAsia="Amiri" w:cs="Amiri"/>
          <w:color w:val="111111"/>
          <w:sz w:val="28"/>
          <w:sz w:val="28"/>
          <w:szCs w:val="28"/>
          <w:rtl w:val="true"/>
          <w:lang w:bidi="ar-SA"/>
        </w:rPr>
        <w:t xml:space="preserve">أحلّ عن معنى الأرض المخلوقة بالطبخ والتحجير خاصة </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القول بخروجه عن اسم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Style w:val="FootnoteAnchor"/>
          <w:rtl w:val="true"/>
        </w:rPr>
        <w:footnoteReference w:id="1071"/>
      </w:r>
      <w:r>
        <w:rPr>
          <w:rFonts w:ascii="Amiri" w:hAnsi="Amiri" w:eastAsia="Amiri" w:cs="Amiri"/>
          <w:color w:val="111111"/>
          <w:sz w:val="28"/>
          <w:sz w:val="28"/>
          <w:szCs w:val="28"/>
          <w:rtl w:val="true"/>
          <w:lang w:bidi="ar-SA"/>
        </w:rPr>
        <w:t>لازم كلام السيد ومن قال بمقالته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المفيد في المقنعة التفصيل بين حالتي الاختيار والاضطرار ، فيقدم على الغبار بعد فقد التراب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المحكي عن النهاية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أفتى في المراسم إلا أنه جعله بعد الغبار في مرتبة </w:t>
      </w:r>
    </w:p>
    <w:p>
      <w:pPr>
        <w:pStyle w:val="BookText"/>
        <w:rPr/>
      </w:pPr>
      <w:r>
        <w:rPr>
          <w:rFonts w:ascii="IRNazanin" w:hAnsi="IRNazanin" w:eastAsia="IRNazanin"/>
          <w:color w:val="111111"/>
          <w:sz w:val="28"/>
          <w:sz w:val="28"/>
          <w:szCs w:val="28"/>
          <w:rtl w:val="true"/>
          <w:lang w:bidi="fa-IR"/>
        </w:rPr>
        <w:t>الوحل والثلج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في الحدائق </w:t>
      </w:r>
      <w:r>
        <w:rPr>
          <w:rStyle w:val="FootnoteAnchor"/>
          <w:rtl w:val="true"/>
        </w:rPr>
        <w:footnoteReference w:id="1072"/>
      </w:r>
      <w:r>
        <w:rPr>
          <w:rFonts w:ascii="Amiri" w:hAnsi="Amiri" w:eastAsia="Amiri" w:cs="Amiri"/>
          <w:color w:val="111111"/>
          <w:sz w:val="28"/>
          <w:sz w:val="28"/>
          <w:szCs w:val="28"/>
          <w:rtl w:val="true"/>
          <w:lang w:bidi="ar-SA"/>
        </w:rPr>
        <w:t>الشهرة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 البحث بالحجر الخالي عن الغبار ، فربّما يومي ذلك إلى انتفاء الخلاف في غير الخالي عنه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ذلك في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أيضا إسناد الجواز إلى علمائنا مؤذنا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تأمل ؛ إذ مجرد وجود الغبار عليه لا يوجب صدق اسم التراب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الفرق بين الصورتين إلا بناء على اعتبار العلوق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القول بدخول المغبّر منه في التيمّم بالغبار ، وهو أيضا لا يثمر في المقام إلا على قول الإسكافي إن قال بشمول الحكم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فالأظهر الأول لصدق اسم الأرض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 </w:t>
      </w:r>
      <w:r>
        <w:rPr>
          <w:rStyle w:val="FootnoteAnchor"/>
          <w:rtl w:val="true"/>
        </w:rPr>
        <w:footnoteReference w:id="1074"/>
      </w:r>
      <w:r>
        <w:rPr>
          <w:rFonts w:ascii="Amiri" w:hAnsi="Amiri" w:eastAsia="Amiri" w:cs="Amiri"/>
          <w:color w:val="111111"/>
          <w:sz w:val="28"/>
          <w:sz w:val="28"/>
          <w:szCs w:val="28"/>
          <w:rtl w:val="true"/>
          <w:lang w:bidi="ar-SA"/>
        </w:rPr>
        <w:t>الوجه في المنع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القائلين بالتفصيل فليس لهم مستند ظاهر ، وقد يحتجّ لهم تارة بالإجماع على صحّة التيمّم به مع العجز من التراب ، ويكفي </w:t>
      </w:r>
      <w:r>
        <w:rPr>
          <w:rStyle w:val="FootnoteAnchor"/>
          <w:rtl w:val="true"/>
        </w:rPr>
        <w:footnoteReference w:id="1075"/>
      </w:r>
      <w:r>
        <w:rPr>
          <w:rFonts w:ascii="Amiri" w:hAnsi="Amiri" w:eastAsia="Amiri" w:cs="Amiri"/>
          <w:color w:val="111111"/>
          <w:sz w:val="28"/>
          <w:sz w:val="28"/>
          <w:szCs w:val="28"/>
          <w:rtl w:val="true"/>
          <w:lang w:bidi="ar-SA"/>
        </w:rPr>
        <w:t>به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بأنه لما وقع الخلاف في لفظ الصعيد كان قضية أصالة شغل الذمة الاقتصار على خصوص التراب مع الاختيار ، وأما مع الاضطرار فلما دار الأمر بين كونه فاقدا للطهورين فيسقط عنه وجوب الصلاة أو واجدا له فيجب قضاء </w:t>
      </w:r>
      <w:r>
        <w:rPr>
          <w:rStyle w:val="FootnoteAnchor"/>
          <w:rtl w:val="true"/>
        </w:rPr>
        <w:footnoteReference w:id="1076"/>
      </w:r>
      <w:r>
        <w:rPr>
          <w:rFonts w:ascii="Amiri" w:hAnsi="Amiri" w:eastAsia="Amiri" w:cs="Amiri"/>
          <w:color w:val="111111"/>
          <w:sz w:val="28"/>
          <w:sz w:val="28"/>
          <w:szCs w:val="28"/>
          <w:rtl w:val="true"/>
          <w:lang w:bidi="ar-SA"/>
        </w:rPr>
        <w:t>الشغل اليقيني بالصلاة وجوب الإتيان بها مع التيمّم بالحجر ؛ لعدم الحكم بسقوطه بمجرد الاحتمال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قضية الجمع بين الآية وإطلاق الأخبار المشتملة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الآية على صورة الاختيار وجوازه بمطلق وجه الأرض من </w:t>
      </w:r>
      <w:r>
        <w:rPr>
          <w:rStyle w:val="FootnoteAnchor"/>
          <w:rtl w:val="true"/>
        </w:rPr>
        <w:footnoteReference w:id="1077"/>
      </w:r>
      <w:r>
        <w:rPr>
          <w:rFonts w:ascii="Amiri" w:hAnsi="Amiri" w:eastAsia="Amiri" w:cs="Amiri"/>
          <w:color w:val="111111"/>
          <w:sz w:val="28"/>
          <w:sz w:val="28"/>
          <w:szCs w:val="28"/>
          <w:rtl w:val="true"/>
          <w:lang w:bidi="ar-SA"/>
        </w:rPr>
        <w:t xml:space="preserve">غيره كما يستفاد منها على صورة </w:t>
      </w:r>
    </w:p>
    <w:p>
      <w:pPr>
        <w:pStyle w:val="BookText"/>
        <w:rPr/>
      </w:pP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الحدائق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المذكور مما لا شاهد عليه ، وقضية حمل المطلق على المقيّد تقييد الروايات بالآية الشريفة مطلقا إذا لم يفصل فيها بين الحالتين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الأمر باستعمال التراب في الآية شاهد على حصول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يعوّل بتقييد تلك الإطلاقات إلا بمقدار ما قضت الآية بالتقييد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الأول بمنع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ولا تحقق فيه الخلاف من 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الكافي مضافا إلى أن قول الأكثر منه </w:t>
      </w:r>
      <w:r>
        <w:rPr>
          <w:rStyle w:val="FootnoteAnchor"/>
          <w:rtl w:val="true"/>
        </w:rPr>
        <w:footnoteReference w:id="1079"/>
      </w:r>
      <w:r>
        <w:rPr>
          <w:rFonts w:ascii="Amiri" w:hAnsi="Amiri" w:eastAsia="Amiri" w:cs="Amiri"/>
          <w:color w:val="111111"/>
          <w:sz w:val="28"/>
          <w:sz w:val="28"/>
          <w:szCs w:val="28"/>
          <w:rtl w:val="true"/>
          <w:lang w:bidi="ar-SA"/>
        </w:rPr>
        <w:t>بالجواز إنما هو لجعل التيمّم من مطلق وجه الأرض على أنه إن ثبت الإجماع ففي ترتّبه أيضا كلام ، فتقديمه على الغبار لا وجه له ، بل قضية إطلاق ما دلّ على التيمّم بالغبار تأخيره عنه ، فلا يتمّ الاحتجاج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اشتراط الصلاة بالطهور سقوطها عند عدم تحقق شرطها ، وهو غير متحقق الحصول في الصورة المفروضة ،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استحباب الاحتياط المذكور إن لم نقل بحرمة الصلاة بالذات من دون الطهارة كما هو قضية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قضية الأخبار جوازه بمطلق الأرض في حال الاختيار حيث ذكر ذلك في بيان أصل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يحتج على ذلك بإطلاق صحيحة رفاعة الماضية ، وهو إطلاق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جماعة من الأصحاب بجواز التيمّم بأرض الجص والنورة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شرح الإستبصار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جوازه بأرض الجص والنورة قبل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ابن إدريس </w:t>
      </w:r>
      <w:r>
        <w:rPr>
          <w:rStyle w:val="FootnoteAnchor"/>
          <w:rtl w:val="true"/>
        </w:rPr>
        <w:footnoteReference w:id="1081"/>
      </w:r>
      <w:r>
        <w:rPr>
          <w:rFonts w:ascii="Amiri" w:hAnsi="Amiri" w:eastAsia="Amiri" w:cs="Amiri"/>
          <w:color w:val="111111"/>
          <w:sz w:val="28"/>
          <w:sz w:val="28"/>
          <w:szCs w:val="28"/>
          <w:rtl w:val="true"/>
          <w:lang w:bidi="ar-SA"/>
        </w:rPr>
        <w:t>فيه لا يلتفت إليه ؛ لأنه مخالف للنص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عني به الإجماع على جوازه في الجملة ؛ إذ لا أقل من منع القائل باختصاص التيمّم بالتراب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فصّل فيه الشيخ </w:t>
      </w:r>
      <w:r>
        <w:rPr>
          <w:rStyle w:val="FootnoteAnchor"/>
          <w:rtl w:val="true"/>
        </w:rPr>
        <w:footnoteReference w:id="1082"/>
      </w:r>
      <w:r>
        <w:rPr>
          <w:rFonts w:ascii="Amiri" w:hAnsi="Amiri" w:eastAsia="Amiri" w:cs="Amiri"/>
          <w:color w:val="111111"/>
          <w:sz w:val="28"/>
          <w:sz w:val="28"/>
          <w:szCs w:val="28"/>
          <w:rtl w:val="true"/>
          <w:lang w:bidi="ar-SA"/>
        </w:rPr>
        <w:t>في الحالين إلا أن يقال بصدق التراب عليه ، أو يقال بخروجه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المحكي عن الحلي هو المنع منه مطلقا ؛ استنادا إلى كونه معدنا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دعوى الخروج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المنع ، بل من الظاهر شموله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هما خارجان عن اسم التراب ، فمنع الشيخ عنه مع الاختيار في محله إلا أن تجويزه مع الاضطرار محلّ مناقشة كما مرّ نظيره 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بعد طبخهما فقد نص جماعة منهم الشيخان </w:t>
      </w:r>
      <w:r>
        <w:rPr>
          <w:rStyle w:val="FootnoteAnchor"/>
          <w:rtl w:val="true"/>
        </w:rPr>
        <w:footnoteReference w:id="1083"/>
      </w:r>
      <w:r>
        <w:rPr>
          <w:rFonts w:ascii="Amiri" w:hAnsi="Amiri" w:eastAsia="Amiri" w:cs="Amiri"/>
          <w:color w:val="111111"/>
          <w:sz w:val="28"/>
          <w:sz w:val="28"/>
          <w:szCs w:val="28"/>
          <w:rtl w:val="true"/>
          <w:lang w:bidi="ar-SA"/>
        </w:rPr>
        <w:t>والفاضلان فيه بالمنع لخروجهما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المصباح </w:t>
      </w:r>
      <w:r>
        <w:rPr>
          <w:rStyle w:val="FootnoteAnchor"/>
          <w:rtl w:val="true"/>
        </w:rPr>
        <w:footnoteReference w:id="1084"/>
      </w:r>
      <w:r>
        <w:rPr>
          <w:rFonts w:ascii="Amiri" w:hAnsi="Amiri" w:eastAsia="Amiri" w:cs="Amiri"/>
          <w:color w:val="111111"/>
          <w:sz w:val="28"/>
          <w:sz w:val="28"/>
          <w:szCs w:val="28"/>
          <w:rtl w:val="true"/>
          <w:lang w:bidi="ar-SA"/>
        </w:rPr>
        <w:t>والديلمي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إليه الشهيد في الذكرى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المنع والجواز في المدارك </w:t>
      </w:r>
      <w:r>
        <w:rPr>
          <w:rStyle w:val="FootnoteAnchor"/>
          <w:rtl w:val="true"/>
        </w:rPr>
        <w:footnoteReference w:id="1086"/>
      </w:r>
      <w:r>
        <w:rPr>
          <w:rFonts w:ascii="IRNazanin" w:hAnsi="IRNazanin" w:eastAsia="IRNazanin"/>
          <w:color w:val="111111"/>
          <w:sz w:val="28"/>
          <w:sz w:val="28"/>
          <w:szCs w:val="28"/>
          <w:rtl w:val="true"/>
          <w:lang w:bidi="fa-IR"/>
        </w:rPr>
        <w:t>على خروجه عن اسم الأرض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والاحتياط فيه مما لا ينبغي تركه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بصدق اسم الأرض عليه ولا يخرج بسبب اللون والخاصية عن اسمها كما في بعض أقسام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حصول الشك في التسمية فمقتضى الاستصحاب بقاء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رواية السكوني عن الصادق عليه‌السلام ، عن أبيه ،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التيمّم بالجص؟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بالنورة؟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بالرماد؟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إنه لا يخرج من الأرض ، إنما يخرج من الشجر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الراوندي عن الكاظم عليه‌السلام ، عن آبائه ، عن </w:t>
      </w:r>
      <w:r>
        <w:rPr>
          <w:rFonts w:eastAsia="Amiri" w:cs="Amiri" w:ascii="Amiri" w:hAnsi="Amiri"/>
          <w:color w:val="111111"/>
          <w:sz w:val="28"/>
          <w:szCs w:val="28"/>
          <w:rtl w:val="true"/>
          <w:lang w:bidi="ar-SA"/>
        </w:rPr>
        <w:t xml:space="preserve">[ ... ] </w:t>
      </w:r>
      <w:r>
        <w:rPr>
          <w:rStyle w:val="FootnoteAnchor"/>
          <w:rtl w:val="true"/>
        </w:rPr>
        <w:footnoteReference w:id="1088"/>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بالمنع من اندراجه في اسم الأرض بل الظاهر من العرف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ضعف الاستناد إلى الاستصحاب ، والروايتان ضعيفتان مطرحتان عند أكثر الأصحاب ، فلا يمكن التعويل عليها ، مع ما فيها من الإشارة إلى خروجهما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 الجواز بخروجهما منها ، وهو كما ترى لا يناسب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لزوم مراعاة الاحتياط والحكم بعدم حصول إباحة الصلاة إلا بما دل الدليل على حصول الإباحة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وانتصر بعضهم للجواز بصحيحة الحسن بن محبوب الواردة في جواز السجود على الجصّ المحروق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أنه سئل أبا الحسن عليه‌السلام عن الجص يوقد عليه بالعذرة وعظام الموتى ثم يجصص به المسجد أيسجد عليه؟ فكتب إليه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والنار قد طهّراه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جواز سجود الصلاة بالجبهة غير واضحة ، على أنه عليه‌السلام سكت عن جواز السجود وإنما 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موافقته لظاهر الأصحاب ، مع أنه لا ملازمة بين جواز السجود عليه وصحة التيمّم لجواز السجود على ما يصح التيمّم به بالإجماع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من الأصحاب منهم الإسكافي </w:t>
      </w:r>
      <w:r>
        <w:rPr>
          <w:rStyle w:val="FootnoteAnchor"/>
          <w:rtl w:val="true"/>
        </w:rPr>
        <w:footnoteReference w:id="1090"/>
      </w:r>
      <w:r>
        <w:rPr>
          <w:rFonts w:ascii="IRNazanin" w:hAnsi="IRNazanin" w:eastAsia="IRNazanin"/>
          <w:color w:val="111111"/>
          <w:sz w:val="28"/>
          <w:sz w:val="28"/>
          <w:szCs w:val="28"/>
          <w:rtl w:val="true"/>
          <w:lang w:bidi="fa-IR"/>
        </w:rPr>
        <w:t xml:space="preserve">والمحقق </w:t>
      </w:r>
      <w:r>
        <w:rPr>
          <w:rStyle w:val="FootnoteAnchor"/>
          <w:rtl w:val="true"/>
        </w:rPr>
        <w:footnoteReference w:id="1091"/>
      </w:r>
      <w:r>
        <w:rPr>
          <w:rFonts w:ascii="Amiri" w:hAnsi="Amiri" w:eastAsia="Amiri" w:cs="Amiri"/>
          <w:color w:val="111111"/>
          <w:sz w:val="28"/>
          <w:sz w:val="28"/>
          <w:szCs w:val="28"/>
          <w:rtl w:val="true"/>
          <w:lang w:bidi="ar-SA"/>
        </w:rPr>
        <w:t xml:space="preserve">إلى عدم جواز التيمّم </w:t>
      </w:r>
    </w:p>
    <w:p>
      <w:pPr>
        <w:pStyle w:val="BookText"/>
        <w:rPr/>
      </w:pPr>
      <w:r>
        <w:rPr>
          <w:rFonts w:ascii="IRNazanin" w:hAnsi="IRNazanin" w:eastAsia="IRNazanin"/>
          <w:color w:val="111111"/>
          <w:sz w:val="28"/>
          <w:sz w:val="28"/>
          <w:szCs w:val="28"/>
          <w:rtl w:val="true"/>
          <w:lang w:bidi="fa-IR"/>
        </w:rPr>
        <w:t>بالخزف لخروجه عن اسم الأرض بالطبخ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آخرون إلى جوازه إما للحكم ببقاء الأرضية وإن اختلفت الجهة أو من جهة الشك في بقاء اسم الأرض فيستصحب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الأصحاب القطع بجواز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بالاتفاق عليه وكونه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اتفاق الجهة بين الأمرين ، فيكون الحكم بجواز التيمّم به أيضا مشهورا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التيمّم به مما يتأمل في شهرته أيضا ، ومجرد قطع الجماعة لا يفيدها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 إذ الحكم بصدق اسم الأرض عليه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البقاء ففي إجراء الاستصحاب أيضا تأمل من جهة أن الحكم بالأرضية فيه إنما كان من جهة كونه ترابا ، وسلب اسمه عنه 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فالقول باستصحاب اسم الأرض فيه يشبه استصحاب الجنس مع القطع بزوال النوع ، وقضية أصالة الشغل في مثله البناء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المقام مما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المنع من التيمّم بالرماد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الإجماع عليه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 لخروجه عن اسم الأرض مضافا إلى ورود المنع فيه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في أحدهما بأنه لم يخرج من الأرض بل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وقع الكلام في رماد التراب فاستقرب في نهاية الإحكام </w:t>
      </w:r>
      <w:r>
        <w:rPr>
          <w:rStyle w:val="FootnoteAnchor"/>
          <w:rtl w:val="true"/>
        </w:rPr>
        <w:footnoteReference w:id="1092"/>
      </w:r>
      <w:r>
        <w:rPr>
          <w:rFonts w:ascii="Amiri" w:hAnsi="Amiri" w:eastAsia="Amiri" w:cs="Amiri"/>
          <w:color w:val="111111"/>
          <w:sz w:val="28"/>
          <w:sz w:val="28"/>
          <w:szCs w:val="28"/>
          <w:rtl w:val="true"/>
          <w:lang w:bidi="ar-SA"/>
        </w:rPr>
        <w:t>جواز التيمّم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وقوّاه العلامة المجلسي في البحار </w:t>
      </w:r>
      <w:r>
        <w:rPr>
          <w:rStyle w:val="FootnoteAnchor"/>
          <w:rtl w:val="true"/>
        </w:rPr>
        <w:footnoteReference w:id="10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فيه على عدم الجواز مع الخروج عن </w:t>
      </w:r>
    </w:p>
    <w:p>
      <w:pPr>
        <w:pStyle w:val="BookText"/>
        <w:rPr/>
      </w:pPr>
      <w:r>
        <w:rPr>
          <w:rFonts w:ascii="IRNazanin" w:hAnsi="IRNazanin" w:eastAsia="IRNazanin"/>
          <w:color w:val="111111"/>
          <w:sz w:val="28"/>
          <w:sz w:val="28"/>
          <w:szCs w:val="28"/>
          <w:rtl w:val="true"/>
          <w:lang w:bidi="fa-IR"/>
        </w:rPr>
        <w:t>اسم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المنع في التذكرة </w:t>
      </w:r>
      <w:r>
        <w:rPr>
          <w:rStyle w:val="FootnoteAnchor"/>
          <w:rtl w:val="true"/>
        </w:rPr>
        <w:footnoteReference w:id="1094"/>
      </w:r>
      <w:r>
        <w:rPr>
          <w:rFonts w:ascii="Amiri" w:hAnsi="Amiri" w:eastAsia="Amiri" w:cs="Amiri"/>
          <w:color w:val="111111"/>
          <w:sz w:val="28"/>
          <w:sz w:val="28"/>
          <w:szCs w:val="28"/>
          <w:rtl w:val="true"/>
          <w:lang w:bidi="ar-SA"/>
        </w:rPr>
        <w:t>على الخروج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منه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المدارك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القول بخروجه عن اسم الأرض فلا ينبغي الريب في المنع لانحصار وجه الجواز في اندراجه فيها ، فما يلوح من البحار من البناء على الجواز مع فرضه غريب ، والاستناد فيه إلى التعليل المذكور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مع حصول الحقيقة الرمادية لا ينبغي الريب في الخروج عن اسم الأرض ؛ إذ لا عبرة في ذلك أيضا بالأصل ، والاستناد إلى الاستصحاب فيه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المذكور ضعيف إلا أن يكون الشك في حصول الرماد باحتراق الأرض ، وهو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الاحتمال المذكور في رماد الحجر ونحوه من ساير أقسام الأرض بناء على جواز التيمّم بمطلقها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التراب في جواز التيمّم به ، فيستوي ساير أنواعه من الأسود والأصفر والأحمر كالأرمني والذي ينبت والذي لا ينبت كالسبخ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ذلك في التذكرة </w:t>
      </w:r>
      <w:r>
        <w:rPr>
          <w:rStyle w:val="FootnoteAnchor"/>
          <w:rtl w:val="true"/>
        </w:rPr>
        <w:footnoteReference w:id="1096"/>
      </w:r>
      <w:r>
        <w:rPr>
          <w:rFonts w:ascii="IRNazanin" w:hAnsi="IRNazanin" w:eastAsia="IRNazanin"/>
          <w:color w:val="111111"/>
          <w:sz w:val="28"/>
          <w:sz w:val="28"/>
          <w:szCs w:val="28"/>
          <w:rtl w:val="true"/>
          <w:lang w:bidi="fa-IR"/>
        </w:rPr>
        <w:t>إجماع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فيه عن الإسكافي </w:t>
      </w:r>
      <w:r>
        <w:rPr>
          <w:rStyle w:val="FootnoteAnchor"/>
          <w:rtl w:val="true"/>
        </w:rPr>
        <w:footnoteReference w:id="1097"/>
      </w:r>
      <w:r>
        <w:rPr>
          <w:rFonts w:ascii="Amiri" w:hAnsi="Amiri" w:eastAsia="Amiri" w:cs="Amiri"/>
          <w:color w:val="111111"/>
          <w:sz w:val="28"/>
          <w:sz w:val="28"/>
          <w:szCs w:val="28"/>
          <w:rtl w:val="true"/>
          <w:lang w:bidi="ar-SA"/>
        </w:rPr>
        <w:t>القول بالمنع من السبخ لوصف الصعيد في الآية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إذ المراد به الطاهر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سائر أنواع الأرض من الرمل والحجر وأرض الجصّ والنورة على القول بكون الصعيد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التيمّم بالرمل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يؤذن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ذكروا كراهة التيمّم بالسبخ والرمل والمهابط والطرق واستحباب كونه من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 في التذكرة </w:t>
      </w:r>
      <w:r>
        <w:rPr>
          <w:rStyle w:val="FootnoteAnchor"/>
          <w:rtl w:val="true"/>
        </w:rPr>
        <w:footnoteReference w:id="1099"/>
      </w:r>
      <w:r>
        <w:rPr>
          <w:rFonts w:ascii="Amiri" w:hAnsi="Amiri" w:eastAsia="Amiri" w:cs="Amiri"/>
          <w:color w:val="111111"/>
          <w:sz w:val="28"/>
          <w:sz w:val="28"/>
          <w:szCs w:val="28"/>
          <w:rtl w:val="true"/>
          <w:lang w:bidi="ar-SA"/>
        </w:rPr>
        <w:t>استحباب الأخير وكراهة الثالث إلى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بالرمل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يؤذن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التيمّم بالعوالي فقد يستفاد من تفسير الصعيد بالموضع المرتفع كما مرّ في روايتي العلل والفقه ؛ إذ ليس اعتبار الارتفاع واجبا فيه ، فيكون مندوبا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الندب وإن لم يخل عن خفاء إلا أنها بضميمة نص الأصحاب والإجماع المنقول كافية في إثبات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كراهته من المهابط فقد نصّ عليه في كلام جماعة ، ولم نجد في الأخبار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كونه من العوالي لا يقضي بالكراهة فيها إلا أن يكتفى فيها بمجرد حكم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المنقول عليه في التذكرة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كراهة كفه من تراب الطريق فيدلّ عليه رواية غياث بن إبراهيم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أمير المؤمنين عليه‌السلام أن يتيمم الرجل بتراب من أثر الطريق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روايته الأخرى عنه عليه‌السلام ،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وضوء من موطئ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تطأ عليه برجلك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الأخير أعم من الأول فالقول به لا يخلو عن بعد ؛ تسامحا في أدلة السنن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معدّا لذلك ، لا ما وطئه برجله ولو مرّة كما </w:t>
      </w:r>
    </w:p>
    <w:p>
      <w:pPr>
        <w:pStyle w:val="BookText"/>
        <w:rPr/>
      </w:pPr>
      <w:r>
        <w:rPr>
          <w:rFonts w:ascii="Amiri" w:hAnsi="Amiri" w:eastAsia="Amiri" w:cs="Amiri"/>
          <w:color w:val="111111"/>
          <w:sz w:val="28"/>
          <w:sz w:val="28"/>
          <w:szCs w:val="28"/>
          <w:rtl w:val="true"/>
          <w:lang w:bidi="ar-SA"/>
        </w:rPr>
        <w:t>هو ظاهر تفسير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ذلك كراهة التيمّم مما يكون معرضا للنجاسة أو يظن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كراهة السبخة والرمل فلم نجد عليها مستندا سوى حكم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الحدائق </w:t>
      </w:r>
      <w:r>
        <w:rPr>
          <w:rStyle w:val="FootnoteAnchor"/>
          <w:rtl w:val="true"/>
        </w:rPr>
        <w:footnoteReference w:id="1102"/>
      </w:r>
      <w:r>
        <w:rPr>
          <w:rFonts w:ascii="Amiri" w:hAnsi="Amiri" w:eastAsia="Amiri" w:cs="Amiri"/>
          <w:color w:val="111111"/>
          <w:sz w:val="28"/>
          <w:sz w:val="28"/>
          <w:szCs w:val="28"/>
          <w:rtl w:val="true"/>
          <w:lang w:bidi="ar-SA"/>
        </w:rPr>
        <w:t>إلى صريح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يؤذن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كراهة الأول تارة بالخروج عن الخلاف ، وهو ضعيف وإلّا لجرى في الحجر ونحوه بخلاف من اعتبر الاختصاص بالتراب ، بل ويجري ذلك أيضا في الرمل لو قيل بخلافهم فيه ، أيضا ، وأخرى باختلاط ترابها بالأجزاء الملحيّة ، وهو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أيضا موهون بأن المدار أيضا عن الخروج عن اسم الأرض ، فإن كانت بحيث يوجب الخروج عن الاسم فلا شكّ في المنع ، وإلا لم يقتض </w:t>
      </w:r>
      <w:r>
        <w:rPr>
          <w:rStyle w:val="FootnoteAnchor"/>
          <w:rtl w:val="true"/>
        </w:rPr>
        <w:footnoteReference w:id="1104"/>
      </w:r>
      <w:r>
        <w:rPr>
          <w:rFonts w:ascii="Amiri" w:hAnsi="Amiri" w:eastAsia="Amiri" w:cs="Amiri"/>
          <w:color w:val="111111"/>
          <w:sz w:val="28"/>
          <w:sz w:val="28"/>
          <w:szCs w:val="28"/>
          <w:rtl w:val="true"/>
          <w:lang w:bidi="ar-SA"/>
        </w:rPr>
        <w:t>بالكراهة إلا أن يجعل ذلك مؤيّدا لكلام الجماعة ، فيكتفى به تسامحا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وكراهة الأخير بما في بعض الأخبار بعد النهي عن الصلاة على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حدّثتك نفسك أنه مما أنبت الأرض و </w:t>
      </w:r>
      <w:r>
        <w:rPr>
          <w:rStyle w:val="FootnoteAnchor"/>
          <w:rtl w:val="true"/>
        </w:rPr>
        <w:footnoteReference w:id="1105"/>
      </w:r>
      <w:r>
        <w:rPr>
          <w:rFonts w:ascii="Amiri" w:hAnsi="Amiri" w:eastAsia="Amiri" w:cs="Amiri"/>
          <w:color w:val="111111"/>
          <w:sz w:val="28"/>
          <w:sz w:val="28"/>
          <w:szCs w:val="28"/>
          <w:rtl w:val="true"/>
          <w:lang w:bidi="ar-SA"/>
        </w:rPr>
        <w:t xml:space="preserve">لكنّه من الملح والرمل ، وهما ممسوخان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بالممسوخيّة تحوّل صورتهما وعدم بقائهما على حقيقة الأرضية ، فقد يكون ذلك مستندا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لدلّ على المنع إلا أن يقال ببقاء الحقيقة العرفية قطعا ، والحكم إنما يتبع الاسم والكراهة من جهة الخروج عن الحقيقة الفعلية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تنهض حجة على المنع فلينهض على الكراهة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ما فيه إلا أن يكون المقصود التأييد لحكم الجماعة</w:t>
      </w:r>
      <w:r>
        <w:rPr>
          <w:rFonts w:eastAsia="Amiri" w:cs="Amiri" w:ascii="Amiri" w:hAnsi="Amiri"/>
          <w:color w:val="111111"/>
          <w:sz w:val="28"/>
          <w:szCs w:val="28"/>
          <w:rtl w:val="true"/>
          <w:lang w:bidi="ar-SA"/>
        </w:rPr>
        <w:t xml:space="preserve">. </w:t>
      </w:r>
      <w:bookmarkStart w:id="286" w:name="pg15839_360884"/>
    </w:p>
    <w:p>
      <w:pPr>
        <w:pStyle w:val="Heading4"/>
        <w:numPr>
          <w:ilvl w:val="3"/>
          <w:numId w:val="1"/>
        </w:numPr>
        <w:rPr/>
      </w:pPr>
      <w:bookmarkStart w:id="287" w:name="__RefHeading___Toc14338507_2142443653"/>
      <w:bookmarkStart w:id="288" w:name="_Toc106"/>
      <w:bookmarkEnd w:id="286"/>
      <w:bookmarkEnd w:id="287"/>
      <w:r>
        <w:rPr>
          <w:rtl w:val="true"/>
        </w:rPr>
        <w:t>تبصرة</w:t>
      </w:r>
      <w:r>
        <w:rPr>
          <w:rtl w:val="true"/>
        </w:rPr>
        <w:t xml:space="preserve">: [ </w:t>
      </w:r>
      <w:r>
        <w:rPr>
          <w:rtl w:val="true"/>
        </w:rPr>
        <w:t xml:space="preserve">التيمّم بغبار الثوب ونحوه </w:t>
      </w:r>
      <w:r>
        <w:rPr>
          <w:rtl w:val="true"/>
        </w:rPr>
        <w:t>]</w:t>
      </w:r>
      <w:bookmarkEnd w:id="288"/>
    </w:p>
    <w:p>
      <w:pPr>
        <w:pStyle w:val="BookText"/>
        <w:rPr/>
      </w:pPr>
      <w:r>
        <w:rPr>
          <w:rFonts w:ascii="Amiri" w:hAnsi="Amiri" w:eastAsia="Amiri" w:cs="Amiri"/>
          <w:color w:val="111111"/>
          <w:sz w:val="28"/>
          <w:sz w:val="28"/>
          <w:szCs w:val="28"/>
          <w:rtl w:val="true"/>
          <w:lang w:bidi="ar-SA"/>
        </w:rPr>
        <w:t xml:space="preserve">إذا لم يجد شيئا من أقسام الأرض يتيمم </w:t>
      </w:r>
      <w:r>
        <w:rPr>
          <w:rStyle w:val="FootnoteAnchor"/>
          <w:rtl w:val="true"/>
        </w:rPr>
        <w:footnoteReference w:id="1107"/>
      </w:r>
      <w:r>
        <w:rPr>
          <w:rFonts w:ascii="Amiri" w:hAnsi="Amiri" w:eastAsia="Amiri" w:cs="Amiri"/>
          <w:color w:val="111111"/>
          <w:sz w:val="28"/>
          <w:sz w:val="28"/>
          <w:szCs w:val="28"/>
          <w:rtl w:val="true"/>
          <w:lang w:bidi="ar-SA"/>
        </w:rPr>
        <w:t>من غبار ثوبه أو لبد سرجه أو عرف دابته ونحو ذلك مما يشتمل على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المعتبر وتذكرة الفقهاء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الجملة ممّا أطبقت عليه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من عبارة المراسم </w:t>
      </w:r>
      <w:r>
        <w:rPr>
          <w:rStyle w:val="FootnoteAnchor"/>
          <w:rtl w:val="true"/>
        </w:rPr>
        <w:footnoteReference w:id="1108"/>
      </w:r>
      <w:r>
        <w:rPr>
          <w:rFonts w:ascii="Amiri" w:hAnsi="Amiri" w:eastAsia="Amiri" w:cs="Amiri"/>
          <w:color w:val="111111"/>
          <w:sz w:val="28"/>
          <w:sz w:val="28"/>
          <w:szCs w:val="28"/>
          <w:rtl w:val="true"/>
          <w:lang w:bidi="ar-SA"/>
        </w:rPr>
        <w:t xml:space="preserve">عدم جواز التيمّم بالمغبّر </w:t>
      </w:r>
      <w:r>
        <w:rPr>
          <w:rStyle w:val="FootnoteAnchor"/>
          <w:rtl w:val="true"/>
        </w:rPr>
        <w:footnoteReference w:id="1109"/>
      </w:r>
      <w:r>
        <w:rPr>
          <w:rFonts w:ascii="Amiri" w:hAnsi="Amiri" w:eastAsia="Amiri" w:cs="Amiri"/>
          <w:color w:val="111111"/>
          <w:sz w:val="28"/>
          <w:sz w:val="28"/>
          <w:szCs w:val="28"/>
          <w:rtl w:val="true"/>
          <w:lang w:bidi="ar-SA"/>
        </w:rPr>
        <w:t xml:space="preserve">وإنما يصحّ بالغبار المستخرج منه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الثلج والوحل والحجر نفض ثوبه ورحله ، فإن خرج منه تراب تيمم منه إذا لم يمكنه التوضّي من الثلج ، فإذا لم يكن من ثيابه ورحله تراب ضرب بيده على الوحل والثلج والحجر وتيمم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يومي إليه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حال لا تقدر إلا على الطين فتيمم به ، فإن اللّه أولى بالعذر إذا لم يكن معك جاف </w:t>
      </w:r>
      <w:r>
        <w:rPr>
          <w:rStyle w:val="FootnoteAnchor"/>
          <w:rtl w:val="true"/>
        </w:rPr>
        <w:footnoteReference w:id="1110"/>
      </w:r>
      <w:r>
        <w:rPr>
          <w:rFonts w:ascii="Amiri" w:hAnsi="Amiri" w:eastAsia="Amiri" w:cs="Amiri"/>
          <w:color w:val="111111"/>
          <w:sz w:val="28"/>
          <w:sz w:val="28"/>
          <w:szCs w:val="28"/>
          <w:rtl w:val="true"/>
          <w:lang w:bidi="ar-SA"/>
        </w:rPr>
        <w:t xml:space="preserve">أو لبد تقدر أن تنفضه وتيمم به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كعبارة الديلمي محمولة على ما إذا كان الثوب مغبرّا فيعلم بالنفض وجود الغبار فيه ، أو </w:t>
      </w:r>
      <w:r>
        <w:rPr>
          <w:rStyle w:val="FootnoteAnchor"/>
          <w:rtl w:val="true"/>
        </w:rPr>
        <w:footnoteReference w:id="1112"/>
      </w:r>
      <w:r>
        <w:rPr>
          <w:rFonts w:ascii="Amiri" w:hAnsi="Amiri" w:eastAsia="Amiri" w:cs="Amiri"/>
          <w:color w:val="111111"/>
          <w:sz w:val="28"/>
          <w:sz w:val="28"/>
          <w:szCs w:val="28"/>
          <w:rtl w:val="true"/>
          <w:lang w:bidi="ar-SA"/>
        </w:rPr>
        <w:t xml:space="preserve">إن المقصود بالنفض صعود الغبار على ظاهر ذلك الشي‌ء فيتيمم به ؛ إذ اجتماع التراب من الغبار المستخرج من الثياب ونحوها بحيث يمكن التيمّم به فرض بعيد لا ينصرف </w:t>
      </w:r>
    </w:p>
    <w:p>
      <w:pPr>
        <w:pStyle w:val="BookText"/>
        <w:rPr/>
      </w:pPr>
      <w:r>
        <w:rPr>
          <w:rFonts w:ascii="Amiri" w:hAnsi="Amiri" w:eastAsia="Amiri" w:cs="Amiri"/>
          <w:color w:val="111111"/>
          <w:sz w:val="28"/>
          <w:sz w:val="28"/>
          <w:szCs w:val="28"/>
          <w:rtl w:val="true"/>
          <w:lang w:bidi="ar-SA"/>
        </w:rPr>
        <w:t>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فرضه فلا ريب في لزومه ؛ لكونه واجدا للتراب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فقد ذلك أو وجد الوحل تيمم به ، وهو أيضا مما اتفقت عليه كلمة الأصحاب وأخبار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 المعتبر إطباق فقهائنا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تذكرة الفقهاء إلى علمائنا ، فجواز التيمّم بكل من الأمرين المذكورين في الجملة مما لا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المقام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جواز التيمّم إذن لكل مغبرّ من الثياب واللبد وعرف الدابّة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في ظاهر النهاية </w:t>
      </w:r>
      <w:r>
        <w:rPr>
          <w:rStyle w:val="FootnoteAnchor"/>
          <w:rtl w:val="true"/>
        </w:rPr>
        <w:footnoteReference w:id="1113"/>
      </w:r>
      <w:r>
        <w:rPr>
          <w:rFonts w:ascii="Amiri" w:hAnsi="Amiri" w:eastAsia="Amiri" w:cs="Amiri"/>
          <w:color w:val="111111"/>
          <w:sz w:val="28"/>
          <w:sz w:val="28"/>
          <w:szCs w:val="28"/>
          <w:rtl w:val="true"/>
          <w:lang w:bidi="ar-SA"/>
        </w:rPr>
        <w:t>تقديم غبار عرف الدابة ولبد السرج على غبار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التمكن منهما تيمّم بغبار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السرائر الحكم بعكسه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الأقوى لظواهر عدة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في ثلج فلينظر لبد سرجه فليتيمم من غباره أو شي‌ء مغبرّ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أصابك الثلج فلينظر لبد سرجه ، فتيمم من غباره أو من شي‌ء معه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وموقوفة عبد اللّه بن المغيرة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الأرض مبتلّة ليس فيها تراب ولا ماء فانظر أجفّ موضع تجده فتيمم من غباره أو شي‌ء مغبر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على مستند للقولين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إرجاعه إلى المشهور بحملهما على بيان مواضع الغبار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ذكر الترتيب من جهة اختلافها في الاشتمال على الغبار ، فقدّم المقدم ليكون المظنة باشتماله على الغبار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قضية إطلاق النصوص المذكورة عدم الفرق بين كون المغبّر من الثياب أو الفراش </w:t>
      </w:r>
      <w:r>
        <w:rPr>
          <w:rStyle w:val="FootnoteAnchor"/>
          <w:rtl w:val="true"/>
        </w:rPr>
        <w:footnoteReference w:id="1117"/>
      </w:r>
      <w:r>
        <w:rPr>
          <w:rFonts w:ascii="Amiri" w:hAnsi="Amiri" w:eastAsia="Amiri" w:cs="Amiri"/>
          <w:color w:val="111111"/>
          <w:sz w:val="28"/>
          <w:sz w:val="28"/>
          <w:szCs w:val="28"/>
          <w:rtl w:val="true"/>
          <w:lang w:bidi="ar-SA"/>
        </w:rPr>
        <w:t xml:space="preserve">وغيرها كالجلود المغبّرة ، ولا بين كونها مما يدخل الغبار في أعماقه كالأشياء الرخوة ، وما يبقى على ظاهره كالأخشاب ونحوها ، و </w:t>
      </w:r>
      <w:r>
        <w:rPr>
          <w:rStyle w:val="FootnoteAnchor"/>
          <w:rtl w:val="true"/>
        </w:rPr>
        <w:footnoteReference w:id="1118"/>
      </w:r>
      <w:r>
        <w:rPr>
          <w:rFonts w:ascii="Amiri" w:hAnsi="Amiri" w:eastAsia="Amiri" w:cs="Amiri"/>
          <w:color w:val="111111"/>
          <w:sz w:val="28"/>
          <w:sz w:val="28"/>
          <w:szCs w:val="28"/>
          <w:rtl w:val="true"/>
          <w:lang w:bidi="ar-SA"/>
        </w:rPr>
        <w:t>ربما كان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من الأصحاب منهم المفيد والديلمي في عبارته المتقدمة اعتبار نفض الثوب ليظهر الغبار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صحيحة أبي بصير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الروايات مطلقة كفتاوى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بأن إطلاق الشي‌ء على المغبّر في الصحيحتين المتقدمتين ظاهر فيما إذا كان الغبار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ما اشتمل على الغبار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مراعاة ذلك وإن كان القول بوجوبه لا يخلو من تأمّل ؛ لمكان الإطلاق وعدم وضوح ما يدلّ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والفتاوى عدم صحة التيمّم بالغبار مع التمكن من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من عبارة السيد في الجمل جوازه مع وجود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وإليه كثير من أئمة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بتفسير الصعيد بالتراب ، فهل يقدّم التيمّم بالحجر على الغبار؟ وجهان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الشيخ وغيره بتقدّم الحجر عليه ، وصريح الديلمي في العبارة المذكورة تأخيره عنه وقد جعله </w:t>
      </w:r>
      <w:r>
        <w:rPr>
          <w:rStyle w:val="FootnoteAnchor"/>
          <w:rtl w:val="true"/>
        </w:rPr>
        <w:footnoteReference w:id="1119"/>
      </w:r>
      <w:r>
        <w:rPr>
          <w:rFonts w:ascii="Amiri" w:hAnsi="Amiri" w:eastAsia="Amiri" w:cs="Amiri"/>
          <w:color w:val="111111"/>
          <w:sz w:val="28"/>
          <w:sz w:val="28"/>
          <w:szCs w:val="28"/>
          <w:rtl w:val="true"/>
          <w:lang w:bidi="ar-SA"/>
        </w:rPr>
        <w:t>بمنزلة الوحل والثلج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الحكم المذكور من الأخبار محل خفاء إلا أن يتمسك بحمل مطلقات الأخبار على المقيّد في صورة إمكان التراب ، فيبقى مطلقه مع تعذّره 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له بإطلاق صحيحة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قام دليل على جواز التيمّم به فإنما يفيد تقديمه على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جوازه في خصوص صورة العجز عنه فلا يظهر مستنده إلا أن يتمسك بالإجماع على جواز التيمّم به في الجملة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هو كونه طهورا بعد الغبار لخروجه عن مورد النصوص ، فيجعل بمنزلة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تقديم الغبار على الوحل ، بل لا نعرف مخالفا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قاطعون به ، وظاهرهم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عباراتهم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المعتبرة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في ثلج فلينظر لبد سرجه فليتيمم من غباره أو شي‌ء مغبر وإن كان في حال لا يجد إلا الطين ، فلا بأس أن يتيمم به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 بعدم دلالة ذلك على المطلوب ؛ إذ المفروض فيه كونه من الثلج فلا يقدر معه على الطين ليدلّ على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الخبر كاف في الدلالة على المقصود إلا على أن إفادة مجرد كونه في الثلج عدم تمكنه من الطين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في حال لا تجد إلا الطين فلا بأس أن تتيمم به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فلما أضيف ذلك إلى ما دلّ على صحة التيمّم بالغبار اتّضحت دلالته على المطلوب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وموقوفة عبد اللّه بن المغيرة الصحيحة ، وهي واضحة الدلالة عليه ، فمناقشة غير واحد من المتأخرين كصاحب المدارك في تقديمه على الطين للتأمّل في دلالة </w:t>
      </w:r>
      <w:r>
        <w:rPr>
          <w:rStyle w:val="FootnoteAnchor"/>
          <w:rtl w:val="true"/>
        </w:rPr>
        <w:footnoteReference w:id="1122"/>
      </w:r>
      <w:r>
        <w:rPr>
          <w:rFonts w:ascii="Amiri" w:hAnsi="Amiri" w:eastAsia="Amiri" w:cs="Amiri"/>
          <w:color w:val="111111"/>
          <w:sz w:val="28"/>
          <w:sz w:val="28"/>
          <w:szCs w:val="28"/>
          <w:rtl w:val="true"/>
          <w:lang w:bidi="ar-SA"/>
        </w:rPr>
        <w:t>الأخبار وإسناد بعض لا يخفى وهنها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w:t>
      </w:r>
      <w:r>
        <w:rPr>
          <w:rStyle w:val="FootnoteAnchor"/>
          <w:rtl w:val="true"/>
        </w:rPr>
        <w:footnoteReference w:id="1123"/>
      </w:r>
      <w:r>
        <w:rPr>
          <w:rFonts w:ascii="Amiri" w:hAnsi="Amiri" w:eastAsia="Amiri" w:cs="Amiri"/>
          <w:color w:val="111111"/>
          <w:sz w:val="28"/>
          <w:sz w:val="28"/>
          <w:szCs w:val="28"/>
          <w:rtl w:val="true"/>
          <w:lang w:bidi="ar-SA"/>
        </w:rPr>
        <w:t xml:space="preserve">رواية زرارة ، 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الأجمة ليس فيها ماء وفيها طين ، ما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يتيمم فإنه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راكب ولا يمكنه النزول من خوف وليس هو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خاف على نفسه من سبع أو غيره أو خاف فوت الوقت فليتيمم يضرب بيده على اللبد والبرد </w:t>
      </w:r>
      <w:r>
        <w:rPr>
          <w:rStyle w:val="FootnoteAnchor"/>
          <w:rtl w:val="true"/>
        </w:rPr>
        <w:footnoteReference w:id="1124"/>
      </w:r>
      <w:r>
        <w:rPr>
          <w:rFonts w:ascii="Amiri" w:hAnsi="Amiri" w:eastAsia="Amiri" w:cs="Amiri"/>
          <w:color w:val="111111"/>
          <w:sz w:val="28"/>
          <w:sz w:val="28"/>
          <w:szCs w:val="28"/>
          <w:rtl w:val="true"/>
          <w:lang w:bidi="ar-SA"/>
        </w:rPr>
        <w:t xml:space="preserve">ويتيمم ويصلّي </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علي بن مطر ،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الماء ولا التراب ، أيتيمم بالطين؟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صعيد طيّب وماء طهور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 ، فلا ينهضان حجة ، مضافا إلى معارضتهما لتلك المعتبرة المؤيّدة بالعمل ، والظاهر جعل الأخيرة على صورة فقدان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الأول على كون الطين بحيث يصدق عليه اسم الأرض بأن لا يكون يلتصق باليدين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يومي إليه إطلاقه الأمر بالتيمم منه ، وحكمه بأنّه الصعيد إشارة إلى ظاهر الآية ، فيقيّد جوازه مع الاختيار أيضا ؛ إذ لا يتم ذلك إلا مع عدم خروجه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التيمّم بالثوب ونحوها مع حصول الغبار فيها كما هو قضية أخبار الباب وفتاوى الأصحاب ، فلا يصحّ التيمّم بها مع خلوّها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في الاستبصار جواز التيمّم بها إلّا أنه جعله بعد تعذّر الطين ، فحكم بتقديم ذي الغبار عليه وتأخير ذلك عنه ، وجعل وجه الجمع بين الأخبار المذكورة الدالّة بعضها على تقديم الغبار على الطين وبعضها على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شاهد على الجمع المذكور مع مخالفة الظواهر النصوص</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تجفيف الطين وجب عليه لتمكنه من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منعه بعض </w:t>
      </w:r>
    </w:p>
    <w:p>
      <w:pPr>
        <w:pStyle w:val="BookText"/>
        <w:rPr/>
      </w:pPr>
      <w:r>
        <w:rPr>
          <w:rFonts w:ascii="Amiri" w:hAnsi="Amiri" w:eastAsia="Amiri" w:cs="Amiri"/>
          <w:color w:val="111111"/>
          <w:sz w:val="28"/>
          <w:sz w:val="28"/>
          <w:szCs w:val="28"/>
          <w:rtl w:val="true"/>
          <w:lang w:bidi="ar-SA"/>
        </w:rPr>
        <w:t>المتأخرين ؛ نظرا إلى إطلاق الروايات وخلوّها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بالتجفيف كما ذكره لا أثر له في شي‌ء منها ، ولو كان الحكم فيه ذلك لوقع </w:t>
      </w:r>
      <w:r>
        <w:rPr>
          <w:rStyle w:val="FootnoteAnchor"/>
          <w:rtl w:val="true"/>
        </w:rPr>
        <w:footnoteReference w:id="1127"/>
      </w:r>
      <w:r>
        <w:rPr>
          <w:rFonts w:ascii="Amiri" w:hAnsi="Amiri" w:eastAsia="Amiri" w:cs="Amiri"/>
          <w:color w:val="111111"/>
          <w:sz w:val="28"/>
          <w:sz w:val="28"/>
          <w:szCs w:val="28"/>
          <w:rtl w:val="true"/>
          <w:lang w:bidi="ar-SA"/>
        </w:rPr>
        <w:t>عليه ولو في بعضها ؛ لأن المقام مقام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بضعف ذلك ؛ إذ إطلاق الأخبار منزّل على صورة الضرورة كما هو المنساق منها ، فوضوح الحال في صورة التمكن من الصعيد قد أغنى عن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إلى التيمّم بالغبار ، فلو أمكن نفض الغبار بحيث يجتمع منها ما يصدق عليه اسم التراب وكان المجتمع وافيا بالواجب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الظاهر مراعاة المكنة في الانتقال عن كل مرتبة إلى ما دونها ، فمع التمكن من الأعلى بالأسفل إلى ما دونه ولو في آخر الوقت على نحو ما ذكر في الماء ، ويجب التجسس عنه مع فقده والجهل به إلى أن يصدق معه عدم الوجدان ، ولا يجب عليه الطلب في الفلوات على نحو ما مرّ في الماء ؛ لاختصاص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الغبار الذي يتيمم به أن يكون من جنس ما يتيمم به كما نصّ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 إذ هو الظاهر من الأخبار وكلام الأصحاب ، فلا عبرة بغبار الأشنان والدقيق ونحوهما ، وكذا غبار الجص والنورة على القول بالمنع من التيمّم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كلماتهم اختلاف في كيفية التيمّم بالوحل ، فعن المفيد </w:t>
      </w:r>
      <w:r>
        <w:rPr>
          <w:rStyle w:val="FootnoteAnchor"/>
          <w:rtl w:val="true"/>
        </w:rPr>
        <w:footnoteReference w:id="1128"/>
      </w:r>
      <w:r>
        <w:rPr>
          <w:rFonts w:ascii="Amiri" w:hAnsi="Amiri" w:eastAsia="Amiri" w:cs="Amiri"/>
          <w:color w:val="111111"/>
          <w:sz w:val="28"/>
          <w:sz w:val="28"/>
          <w:szCs w:val="28"/>
          <w:rtl w:val="true"/>
          <w:lang w:bidi="ar-SA"/>
        </w:rPr>
        <w:t xml:space="preserve">أنه يضع يديه على الوحل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يرفعهما فيمسح إحداهما بالأخرى حتّى لا يبقى فيهما نداوة ، ويمسح بهما وجهه وظاهر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أنّه يضع يديه على الوحل ثمّ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يفركهما ويتيمم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واستوجهه المحقق في المعتبر </w:t>
      </w:r>
      <w:r>
        <w:rPr>
          <w:rStyle w:val="FootnoteAnchor"/>
          <w:rtl w:val="true"/>
        </w:rPr>
        <w:footnoteReference w:id="1130"/>
      </w:r>
      <w:r>
        <w:rPr>
          <w:rFonts w:ascii="Amiri" w:hAnsi="Amiri" w:eastAsia="Amiri" w:cs="Amiri"/>
          <w:color w:val="111111"/>
          <w:sz w:val="28"/>
          <w:sz w:val="28"/>
          <w:szCs w:val="28"/>
          <w:rtl w:val="true"/>
          <w:lang w:bidi="ar-SA"/>
        </w:rPr>
        <w:t>وحكى فيه قولا آخر ، وهو أنه يضع يده على الوحل ويتربّص ، فإذا يبس يتيمم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مرويّ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عندي إن لم يخف فوت الوقت ، فإن خاف عمل بقول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به كالتيمم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الوسيلة عن شيوخ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الأقوال المذكورة ليرتفع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المقام أن يضرب يديه على الوحل ، ثم يرفعهما فإن لم يكن فيهما ما يمنع من وصول الماسح إلى الممسوح مسح بهما وجهه وكفيه ، وإلا أزال المانع ومسح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واستوجهه في التذكرة ، ولا بأس به ؛ لحصول المسمى للتراب ، وإن لم يقع الضرب عليه لكن لا بدّ من عدم مانعيته للمسح وعدم حصول الفصل الطويل بين أفعال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التراب رطوبة لا يوجب لصوقه باليدين لم يمنع من التيمّم به حال الاختيار ؛ لصدق الأرض عليه وعدم اشتراطه باليبوسة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التذكرة إلى علمائنا مؤذنا بالإجماع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من أخبار الخاصة بصحيحة رفاعة المتقدمة ، وحكى المنع عن الشافعي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وصل إلى حدّ يوجب تلويث اليد به ، فلا يظهر اندراجه في الإطلاقات ؛ إذ لا يعد الطين من الأرض وإنما هو مركب منه ومن الماء ، فيجري فيه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المراد بالوحل في كلام الأصحاب ، وإن فسّر بالطين الرقيق ؛ لإطلاقه في الأخبار</w:t>
      </w:r>
      <w:r>
        <w:rPr>
          <w:rFonts w:eastAsia="Amiri" w:cs="Amiri" w:ascii="Amiri" w:hAnsi="Amiri"/>
          <w:color w:val="111111"/>
          <w:sz w:val="28"/>
          <w:szCs w:val="28"/>
          <w:rtl w:val="true"/>
          <w:lang w:bidi="ar-SA"/>
        </w:rPr>
        <w:t xml:space="preserve">. </w:t>
      </w:r>
      <w:bookmarkStart w:id="289" w:name="pg15839_360891"/>
    </w:p>
    <w:p>
      <w:pPr>
        <w:pStyle w:val="Heading4"/>
        <w:numPr>
          <w:ilvl w:val="3"/>
          <w:numId w:val="1"/>
        </w:numPr>
        <w:rPr/>
      </w:pPr>
      <w:bookmarkStart w:id="290" w:name="__RefHeading___Toc14338509_2142443653"/>
      <w:bookmarkStart w:id="291" w:name="_Toc107"/>
      <w:bookmarkEnd w:id="289"/>
      <w:bookmarkEnd w:id="290"/>
      <w:r>
        <w:rPr>
          <w:rtl w:val="true"/>
        </w:rPr>
        <w:t>تبصرة</w:t>
      </w:r>
      <w:r>
        <w:rPr>
          <w:rtl w:val="true"/>
        </w:rPr>
        <w:t xml:space="preserve">: [ </w:t>
      </w:r>
      <w:r>
        <w:rPr>
          <w:rtl w:val="true"/>
        </w:rPr>
        <w:t xml:space="preserve">في واجد الثلج دون غيره </w:t>
      </w:r>
      <w:r>
        <w:rPr>
          <w:rtl w:val="true"/>
        </w:rPr>
        <w:t>]</w:t>
      </w:r>
      <w:bookmarkEnd w:id="291"/>
    </w:p>
    <w:p>
      <w:pPr>
        <w:pStyle w:val="BookText"/>
        <w:rPr/>
      </w:pPr>
      <w:r>
        <w:rPr>
          <w:rFonts w:ascii="Amiri" w:hAnsi="Amiri" w:eastAsia="Amiri" w:cs="Amiri"/>
          <w:color w:val="111111"/>
          <w:sz w:val="28"/>
          <w:sz w:val="28"/>
          <w:szCs w:val="28"/>
          <w:rtl w:val="true"/>
          <w:lang w:bidi="ar-SA"/>
        </w:rPr>
        <w:t>من لم يجد شيئا إلا الثلج فإن أمكنه اذابته ولو على الأعضاء بحيث يحصل به مسمى الغسل بأن يجري الماء ولو بمعونة اليد من محل إلى آخر وجب عليه طهارة المختار ؛ لأنه في الحقيقة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تأمل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يمكن حصول مسمّى الغسل به فللأصحاب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أكثر الأصحاب 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الغرض ، وإلحاقه بفاقد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والسيد والديلمي والعلامة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الشيخين والعلامة في غير واحد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 ويدلّ عليه الأصل وعدم وضوح دليل على جواز إيقاع أحد الأمرين ؛ لخروجه عن اسم الماء وعدم حصول مسمى الغسل به ؛ ليصدق معه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من حقيقة الماء لا يفيد شيئا بعد الخروج عن اسمه ، وليس أيضا من الصعيد ليصحّ التيمّم به فمقتضى </w:t>
      </w:r>
      <w:r>
        <w:rPr>
          <w:rStyle w:val="FootnoteAnchor"/>
          <w:rtl w:val="true"/>
        </w:rPr>
        <w:footnoteReference w:id="1134"/>
      </w:r>
      <w:r>
        <w:rPr>
          <w:rFonts w:ascii="Amiri" w:hAnsi="Amiri" w:eastAsia="Amiri" w:cs="Amiri"/>
          <w:color w:val="111111"/>
          <w:sz w:val="28"/>
          <w:sz w:val="28"/>
          <w:szCs w:val="28"/>
          <w:rtl w:val="true"/>
          <w:lang w:bidi="ar-SA"/>
        </w:rPr>
        <w:t>ظاهر الكتاب والأخبار لا يصح به شي‌ء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المستفاد من ظواهر أخبار الباب كصحيحة رفاعة وموثقة زرارة المتروك فيهما ذكر الاغتسال أو التيمّم به في مقام البيان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عدّة من الأخبار من الاغتسال به فإنها تشير إلى حصول مسمى الغسل ، </w:t>
      </w:r>
    </w:p>
    <w:p>
      <w:pPr>
        <w:pStyle w:val="BookText"/>
        <w:rPr/>
      </w:pPr>
      <w:r>
        <w:rPr>
          <w:rFonts w:ascii="Amiri" w:hAnsi="Amiri" w:eastAsia="Amiri" w:cs="Amiri"/>
          <w:color w:val="111111"/>
          <w:sz w:val="28"/>
          <w:sz w:val="28"/>
          <w:szCs w:val="28"/>
          <w:rtl w:val="true"/>
          <w:lang w:bidi="ar-SA"/>
        </w:rPr>
        <w:t xml:space="preserve">والجريان بإمراره على العضو إنه هو مما يمكن حصوله في كثير من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 عن أخيه عليه‌السلام ، عن الرجل الجنب أو على غير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معه ماء وهو يصيب ثلجا وصعيدا ، أيهما أفضل؟ أيتيمم أم يمسح بالثلج وجهه؟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الثلج إذا بل رأسه وجسده أفضل وإن لم يقدر على أن يغتسل به فليتيمم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قرب الإسناد </w:t>
      </w:r>
      <w:r>
        <w:rPr>
          <w:rStyle w:val="FootnoteAnchor"/>
          <w:rtl w:val="true"/>
        </w:rPr>
        <w:footnoteReference w:id="1136"/>
      </w:r>
      <w:r>
        <w:rPr>
          <w:rFonts w:ascii="Amiri" w:hAnsi="Amiri" w:eastAsia="Amiri" w:cs="Amiri"/>
          <w:color w:val="111111"/>
          <w:sz w:val="28"/>
          <w:sz w:val="28"/>
          <w:szCs w:val="28"/>
          <w:rtl w:val="true"/>
          <w:lang w:bidi="ar-SA"/>
        </w:rPr>
        <w:t>عنه عليه‌السلام ما يفيد ذلك باختلاف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مستطرفات السرائر </w:t>
      </w:r>
      <w:r>
        <w:rPr>
          <w:rStyle w:val="FootnoteAnchor"/>
          <w:rtl w:val="true"/>
        </w:rPr>
        <w:footnoteReference w:id="1137"/>
      </w:r>
      <w:r>
        <w:rPr>
          <w:rFonts w:ascii="Amiri" w:hAnsi="Amiri" w:eastAsia="Amiri" w:cs="Amiri"/>
          <w:color w:val="111111"/>
          <w:sz w:val="28"/>
          <w:sz w:val="28"/>
          <w:szCs w:val="28"/>
          <w:rtl w:val="true"/>
          <w:lang w:bidi="ar-SA"/>
        </w:rPr>
        <w:t>عن كتاب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الصحيحة عند التأمل مما يدل على ما ذكرناه ؛ إذ اعتبار بلّ الرأس والجسد ليس إلا لحصول مسمى الغسل ولو كالدهن كما ورد في الأخبار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ينجسه شي‌ء وإنما يكفيه مثل الدهن </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حتى أنه ورد ذكر المسح في موضع الغسل في غير واحد من الأخبار كما تقدم ذكره في محله ؛ إشارة إلى المبالغة في عدم لزوم إكثار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إليه تقديمه على التيمّم وترتبه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الرجل يجنب في السفر لا يجد إلا الثلج؟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بالثلج أو ماء النهر </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كما ترى ظاهرة فيما قلناه سيّما بملاحظة التخيير بينه وبين ماء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معاوية بن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عليه‌السلام وأنا عنده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يصيبنا الدمق والثلج ونريد أن نتوضأ لا نجد إلا جامدا ، فكيف أتوضأ أدلك به جلدي؟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المتأخرين كالفاضل الجزائري بنى على العمل بإطلاق هذه الأخبار بعد تقييد </w:t>
      </w:r>
    </w:p>
    <w:p>
      <w:pPr>
        <w:pStyle w:val="BookText"/>
        <w:rPr/>
      </w:pPr>
      <w:r>
        <w:rPr>
          <w:rFonts w:ascii="Amiri" w:hAnsi="Amiri" w:eastAsia="Amiri" w:cs="Amiri"/>
          <w:color w:val="111111"/>
          <w:sz w:val="28"/>
          <w:sz w:val="28"/>
          <w:szCs w:val="28"/>
          <w:rtl w:val="true"/>
          <w:lang w:bidi="ar-SA"/>
        </w:rPr>
        <w:t>مطلقها بمقيّدها ، وحكم بوجوب الوضوء والغسل بالثلج إن أثر نداوة على العضو وإن لم يحصل به مسمى الجريان ، فيقدّم على التراب وإلّا سقط اعتباره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الحدائق وأيّده بالأخبار الدالّة على الاكتفاء بالدهن ومجرد إمساس الماء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مضى أن ذلك كله محمول على حصول أدنى مسمى الغسل كي لا يخالف صريح الكتاب وسائر الروايات المعتضدة بالأصل وفتاوى الأصحاب على أن المستفاد منها جواز ذلك في حال الاختيار ، بل كالصريحة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أخبار الباب كالأخبار المذكورة محمولة على حصول مسمى الغسل بإمراره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شك في وجوبه بل وجوازه مع وجود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إمكانه وإمكان الصعيد وما يقوم مقامه يندرج في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بلزوم الوضوء والاغتسال به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عرفت مما لا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كما ذكرناه من ظهور الاغتسال في حصول مسمى الجريان بمنع أخذ الجريان ومسمى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تسليمه فإنما يقضى جريان ما علّق به الاغتسال لا حصول </w:t>
      </w:r>
      <w:r>
        <w:rPr>
          <w:rStyle w:val="FootnoteAnchor"/>
          <w:rtl w:val="true"/>
        </w:rPr>
        <w:footnoteReference w:id="1141"/>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حاصل بإجرائه </w:t>
      </w:r>
      <w:r>
        <w:rPr>
          <w:rStyle w:val="FootnoteAnchor"/>
          <w:rtl w:val="true"/>
        </w:rPr>
        <w:footnoteReference w:id="1142"/>
      </w:r>
      <w:r>
        <w:rPr>
          <w:rFonts w:ascii="Amiri" w:hAnsi="Amiri" w:eastAsia="Amiri" w:cs="Amiri"/>
          <w:color w:val="111111"/>
          <w:sz w:val="28"/>
          <w:sz w:val="28"/>
          <w:szCs w:val="28"/>
          <w:rtl w:val="true"/>
          <w:lang w:bidi="ar-SA"/>
        </w:rPr>
        <w:t>في المقام ، فإن الثلج يجب إجراؤه على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 بأنّه يجب في الغسل والوضوء مماسّته أعضاء الطهارة بالماء ، وإجراؤه عليها ، فإذا تعذر الثاني وجب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من الضعف بمكان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بالتيمم بالثلج صحيحة محمد بن مسلم ، عن الصادق عليه‌السلام عن رجل أجنب </w:t>
      </w:r>
    </w:p>
    <w:p>
      <w:pPr>
        <w:pStyle w:val="BookText"/>
        <w:rPr/>
      </w:pPr>
      <w:r>
        <w:rPr>
          <w:rFonts w:ascii="Amiri" w:hAnsi="Amiri" w:eastAsia="Amiri" w:cs="Amiri"/>
          <w:color w:val="111111"/>
          <w:sz w:val="28"/>
          <w:sz w:val="28"/>
          <w:szCs w:val="28"/>
          <w:rtl w:val="true"/>
          <w:lang w:bidi="ar-SA"/>
        </w:rPr>
        <w:t xml:space="preserve">في سفر ولم يجد إلا الثلج أو ماء جامدا؟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بمنزلة الضرورة يتيمم ، ولا أرى أن يعود إلى هذه الأرض التي توبق دينه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فيها على كون تيممه بالثلج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إلا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وجدانه ما يصحّ التيمّم به ، بل يمكن أن يكون المقصود به عدم وجدانه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سياق المقام شاهد عليه ، وإلا لصرّح بالحال ، ولا أقلّ من الاحتمال الذي يسقط به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القول بالتيمم بالثلج لا تأمل في تأخيره عن الغبار كما هو صريح صحيحة رفاعة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أكثر الأصحاب عدم جواز استعمال الثلج مع وجود الغبار ، بل 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يعطي تأخير الوضوء والغسل على القول بهما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الوحل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المختلف أنه كذلك حيث فرض المسألة في صورة عدم وجدان ما عدا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الديلمي التخيير بينه وبين الحجر والوحل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الجمع بين الصحيحة المتقدمة ، وما دلّ على التيمّم بالوحل ؛ لورود كل منهما فيمن لا يجد سواه ، فإذا دار الأمر بينهما تخيّر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bookmarkStart w:id="292" w:name="pg15839_360895"/>
    </w:p>
    <w:p>
      <w:pPr>
        <w:pStyle w:val="Heading4"/>
        <w:numPr>
          <w:ilvl w:val="3"/>
          <w:numId w:val="1"/>
        </w:numPr>
        <w:rPr/>
      </w:pPr>
      <w:bookmarkStart w:id="293" w:name="__RefHeading___Toc14338511_2142443653"/>
      <w:bookmarkStart w:id="294" w:name="_Toc108"/>
      <w:bookmarkEnd w:id="292"/>
      <w:bookmarkEnd w:id="293"/>
      <w:r>
        <w:rPr>
          <w:rtl w:val="true"/>
        </w:rPr>
        <w:t>تبصرة</w:t>
      </w:r>
      <w:r>
        <w:rPr>
          <w:rtl w:val="true"/>
        </w:rPr>
        <w:t xml:space="preserve">: [ </w:t>
      </w:r>
      <w:r>
        <w:rPr>
          <w:rtl w:val="true"/>
        </w:rPr>
        <w:t xml:space="preserve">في اشتراط طهارة التراب </w:t>
      </w:r>
      <w:r>
        <w:rPr>
          <w:rtl w:val="true"/>
        </w:rPr>
        <w:t>]</w:t>
      </w:r>
      <w:bookmarkEnd w:id="294"/>
    </w:p>
    <w:p>
      <w:pPr>
        <w:pStyle w:val="BookText"/>
        <w:rPr/>
      </w:pPr>
      <w:r>
        <w:rPr>
          <w:rFonts w:ascii="Amiri" w:hAnsi="Amiri" w:eastAsia="Amiri" w:cs="Amiri"/>
          <w:color w:val="111111"/>
          <w:sz w:val="28"/>
          <w:sz w:val="28"/>
          <w:szCs w:val="28"/>
          <w:rtl w:val="true"/>
          <w:lang w:bidi="ar-SA"/>
        </w:rPr>
        <w:t>يشترط في التراب الذي يتيمم به أن يكون طاهرا بلا خلاف فيه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منتهى المطلب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بعد ذلك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صَعِيداً طَيِّباً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فإن الطيب هو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 تفسيره بذلك في مشرق الشمسين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w:t>
      </w:r>
      <w:r>
        <w:rPr>
          <w:rStyle w:val="FootnoteAnchor"/>
          <w:rtl w:val="true"/>
        </w:rPr>
        <w:footnoteReference w:id="1148"/>
      </w:r>
      <w:r>
        <w:rPr>
          <w:rFonts w:ascii="Amiri" w:hAnsi="Amiri" w:eastAsia="Amiri" w:cs="Amiri"/>
          <w:color w:val="111111"/>
          <w:sz w:val="28"/>
          <w:sz w:val="28"/>
          <w:szCs w:val="28"/>
          <w:rtl w:val="true"/>
          <w:lang w:bidi="ar-SA"/>
        </w:rPr>
        <w:t>إلى مفسري أصحابنا مؤذنا باتفاقهم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العامة تفسيره بالأول ، وعن آخر تفسيره بالذي ينبت دون ما لا ينبت كالسبخة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الأخير فقد عرفت </w:t>
      </w:r>
      <w:r>
        <w:rPr>
          <w:rStyle w:val="FootnoteAnchor"/>
          <w:rtl w:val="true"/>
        </w:rPr>
        <w:footnoteReference w:id="1149"/>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الثاني بأنّه إن لم يكن المقصود بالطيب هو الأول ، فلا أقل من تعميمه للوجهين ؛ لعدم صدق الطيب على النجس ، فإن ثبت 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Style w:val="FootnoteAnchor"/>
          <w:rtl w:val="true"/>
        </w:rPr>
        <w:footnoteReference w:id="1150"/>
      </w:r>
      <w:r>
        <w:rPr>
          <w:rFonts w:ascii="Amiri" w:hAnsi="Amiri" w:eastAsia="Amiri" w:cs="Amiri"/>
          <w:color w:val="111111"/>
          <w:sz w:val="28"/>
          <w:sz w:val="28"/>
          <w:szCs w:val="28"/>
          <w:rtl w:val="true"/>
          <w:lang w:bidi="ar-SA"/>
        </w:rPr>
        <w:t>على المطلوب بالخصوص وإلا اندرج فيه ، فالاحتجاج بالآية لا غبار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فمناقشة صاحب المدارك في ثبوت كون الطيب بمعنى الطاهر الشرعي ليس في محله ؛ إذ </w:t>
      </w:r>
    </w:p>
    <w:p>
      <w:pPr>
        <w:pStyle w:val="BookText"/>
        <w:rPr/>
      </w:pPr>
      <w:r>
        <w:rPr>
          <w:rFonts w:ascii="Amiri" w:hAnsi="Amiri" w:eastAsia="Amiri" w:cs="Amiri"/>
          <w:color w:val="111111"/>
          <w:sz w:val="28"/>
          <w:sz w:val="28"/>
          <w:szCs w:val="28"/>
          <w:rtl w:val="true"/>
          <w:lang w:bidi="ar-SA"/>
        </w:rPr>
        <w:t xml:space="preserve">من الظاهر أنه بعد ثبوت القذارة في الشرع يخرج عن كونه طيبا عند المشهور </w:t>
      </w:r>
      <w:r>
        <w:rPr>
          <w:rStyle w:val="FootnoteAnchor"/>
          <w:rtl w:val="true"/>
        </w:rPr>
        <w:footnoteReference w:id="1151"/>
      </w:r>
      <w:r>
        <w:rPr>
          <w:rFonts w:ascii="Amiri" w:hAnsi="Amiri" w:eastAsia="Amiri" w:cs="Amiri"/>
          <w:color w:val="111111"/>
          <w:sz w:val="28"/>
          <w:sz w:val="28"/>
          <w:szCs w:val="28"/>
          <w:rtl w:val="true"/>
          <w:lang w:bidi="ar-SA"/>
        </w:rPr>
        <w:t>، فالصفة وإن كانت شرعية إلا أن الاتصاف عرفيّ ، فأهل العرف إنما يصفونه مع ذلك بالطيبة من جهة عدم إثباتهم للصفة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على عدم اشتراط الطيبة العرفية قرينة على إرادة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الاستدلال عليه بالأصل من جهة الشك من جهة البناء على شرطيّة ما شكّ في شرطيته ، فبعد </w:t>
      </w:r>
      <w:r>
        <w:rPr>
          <w:rStyle w:val="FootnoteAnchor"/>
          <w:rtl w:val="true"/>
        </w:rPr>
        <w:footnoteReference w:id="1152"/>
      </w:r>
      <w:r>
        <w:rPr>
          <w:rFonts w:ascii="Amiri" w:hAnsi="Amiri" w:eastAsia="Amiri" w:cs="Amiri"/>
          <w:color w:val="111111"/>
          <w:sz w:val="28"/>
          <w:sz w:val="28"/>
          <w:szCs w:val="28"/>
          <w:rtl w:val="true"/>
          <w:lang w:bidi="ar-SA"/>
        </w:rPr>
        <w:t>الشك في مدلول الآية لا بدّ من القول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في الحدائق </w:t>
      </w:r>
      <w:r>
        <w:rPr>
          <w:rStyle w:val="FootnoteAnchor"/>
          <w:rtl w:val="true"/>
        </w:rPr>
        <w:footnoteReference w:id="1153"/>
      </w:r>
      <w:r>
        <w:rPr>
          <w:rFonts w:ascii="Amiri" w:hAnsi="Amiri" w:eastAsia="Amiri" w:cs="Amiri"/>
          <w:color w:val="111111"/>
          <w:sz w:val="28"/>
          <w:sz w:val="28"/>
          <w:szCs w:val="28"/>
          <w:rtl w:val="true"/>
          <w:lang w:bidi="ar-SA"/>
        </w:rPr>
        <w:t xml:space="preserve">بالنبوى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الطهور لغة هو الطاهر المطهر كما حقّق في باب المياه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أن كل موضع دلّ النص على التطهير بالأرض من حدث أو خبث يجب أن تكون طاهرة حسبما يقال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للطهور في باب المياه معنى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بمعنى ما يتطهر به ، والمقام محتمل </w:t>
      </w:r>
      <w:r>
        <w:rPr>
          <w:rStyle w:val="FootnoteAnchor"/>
          <w:rtl w:val="true"/>
        </w:rPr>
        <w:footnoteReference w:id="1155"/>
      </w:r>
      <w:r>
        <w:rPr>
          <w:rFonts w:ascii="Amiri" w:hAnsi="Amiri" w:eastAsia="Amiri" w:cs="Amiri"/>
          <w:color w:val="111111"/>
          <w:sz w:val="28"/>
          <w:sz w:val="28"/>
          <w:szCs w:val="28"/>
          <w:rtl w:val="true"/>
          <w:lang w:bidi="ar-SA"/>
        </w:rPr>
        <w:t>لإرادته ، فلا يفيد اعتباره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تقتضيه الرواية أن تكون الأرض في أصلها طاهرة مطهرة ، وهو لا يقضي باشتراط الثاني من الصفتين بالأول حتى يزول الثاني بزوال الأول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بطهوريته </w:t>
      </w:r>
      <w:r>
        <w:rPr>
          <w:rStyle w:val="FootnoteAnchor"/>
          <w:rtl w:val="true"/>
        </w:rPr>
        <w:footnoteReference w:id="1156"/>
      </w:r>
      <w:r>
        <w:rPr>
          <w:rFonts w:ascii="Amiri" w:hAnsi="Amiri" w:eastAsia="Amiri" w:cs="Amiri"/>
          <w:color w:val="111111"/>
          <w:sz w:val="28"/>
          <w:sz w:val="28"/>
          <w:szCs w:val="28"/>
          <w:rtl w:val="true"/>
          <w:lang w:bidi="ar-SA"/>
        </w:rPr>
        <w:t xml:space="preserve">حكم واحد ، فإذا زال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الجميع ؛ للخروج عن مدلول الآية وعدم حجية الاستصحاب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يمكن الاعتضاد به في المقام بملاحظة أن الظاهر المنساق من المطهّر هو ما كان </w:t>
      </w:r>
    </w:p>
    <w:p>
      <w:pPr>
        <w:pStyle w:val="BookText"/>
        <w:rPr/>
      </w:pPr>
      <w:r>
        <w:rPr>
          <w:rFonts w:ascii="Amiri" w:hAnsi="Amiri" w:eastAsia="Amiri" w:cs="Amiri"/>
          <w:color w:val="111111"/>
          <w:sz w:val="28"/>
          <w:sz w:val="28"/>
          <w:szCs w:val="28"/>
          <w:rtl w:val="true"/>
          <w:lang w:bidi="ar-SA"/>
        </w:rPr>
        <w:t>طاهرا في نفسه بعد حصول التطهير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فالمسألة بملاحظة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اعتضاده بعدم ظهور الخلاف فيه بين الأصحاب بل ظهور اتفاقهم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الحكم في غير التراب من سائر ما يتيمم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يتأمل في المقام في الطهارة المعتبرة في الشي‌ء المغبّر بأنها هل تعتبر في خصوص الغبار أو محله أو فيهما معا؟ وجوه ؛ أضعفها الثاني وأحوطها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غير واحد من الأخبار هو الأول حيث دلّ على أن المتيمّم </w:t>
      </w:r>
      <w:r>
        <w:rPr>
          <w:rStyle w:val="FootnoteAnchor"/>
          <w:rtl w:val="true"/>
        </w:rPr>
        <w:footnoteReference w:id="1157"/>
      </w:r>
      <w:r>
        <w:rPr>
          <w:rFonts w:ascii="Amiri" w:hAnsi="Amiri" w:eastAsia="Amiri" w:cs="Amiri"/>
          <w:color w:val="111111"/>
          <w:sz w:val="28"/>
          <w:sz w:val="28"/>
          <w:szCs w:val="28"/>
          <w:rtl w:val="true"/>
          <w:lang w:bidi="ar-SA"/>
        </w:rPr>
        <w:t>به هو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الطاهر النجس كان بحكم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في الغبار الممتزج بالنجس بالجواز إذا حصل مسمّاه من الطاهر ، والمشتبه بالنجس حكمه حكم النجس مع الانحصار كما عرفت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الاشتباه بين الماء والتراب ، و </w:t>
      </w:r>
      <w:r>
        <w:rPr>
          <w:rStyle w:val="FootnoteAnchor"/>
          <w:rtl w:val="true"/>
        </w:rPr>
        <w:footnoteReference w:id="1158"/>
      </w:r>
      <w:r>
        <w:rPr>
          <w:rFonts w:ascii="Amiri" w:hAnsi="Amiri" w:eastAsia="Amiri" w:cs="Amiri"/>
          <w:color w:val="111111"/>
          <w:sz w:val="28"/>
          <w:sz w:val="28"/>
          <w:szCs w:val="28"/>
          <w:rtl w:val="true"/>
          <w:lang w:bidi="ar-SA"/>
        </w:rPr>
        <w:t>كان عنده تراب آخر معلوم الطهارة فهناك وجوه ؛ من تعيّن الطهارة بالماء على احتمال تقدم في باب المياه ، وتعين التيمّم لكون المشتبه حكمه حكم النجس ، وتعيّن الأمرين لاحتمال مصادفة الطهارة الاختيارية</w:t>
      </w:r>
      <w:r>
        <w:rPr>
          <w:rFonts w:eastAsia="Amiri" w:cs="Amiri" w:ascii="Amiri" w:hAnsi="Amiri"/>
          <w:color w:val="111111"/>
          <w:sz w:val="28"/>
          <w:szCs w:val="28"/>
          <w:rtl w:val="true"/>
          <w:lang w:bidi="ar-SA"/>
        </w:rPr>
        <w:t xml:space="preserve">. </w:t>
      </w:r>
      <w:bookmarkStart w:id="295" w:name="pg15839_360898"/>
    </w:p>
    <w:p>
      <w:pPr>
        <w:pStyle w:val="Heading4"/>
        <w:numPr>
          <w:ilvl w:val="3"/>
          <w:numId w:val="1"/>
        </w:numPr>
        <w:rPr/>
      </w:pPr>
      <w:bookmarkStart w:id="296" w:name="__RefHeading___Toc14338513_2142443653"/>
      <w:bookmarkStart w:id="297" w:name="_Toc109"/>
      <w:bookmarkEnd w:id="295"/>
      <w:bookmarkEnd w:id="296"/>
      <w:r>
        <w:rPr>
          <w:rtl w:val="true"/>
        </w:rPr>
        <w:t>تبصرة</w:t>
      </w:r>
      <w:r>
        <w:rPr>
          <w:rtl w:val="true"/>
        </w:rPr>
        <w:t xml:space="preserve">: [ </w:t>
      </w:r>
      <w:r>
        <w:rPr>
          <w:rtl w:val="true"/>
        </w:rPr>
        <w:t xml:space="preserve">في التيمّم بالمغصوب </w:t>
      </w:r>
      <w:r>
        <w:rPr>
          <w:rtl w:val="true"/>
        </w:rPr>
        <w:t>]</w:t>
      </w:r>
      <w:bookmarkEnd w:id="297"/>
    </w:p>
    <w:p>
      <w:pPr>
        <w:pStyle w:val="BookText"/>
        <w:rPr/>
      </w:pPr>
      <w:r>
        <w:rPr>
          <w:rFonts w:ascii="Amiri" w:hAnsi="Amiri" w:eastAsia="Amiri" w:cs="Amiri"/>
          <w:color w:val="111111"/>
          <w:sz w:val="28"/>
          <w:sz w:val="28"/>
          <w:szCs w:val="28"/>
          <w:rtl w:val="true"/>
          <w:lang w:bidi="ar-SA"/>
        </w:rPr>
        <w:t>لا يجوز التيمّم بالمغصوب بلا خلاف فيه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التذكرة إلى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ما تقدم في الوضوء من عدم إمكان التقرب بالمحرّم ، ولعدم انصراف الأوامر إلى الفرد المنهيّ عنه ، فلا مقتضى فيه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 مكان التراب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الضرب على الأرض جزء من التيمّم واضح ، وإلّا كان بمنزلة الاغتراف من الآنية المغصوبة مع إباحة التراب أو حرمته إن لم نشترط العلوق ، ولم يعلّق منه شي‌ء باليد إلا أن يستند في منعه إلى الإجماع أو بعض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الفضاء الذي يقع فيه المسحات مغصوبا فالظاهر عدم الصحة ؛ لسريان المنع إلى فعل العبادة القاضي بفسادها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الحركات الواقعة في المكان المغصوب مقدمات لحصوله ، فلا يضر اجتماعها مع الحرام كما قيل بمثله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وهنه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مكانه سوى ما يقع فيه أفعال التيمّم مغصوبا لم يمنع من الصحة إلا إذا كانت حركات التيمّم مستلزمة للصرف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بالمكان المغصوب ما لم يكن مملوكا له عينا ولا منفعة ولا مباحا ولا مأذونا فيه من المالك ومن بحكمه أو من الشرع ، ومن الآخر التيمّم في الأراضي المتسعة ؛ لجريان الطريقة من لدن صاحب الشريعة على إيقاع تلك الأنحاء من التصرفات من غير ورود منع كما مرّت </w:t>
      </w:r>
    </w:p>
    <w:p>
      <w:pPr>
        <w:pStyle w:val="BookText"/>
        <w:rPr/>
      </w:pPr>
      <w:r>
        <w:rPr>
          <w:rFonts w:ascii="Amiri" w:hAnsi="Amiri" w:eastAsia="Amiri" w:cs="Amiri"/>
          <w:color w:val="111111"/>
          <w:sz w:val="28"/>
          <w:sz w:val="28"/>
          <w:szCs w:val="28"/>
          <w:rtl w:val="true"/>
          <w:lang w:bidi="ar-SA"/>
        </w:rPr>
        <w:t>الإشارة إليه في الوضوء ، فلا حاجة فيه إلى استيذان المالك ولو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صرّح المالك بالمنع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العداوة بينهما لا يقضي بالمنع ؛ لعدم استناد الجواز إلى إذن المالك ليرتفع بالشك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159"/>
      </w:r>
      <w:r>
        <w:rPr>
          <w:rFonts w:ascii="Amiri" w:hAnsi="Amiri" w:eastAsia="Amiri" w:cs="Amiri"/>
          <w:color w:val="111111"/>
          <w:sz w:val="28"/>
          <w:sz w:val="28"/>
          <w:szCs w:val="28"/>
          <w:rtl w:val="true"/>
          <w:lang w:bidi="ar-SA"/>
        </w:rPr>
        <w:t>، علم منها عدم رضاه لم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الظن به فوجهان ، أحوطهما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يكون ذلك المكان باقيا في يد صاحبه أو مغصوبا إلا أن يكون هو الغاصب </w:t>
      </w:r>
      <w:r>
        <w:rPr>
          <w:rStyle w:val="FootnoteAnchor"/>
          <w:rtl w:val="true"/>
        </w:rPr>
        <w:footnoteReference w:id="1160"/>
      </w:r>
      <w:r>
        <w:rPr>
          <w:rFonts w:ascii="Amiri" w:hAnsi="Amiri" w:eastAsia="Amiri" w:cs="Amiri"/>
          <w:color w:val="111111"/>
          <w:sz w:val="28"/>
          <w:sz w:val="28"/>
          <w:szCs w:val="28"/>
          <w:rtl w:val="true"/>
          <w:lang w:bidi="ar-SA"/>
        </w:rPr>
        <w:t>لجريان العادة فيه بالمنع ، وللشك في جريان السيرة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حبس في المكان المغصوب فإن لم يستلزمه </w:t>
      </w:r>
      <w:r>
        <w:rPr>
          <w:rStyle w:val="FootnoteAnchor"/>
          <w:rtl w:val="true"/>
        </w:rPr>
        <w:footnoteReference w:id="1161"/>
      </w:r>
      <w:r>
        <w:rPr>
          <w:rFonts w:ascii="Amiri" w:hAnsi="Amiri" w:eastAsia="Amiri" w:cs="Amiri"/>
          <w:color w:val="111111"/>
          <w:sz w:val="28"/>
          <w:sz w:val="28"/>
          <w:szCs w:val="28"/>
          <w:rtl w:val="true"/>
          <w:lang w:bidi="ar-SA"/>
        </w:rPr>
        <w:t>التيمّم فيه تصرفا زائدا على نفس الكون قوي البناء على الصحة ؛ لارتفاع المنع من الكون بالإجبار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إيقاع الأفعال المخصوصة نوع خاص من التصرف لا يقضي مجرد الحبس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جبره على الحبس لا يجب عليه السكون فيه بحيث لا يقع منه حركة ولا فعل أصلا حتى يقتصر من التنفس والأكل والشرب على أقل الضرورة ؛ لحرمة كل من الحركة والسكون فيه ، فيتخير بينهما بعد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في الحركة تصرف زائدا عرفا على مطلق الكون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إذا تضرّر المالك بإيقاع الوضوء فيه ، فينتقل إلى التيمّم مع عدم إمكان الاستيذان أو في التيمّم ، فيصير فاقدا للطهورين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نهاه المالك عن نحو مخصوص من الكون ففي حرمته وجهان ؛ من أصالة حرمة التصرف في ملك الغير ، ومن سقوط الرجوع إلى المالك بعد الجبر ، فلا عبرة بنهيه كما لا يجب تحصيل رضاه مع المكنة ، ولا يتعلق بذمته أجرة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وعليهما يبتني صحة التيمّم وعدمه مع تعلق المنع به ، وكذا الحال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 المالك إذن في الكون ونهى عن نحو خاصّ كان احتمال الحرمة فيه أقوى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الحابس هو المالك ونهاه عن كون خاصّ جرى الوجهان إلا أن احتمال الحرمة هنا بعيد ، سيّما مع حصول مشقة عليه إلا أن يستلزم تصرفا زائدا على نفس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هنا القول بجواز ما هو من ضرورياته ، من أداء التكاليف والأمور المتعلقة بنفسه عن الأكل فيه والشرب والتخلي والاستنجاء والطهارة من الوضوء والغسل والتيمّم ونحوها ، وإن أوجب اضرار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تمكن منه على غير الوجه المضرّ تعيّن مع انتفاء المشقة في اختياره ، ولا يجوز له صرف شي‌ء من أمواله في ذلك كاستعمال مائه ولبس ثيابه للصلاة وغيره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جاهلا بالغصبيّة أو ناسيا لها ،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بالفساد في الناسي كما مرّ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الحال في الغافل إلا أن يكون ناسيا على الكون فيه ، فاتفق غفلته عنه حال الفعل في وجه قوي ، بل الظاهر استمراره على الغصب إذن ولو مع الغفلة ، أو يكون غصبه حينئذ نظير سائر الأفعال الاختيارية الصادرة عنه ، ولو غفل عن الفعل في أثنائه وقد اكتفى به في العبادات بناء على الاستدامة الحكمية للنية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بانيا على الخروج </w:t>
      </w:r>
      <w:r>
        <w:rPr>
          <w:rStyle w:val="FootnoteAnchor"/>
          <w:rtl w:val="true"/>
        </w:rPr>
        <w:footnoteReference w:id="1162"/>
      </w:r>
      <w:r>
        <w:rPr>
          <w:rFonts w:ascii="Amiri" w:hAnsi="Amiri" w:eastAsia="Amiri" w:cs="Amiri"/>
          <w:color w:val="111111"/>
          <w:sz w:val="28"/>
          <w:sz w:val="28"/>
          <w:szCs w:val="28"/>
          <w:rtl w:val="true"/>
          <w:lang w:bidi="ar-SA"/>
        </w:rPr>
        <w:t>حال الطهارة عن الغصبية حال إيقاعها فوجهان ، أحوطهما الإعادة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غفل في إيقاع الفعل بطلت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بالحكم كالعامد إلا مع الجهل الذي يكون عذرا كالجاهل المطلق كالغافل عن المسألة أو المعتقد للإباحة بحيث لا يحتمل الخلاف ليجب </w:t>
      </w:r>
    </w:p>
    <w:p>
      <w:pPr>
        <w:pStyle w:val="BookText"/>
        <w:rPr/>
      </w:pPr>
      <w:r>
        <w:rPr>
          <w:rFonts w:ascii="Amiri" w:hAnsi="Amiri" w:eastAsia="Amiri" w:cs="Amiri"/>
          <w:color w:val="111111"/>
          <w:sz w:val="28"/>
          <w:sz w:val="28"/>
          <w:szCs w:val="28"/>
          <w:rtl w:val="true"/>
          <w:lang w:bidi="ar-SA"/>
        </w:rPr>
        <w:t>عليه السؤال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المشتبه بالمغصوب مع الانحصار ، ولا فرق بين مدور الاشتباه بين أرضين أو بينه ، وبين الماء أو غيره من سائر الأنواع</w:t>
      </w:r>
      <w:r>
        <w:rPr>
          <w:rFonts w:eastAsia="Amiri" w:cs="Amiri" w:ascii="Amiri" w:hAnsi="Amiri"/>
          <w:color w:val="111111"/>
          <w:sz w:val="28"/>
          <w:szCs w:val="28"/>
          <w:rtl w:val="true"/>
          <w:lang w:bidi="ar-SA"/>
        </w:rPr>
        <w:t xml:space="preserve">. </w:t>
      </w:r>
      <w:bookmarkStart w:id="298" w:name="pg15839_360902"/>
    </w:p>
    <w:p>
      <w:pPr>
        <w:pStyle w:val="Heading4"/>
        <w:numPr>
          <w:ilvl w:val="3"/>
          <w:numId w:val="1"/>
        </w:numPr>
        <w:rPr/>
      </w:pPr>
      <w:bookmarkStart w:id="299" w:name="__RefHeading___Toc14338515_2142443653"/>
      <w:bookmarkStart w:id="300" w:name="_Toc110"/>
      <w:bookmarkEnd w:id="298"/>
      <w:bookmarkEnd w:id="299"/>
      <w:r>
        <w:rPr>
          <w:rtl w:val="true"/>
        </w:rPr>
        <w:t>تبصرة</w:t>
      </w:r>
      <w:r>
        <w:rPr>
          <w:rtl w:val="true"/>
        </w:rPr>
        <w:t xml:space="preserve">: [ </w:t>
      </w:r>
      <w:r>
        <w:rPr>
          <w:rtl w:val="true"/>
        </w:rPr>
        <w:t xml:space="preserve">في التيمّم بالممتزج </w:t>
      </w:r>
      <w:r>
        <w:rPr>
          <w:rtl w:val="true"/>
        </w:rPr>
        <w:t>]</w:t>
      </w:r>
      <w:bookmarkEnd w:id="300"/>
    </w:p>
    <w:p>
      <w:pPr>
        <w:pStyle w:val="BookText"/>
        <w:rPr/>
      </w:pPr>
      <w:r>
        <w:rPr>
          <w:rFonts w:ascii="Amiri" w:hAnsi="Amiri" w:eastAsia="Amiri" w:cs="Amiri"/>
          <w:color w:val="111111"/>
          <w:sz w:val="28"/>
          <w:sz w:val="28"/>
          <w:szCs w:val="28"/>
          <w:rtl w:val="true"/>
          <w:lang w:bidi="ar-SA"/>
        </w:rPr>
        <w:t>من شرائط ما يتيمم به أن لا يكون ممتزجا بغير ما يصح التيمّم به بحيث يسلبه إطلاق الاسم أو يكون الخلط متميزا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بعضهم عدم صحة التيمّم بالممتزج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ذلك ؛ إذ مع بقاء الاسم وعدم امتياز الخلط فكأنّه لم يختلط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الجواز مع بقاء الاسم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المنع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الامتياز في الحسّ فلعدم صدق اسمه على المجموع إلا بطريق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به في الشرع ، فنحو ألبسة الواقعة على التراب اجزاء والحشيش الممتزج به أو الشعيرة يمنع من صحة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على ظاهره فاندفن في التراب بحيث يصل اليد إليه أو وصل يده إليه بالتحريك لم يقض بالصحة ؛ إذ لم يقع الضرب على الأرض والتسامح في التسمية لا عبرة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التيمّم به بعد عدم إمكان الأرض الخالص إذا بقيت الأجزاء الأرضية على اسمها ؛ إذ ليس ذلك بأقلّ من الغبار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تقديمه عليه ؛ لصدق اسم التراب عليه في الجملة وإن لم يصدق ضرب اليد بتمامها على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ويتقوى الاحتمال المذكور مع قلة الخليط فيه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بين أن يكون </w:t>
      </w:r>
      <w:r>
        <w:rPr>
          <w:rStyle w:val="FootnoteAnchor"/>
          <w:rtl w:val="true"/>
        </w:rPr>
        <w:footnoteReference w:id="1163"/>
      </w:r>
      <w:r>
        <w:rPr>
          <w:rFonts w:ascii="Amiri" w:hAnsi="Amiri" w:eastAsia="Amiri" w:cs="Amiri"/>
          <w:color w:val="111111"/>
          <w:sz w:val="28"/>
          <w:sz w:val="28"/>
          <w:szCs w:val="28"/>
          <w:rtl w:val="true"/>
          <w:lang w:bidi="ar-SA"/>
        </w:rPr>
        <w:t>الممسوح من المائعات أو الجواهر إلا أنه يخرج مع الامتزاج بالماء إلا أن تصل إلى حدّ الطين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غيره من المياه المضافة</w:t>
      </w:r>
      <w:r>
        <w:rPr>
          <w:rFonts w:eastAsia="Amiri" w:cs="Amiri" w:ascii="Amiri" w:hAnsi="Amiri"/>
          <w:color w:val="111111"/>
          <w:sz w:val="28"/>
          <w:szCs w:val="28"/>
          <w:rtl w:val="true"/>
          <w:lang w:bidi="ar-SA"/>
        </w:rPr>
        <w:t xml:space="preserve">. </w:t>
      </w:r>
      <w:bookmarkStart w:id="301" w:name="pg15839_360904"/>
    </w:p>
    <w:p>
      <w:pPr>
        <w:pStyle w:val="Heading4"/>
        <w:numPr>
          <w:ilvl w:val="3"/>
          <w:numId w:val="1"/>
        </w:numPr>
        <w:rPr/>
      </w:pPr>
      <w:bookmarkStart w:id="302" w:name="__RefHeading___Toc14338517_2142443653"/>
      <w:bookmarkStart w:id="303" w:name="_Toc111"/>
      <w:bookmarkEnd w:id="301"/>
      <w:bookmarkEnd w:id="302"/>
      <w:r>
        <w:rPr>
          <w:rtl w:val="true"/>
        </w:rPr>
        <w:t>تبصرة</w:t>
      </w:r>
      <w:r>
        <w:rPr>
          <w:rtl w:val="true"/>
        </w:rPr>
        <w:t xml:space="preserve">: [ </w:t>
      </w:r>
      <w:r>
        <w:rPr>
          <w:rtl w:val="true"/>
        </w:rPr>
        <w:t xml:space="preserve">في فاقد الطهورين </w:t>
      </w:r>
      <w:r>
        <w:rPr>
          <w:rtl w:val="true"/>
        </w:rPr>
        <w:t>]</w:t>
      </w:r>
      <w:bookmarkEnd w:id="303"/>
    </w:p>
    <w:p>
      <w:pPr>
        <w:pStyle w:val="BookText"/>
        <w:rPr/>
      </w:pPr>
      <w:r>
        <w:rPr>
          <w:rFonts w:ascii="Amiri" w:hAnsi="Amiri" w:eastAsia="Amiri" w:cs="Amiri"/>
          <w:color w:val="111111"/>
          <w:sz w:val="28"/>
          <w:sz w:val="28"/>
          <w:szCs w:val="28"/>
          <w:rtl w:val="true"/>
          <w:lang w:bidi="ar-SA"/>
        </w:rPr>
        <w:t>من فقد الطهورين معا فالمعروف بين الأصحاب سقوط الأداء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في شرح الاستبصار إطباق علمائنا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إذ لا يعرف فيه مخالف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ذهب إلى وجوبه عليه جماعة من العامة كالشافعي في أحد قوليه ، وابن حنبل في إحدى الروايتين عنه ، وأبو يوسف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حكى المحقق قولا مرسلا بالوجوب حكي في ظاهر التذكرة </w:t>
      </w:r>
      <w:r>
        <w:rPr>
          <w:rStyle w:val="FootnoteAnchor"/>
          <w:rtl w:val="true"/>
        </w:rPr>
        <w:footnoteReference w:id="1164"/>
      </w:r>
      <w:r>
        <w:rPr>
          <w:rFonts w:ascii="Amiri" w:hAnsi="Amiri" w:eastAsia="Amiri" w:cs="Amiri"/>
          <w:color w:val="111111"/>
          <w:sz w:val="28"/>
          <w:sz w:val="28"/>
          <w:szCs w:val="28"/>
          <w:rtl w:val="true"/>
          <w:lang w:bidi="ar-SA"/>
        </w:rPr>
        <w:t>حيث أسند إليه أنه يصلّي ويعيد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وجوب الأمرين عليه ، وعبارته في المبسوط غير دالّة عليه ، بل ظاهره التخيير بين التأخير والصلاة ،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جواز فعله محدثا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ذهاب أحد من الأصحاب إليه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إذ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سقوط الأداء مضافا إلى ما عرفت إطلاق قوله عليه‌السلام في الحديث المروي في الصحيح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الدالّ على عدم صحة الصلاة بدونه ، سواء حمل العبارة على النهي أو النفي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شامل لحال الاختيار والاضطرار ؛ مضافا إلى ما دلّ من حرمة الصلاة شرعا من دون طهور ، كقوله في رواية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يخاف من يصلي من </w:t>
      </w:r>
    </w:p>
    <w:p>
      <w:pPr>
        <w:pStyle w:val="BookText"/>
        <w:rPr/>
      </w:pPr>
      <w:r>
        <w:rPr>
          <w:rFonts w:ascii="Amiri" w:hAnsi="Amiri" w:eastAsia="Amiri" w:cs="Amiri"/>
          <w:color w:val="111111"/>
          <w:sz w:val="28"/>
          <w:sz w:val="28"/>
          <w:szCs w:val="28"/>
          <w:rtl w:val="true"/>
          <w:lang w:bidi="ar-SA"/>
        </w:rPr>
        <w:t xml:space="preserve">غير وضوء أن يأخذه الأرض خسفا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الوارد في جلد الملائكة رجلا من الأنصار </w:t>
      </w:r>
      <w:r>
        <w:rPr>
          <w:rStyle w:val="FootnoteAnchor"/>
          <w:rtl w:val="true"/>
        </w:rPr>
        <w:footnoteReference w:id="1167"/>
      </w:r>
      <w:r>
        <w:rPr>
          <w:rFonts w:ascii="Amiri" w:hAnsi="Amiri" w:eastAsia="Amiri" w:cs="Amiri"/>
          <w:color w:val="111111"/>
          <w:sz w:val="28"/>
          <w:sz w:val="28"/>
          <w:szCs w:val="28"/>
          <w:rtl w:val="true"/>
          <w:lang w:bidi="ar-SA"/>
        </w:rPr>
        <w:t xml:space="preserve">في حيرة المعلل سبب جلده بأنه صلّى يوما من غير وضوء ، ومرّ على ضعيف فلم ينصره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غير ذلك مما دلّ على اشتراط الصلاة بالطهور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الفرض في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والطهور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 الحديث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الصلاة الوضوء </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ثلاثة اثلاث ثلث طهور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تأيدها بما دلّ من إطلاقات الأصحاب باشتراط الصلاة بالطهور ، وظاهر إجماعاتهم المحكية القاضية بإطلاق الشرطية سيّما على القول بكون أسامي العبادات بإزاء الصحيحة كما هو الأظهر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اتفق لبعض أفاضل المتأخرين من القطع بثبوت الأداء عليه ؛ استنادا إلى أن الصلاة من الواجبات النفسية المطلقة حيث تعلّق الأوامر المطلقة في الكتاب والسنة بها ، والطهارة إنما كانت واجبة للغير </w:t>
      </w:r>
      <w:r>
        <w:rPr>
          <w:rStyle w:val="FootnoteAnchor"/>
          <w:rtl w:val="true"/>
        </w:rPr>
        <w:footnoteReference w:id="1173"/>
      </w:r>
      <w:r>
        <w:rPr>
          <w:rFonts w:ascii="Amiri" w:hAnsi="Amiri" w:eastAsia="Amiri" w:cs="Amiri"/>
          <w:color w:val="111111"/>
          <w:sz w:val="28"/>
          <w:sz w:val="28"/>
          <w:szCs w:val="28"/>
          <w:rtl w:val="true"/>
          <w:lang w:bidi="ar-SA"/>
        </w:rPr>
        <w:t xml:space="preserve">، فعند عدمها لو سقط الواجب لزم كونها مقيدة كالحج </w:t>
      </w:r>
    </w:p>
    <w:p>
      <w:pPr>
        <w:pStyle w:val="BookText"/>
        <w:rPr/>
      </w:pPr>
      <w:r>
        <w:rPr>
          <w:rFonts w:ascii="Amiri" w:hAnsi="Amiri" w:eastAsia="Amiri" w:cs="Amiri"/>
          <w:color w:val="111111"/>
          <w:sz w:val="28"/>
          <w:sz w:val="28"/>
          <w:szCs w:val="28"/>
          <w:rtl w:val="true"/>
          <w:lang w:bidi="ar-SA"/>
        </w:rPr>
        <w:t xml:space="preserve">بالنسبة إلى الاستطاعة ، واللازم باطل فالملزوم مثله ، وأن القاعدة المستفادة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بشى‌ء فأتوا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قاض بعدم سقوط الصلاة مع تعذر الطهارة إذا أمرنا بالطهارة والصلاة معا ، فإذا تعذر الأول لم يسقط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الوجهين المذكورين مما لا يحتاج إلى البيان ؛ إذ بعد دلالة الأخبار المذكورة المؤيّدة بسائر الأخبار وإطباق الأصحاب على التقييد لا تبقى تلك الإطلاقات حجة ، بل لا بدّ من حملها على المقيّد كما هو القاعدة المجمعة عليها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المذكورة عامّية لا ذكر لها روايات الأصحاب حتى يصح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عدم بنائهم عليها في جلّ الأمور ، وليس ذلك قاعدة مطردة بينهم بل إنما يلاحظون الأدلة في خصوص كل مقام ، مضافا إلى عدم وضوح دلالتها في المقام ؛ إذ لو اريد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الذي يستطاع منه دلّ على الاكتفاء بأيّ فرد يستطاع من أفراد المأمور به ، وإن اريد به التبعيض في العمل فمع عدم بناء الأصحاب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جواز الاكتفاء تعلق به القدرة بعض الاجزاء لا بمجرد الفعل من دون الشرط ؛ إذ الفاقد للشرط ليس بعضا من المأمور به كما هو قضية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أيضا إيراده على دلالة الصحيحة المتقدمة بما لا ينبغي صدوره من مثله حيث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النفي ليس إلا مثل النفي الوارد على سائر شروطها وأجزائها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وإلا فسائر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جعلتموه على حالة الاختيار وحكمتم بوجوب الصلاة مع تعذر تلك الشرائط والأجزاء مع أن التلازم بين الجزء والكل أقوى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الطهور في هذه الرواية وردت في مقام ذكر الاستنجاء </w:t>
      </w:r>
      <w:r>
        <w:rPr>
          <w:rStyle w:val="FootnoteAnchor"/>
          <w:rtl w:val="true"/>
        </w:rPr>
        <w:footnoteReference w:id="1176"/>
      </w:r>
      <w:r>
        <w:rPr>
          <w:rFonts w:ascii="Amiri" w:hAnsi="Amiri" w:eastAsia="Amiri" w:cs="Amiri"/>
          <w:color w:val="111111"/>
          <w:sz w:val="28"/>
          <w:sz w:val="28"/>
          <w:szCs w:val="28"/>
          <w:rtl w:val="true"/>
          <w:lang w:bidi="ar-SA"/>
        </w:rPr>
        <w:t xml:space="preserve">فيكون ذلك شاهداً </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1177"/>
      </w:r>
      <w:r>
        <w:rPr>
          <w:rFonts w:ascii="Amiri" w:hAnsi="Amiri" w:eastAsia="Amiri" w:cs="Amiri"/>
          <w:color w:val="111111"/>
          <w:sz w:val="28"/>
          <w:sz w:val="28"/>
          <w:szCs w:val="28"/>
          <w:rtl w:val="true"/>
          <w:lang w:bidi="ar-SA"/>
        </w:rPr>
        <w:t>إرادة الطهارة على الخبث وإن كان في نفسه مقولا بالاشتراك على الأمرين ، وأنتم لا تقولون فيها ذلك ؛ لظهور فساد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واندفاعه بأن الخروج عن قضية الأصل في تلك المقام لقيام الدليل عليه لا يقضي بالتزامه في المقام ، وإلا لانسدّ طريق العمل بظواهر الأخبار لخروج كثير منها عن الظاهر ، وإن أراد مقابلته </w:t>
      </w:r>
      <w:r>
        <w:rPr>
          <w:rStyle w:val="FootnoteAnchor"/>
          <w:rtl w:val="true"/>
        </w:rPr>
        <w:footnoteReference w:id="1178"/>
      </w:r>
      <w:r>
        <w:rPr>
          <w:rFonts w:ascii="Amiri" w:hAnsi="Amiri" w:eastAsia="Amiri" w:cs="Amiri"/>
          <w:color w:val="111111"/>
          <w:sz w:val="28"/>
          <w:sz w:val="28"/>
          <w:szCs w:val="28"/>
          <w:rtl w:val="true"/>
          <w:lang w:bidi="ar-SA"/>
        </w:rPr>
        <w:t>الشرط المذكور بتلك الشرائط والأجزاء ففساده أظهر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ادّعي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أيضا تعجّبه من المحقق حيث أبدى </w:t>
      </w:r>
      <w:r>
        <w:rPr>
          <w:rStyle w:val="FootnoteAnchor"/>
          <w:rtl w:val="true"/>
        </w:rPr>
        <w:footnoteReference w:id="1179"/>
      </w:r>
      <w:r>
        <w:rPr>
          <w:rFonts w:ascii="Amiri" w:hAnsi="Amiri" w:eastAsia="Amiri" w:cs="Amiri"/>
          <w:color w:val="111111"/>
          <w:sz w:val="28"/>
          <w:sz w:val="28"/>
          <w:szCs w:val="28"/>
          <w:rtl w:val="true"/>
          <w:lang w:bidi="ar-SA"/>
        </w:rPr>
        <w:t>الفرق بين هذا الشرط وسائر الشرائط ببيان مزيد خصوصية فيه ، وذكر بعد حكاية ذلك منه أن الكلام فيه لا يحتاج إلى بيان مع أن الأمر بالعكس ، وليس مقصود المحقق إلا ذكر بعض الوجوه الفارقة لئلا يسري الحكم منها إليه ، ويكفي في ذلك مجرد احتمال الفارق ، فكيف مع تحقّقه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الكلام المذكور في بعض رسائله مستدلّا به على مطلوبه بأن الطهارة شرط في صحة الصلاة لا في </w:t>
      </w:r>
      <w:r>
        <w:rPr>
          <w:rStyle w:val="FootnoteAnchor"/>
          <w:rtl w:val="true"/>
        </w:rPr>
        <w:footnoteReference w:id="1180"/>
      </w:r>
      <w:r>
        <w:rPr>
          <w:rFonts w:ascii="Amiri" w:hAnsi="Amiri" w:eastAsia="Amiri" w:cs="Amiri"/>
          <w:color w:val="111111"/>
          <w:sz w:val="28"/>
          <w:sz w:val="28"/>
          <w:szCs w:val="28"/>
          <w:rtl w:val="true"/>
          <w:lang w:bidi="ar-SA"/>
        </w:rPr>
        <w:t>وجوبها ، فهي كغيرها من الساتر والقبلة وباقي شروط الصحة إنما يجب مع إمكانها ، وإلا لكانت الصلاة من قبيل الواجب المقيد كالحج والأصوليون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فإن الأصل في كل شرط من شرائط الصحة أن يكون التمكن منه من شرائط الوجوب إلا أن يدلّ دليل على خلافه أو على سقوط الشرط مع انتفاء القدرة عليه ، ووجود الدليل في سائر الشرائط لا يقضي بثبوت الحكم في محل النزاع مع عدم قيام شي‌ء من الأدلة عليه ، فليس حمله عليها إلا قياسا محضا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الثاني بأن العبرة بعموم اللفظ ، مضافا إلى أن الاستنجاء من مقدمات الوضوء </w:t>
      </w:r>
    </w:p>
    <w:p>
      <w:pPr>
        <w:pStyle w:val="BookText"/>
        <w:rPr/>
      </w:pPr>
      <w:r>
        <w:rPr>
          <w:rFonts w:ascii="Amiri" w:hAnsi="Amiri" w:eastAsia="Amiri" w:cs="Amiri"/>
          <w:color w:val="111111"/>
          <w:sz w:val="28"/>
          <w:sz w:val="28"/>
          <w:szCs w:val="28"/>
          <w:rtl w:val="true"/>
          <w:lang w:bidi="ar-SA"/>
        </w:rPr>
        <w:t xml:space="preserve">والغسل كما يظهر من الأخبار ، فلا يوجب وروده عند ذكر الاستنجاء تخصيصه </w:t>
      </w:r>
      <w:r>
        <w:rPr>
          <w:rStyle w:val="FootnoteAnchor"/>
          <w:rtl w:val="true"/>
        </w:rPr>
        <w:footnoteReference w:id="1181"/>
      </w:r>
      <w:r>
        <w:rPr>
          <w:rFonts w:ascii="Amiri" w:hAnsi="Amiri" w:eastAsia="Amiri" w:cs="Amiri"/>
          <w:color w:val="111111"/>
          <w:sz w:val="28"/>
          <w:sz w:val="28"/>
          <w:szCs w:val="28"/>
          <w:rtl w:val="true"/>
          <w:lang w:bidi="ar-SA"/>
        </w:rPr>
        <w:t>، على أن ما يدلّ على اشتراط الصلاة بالطهور غير منحصر في تلك الرواية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 في سقوط الأداء بيّن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w:t>
      </w:r>
      <w:r>
        <w:rPr>
          <w:rStyle w:val="FootnoteAnchor"/>
          <w:rtl w:val="true"/>
        </w:rPr>
        <w:footnoteReference w:id="1182"/>
      </w:r>
      <w:r>
        <w:rPr>
          <w:rFonts w:ascii="Amiri" w:hAnsi="Amiri" w:eastAsia="Amiri" w:cs="Amiri"/>
          <w:color w:val="111111"/>
          <w:sz w:val="28"/>
          <w:sz w:val="28"/>
          <w:szCs w:val="28"/>
          <w:rtl w:val="true"/>
          <w:lang w:bidi="ar-SA"/>
        </w:rPr>
        <w:t xml:space="preserve">في رسالة إلى ابنه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في أوقات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إلحاقه بالحائض حيث إن الموجب لسقوط الصلاة فيها وجود الحدث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 القضاء عنه فاختلف فيه الأصحاب ، فعن المفيد في أحد قوليه والفاضلين وغيرهم سقوطه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في المقنعة والسيد والحلي وجماعة من المتأخرين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الفاضل المتقدم في نفي القضاء عنه على القول بسقوط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 إذ ثبوت القضاء إنما هو بأمر جديد ليس على وجوبه دليل ظاهر ، والاستناد فيه إلى بعض إطلاقات </w:t>
      </w:r>
      <w:r>
        <w:rPr>
          <w:rStyle w:val="FootnoteAnchor"/>
          <w:rtl w:val="true"/>
        </w:rPr>
        <w:footnoteReference w:id="1183"/>
      </w:r>
      <w:r>
        <w:rPr>
          <w:rFonts w:ascii="Amiri" w:hAnsi="Amiri" w:eastAsia="Amiri" w:cs="Amiri"/>
          <w:color w:val="111111"/>
          <w:sz w:val="28"/>
          <w:sz w:val="28"/>
          <w:szCs w:val="28"/>
          <w:rtl w:val="true"/>
          <w:lang w:bidi="ar-SA"/>
        </w:rPr>
        <w:t>القضاء الشاملة في بادي الرأي لا يخلو عن إشكال ؛ لانصرافها إلى تلك الصورة مضافا إلى ندرة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 ما استفاض نقله في المعتبرة الحاكمة بعدم وجوب قضاء ما فات بالإغماء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أخبرك بما يجمع لك هذه الأشياء؟ كلّما غلب اللّه عليه من أمر فاللّه أعذر لعبده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غيره أن أبا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الأبواب الذي يفتح </w:t>
      </w:r>
    </w:p>
    <w:p>
      <w:pPr>
        <w:pStyle w:val="BookText"/>
        <w:rPr/>
      </w:pPr>
      <w:r>
        <w:rPr>
          <w:rFonts w:ascii="Amiri" w:hAnsi="Amiri" w:eastAsia="Amiri" w:cs="Amiri"/>
          <w:color w:val="111111"/>
          <w:sz w:val="28"/>
          <w:sz w:val="28"/>
          <w:szCs w:val="28"/>
          <w:rtl w:val="true"/>
          <w:lang w:bidi="ar-SA"/>
        </w:rPr>
        <w:t xml:space="preserve">كلّ باب منها ألف باب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بوجوب القضاء إطلاق ما دلّ على وجوب قضاء الفائتة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صلوات يصلّيها الرجل في كلّ ساعة صلاة فاتتك ، فمتى ذكرتها أدّيتها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 ما فاته كما فاته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من الضعف في الإطلاق ، مضافا إلى معارضته بالقاعدة المتقدمة</w:t>
      </w:r>
      <w:r>
        <w:rPr>
          <w:rFonts w:eastAsia="Amiri" w:cs="Amiri" w:ascii="Amiri" w:hAnsi="Amiri"/>
          <w:color w:val="111111"/>
          <w:sz w:val="28"/>
          <w:szCs w:val="28"/>
          <w:rtl w:val="true"/>
          <w:lang w:bidi="ar-SA"/>
        </w:rPr>
        <w:t xml:space="preserve">. </w:t>
      </w:r>
      <w:bookmarkStart w:id="304" w:name="pg15839_360910"/>
    </w:p>
    <w:p>
      <w:pPr>
        <w:pStyle w:val="Heading3"/>
        <w:numPr>
          <w:ilvl w:val="2"/>
          <w:numId w:val="1"/>
        </w:numPr>
        <w:rPr/>
      </w:pPr>
      <w:bookmarkStart w:id="305" w:name="__RefHeading___Toc14338519_2142443653"/>
      <w:bookmarkStart w:id="306" w:name="_Toc112"/>
      <w:bookmarkEnd w:id="304"/>
      <w:bookmarkEnd w:id="305"/>
      <w:r>
        <w:rPr>
          <w:rtl w:val="true"/>
        </w:rPr>
        <w:t>الفصل الرابع</w:t>
      </w:r>
      <w:r>
        <w:rPr>
          <w:rtl w:val="true"/>
        </w:rPr>
        <w:t xml:space="preserve">: </w:t>
      </w:r>
      <w:r>
        <w:rPr>
          <w:rtl w:val="true"/>
        </w:rPr>
        <w:t>في بيان كيفية التيمّم</w:t>
      </w:r>
      <w:bookmarkEnd w:id="306"/>
    </w:p>
    <w:p>
      <w:pPr>
        <w:pStyle w:val="Heading4"/>
        <w:numPr>
          <w:ilvl w:val="3"/>
          <w:numId w:val="1"/>
        </w:numPr>
        <w:rPr/>
      </w:pPr>
      <w:bookmarkStart w:id="307" w:name="__RefHeading___Toc14338521_2142443653"/>
      <w:bookmarkStart w:id="308" w:name="_Toc113"/>
      <w:bookmarkEnd w:id="307"/>
      <w:r>
        <w:rPr>
          <w:rtl w:val="true"/>
        </w:rPr>
        <w:t>تبصرة</w:t>
      </w:r>
      <w:r>
        <w:rPr>
          <w:rtl w:val="true"/>
        </w:rPr>
        <w:t xml:space="preserve">: [ </w:t>
      </w:r>
      <w:r>
        <w:rPr>
          <w:rtl w:val="true"/>
        </w:rPr>
        <w:t xml:space="preserve">في النيّة </w:t>
      </w:r>
      <w:r>
        <w:rPr>
          <w:rtl w:val="true"/>
        </w:rPr>
        <w:t>]</w:t>
      </w:r>
      <w:bookmarkEnd w:id="308"/>
    </w:p>
    <w:p>
      <w:pPr>
        <w:pStyle w:val="Heading5"/>
        <w:numPr>
          <w:ilvl w:val="4"/>
          <w:numId w:val="1"/>
        </w:numPr>
        <w:rPr/>
      </w:pPr>
      <w:bookmarkStart w:id="309" w:name="__RefHeading___Toc14338523_2142443653"/>
      <w:bookmarkStart w:id="310" w:name="_Toc114"/>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من الأمور المعتبرة في التيمّم النيّة ، وقد تقدم الكلام فيها ، وأنّها ليست من أجزاء العمل ، وإنما هي من شرائط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 التيمّم غير رافع للحدث وإنما يبيح العبادة المشروطة به ، فلا يجوز أن ينوي به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رفعه الحدث مذهب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والمعزى إلى الشهيد في قواعده والشهيد الثاني في شرح الألفية كونه رافعا للحدث كالمائية غير أن الرفع فيها مطلق ، وفيه مقيد بعدم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جماعة من المتأخرين منهم الفاضل الجزائري محتجّين بأن الحدث يطلق على معنيين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الخارج أو </w:t>
      </w:r>
      <w:r>
        <w:rPr>
          <w:rStyle w:val="FootnoteAnchor"/>
          <w:rtl w:val="true"/>
        </w:rPr>
        <w:footnoteReference w:id="1190"/>
      </w:r>
      <w:r>
        <w:rPr>
          <w:rFonts w:ascii="Amiri" w:hAnsi="Amiri" w:eastAsia="Amiri" w:cs="Amiri"/>
          <w:color w:val="111111"/>
          <w:sz w:val="28"/>
          <w:sz w:val="28"/>
          <w:szCs w:val="28"/>
          <w:rtl w:val="true"/>
          <w:lang w:bidi="ar-SA"/>
        </w:rPr>
        <w:t>الحاصل الناقض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الحاصلة به المانعة من الدخول في الصلاة وغيرها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هو المقصود هنا ؛ إذ لا يعقل ارتفاع الأول بعد وقوعه ، والمعقول من رفع الحدث </w:t>
      </w:r>
    </w:p>
    <w:p>
      <w:pPr>
        <w:pStyle w:val="BookText"/>
        <w:rPr/>
      </w:pPr>
      <w:r>
        <w:rPr>
          <w:rFonts w:ascii="Amiri" w:hAnsi="Amiri" w:eastAsia="Amiri" w:cs="Amiri"/>
          <w:color w:val="111111"/>
          <w:sz w:val="28"/>
          <w:sz w:val="28"/>
          <w:szCs w:val="28"/>
          <w:rtl w:val="true"/>
          <w:lang w:bidi="ar-SA"/>
        </w:rPr>
        <w:t>بالمعنى الأول واستباحة الصلاة واحد ؛ إذ ليس استباحة الصلاة سوى رفع تلك الحالة المانعة التي هي معنى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يكون الفرق بينهما كون الرفع في الطهارة المائيّة مطلقا </w:t>
      </w:r>
      <w:r>
        <w:rPr>
          <w:rStyle w:val="FootnoteAnchor"/>
          <w:rtl w:val="true"/>
        </w:rPr>
        <w:footnoteReference w:id="1191"/>
      </w:r>
      <w:r>
        <w:rPr>
          <w:rFonts w:ascii="Amiri" w:hAnsi="Amiri" w:eastAsia="Amiri" w:cs="Amiri"/>
          <w:color w:val="111111"/>
          <w:sz w:val="28"/>
          <w:sz w:val="28"/>
          <w:szCs w:val="28"/>
          <w:rtl w:val="true"/>
          <w:lang w:bidi="ar-SA"/>
        </w:rPr>
        <w:t>وفيه مقيدا بوجدان الماء ، وهو لا يصلح فارقا بحيث يخرج النافي عن كونه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يجمع بين كلمات الأصحاب بذلك الحمل كلام المانعين على إرادة رفع الحدث على نحو المائية ، والتأمل في كلماتهم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الحالة الحادثة والصفة القائمة بالشخص ، والآخر ما يتبعه من الأحكام كالمنع من الصلاة ، وارتفاع التابع لا يدلّ على ارتفاع المتبوع ؛ لجواز الانفكاك بينهما ، فلا اتحاد بين المعنيين ولا ملازمة بينهما ؛ إذ غاية ما يقتضيه الدليل ارتفاع الأخير بسبب التيمّم دون الصفة الحاصلة ، وقضية الاستصحاب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تسبيب التيمّم لحالة يصح بها الدخول في الصلاة ، فيرتفع الحالة المانعة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يقع الشك في أن حالة الحدث هل تلك الحالة المانعة المرتفعة بالتيمم أو أنها صفة وجودية اخرى من شأنها المنع؟ فيمكن أن يجامعها حالة وجودية اخرى بها يستباح الصلاة ، ولا يكون المنع إذن من لوازمها ، بل من توابعها المتفرعة عليها لو لا عروض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حصوله بأحد الأسباب الباعثة على الحدث هو الأول ، فيدفع الزائد عليه بالأصل ، فلا ثبوت له ليحتاج إلى الرفع ، فليس الحدث إلا تلك الحالة المانعة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الطهارة هي الحالة المبيحة الرافعة لذلك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شك في كون المتيمم متطهرا ؛ إذ التيمّم أحد الطهارات الثلاث ، والطهارة ضدّ للحدث ، فلا بدّ من ارتفاعه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عموم التشبيه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أفاد مفاده كعموم المنزلة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بمنزلة الماء </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فيكون إذن طهورية التراب على حسب طهورية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 </w:t>
      </w:r>
      <w:r>
        <w:rPr>
          <w:rStyle w:val="FootnoteAnchor"/>
          <w:rtl w:val="true"/>
        </w:rPr>
        <w:footnoteReference w:id="1194"/>
      </w:r>
      <w:r>
        <w:rPr>
          <w:rFonts w:ascii="Amiri" w:hAnsi="Amiri" w:eastAsia="Amiri" w:cs="Amiri"/>
          <w:color w:val="111111"/>
          <w:sz w:val="28"/>
          <w:sz w:val="28"/>
          <w:szCs w:val="28"/>
          <w:rtl w:val="true"/>
          <w:lang w:bidi="ar-SA"/>
        </w:rPr>
        <w:t>الأول بأن من الظاهر دلالة انتقاض التيمّم بمجرد التمكن من الماء على بقاء الحالة الحدثية المقتضية للمنع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ولا يتوهم أحد كون حصول الماء بنفسه حدثا للمكلف وباعثا على حصول تلك النقيصة فيه ، فلا يعقل فيه إذن إلا أن يكون رافعا للإباحة الحاصلة بالتيمم ، فيعمل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الحدثيّة الباقية عمله من المنع وإلّا فلا مقتضى لعود تلك الحالة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ذلك على وجود ذلك الحدث بالمعنى المذكور ، فلا معنى لنفيه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المتيمم متطهرا ليس بالنسبة إلى المحدث بالمعنى المذكور ، بل بملاحظة من حصل له المنع حيث إن التيمّم رافع لذلك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هناك إطلاقين للمتطهر ، وكذا للمحدث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في كونه رافعا للحدث مطلقا كما هو المتبادر من رفع الحدث لا في رفعه بالمعنى المعبّر عنه بالحالة المانعة عن الصلاة فعلا ؛ لوقوع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الحدث عليه بعيد أيضا وإن كان إطلاق المتطهّر على رفعه مطابقا للمصطلح ؛ لعدم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يعرف أن ما دلّ على كون التراب بمنزلة الماء منزّل على إرادة رفع تلك الأثر ، أي المنع من الصلاة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جميع ذلك يظهر قوة القول المشهور ، وضعف ما اختاره الجماعة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إليه إطلاق الجنب في بعض الأخبار على المتيمم ، فيتفرّع إذن على ذلك عدم جواز قصد الرفع بالتيمم إن عنى به المعنى المذكور دون المعنى الآخر</w:t>
      </w:r>
      <w:r>
        <w:rPr>
          <w:rFonts w:eastAsia="Amiri" w:cs="Amiri" w:ascii="Amiri" w:hAnsi="Amiri"/>
          <w:color w:val="111111"/>
          <w:sz w:val="28"/>
          <w:szCs w:val="28"/>
          <w:rtl w:val="true"/>
          <w:lang w:bidi="ar-SA"/>
        </w:rPr>
        <w:t xml:space="preserve">. </w:t>
      </w:r>
      <w:bookmarkStart w:id="311" w:name="pg15839_360913"/>
    </w:p>
    <w:p>
      <w:pPr>
        <w:pStyle w:val="BookText"/>
        <w:rPr/>
      </w:pPr>
      <w:bookmarkEnd w:id="311"/>
      <w:r>
        <w:rPr>
          <w:rFonts w:ascii="Amiri" w:hAnsi="Amiri" w:eastAsia="Amiri" w:cs="Amiri"/>
          <w:color w:val="111111"/>
          <w:sz w:val="28"/>
          <w:sz w:val="28"/>
          <w:szCs w:val="28"/>
          <w:rtl w:val="true"/>
          <w:lang w:bidi="ar-SA"/>
        </w:rPr>
        <w:t>فإنه عبارة اخرى عن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قصد به ففي </w:t>
      </w:r>
      <w:r>
        <w:rPr>
          <w:rStyle w:val="FootnoteAnchor"/>
          <w:rtl w:val="true"/>
        </w:rPr>
        <w:footnoteReference w:id="1196"/>
      </w:r>
      <w:r>
        <w:rPr>
          <w:rFonts w:ascii="Amiri" w:hAnsi="Amiri" w:eastAsia="Amiri" w:cs="Amiri"/>
          <w:color w:val="111111"/>
          <w:sz w:val="28"/>
          <w:sz w:val="28"/>
          <w:szCs w:val="28"/>
          <w:rtl w:val="true"/>
          <w:lang w:bidi="ar-SA"/>
        </w:rPr>
        <w:t>صحة تيمّمه وجهان من أنه لا يشترط فيه شي‌ء من الأمرين كما هو الأظهر كما عرفت في باب الوضوء ، فلا مانع من تركه قصد الاستباحة ، مضافا إلى أن الاستباحة من لوازم قصد الرفع فكأنه قد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أنه بقصده الرافع يصير منتزعا ، فيكون ذلك سببا لحرمة فعله الباعثة على الفساد ، مضافا إلى أن الاستباحة الحاصلة بالتيمم غير 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بوجوب قصدها لا يتمّ البناء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التشريع في النية لا يوجب حرمة الفعل مع تعلق الأمر به في الشرع ، فلا يسري التحريم إلى الفعل ليقضي بالفساد ، وأن الاستباحة من اللوازم البيّنة للرفع ، فيمكن أن يقوم قصده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كلّا من الوجهين في التذكرة ولم يحكم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القول بعدم كونه رافعا لزوم التيمّم بدلا عن الغسل لو تيمم بدلا عنه ، ثم وقع حدث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تفرعه على ذلك تأمل يأتي الإشارة إليه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4338525_2142443653"/>
      <w:bookmarkStart w:id="313" w:name="_Toc115"/>
      <w:bookmarkEnd w:id="312"/>
      <w:r>
        <w:rPr>
          <w:rtl w:val="true"/>
        </w:rPr>
        <w:t xml:space="preserve">[ </w:t>
      </w:r>
      <w:r>
        <w:rPr>
          <w:rtl w:val="true"/>
        </w:rPr>
        <w:t xml:space="preserve">في قصد البدلية </w:t>
      </w:r>
      <w:r>
        <w:rPr>
          <w:rtl w:val="true"/>
        </w:rPr>
        <w:t>]</w:t>
      </w:r>
      <w:bookmarkEnd w:id="313"/>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نية التيمّم قصد البدلية عن الوضوء والغسل أو يكفي بقصد الاستباحة بل مطلق القربة؟ أقوال ، ثالثها وجوب ذلك مع القول باختلاف الكيفيتين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يحكى </w:t>
      </w:r>
      <w:r>
        <w:rPr>
          <w:rStyle w:val="FootnoteAnchor"/>
          <w:rtl w:val="true"/>
        </w:rPr>
        <w:footnoteReference w:id="1197"/>
      </w:r>
      <w:r>
        <w:rPr>
          <w:rFonts w:ascii="IRNazanin" w:hAnsi="IRNazanin" w:eastAsia="IRNazanin"/>
          <w:color w:val="111111"/>
          <w:sz w:val="28"/>
          <w:sz w:val="28"/>
          <w:szCs w:val="28"/>
          <w:rtl w:val="true"/>
          <w:lang w:bidi="fa-IR"/>
        </w:rPr>
        <w:t xml:space="preserve">عن الصدوق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عن جماعة من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عن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الحال أن الكلام هنا يقع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البدلية عن المائية مطلقا من غير ملاحظة خصوصية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تعيين كل من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ذلك مع وجوب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فالظاهر أنه لا دليل عليه أصلا ، ومجرد كون التيمّم بدلا عن التيمّم ورافعا بعد فرض عدم المكنة منها لا يقضي باعتبار قصد ذلك في تحققه وصحته ، ولا لحصول ماهيّته كما في سائر التكاليف المترتبة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فقد يستدل عليه بأن الواقع بدلا عن الوضوء مخالف في الحقيقة للواقع بدلا عن الغسل كالبدلين ، فلا بدّ من التعيين بالنية ليتميّز الفعل الواقع ؛ إذ لا يمكن ذلك دون قصده ولو بعنوان الإجمال كأن ينوي وقوعه بدلا عمّا في ذمّته مع نفيه في الواقع بناء على الاكتفاء به في التعيين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قضية اليقين بالشغل لتوقف اليقين بالفراغ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منع ؛ إذ اختلاف الفعلين في الحقيقة مما لا دليل عليه ، بل قضية إطلاق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 كونه حقيقة واحدة وإن تعذرت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التيمّم فعل وضع لإباحة الصلاة وغيرها من الغايات سواء كان الحدث المانع أكبر أو أصغر ، من دون أن يكون هناك اختلاف في حقيقته ليفتقر إلى التميّز بالنية ، فإذا قصد ذلك الفعل صحّ وإن لم يعيّن الفعل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يستشكل فيما إذا نوى إباحة الأصغر وهو غافل عن كونه محدثا بالأكبر أو بالعكس من حيث تعيين الإباحة ، نظير ما إذا نوى رفع حدث الواقع غيره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هنا الصحة أيضا ؛ لعدم اشتراط قصد الإباحة في صحة التيمّم أخذا بظاهر </w:t>
      </w:r>
    </w:p>
    <w:p>
      <w:pPr>
        <w:pStyle w:val="BookText"/>
        <w:rPr/>
      </w:pPr>
      <w:r>
        <w:rPr>
          <w:rFonts w:ascii="Amiri" w:hAnsi="Amiri" w:eastAsia="Amiri" w:cs="Amiri"/>
          <w:color w:val="111111"/>
          <w:sz w:val="28"/>
          <w:sz w:val="28"/>
          <w:szCs w:val="28"/>
          <w:rtl w:val="true"/>
          <w:lang w:bidi="ar-SA"/>
        </w:rPr>
        <w:t xml:space="preserve">الأدلة كما مرّ القول فيه في الوضوء ، فيكون فعله </w:t>
      </w:r>
      <w:r>
        <w:rPr>
          <w:rStyle w:val="FootnoteAnchor"/>
          <w:rtl w:val="true"/>
        </w:rPr>
        <w:footnoteReference w:id="1199"/>
      </w:r>
      <w:r>
        <w:rPr>
          <w:rFonts w:ascii="Amiri" w:hAnsi="Amiri" w:eastAsia="Amiri" w:cs="Amiri"/>
          <w:color w:val="111111"/>
          <w:sz w:val="28"/>
          <w:sz w:val="28"/>
          <w:szCs w:val="28"/>
          <w:rtl w:val="true"/>
          <w:lang w:bidi="ar-SA"/>
        </w:rPr>
        <w:t>جامعا لشرائط الصحة ، فيتفرع عليه إباحة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اخترناه من اتحاد نوع الفعل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باختلافهما في النوع لزم منه فساد العمل ؛ إذ المفروض كون المأتيّ به غير الواجب ، فلا يجزي عنه ، فيكون احتمال الصحة من فروع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لو </w:t>
      </w:r>
      <w:r>
        <w:rPr>
          <w:rStyle w:val="FootnoteAnchor"/>
          <w:rtl w:val="true"/>
        </w:rPr>
        <w:footnoteReference w:id="1200"/>
      </w:r>
      <w:r>
        <w:rPr>
          <w:rFonts w:ascii="Amiri" w:hAnsi="Amiri" w:eastAsia="Amiri" w:cs="Amiri"/>
          <w:color w:val="111111"/>
          <w:sz w:val="28"/>
          <w:sz w:val="28"/>
          <w:szCs w:val="28"/>
          <w:rtl w:val="true"/>
          <w:lang w:bidi="ar-SA"/>
        </w:rPr>
        <w:t>قلنا باختلاف الحقيقتين فالظاهر الاكتفاء بما يعين الفعل المبدل منه واقعا من دون لزوم خصوص نية البدليّة عن الوضوء أو الغسل كما إذا عيّنه بالاستباحة عن الحدث الأصغر أو الأكبر أو نوى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باتحاد الصورة في الصورتين ، وأمّا لو قلنا باختلافهما فالأظهر لزوم تعيين الفعل ؛ إذ اختلاف الكيفية ناظر إلى اختلاف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فلا أقل من الشك ، وهو يقضي بلزوم التعيين من جهة 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قوة القول بالتفصيل إلا أن الاحتياط في مراعاة تعيين البدلية ، بل تعيين خصوص الغسل في الواقع بدلا عنه عن كونه غسل جنابة أو مسّ ميّت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الجماعة من المتأخرين عدم اعتبار قصد التعيين مبنيّ </w:t>
      </w:r>
      <w:r>
        <w:rPr>
          <w:rStyle w:val="FootnoteAnchor"/>
          <w:rtl w:val="true"/>
        </w:rPr>
        <w:footnoteReference w:id="1201"/>
      </w:r>
      <w:r>
        <w:rPr>
          <w:rFonts w:ascii="Amiri" w:hAnsi="Amiri" w:eastAsia="Amiri" w:cs="Amiri"/>
          <w:color w:val="111111"/>
          <w:sz w:val="28"/>
          <w:sz w:val="28"/>
          <w:szCs w:val="28"/>
          <w:rtl w:val="true"/>
          <w:lang w:bidi="ar-SA"/>
        </w:rPr>
        <w:t>على عدم اختلاف الكيفيتين ، فلا ينافي إطلاقهم القول بما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قرّرنا الوجه في القولين الأخيرين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فلا تأمّل في لزوم تعيين كل من الجهتين ليتميّز الواقع بدلا عن أحد الأمرين عن الآخر ؛ إذ لو لا التعيين لم ينصرف الإطلاق إلى شي‌ء من القسمين ؛ لبطلان الترجيح بلا مرجّح ، وعدم اقتضاء الشي‌ء من النصوص انصرافه إلى أحدهما ، فيبقى </w:t>
      </w:r>
    </w:p>
    <w:p>
      <w:pPr>
        <w:pStyle w:val="BookText"/>
        <w:rPr/>
      </w:pPr>
      <w:r>
        <w:rPr>
          <w:rFonts w:ascii="Amiri" w:hAnsi="Amiri" w:eastAsia="Amiri" w:cs="Amiri"/>
          <w:color w:val="111111"/>
          <w:sz w:val="28"/>
          <w:sz w:val="28"/>
          <w:szCs w:val="28"/>
          <w:rtl w:val="true"/>
          <w:lang w:bidi="ar-SA"/>
        </w:rPr>
        <w:t>التكليفين المعلومين بهما على حالهما ، وذلك قاض بفساد الواقع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Style w:val="FootnoteAnchor"/>
          <w:rtl w:val="true"/>
        </w:rPr>
        <w:footnoteReference w:id="1202"/>
      </w:r>
      <w:r>
        <w:rPr>
          <w:rFonts w:ascii="Amiri" w:hAnsi="Amiri" w:eastAsia="Amiri" w:cs="Amiri"/>
          <w:color w:val="111111"/>
          <w:sz w:val="28"/>
          <w:sz w:val="28"/>
          <w:szCs w:val="28"/>
          <w:rtl w:val="true"/>
          <w:lang w:bidi="ar-SA"/>
        </w:rPr>
        <w:t>تعيين الفعل هنا على حسبما ذكرنا من غير حاجة إلى قصد خصوص البدلية</w:t>
      </w:r>
      <w:r>
        <w:rPr>
          <w:rFonts w:eastAsia="Amiri" w:cs="Amiri" w:ascii="Amiri" w:hAnsi="Amiri"/>
          <w:color w:val="111111"/>
          <w:sz w:val="28"/>
          <w:szCs w:val="28"/>
          <w:rtl w:val="true"/>
          <w:lang w:bidi="ar-SA"/>
        </w:rPr>
        <w:t xml:space="preserve">. </w:t>
      </w:r>
      <w:bookmarkStart w:id="314" w:name="pg15839_360917"/>
    </w:p>
    <w:p>
      <w:pPr>
        <w:pStyle w:val="Heading4"/>
        <w:numPr>
          <w:ilvl w:val="3"/>
          <w:numId w:val="1"/>
        </w:numPr>
        <w:rPr/>
      </w:pPr>
      <w:bookmarkStart w:id="315" w:name="__RefHeading___Toc14338527_2142443653"/>
      <w:bookmarkStart w:id="316" w:name="_Toc116"/>
      <w:bookmarkEnd w:id="314"/>
      <w:bookmarkEnd w:id="315"/>
      <w:r>
        <w:rPr>
          <w:rtl w:val="true"/>
        </w:rPr>
        <w:t>تبصرة</w:t>
      </w:r>
      <w:r>
        <w:rPr>
          <w:rtl w:val="true"/>
        </w:rPr>
        <w:t xml:space="preserve">: [ </w:t>
      </w:r>
      <w:r>
        <w:rPr>
          <w:rtl w:val="true"/>
        </w:rPr>
        <w:t xml:space="preserve">في ضرب اليدين على التراب </w:t>
      </w:r>
      <w:r>
        <w:rPr>
          <w:rtl w:val="true"/>
        </w:rPr>
        <w:t>]</w:t>
      </w:r>
      <w:bookmarkEnd w:id="316"/>
    </w:p>
    <w:p>
      <w:pPr>
        <w:pStyle w:val="BookText"/>
        <w:rPr/>
      </w:pPr>
      <w:r>
        <w:rPr>
          <w:rFonts w:ascii="Amiri" w:hAnsi="Amiri" w:eastAsia="Amiri" w:cs="Amiri"/>
          <w:color w:val="111111"/>
          <w:sz w:val="28"/>
          <w:sz w:val="28"/>
          <w:szCs w:val="28"/>
          <w:rtl w:val="true"/>
          <w:lang w:bidi="ar-SA"/>
        </w:rPr>
        <w:t xml:space="preserve">لا خلاف في وجوب ضرب اليدين في التيمّم ، فلو وضع التراب على يديه لم يكتف به إجماعا ، وكذا لو استقبل الواجب </w:t>
      </w:r>
      <w:r>
        <w:rPr>
          <w:rStyle w:val="FootnoteAnchor"/>
          <w:rtl w:val="true"/>
        </w:rPr>
        <w:footnoteReference w:id="1203"/>
      </w:r>
      <w:r>
        <w:rPr>
          <w:rFonts w:ascii="Amiri" w:hAnsi="Amiri" w:eastAsia="Amiri" w:cs="Amiri"/>
          <w:color w:val="111111"/>
          <w:sz w:val="28"/>
          <w:sz w:val="28"/>
          <w:szCs w:val="28"/>
          <w:rtl w:val="true"/>
          <w:lang w:bidi="ar-SA"/>
        </w:rPr>
        <w:t>حتى لصق صعيدها بيديه ، وهل هو من أجزائه أو مشروطه؟ ظاهر المشهور بين الأصحاب هو الأول ، وبه نصّ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النهاية اختيار الثاني ، فيكون بمنزلة الاغتراف في الوضوء إلا أن الاغتراف ليس بواجب بخصوصه ، وهو واجب خارج عن الفعل تتوقف عليه الصحة ؛ إذ الواجب هو خصوص المسحات الواقعة عقيب الضرب ، فلا يرد عليه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عليه القول بصحة التيمّم لو حصل الغبار على يديه من دون الضرب مع الإطباق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الأول ، ويدلّ عليه ظواهر الأخبار الواردة في بيان كيفية التيمّم ؛ لاشتمالها على ضرب اليدين وما بمعناه ، وظاهر ذلك أنه من جملة الأفعال ، ففي الموثق الحاكي لفعل عمّار بعد نقل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يصنع الحمار ، إنما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 فضرب بيديه على الأرض ثم ضرب إحداهما على الأخرى ثم مسح بجبينه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بعد حكاية فعل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فوضع يده على المسح ثم رفعها فمسح وجهه </w:t>
      </w:r>
      <w:r>
        <w:rPr>
          <w:rStyle w:val="FootnoteAnchor"/>
          <w:rtl w:val="true"/>
        </w:rPr>
        <w:footnoteReference w:id="120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اخرى ، عن الصادق عليه‌السلام أنه وصف التيمّم ، فضرب بيديه على الأرض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رفعهما فنفضهما ثمّ مسح </w:t>
      </w:r>
      <w:r>
        <w:rPr>
          <w:rFonts w:eastAsia="Amiri" w:cs="Amiri" w:ascii="Amiri" w:hAnsi="Amiri"/>
          <w:color w:val="111111"/>
          <w:sz w:val="28"/>
          <w:szCs w:val="28"/>
          <w:rtl w:val="true"/>
          <w:lang w:bidi="ar-SA"/>
        </w:rPr>
        <w:t xml:space="preserve">.. » </w:t>
      </w:r>
      <w:r>
        <w:rPr>
          <w:rStyle w:val="FootnoteAnchor"/>
          <w:rtl w:val="true"/>
        </w:rPr>
        <w:footnoteReference w:id="120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زرارة ، عن الباقر عليه‌السلام في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الأرض ثمّ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تنفضهما وتمسح </w:t>
      </w:r>
      <w:r>
        <w:rPr>
          <w:rFonts w:eastAsia="IRNazanin" w:cs="IRNazanin"/>
          <w:color w:val="111111"/>
          <w:sz w:val="28"/>
          <w:szCs w:val="28"/>
          <w:rtl w:val="true"/>
          <w:lang w:bidi="fa-IR"/>
        </w:rPr>
        <w:t xml:space="preserve">»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سياق هذه الأخبار وما بمعناها ظاهر في كونه من جملة الأفعال حيث إنها وردت في مقام بيان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ما ورد في بيان عدد الضربات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ضرب واحد للوضوء والغسل من الجنابة ، تضرب بيديك مرتين ، ثم تنفضهما نفضة للوجه ومرة لليدين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التيمّم ضربة للوجه وضربة للكفين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 الحمل كونه من الأفعال ، بل الظاهر أن اسم التيمّم مأخوذ منه ، فإن المراد بقصد الأرض هو الضرب عليها كما هو ظاهر هذين الخبرين ، مضافا إلى أنه مع الغضّ عن ظواهر هذه الأخبار لا دليل على كونه خارجا عن حقيقة التيمّم ، فيدور الأمر بين كونه جزء أو </w:t>
      </w:r>
      <w:r>
        <w:rPr>
          <w:rStyle w:val="FootnoteAnchor"/>
          <w:rtl w:val="true"/>
        </w:rPr>
        <w:footnoteReference w:id="1213"/>
      </w:r>
      <w:r>
        <w:rPr>
          <w:rFonts w:ascii="Amiri" w:hAnsi="Amiri" w:eastAsia="Amiri" w:cs="Amiri"/>
          <w:color w:val="111111"/>
          <w:sz w:val="28"/>
          <w:sz w:val="28"/>
          <w:szCs w:val="28"/>
          <w:rtl w:val="true"/>
          <w:lang w:bidi="ar-SA"/>
        </w:rPr>
        <w:t>شرطا ، ولا يميّز ذلك إلا في لزوم تقديم النية وعدم جواز تخلل الحدث ، وقضية الأصل اعتبار الأمرين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شكّ في وجوب الضرب على الأرض ، والأصل اعتبار النية في كل الواجبات ، ويشير إليه هنا بالخصوص إجماعهم على عدم جواز التيمّم بالمغصوب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النية فيه منفردا ممّا لا قائل به ، فلا بدّ من تقديم نية التيمّم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 العلامة بظاهر الآية الشريفة ؛ لدلالتها على أن أول أفعال التيمّم هو مسح الوجه ؛ لعطفها بالفاء التعقيبيّة على قصد الصعيد من دون توسط الضرب على الأرض ، فيكون خارجا عن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دالّ عليه ، فلا حاجة إلى ذكره ثانيا ؛ إذ ليس المراد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الصعيد ، بل القصد بالنحو الخاص أعني الضرب عليه ؛ إذ قد يكون التوجيه </w:t>
      </w:r>
      <w:r>
        <w:rPr>
          <w:rStyle w:val="FootnoteAnchor"/>
          <w:rtl w:val="true"/>
        </w:rPr>
        <w:footnoteReference w:id="1215"/>
      </w:r>
      <w:r>
        <w:rPr>
          <w:rFonts w:ascii="Amiri" w:hAnsi="Amiri" w:eastAsia="Amiri" w:cs="Amiri"/>
          <w:color w:val="111111"/>
          <w:sz w:val="28"/>
          <w:sz w:val="28"/>
          <w:szCs w:val="28"/>
          <w:rtl w:val="true"/>
          <w:lang w:bidi="ar-SA"/>
        </w:rPr>
        <w:t>إليه حاصلا قبل قصد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إليه ظاهر الخبرين المتقدمين بل إنهما مبيّنان لمعنى التيمّم في الآية بأنه الضرب دون مطلق التوجيه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في حمله على التيمّم ، وإلا فلا يتّجه حمل الجزء على الكلّ ، فيكون الآية أيضا من جملة الأدلة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ويورد </w:t>
      </w:r>
      <w:r>
        <w:rPr>
          <w:rStyle w:val="FootnoteAnchor"/>
          <w:rtl w:val="true"/>
        </w:rPr>
        <w:footnoteReference w:id="1217"/>
      </w:r>
      <w:r>
        <w:rPr>
          <w:rFonts w:ascii="Amiri" w:hAnsi="Amiri" w:eastAsia="Amiri" w:cs="Amiri"/>
          <w:color w:val="111111"/>
          <w:sz w:val="28"/>
          <w:sz w:val="28"/>
          <w:szCs w:val="28"/>
          <w:rtl w:val="true"/>
          <w:lang w:bidi="ar-SA"/>
        </w:rPr>
        <w:t>على العلامة جواز تخلل الحدث بين الضرب والمسحات كما يجوز ذلك في الوضوء بين الاغتراف وغسل الوجه ، مع أنّه مما لا يجوز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هو قائل بجواز ذلك ، وهو من فروع قوله بالخروج</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دفعه بأصالة الاحتياط ؛ إذ لا دليل على جوازه </w:t>
      </w:r>
      <w:r>
        <w:rPr>
          <w:rStyle w:val="FootnoteAnchor"/>
          <w:rtl w:val="true"/>
        </w:rPr>
        <w:footnoteReference w:id="1218"/>
      </w:r>
      <w:r>
        <w:rPr>
          <w:rFonts w:ascii="Amiri" w:hAnsi="Amiri" w:eastAsia="Amiri" w:cs="Amiri"/>
          <w:color w:val="111111"/>
          <w:sz w:val="28"/>
          <w:sz w:val="28"/>
          <w:szCs w:val="28"/>
          <w:rtl w:val="true"/>
          <w:lang w:bidi="ar-SA"/>
        </w:rPr>
        <w:t>سوى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يلزم </w:t>
      </w:r>
      <w:r>
        <w:rPr>
          <w:rStyle w:val="FootnoteAnchor"/>
          <w:rtl w:val="true"/>
        </w:rPr>
        <w:footnoteReference w:id="1219"/>
      </w:r>
      <w:r>
        <w:rPr>
          <w:rFonts w:ascii="Amiri" w:hAnsi="Amiri" w:eastAsia="Amiri" w:cs="Amiri"/>
          <w:color w:val="111111"/>
          <w:sz w:val="28"/>
          <w:sz w:val="28"/>
          <w:szCs w:val="28"/>
          <w:rtl w:val="true"/>
          <w:lang w:bidi="ar-SA"/>
        </w:rPr>
        <w:t>على القول بخروجه اشتراط عدم تخلل الحدث بينهما أيضا إلا أنه لا يظهر قائل به</w:t>
      </w:r>
      <w:r>
        <w:rPr>
          <w:rFonts w:eastAsia="Amiri" w:cs="Amiri" w:ascii="Amiri" w:hAnsi="Amiri"/>
          <w:color w:val="111111"/>
          <w:sz w:val="28"/>
          <w:szCs w:val="28"/>
          <w:rtl w:val="true"/>
          <w:lang w:bidi="ar-SA"/>
        </w:rPr>
        <w:t xml:space="preserve">. </w:t>
      </w:r>
      <w:bookmarkStart w:id="317" w:name="pg15839_360920"/>
    </w:p>
    <w:p>
      <w:pPr>
        <w:pStyle w:val="Heading4"/>
        <w:numPr>
          <w:ilvl w:val="3"/>
          <w:numId w:val="1"/>
        </w:numPr>
        <w:rPr/>
      </w:pPr>
      <w:bookmarkStart w:id="318" w:name="__RefHeading___Toc14338529_2142443653"/>
      <w:bookmarkStart w:id="319" w:name="_Toc117"/>
      <w:bookmarkEnd w:id="317"/>
      <w:bookmarkEnd w:id="318"/>
      <w:r>
        <w:rPr>
          <w:rtl w:val="true"/>
        </w:rPr>
        <w:t>تبصرة</w:t>
      </w:r>
      <w:r>
        <w:rPr>
          <w:rtl w:val="true"/>
        </w:rPr>
        <w:t xml:space="preserve">: [ </w:t>
      </w:r>
      <w:r>
        <w:rPr>
          <w:rtl w:val="true"/>
        </w:rPr>
        <w:t xml:space="preserve">في الضرب على الأرض </w:t>
      </w:r>
      <w:r>
        <w:rPr>
          <w:rtl w:val="true"/>
        </w:rPr>
        <w:t>]</w:t>
      </w:r>
      <w:bookmarkEnd w:id="319"/>
    </w:p>
    <w:p>
      <w:pPr>
        <w:pStyle w:val="BookText"/>
        <w:rPr/>
      </w:pPr>
      <w:r>
        <w:rPr>
          <w:rFonts w:ascii="Amiri" w:hAnsi="Amiri" w:eastAsia="Amiri" w:cs="Amiri"/>
          <w:color w:val="111111"/>
          <w:sz w:val="28"/>
          <w:sz w:val="28"/>
          <w:szCs w:val="28"/>
          <w:rtl w:val="true"/>
          <w:lang w:bidi="ar-SA"/>
        </w:rPr>
        <w:t xml:space="preserve">يعتبر في الضرب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وضعه اليدين على الأرض باعتماد بحيث يصدق معه مسمّى الضرب ؛ لورود الأمر به في عدّة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فعله </w:t>
      </w:r>
      <w:r>
        <w:rPr>
          <w:rStyle w:val="FootnoteAnchor"/>
          <w:rtl w:val="true"/>
        </w:rPr>
        <w:footnoteReference w:id="1220"/>
      </w:r>
      <w:r>
        <w:rPr>
          <w:rFonts w:ascii="Amiri" w:hAnsi="Amiri" w:eastAsia="Amiri" w:cs="Amiri"/>
          <w:color w:val="111111"/>
          <w:sz w:val="28"/>
          <w:sz w:val="28"/>
          <w:szCs w:val="28"/>
          <w:rtl w:val="true"/>
          <w:lang w:bidi="ar-SA"/>
        </w:rPr>
        <w:t>في جملة من الأخبار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معظم الفرقة ؛ للتعبير بلفظ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والمحقق الكركي القول بكفاية الوضع ؛ استنادا إلى أن الغرض قصد الصعيد ، وهو حاصل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تفسير التيمّم </w:t>
      </w:r>
      <w:r>
        <w:rPr>
          <w:rStyle w:val="FootnoteAnchor"/>
          <w:rtl w:val="true"/>
        </w:rPr>
        <w:footnoteReference w:id="1221"/>
      </w:r>
      <w:r>
        <w:rPr>
          <w:rFonts w:ascii="Amiri" w:hAnsi="Amiri" w:eastAsia="Amiri" w:cs="Amiri"/>
          <w:color w:val="111111"/>
          <w:sz w:val="28"/>
          <w:sz w:val="28"/>
          <w:szCs w:val="28"/>
          <w:rtl w:val="true"/>
          <w:lang w:bidi="ar-SA"/>
        </w:rPr>
        <w:t>ذكر الوضع في عدة من الأخبار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أن إطلاق الآية يدلّ على ذلك ؛ لما عرفت من الدليل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تفسير التيمّم في الخبرين الناصّين بالضرب ، فكأنّه إشارة إلى بيان معنى الآية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البناء على إطلاق الآية مشكل للعلم بعدم إرادة قصد المطلق ، فهو أشبه بالمجمل من المطلق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أن حكاية الأفعال لا عموم فيها والوضع </w:t>
      </w:r>
      <w:r>
        <w:rPr>
          <w:rStyle w:val="FootnoteAnchor"/>
          <w:rtl w:val="true"/>
        </w:rPr>
        <w:footnoteReference w:id="1222"/>
      </w:r>
      <w:r>
        <w:rPr>
          <w:rFonts w:ascii="Amiri" w:hAnsi="Amiri" w:eastAsia="Amiri" w:cs="Amiri"/>
          <w:color w:val="111111"/>
          <w:sz w:val="28"/>
          <w:sz w:val="28"/>
          <w:szCs w:val="28"/>
          <w:rtl w:val="true"/>
          <w:lang w:bidi="ar-SA"/>
        </w:rPr>
        <w:t>إن لم يكن أعمّ مطلقا من الضرب فلا أقل من العموم من وجه ، وهو كاف في عدم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الضرب بباطن الكفين ، والظاهر الإجماع عليه ؛ إذ هو المعهود من صاحب الشريعة ، والذي جرت عليه الطريقة المستمرة المأخوذة من </w:t>
      </w:r>
      <w:r>
        <w:rPr>
          <w:rStyle w:val="FootnoteAnchor"/>
          <w:rtl w:val="true"/>
        </w:rPr>
        <w:footnoteReference w:id="1223"/>
      </w:r>
      <w:r>
        <w:rPr>
          <w:rFonts w:ascii="Amiri" w:hAnsi="Amiri" w:eastAsia="Amiri" w:cs="Amiri"/>
          <w:color w:val="111111"/>
          <w:sz w:val="28"/>
          <w:sz w:val="28"/>
          <w:szCs w:val="28"/>
          <w:rtl w:val="true"/>
          <w:lang w:bidi="ar-SA"/>
        </w:rPr>
        <w:t>أرباب العصمة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ينصرف إطلاقات الأخبار المذكورة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ضربهما على الأرض دفعة عرفية ، فلا يجوز ضرب أحدهما مرة والأخرى أخرى </w:t>
      </w:r>
      <w:r>
        <w:rPr>
          <w:rStyle w:val="FootnoteAnchor"/>
          <w:rtl w:val="true"/>
        </w:rPr>
        <w:footnoteReference w:id="1224"/>
      </w:r>
      <w:r>
        <w:rPr>
          <w:rFonts w:ascii="Amiri" w:hAnsi="Amiri" w:eastAsia="Amiri" w:cs="Amiri"/>
          <w:color w:val="111111"/>
          <w:sz w:val="28"/>
          <w:sz w:val="28"/>
          <w:szCs w:val="28"/>
          <w:rtl w:val="true"/>
          <w:lang w:bidi="ar-SA"/>
        </w:rPr>
        <w:t xml:space="preserve">؛ إذ هو الظاهر من عدة أخبار الباب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تضرب بكفيك على الأرض مرتين ثم تنفضهما وتمسح بهما وجهك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بيديك مرتين ثم تنفضهما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بكفيك الأرض ثم تنفضهما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ورد على </w:t>
      </w:r>
      <w:r>
        <w:rPr>
          <w:rStyle w:val="FootnoteAnchor"/>
          <w:rtl w:val="true"/>
        </w:rPr>
        <w:footnoteReference w:id="1228"/>
      </w:r>
      <w:r>
        <w:rPr>
          <w:rFonts w:ascii="Amiri" w:hAnsi="Amiri" w:eastAsia="Amiri" w:cs="Amiri"/>
          <w:color w:val="111111"/>
          <w:sz w:val="28"/>
          <w:sz w:val="28"/>
          <w:szCs w:val="28"/>
          <w:rtl w:val="true"/>
          <w:lang w:bidi="ar-SA"/>
        </w:rPr>
        <w:t>حكاية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أن يكون </w:t>
      </w:r>
      <w:r>
        <w:rPr>
          <w:rStyle w:val="FootnoteAnchor"/>
          <w:rtl w:val="true"/>
        </w:rPr>
        <w:footnoteReference w:id="1229"/>
      </w:r>
      <w:r>
        <w:rPr>
          <w:rFonts w:ascii="Amiri" w:hAnsi="Amiri" w:eastAsia="Amiri" w:cs="Amiri"/>
          <w:color w:val="111111"/>
          <w:sz w:val="28"/>
          <w:sz w:val="28"/>
          <w:szCs w:val="28"/>
          <w:rtl w:val="true"/>
          <w:lang w:bidi="ar-SA"/>
        </w:rPr>
        <w:t>اليدان متقاربتين أو يكتفي بضربهما في آن واحد وإن كانتا متباعدتين؟ فقضية الإطلاقات جواز ذلك إلا أنه خلاف المعهود من الطريقة ، بل خلاف الظاهر من الأفعال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اليقين بالفراغ مراعاة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جماعة منهم بوضع اليدين معا ، وهو ظاهر في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حائل بين باطن اليد والأرض ؛ إذ قضية الأخبار حصول الملاصقة بين اليد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المفاتيح حكاية الإجماع عليه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عموم المنزلة المستفادة من عدة من الأخبار ، ولا فرق بين أن يكون المانع في تمام العضو أو في بعضه ، ولا بين أن يكون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الضرب أو يكتفى بالكشف عنه بعده أو </w:t>
      </w:r>
    </w:p>
    <w:p>
      <w:pPr>
        <w:pStyle w:val="BookText"/>
        <w:rPr/>
      </w:pPr>
      <w:r>
        <w:rPr>
          <w:rFonts w:ascii="Amiri" w:hAnsi="Amiri" w:eastAsia="Amiri" w:cs="Amiri"/>
          <w:color w:val="111111"/>
          <w:sz w:val="28"/>
          <w:sz w:val="28"/>
          <w:szCs w:val="28"/>
          <w:rtl w:val="true"/>
          <w:lang w:bidi="ar-SA"/>
        </w:rPr>
        <w:t xml:space="preserve">بتحليله تحت الأرض أو لا بدّ من رفع المانع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مما يصحّ التيمّم به كالتراب أو من غيره لعدم صدق الضرب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رفع المانع قبله؟ وجهان ، أظهرهما الأخير إلا أن يكون كشفه عن المحل غير متراخ عن الضرب بحيث يصدق معه ، الضرب بتمام </w:t>
      </w:r>
      <w:r>
        <w:rPr>
          <w:rStyle w:val="FootnoteAnchor"/>
          <w:rtl w:val="true"/>
        </w:rPr>
        <w:footnoteReference w:id="1231"/>
      </w:r>
      <w:r>
        <w:rPr>
          <w:rFonts w:ascii="Amiri" w:hAnsi="Amiri" w:eastAsia="Amiri" w:cs="Amiri"/>
          <w:color w:val="111111"/>
          <w:sz w:val="28"/>
          <w:sz w:val="28"/>
          <w:szCs w:val="28"/>
          <w:rtl w:val="true"/>
          <w:lang w:bidi="ar-SA"/>
        </w:rPr>
        <w:t>باطن الكف دفعة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ايصال جميع أجزاء باطن الكف إلى الأرض بحيث يستوعب الأجزاء المنخفضة منها كالتخاطيف الحاصلة في الكف في وجه قويّ ؛ أخذا بظاهر الإطلاقات وإن استيعاب ذلك معتبر في غير التراب الناعم ، وتعيّن </w:t>
      </w:r>
      <w:r>
        <w:rPr>
          <w:rStyle w:val="FootnoteAnchor"/>
          <w:rtl w:val="true"/>
        </w:rPr>
        <w:footnoteReference w:id="1232"/>
      </w:r>
      <w:r>
        <w:rPr>
          <w:rFonts w:ascii="Amiri" w:hAnsi="Amiri" w:eastAsia="Amiri" w:cs="Amiri"/>
          <w:color w:val="111111"/>
          <w:sz w:val="28"/>
          <w:sz w:val="28"/>
          <w:szCs w:val="28"/>
          <w:rtl w:val="true"/>
          <w:lang w:bidi="ar-SA"/>
        </w:rPr>
        <w:t>استعماله في التيمّم مخالف لظاهر إطلاقات الروايات وكلمات الأصحاب ، بل ظاهر تجويزهم التيمّم بالحجر ونحوه قد يفيد عدم وجوب إيصال المنخفض من الراحة ؛ لعدم وصوله إليه في الغالب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مراعاة ذلك ، ولو كان في المواضع الغير الواصلة إلى الأرض فيها حاجب عن الوصول ، فإن كان التراب بحيث يصل إلى المحل لو لا ذلك لنعومة ونحوها قوي المنع ، وإلّا ففيه وجهان</w:t>
      </w:r>
      <w:r>
        <w:rPr>
          <w:rFonts w:eastAsia="Amiri" w:cs="Amiri" w:ascii="Amiri" w:hAnsi="Amiri"/>
          <w:color w:val="111111"/>
          <w:sz w:val="28"/>
          <w:szCs w:val="28"/>
          <w:rtl w:val="true"/>
          <w:lang w:bidi="ar-SA"/>
        </w:rPr>
        <w:t xml:space="preserve">. </w:t>
      </w:r>
      <w:bookmarkStart w:id="320" w:name="pg15839_360923"/>
    </w:p>
    <w:p>
      <w:pPr>
        <w:pStyle w:val="Heading4"/>
        <w:numPr>
          <w:ilvl w:val="3"/>
          <w:numId w:val="1"/>
        </w:numPr>
        <w:rPr/>
      </w:pPr>
      <w:bookmarkStart w:id="321" w:name="__RefHeading___Toc14338531_2142443653"/>
      <w:bookmarkStart w:id="322" w:name="_Toc118"/>
      <w:bookmarkEnd w:id="320"/>
      <w:bookmarkEnd w:id="321"/>
      <w:r>
        <w:rPr>
          <w:rtl w:val="true"/>
        </w:rPr>
        <w:t>تبصرة</w:t>
      </w:r>
      <w:r>
        <w:rPr>
          <w:rtl w:val="true"/>
        </w:rPr>
        <w:t xml:space="preserve">: [ </w:t>
      </w:r>
      <w:r>
        <w:rPr>
          <w:rtl w:val="true"/>
        </w:rPr>
        <w:t xml:space="preserve">في علوق المسح </w:t>
      </w:r>
      <w:r>
        <w:rPr>
          <w:rtl w:val="true"/>
        </w:rPr>
        <w:t>]</w:t>
      </w:r>
      <w:bookmarkEnd w:id="322"/>
    </w:p>
    <w:p>
      <w:pPr>
        <w:pStyle w:val="BookText"/>
        <w:rPr/>
      </w:pPr>
      <w:r>
        <w:rPr>
          <w:rFonts w:ascii="Amiri" w:hAnsi="Amiri" w:eastAsia="Amiri" w:cs="Amiri"/>
          <w:color w:val="111111"/>
          <w:sz w:val="28"/>
          <w:sz w:val="28"/>
          <w:szCs w:val="28"/>
          <w:rtl w:val="true"/>
          <w:lang w:bidi="ar-SA"/>
        </w:rPr>
        <w:t xml:space="preserve">في اشتراط بقاء العلوق للمسح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المعظم عدمه حيث أطلقوا بيانه من دون ذكر لاشتراطه سيّما من ذهب منهم إلى كون الصعيد مطلقا وجه الأرض كما هو المشهور ، خصوصا مع التصريح بجوازه على الحجر الخالي عن الغبار ، بل هو صريح في عدم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جماعة منهم العلامة </w:t>
      </w:r>
      <w:r>
        <w:rPr>
          <w:rStyle w:val="FootnoteAnchor"/>
          <w:rtl w:val="true"/>
        </w:rPr>
        <w:footnoteReference w:id="1233"/>
      </w:r>
      <w:r>
        <w:rPr>
          <w:rFonts w:ascii="Amiri" w:hAnsi="Amiri" w:eastAsia="Amiri" w:cs="Amiri"/>
          <w:color w:val="111111"/>
          <w:sz w:val="28"/>
          <w:sz w:val="28"/>
          <w:szCs w:val="28"/>
          <w:rtl w:val="true"/>
          <w:lang w:bidi="ar-SA"/>
        </w:rPr>
        <w:t xml:space="preserve">والشهيد </w:t>
      </w:r>
      <w:r>
        <w:rPr>
          <w:rStyle w:val="FootnoteAnchor"/>
          <w:rtl w:val="true"/>
        </w:rPr>
        <w:footnoteReference w:id="1234"/>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235"/>
      </w:r>
      <w:r>
        <w:rPr>
          <w:rFonts w:ascii="Amiri" w:hAnsi="Amiri" w:eastAsia="Amiri" w:cs="Amiri"/>
          <w:color w:val="111111"/>
          <w:sz w:val="28"/>
          <w:sz w:val="28"/>
          <w:szCs w:val="28"/>
          <w:rtl w:val="true"/>
          <w:lang w:bidi="ar-SA"/>
        </w:rPr>
        <w:t xml:space="preserve">من غير إشارة إلى خلاف فيه إلا عن الإسكافي </w:t>
      </w:r>
      <w:r>
        <w:rPr>
          <w:rStyle w:val="FootnoteAnchor"/>
          <w:rtl w:val="true"/>
        </w:rPr>
        <w:footnoteReference w:id="1236"/>
      </w:r>
      <w:r>
        <w:rPr>
          <w:rFonts w:ascii="Amiri" w:hAnsi="Amiri" w:eastAsia="Amiri" w:cs="Amiri"/>
          <w:color w:val="111111"/>
          <w:sz w:val="28"/>
          <w:sz w:val="28"/>
          <w:szCs w:val="28"/>
          <w:rtl w:val="true"/>
          <w:lang w:bidi="ar-SA"/>
        </w:rPr>
        <w:t>حيث ذهب إلى وجوب المسح بالغبار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اعتبار وجود الغبار في جميع الأجزاء الماسحة بالنسبة إلى جميع المسحات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المتأخرين إلى اعتبار العلوق في الجملة ، ومال إليه </w:t>
      </w:r>
      <w:r>
        <w:rPr>
          <w:rStyle w:val="FootnoteAnchor"/>
          <w:rtl w:val="true"/>
        </w:rPr>
        <w:footnoteReference w:id="1237"/>
      </w:r>
      <w:r>
        <w:rPr>
          <w:rFonts w:ascii="Amiri" w:hAnsi="Amiri" w:eastAsia="Amiri" w:cs="Amiri"/>
          <w:color w:val="111111"/>
          <w:sz w:val="28"/>
          <w:sz w:val="28"/>
          <w:szCs w:val="28"/>
          <w:rtl w:val="true"/>
          <w:lang w:bidi="ar-SA"/>
        </w:rPr>
        <w:t xml:space="preserve">آخرون كشيخنا البهائي </w:t>
      </w:r>
      <w:r>
        <w:rPr>
          <w:rStyle w:val="FootnoteAnchor"/>
          <w:rtl w:val="true"/>
        </w:rPr>
        <w:footnoteReference w:id="1238"/>
      </w:r>
      <w:r>
        <w:rPr>
          <w:rFonts w:ascii="Amiri" w:hAnsi="Amiri" w:eastAsia="Amiri" w:cs="Amiri"/>
          <w:color w:val="111111"/>
          <w:sz w:val="28"/>
          <w:sz w:val="28"/>
          <w:szCs w:val="28"/>
          <w:rtl w:val="true"/>
          <w:lang w:bidi="ar-SA"/>
        </w:rPr>
        <w:t xml:space="preserve">والعلامة المجلسي </w:t>
      </w:r>
      <w:r>
        <w:rPr>
          <w:rStyle w:val="FootnoteAnchor"/>
          <w:rtl w:val="true"/>
        </w:rPr>
        <w:footnoteReference w:id="123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عدم الاشتراط الأصل وإطلاق الأخبار المبيّنة لحقيقة التيمّم </w:t>
      </w:r>
      <w:r>
        <w:rPr>
          <w:rStyle w:val="FootnoteAnchor"/>
          <w:rtl w:val="true"/>
        </w:rPr>
        <w:footnoteReference w:id="1240"/>
      </w:r>
      <w:r>
        <w:rPr>
          <w:rFonts w:ascii="Amiri" w:hAnsi="Amiri" w:eastAsia="Amiri" w:cs="Amiri"/>
          <w:color w:val="111111"/>
          <w:sz w:val="28"/>
          <w:sz w:val="28"/>
          <w:szCs w:val="28"/>
          <w:rtl w:val="true"/>
          <w:lang w:bidi="ar-SA"/>
        </w:rPr>
        <w:t xml:space="preserve">القولية والفعلية ، واستحباب النفض المعلوم بالنصّ والإجماع ، وما دلّ على أن الصعيد وجه الأرض الشامل لنحو الحجر الصلب ، وما دلّ على الاكتفاء بالضربة الواحدة للوجه واليدين ؛ إذ لا </w:t>
      </w:r>
    </w:p>
    <w:p>
      <w:pPr>
        <w:pStyle w:val="BookText"/>
        <w:rPr/>
      </w:pPr>
      <w:r>
        <w:rPr>
          <w:rFonts w:ascii="Amiri" w:hAnsi="Amiri" w:eastAsia="Amiri" w:cs="Amiri"/>
          <w:color w:val="111111"/>
          <w:sz w:val="28"/>
          <w:sz w:val="28"/>
          <w:szCs w:val="28"/>
          <w:rtl w:val="true"/>
          <w:lang w:bidi="ar-SA"/>
        </w:rPr>
        <w:t>يبقى شي‌ء من العلوق لأجل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الأول بأن الأصل في العبادات على العكس ؛ لوجوب الأخذ بيقين البراءة بعد تيقّن الشغل ، والإطلاقات منزلة على الغالب من حصول العلوق بأنها </w:t>
      </w:r>
      <w:r>
        <w:rPr>
          <w:rStyle w:val="FootnoteAnchor"/>
          <w:rtl w:val="true"/>
        </w:rPr>
        <w:footnoteReference w:id="1241"/>
      </w:r>
      <w:r>
        <w:rPr>
          <w:rFonts w:ascii="Amiri" w:hAnsi="Amiri" w:eastAsia="Amiri" w:cs="Amiri"/>
          <w:color w:val="111111"/>
          <w:sz w:val="28"/>
          <w:sz w:val="28"/>
          <w:szCs w:val="28"/>
          <w:rtl w:val="true"/>
          <w:lang w:bidi="ar-SA"/>
        </w:rPr>
        <w:t xml:space="preserve">إنما تنهض حجة مع عدم </w:t>
      </w:r>
      <w:r>
        <w:rPr>
          <w:rStyle w:val="FootnoteAnchor"/>
          <w:rtl w:val="true"/>
        </w:rPr>
        <w:footnoteReference w:id="1242"/>
      </w:r>
      <w:r>
        <w:rPr>
          <w:rFonts w:ascii="Amiri" w:hAnsi="Amiri" w:eastAsia="Amiri" w:cs="Amiri"/>
          <w:color w:val="111111"/>
          <w:sz w:val="28"/>
          <w:sz w:val="28"/>
          <w:szCs w:val="28"/>
          <w:rtl w:val="true"/>
          <w:lang w:bidi="ar-SA"/>
        </w:rPr>
        <w:t>المقيد ، وهو موجود كما في صحيحة زرارة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النفض لا يستلزم عدم بقاء شي‌ء من العلوق ، بل ظاهره يعطي حصول العلوق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إشارة إلى انصراف الإطلاقات إلى صورة حصوله لإطلاق الأمر بالنفض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مجرد النفض لا يوجب زواله بالمرة كما هو المشاهد بالتجربة ، فهو في الحقيقة من الشواهد على الاشتراط كما أشار إليه غير واحد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الأمر به من جهة إزالة العلوق الزائد مما لعلّه يوجب التسوية </w:t>
      </w:r>
      <w:r>
        <w:rPr>
          <w:rStyle w:val="FootnoteAnchor"/>
          <w:rtl w:val="true"/>
        </w:rPr>
        <w:footnoteReference w:id="1243"/>
      </w:r>
      <w:r>
        <w:rPr>
          <w:rFonts w:ascii="Amiri" w:hAnsi="Amiri" w:eastAsia="Amiri" w:cs="Amiri"/>
          <w:color w:val="111111"/>
          <w:sz w:val="28"/>
          <w:sz w:val="28"/>
          <w:szCs w:val="28"/>
          <w:rtl w:val="true"/>
          <w:lang w:bidi="ar-SA"/>
        </w:rPr>
        <w:t xml:space="preserve">، والاكتفاء بمطلق وجه الأرض لا يأبى </w:t>
      </w:r>
      <w:r>
        <w:rPr>
          <w:rStyle w:val="FootnoteAnchor"/>
          <w:rtl w:val="true"/>
        </w:rPr>
        <w:footnoteReference w:id="1244"/>
      </w:r>
      <w:r>
        <w:rPr>
          <w:rFonts w:ascii="IRNazanin" w:hAnsi="IRNazanin" w:eastAsia="IRNazanin"/>
          <w:color w:val="111111"/>
          <w:sz w:val="28"/>
          <w:sz w:val="28"/>
          <w:szCs w:val="28"/>
          <w:rtl w:val="true"/>
          <w:lang w:bidi="fa-IR"/>
        </w:rPr>
        <w:t>عن اعتبار العلوق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الأمر تقييده بصورة حصوله كما هو المتعين على القول باختصاصه بالتراب أيضا ، وما دلّ على الاكتفاء به </w:t>
      </w:r>
      <w:r>
        <w:rPr>
          <w:rStyle w:val="FootnoteAnchor"/>
          <w:rtl w:val="true"/>
        </w:rPr>
        <w:footnoteReference w:id="1245"/>
      </w:r>
      <w:r>
        <w:rPr>
          <w:rFonts w:ascii="Amiri" w:hAnsi="Amiri" w:eastAsia="Amiri" w:cs="Amiri"/>
          <w:color w:val="111111"/>
          <w:sz w:val="28"/>
          <w:sz w:val="28"/>
          <w:szCs w:val="28"/>
          <w:rtl w:val="true"/>
          <w:lang w:bidi="ar-SA"/>
        </w:rPr>
        <w:t>بالضربة لا إشارة فيه إلى ما ذكر ، ومجرّد مسح الوجه لا يوجب زوال الغبار بالكلية كما هو معلوم بالامتحان ، ولو كان ذلك بعد النفض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يقال بعدم اشتراط العلوق بمسح اليدين إذا زال بسبب مسح الوجه ، أو يقال بوجوب الضربة الثانية مع عدم الغبار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القائل بالاشتراط أصالة الاحتياط بعد اليقين بالشغل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الآية الشريفة على </w:t>
      </w:r>
    </w:p>
    <w:p>
      <w:pPr>
        <w:pStyle w:val="BookText"/>
        <w:rPr/>
      </w:pPr>
      <w:r>
        <w:rPr>
          <w:rFonts w:ascii="Amiri" w:hAnsi="Amiri" w:eastAsia="Amiri" w:cs="Amiri"/>
          <w:color w:val="111111"/>
          <w:sz w:val="28"/>
          <w:sz w:val="28"/>
          <w:szCs w:val="28"/>
          <w:rtl w:val="true"/>
          <w:lang w:bidi="ar-SA"/>
        </w:rPr>
        <w:t xml:space="preserve">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فإن الظاهر منها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إذ لا يفهم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مسحت رأسي من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به الزمخشري </w:t>
      </w:r>
      <w:r>
        <w:rPr>
          <w:rStyle w:val="FootnoteAnchor"/>
          <w:rtl w:val="true"/>
        </w:rPr>
        <w:footnoteReference w:id="1248"/>
      </w:r>
      <w:r>
        <w:rPr>
          <w:rFonts w:ascii="IRNazanin" w:hAnsi="IRNazanin" w:eastAsia="IRNazanin"/>
          <w:color w:val="111111"/>
          <w:sz w:val="28"/>
          <w:sz w:val="28"/>
          <w:szCs w:val="28"/>
          <w:rtl w:val="true"/>
          <w:lang w:bidi="fa-IR"/>
        </w:rPr>
        <w:t xml:space="preserve">مع مخالفته </w:t>
      </w:r>
      <w:r>
        <w:rPr>
          <w:rStyle w:val="FootnoteAnchor"/>
          <w:rtl w:val="true"/>
        </w:rPr>
        <w:footnoteReference w:id="1249"/>
      </w:r>
      <w:r>
        <w:rPr>
          <w:rFonts w:ascii="Amiri" w:hAnsi="Amiri" w:eastAsia="Amiri" w:cs="Amiri"/>
          <w:color w:val="111111"/>
          <w:sz w:val="28"/>
          <w:sz w:val="28"/>
          <w:szCs w:val="28"/>
          <w:rtl w:val="true"/>
          <w:lang w:bidi="ar-SA"/>
        </w:rPr>
        <w:t xml:space="preserve">لمذهب إمامه ، قال بعد حكمه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والإذعان للحق أحقّ من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الصحيحة الآتية الواردة في تفسيرها ، وصحيحة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وضع الوضوء ممن لم يجد الماء أثبت بعض الغسل مسحا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ذلك التيمّم لأنه علم أن ذلك أجمع لم تجر على الوجه لأنه يعلق من ذلك الصعيد ببعض الكف ولا يعلق ببعضها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ظاهر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الرجل طهورا وكان جنبا فليمسح من الأرض وليصلّ </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صحيحة ابن سنان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فليمسح من الأرض </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عدة من الأخبار الوارد في التيمّم بالمغبّر أنه يتيمم من غبار لبد سرجه أو غير ذلك مما هو بمعناه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معوّل </w:t>
      </w:r>
      <w:r>
        <w:rPr>
          <w:rStyle w:val="FootnoteAnchor"/>
          <w:rtl w:val="true"/>
        </w:rPr>
        <w:footnoteReference w:id="1253"/>
      </w:r>
      <w:r>
        <w:rPr>
          <w:rFonts w:ascii="Amiri" w:hAnsi="Amiri" w:eastAsia="Amiri" w:cs="Amiri"/>
          <w:color w:val="111111"/>
          <w:sz w:val="28"/>
          <w:sz w:val="28"/>
          <w:szCs w:val="28"/>
          <w:rtl w:val="true"/>
          <w:lang w:bidi="ar-SA"/>
        </w:rPr>
        <w:t xml:space="preserve">على الأصل بعد قضاء الإطلاقات بالجواز ، وأن احتمال ارادة الابتدائية قائمة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 وربما يشير إليه تركه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اريد به البعضية لوجب إرادة استيعاب التراب لجميع محل المسح كما هو الظاهر من المثال المفروض ، ولا قائل به ظاهرا سوى ظاهر ما حكي عن الإسكافي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الصحيحة المذكورة كون الضمير راجعا إلى التيمّم أعني الضرب على الأرض كما مرّ في تفسيره ، فيكون شاهدة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وحمل التيمّم فيه على المتيمم به بعيد ؛ إذ ظاهره إرجاع الضمير إلى التيمّم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اريد ما ذكر لأرجع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به ، مع كونه أقرب إليه ، فعدم إرجاعه إليه مع قربه وعدم احتياجه إلى التأويل شاهد على ضعف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التعليل المذكور ولا دلالة واضحة فيه على وجوب </w:t>
      </w:r>
      <w:r>
        <w:rPr>
          <w:rStyle w:val="FootnoteAnchor"/>
          <w:rtl w:val="true"/>
        </w:rPr>
        <w:footnoteReference w:id="1254"/>
      </w:r>
      <w:r>
        <w:rPr>
          <w:rFonts w:ascii="Amiri" w:hAnsi="Amiri" w:eastAsia="Amiri" w:cs="Amiri"/>
          <w:color w:val="111111"/>
          <w:sz w:val="28"/>
          <w:sz w:val="28"/>
          <w:szCs w:val="28"/>
          <w:rtl w:val="true"/>
          <w:lang w:bidi="ar-SA"/>
        </w:rPr>
        <w:t>علوق الصعيد ببعض الكفّ ؛ فكأن الحكم فيها جار مجرى الغالب كما هو المتعيّن في الحكم بعدم علوقه بالبعض الآخر ، فيكون العلة فيما ذكر هو غلبة حصول ذلك لا وجوب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غير عزيز في التعليلات الواردة للأحكام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لفظ الرواية لا يخلو من </w:t>
      </w:r>
      <w:r>
        <w:rPr>
          <w:rStyle w:val="FootnoteAnchor"/>
          <w:rtl w:val="true"/>
        </w:rPr>
        <w:footnoteReference w:id="1255"/>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ويجرى احتمال الابتدائية في الصحيحتين الأخيرتين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بالتمسح من الأرض هو الضرب عليه كناية عن التيمّم كما في رواية الراوندي عن النبي صلى‌اللّه‌عليه‌وآله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تمسحوا بالأرض فإنها أتكم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وهي بكم برة </w:t>
      </w:r>
      <w:r>
        <w:rPr>
          <w:rFonts w:eastAsia="Amiri" w:cs="Amiri" w:ascii="Amiri" w:hAnsi="Amiri"/>
          <w:color w:val="111111"/>
          <w:sz w:val="28"/>
          <w:szCs w:val="28"/>
          <w:rtl w:val="true"/>
          <w:lang w:bidi="ar-SA"/>
        </w:rPr>
        <w:t xml:space="preserve">» </w:t>
      </w:r>
      <w:r>
        <w:rPr>
          <w:rStyle w:val="FootnoteAnchor"/>
          <w:rtl w:val="true"/>
        </w:rPr>
        <w:footnoteReference w:id="1257"/>
      </w:r>
      <w:r>
        <w:rPr>
          <w:rStyle w:val="FootnoteAnchor"/>
          <w:rtl w:val="true"/>
        </w:rPr>
        <w:footnoteReference w:id="1258"/>
      </w:r>
      <w:r>
        <w:rPr>
          <w:rFonts w:ascii="Amiri" w:hAnsi="Amiri" w:eastAsia="Amiri" w:cs="Amiri"/>
          <w:color w:val="111111"/>
          <w:sz w:val="28"/>
          <w:sz w:val="28"/>
          <w:szCs w:val="28"/>
          <w:rtl w:val="true"/>
          <w:lang w:bidi="ar-SA"/>
        </w:rPr>
        <w:t>على أحد الوجوه فيها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فالظاهر أن الوجوه المذكورة مع ما فيها لا تعادل إطلاق الروايات ، وما دلّ على استحباب النفض المفروض لزوال ما علّق منها باليد سيّما مع عدم نعومة التراب من دون إشارة إلى لزوم مراعاة بقاء شي‌ء منه في اليد ، المعتضد بظاهر فتوى الأصحاب ، بل عدم ظهور قائل به ممن عدا الجماعة من المتأخرين سوى الإسكافي ، وهو أيضا غير قائل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لمقالتهم ؛ إذ ظاهره اعتبار استيعاب الغبار للمسحات ، وهو ضعيف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القول بعدم لزوم استيعاب العلوق قاض بعدم وجوبه مطلقا ؛ إذ لو اعتبر ذلك فإنما هو من جهة استعمال الطهور الذي هو الأرض ، و </w:t>
      </w:r>
      <w:r>
        <w:rPr>
          <w:rStyle w:val="FootnoteAnchor"/>
          <w:rtl w:val="true"/>
        </w:rPr>
        <w:footnoteReference w:id="1260"/>
      </w:r>
      <w:r>
        <w:rPr>
          <w:rFonts w:ascii="Amiri" w:hAnsi="Amiri" w:eastAsia="Amiri" w:cs="Amiri"/>
          <w:color w:val="111111"/>
          <w:sz w:val="28"/>
          <w:sz w:val="28"/>
          <w:szCs w:val="28"/>
          <w:rtl w:val="true"/>
          <w:lang w:bidi="ar-SA"/>
        </w:rPr>
        <w:t>ذلك يقضي بالاستيعاب ، ومع عدم اعتباره فلا فائدة في اعتباره في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قد يقال من أن الطهور هو التراب دون اليد ، فلا بدّ من إيصاله ولو في الجملة إلى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قلنا قوة القول بعدم اعتبار العلوق إلا أن الاحتياط في مثله مما لا ينبغي تركه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قول الجماعة لو لم يتمكّن من العلوق فهل يسقط اعتباره أو يكون بمنزلة فاقد الطهورين؟ قضيّة الأصل البناء على الأخير إلّا أن يقوم إجماع على عدمه ، وسيأتي تتمّة الكلام</w:t>
      </w:r>
      <w:r>
        <w:rPr>
          <w:rFonts w:eastAsia="Amiri" w:cs="Amiri" w:ascii="Amiri" w:hAnsi="Amiri"/>
          <w:color w:val="111111"/>
          <w:sz w:val="28"/>
          <w:szCs w:val="28"/>
          <w:rtl w:val="true"/>
          <w:lang w:bidi="ar-SA"/>
        </w:rPr>
        <w:t xml:space="preserve">. </w:t>
      </w:r>
      <w:bookmarkStart w:id="323" w:name="pg15839_360928"/>
    </w:p>
    <w:p>
      <w:pPr>
        <w:pStyle w:val="Heading4"/>
        <w:numPr>
          <w:ilvl w:val="3"/>
          <w:numId w:val="1"/>
        </w:numPr>
        <w:rPr/>
      </w:pPr>
      <w:bookmarkStart w:id="324" w:name="__RefHeading___Toc14338533_2142443653"/>
      <w:bookmarkStart w:id="325" w:name="_Toc119"/>
      <w:bookmarkEnd w:id="323"/>
      <w:bookmarkEnd w:id="324"/>
      <w:r>
        <w:rPr>
          <w:rtl w:val="true"/>
        </w:rPr>
        <w:t>تبصرة</w:t>
      </w:r>
      <w:r>
        <w:rPr>
          <w:rtl w:val="true"/>
        </w:rPr>
        <w:t xml:space="preserve">: [ </w:t>
      </w:r>
      <w:r>
        <w:rPr>
          <w:rtl w:val="true"/>
        </w:rPr>
        <w:t xml:space="preserve">في عدد الضربات </w:t>
      </w:r>
      <w:r>
        <w:rPr>
          <w:rtl w:val="true"/>
        </w:rPr>
        <w:t>]</w:t>
      </w:r>
      <w:bookmarkEnd w:id="325"/>
    </w:p>
    <w:p>
      <w:pPr>
        <w:pStyle w:val="BookText"/>
        <w:rPr/>
      </w:pPr>
      <w:r>
        <w:rPr>
          <w:rFonts w:ascii="Amiri" w:hAnsi="Amiri" w:eastAsia="Amiri" w:cs="Amiri"/>
          <w:color w:val="111111"/>
          <w:sz w:val="28"/>
          <w:sz w:val="28"/>
          <w:szCs w:val="28"/>
          <w:rtl w:val="true"/>
          <w:lang w:bidi="ar-SA"/>
        </w:rPr>
        <w:t xml:space="preserve">اختلفوا في عدد الضربات في التيمّم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الاجتزاء بالمرة مطلقا ، وحكى القول به عن الإسكافي </w:t>
      </w:r>
      <w:r>
        <w:rPr>
          <w:rStyle w:val="FootnoteAnchor"/>
          <w:rtl w:val="true"/>
        </w:rPr>
        <w:footnoteReference w:id="1261"/>
      </w:r>
      <w:r>
        <w:rPr>
          <w:rFonts w:ascii="Amiri" w:hAnsi="Amiri" w:eastAsia="Amiri" w:cs="Amiri"/>
          <w:color w:val="111111"/>
          <w:sz w:val="28"/>
          <w:sz w:val="28"/>
          <w:szCs w:val="28"/>
          <w:rtl w:val="true"/>
          <w:lang w:bidi="ar-SA"/>
        </w:rPr>
        <w:t xml:space="preserve">والعماني والمفيد في المسائل العزيّة </w:t>
      </w:r>
      <w:r>
        <w:rPr>
          <w:rStyle w:val="FootnoteAnchor"/>
          <w:rtl w:val="true"/>
        </w:rPr>
        <w:footnoteReference w:id="1262"/>
      </w:r>
      <w:r>
        <w:rPr>
          <w:rFonts w:ascii="Amiri" w:hAnsi="Amiri" w:eastAsia="Amiri" w:cs="Amiri"/>
          <w:color w:val="111111"/>
          <w:sz w:val="28"/>
          <w:sz w:val="28"/>
          <w:szCs w:val="28"/>
          <w:rtl w:val="true"/>
          <w:lang w:bidi="ar-SA"/>
        </w:rPr>
        <w:t>والسيد في 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جماعة من المتأخرين كصاحب المدارك </w:t>
      </w:r>
      <w:r>
        <w:rPr>
          <w:rStyle w:val="FootnoteAnchor"/>
          <w:rtl w:val="true"/>
        </w:rPr>
        <w:footnoteReference w:id="1263"/>
      </w:r>
      <w:r>
        <w:rPr>
          <w:rFonts w:ascii="Amiri" w:hAnsi="Amiri" w:eastAsia="Amiri" w:cs="Amiri"/>
          <w:color w:val="111111"/>
          <w:sz w:val="28"/>
          <w:sz w:val="28"/>
          <w:szCs w:val="28"/>
          <w:rtl w:val="true"/>
          <w:lang w:bidi="ar-SA"/>
        </w:rPr>
        <w:t xml:space="preserve">والعلامة المجلسي </w:t>
      </w:r>
      <w:r>
        <w:rPr>
          <w:rStyle w:val="FootnoteAnchor"/>
          <w:rtl w:val="true"/>
        </w:rPr>
        <w:footnoteReference w:id="1264"/>
      </w:r>
      <w:r>
        <w:rPr>
          <w:rFonts w:ascii="IRNazanin" w:hAnsi="IRNazanin" w:eastAsia="IRNazanin"/>
          <w:color w:val="111111"/>
          <w:sz w:val="28"/>
          <w:sz w:val="28"/>
          <w:szCs w:val="28"/>
          <w:rtl w:val="true"/>
          <w:lang w:bidi="fa-IR"/>
        </w:rPr>
        <w:t xml:space="preserve">وصاحب الحدائق </w:t>
      </w:r>
      <w:r>
        <w:rPr>
          <w:rStyle w:val="FootnoteAnchor"/>
          <w:rtl w:val="true"/>
        </w:rPr>
        <w:footnoteReference w:id="126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الضربتين مطلقا ، وحكي القول به عن المفيد في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حكاه الفاضلان عن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حكاه عنه في الذكرى من عبارته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فيها زيادة اعتبار التفريق في ضرب كل من اليدين بمسح الأخرى ، وبما بعد ذلك قولا باعتبار الضربات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اختار القول المذكور من المتأخرين المحقق الشيخ حسن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المنتقى عن جماعة من القدماء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كان بدلا من </w:t>
      </w:r>
      <w:r>
        <w:rPr>
          <w:rStyle w:val="FootnoteAnchor"/>
          <w:rtl w:val="true"/>
        </w:rPr>
        <w:footnoteReference w:id="1266"/>
      </w:r>
      <w:r>
        <w:rPr>
          <w:rFonts w:ascii="Amiri" w:hAnsi="Amiri" w:eastAsia="Amiri" w:cs="Amiri"/>
          <w:color w:val="111111"/>
          <w:sz w:val="28"/>
          <w:sz w:val="28"/>
          <w:szCs w:val="28"/>
          <w:rtl w:val="true"/>
          <w:lang w:bidi="ar-SA"/>
        </w:rPr>
        <w:t xml:space="preserve">الوضوء والغسل ، يكتفى </w:t>
      </w:r>
      <w:r>
        <w:rPr>
          <w:rStyle w:val="FootnoteAnchor"/>
          <w:rtl w:val="true"/>
        </w:rPr>
        <w:footnoteReference w:id="1267"/>
      </w:r>
      <w:r>
        <w:rPr>
          <w:rFonts w:ascii="IRNazanin" w:hAnsi="IRNazanin" w:eastAsia="IRNazanin"/>
          <w:color w:val="111111"/>
          <w:sz w:val="28"/>
          <w:sz w:val="28"/>
          <w:szCs w:val="28"/>
          <w:rtl w:val="true"/>
          <w:lang w:bidi="fa-IR"/>
        </w:rPr>
        <w:t xml:space="preserve">بالأول ضرب واحد </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68"/>
      </w:r>
      <w:r>
        <w:rPr>
          <w:rFonts w:ascii="Amiri" w:hAnsi="Amiri" w:eastAsia="Amiri" w:cs="Amiri"/>
          <w:color w:val="111111"/>
          <w:sz w:val="28"/>
          <w:sz w:val="28"/>
          <w:szCs w:val="28"/>
          <w:rtl w:val="true"/>
          <w:lang w:bidi="ar-SA"/>
        </w:rPr>
        <w:t>الثاني 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إليه الصدوق والشيخان والديلمي والحلبي </w:t>
      </w:r>
      <w:r>
        <w:rPr>
          <w:rStyle w:val="FootnoteAnchor"/>
          <w:rtl w:val="true"/>
        </w:rPr>
        <w:footnoteReference w:id="1269"/>
      </w:r>
      <w:r>
        <w:rPr>
          <w:rFonts w:ascii="Amiri" w:hAnsi="Amiri" w:eastAsia="Amiri" w:cs="Amiri"/>
          <w:color w:val="111111"/>
          <w:sz w:val="28"/>
          <w:sz w:val="28"/>
          <w:szCs w:val="28"/>
          <w:rtl w:val="true"/>
          <w:lang w:bidi="ar-SA"/>
        </w:rPr>
        <w:t>وكثير من المتأخرين ، بل حكي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رابع حكاه في المعتبر </w:t>
      </w:r>
      <w:r>
        <w:rPr>
          <w:rStyle w:val="FootnoteAnchor"/>
          <w:rtl w:val="true"/>
        </w:rPr>
        <w:footnoteReference w:id="1270"/>
      </w:r>
      <w:r>
        <w:rPr>
          <w:rFonts w:ascii="Amiri" w:hAnsi="Amiri" w:eastAsia="Amiri" w:cs="Amiri"/>
          <w:color w:val="111111"/>
          <w:sz w:val="28"/>
          <w:sz w:val="28"/>
          <w:szCs w:val="28"/>
          <w:rtl w:val="true"/>
          <w:lang w:bidi="ar-SA"/>
        </w:rPr>
        <w:t>عن قوم من الأصحاب ، وهو اعتبار الضربات الثلاث بعد حكايته القول بالضربتين عن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بظاهره ضعيف جدّا إلا أن يحمل على تفريق الضرب كما ذكره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فيرجع في الحقيقة إلى اعتبار الضربتين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حكاية المحقق له مخالفا لقول ابن بابويه دلالة على خلافه إلا أن يكون المنسوب إليه هو اعتبار المرتين على النحو المعروف ، فلا ينطبق على </w:t>
      </w:r>
      <w:r>
        <w:rPr>
          <w:rStyle w:val="FootnoteAnchor"/>
          <w:rtl w:val="true"/>
        </w:rPr>
        <w:footnoteReference w:id="1271"/>
      </w:r>
      <w:r>
        <w:rPr>
          <w:rFonts w:ascii="IRNazanin" w:hAnsi="IRNazanin" w:eastAsia="IRNazanin"/>
          <w:color w:val="111111"/>
          <w:sz w:val="28"/>
          <w:sz w:val="28"/>
          <w:szCs w:val="28"/>
          <w:rtl w:val="true"/>
          <w:lang w:bidi="fa-IR"/>
        </w:rPr>
        <w:t>المنقول من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اختلاف الأصحاب في المسألة مبني على اختلاف أخبار الباب ، والأقوى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ظاهر الآية الشريفة الروايات المعتبرة المستفيضة المشتملة على الصحاح وغيرها ، كصحيحة الخزاز ، وفيها بعد ذكر حكاية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Style w:val="FootnoteAnchor"/>
          <w:rtl w:val="true"/>
        </w:rPr>
        <w:footnoteReference w:id="127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فوضع يده على المسح ثم رفعها فمسح وجهه ، ثم مسح فوق الكف قليلا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داود بن النعمان نحو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بعد ذكر حكاية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صنعت كذا؟ ثم أهوى بيديه إلى الأرض فوضعها على الصعيد ثم مسح جبينه بأصابعه وكفّيه إحداهما بالأخرى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 ذلك ما حكاه في مستطرفات السرائر عن كتاب البزنطي ، في الموثق ، عن </w:t>
      </w:r>
    </w:p>
    <w:p>
      <w:pPr>
        <w:pStyle w:val="BookText"/>
        <w:rPr/>
      </w:pPr>
      <w:r>
        <w:rPr>
          <w:rFonts w:ascii="Amiri" w:hAnsi="Amiri" w:eastAsia="Amiri" w:cs="Amiri"/>
          <w:color w:val="111111"/>
          <w:sz w:val="28"/>
          <w:sz w:val="28"/>
          <w:szCs w:val="28"/>
          <w:rtl w:val="true"/>
          <w:lang w:bidi="ar-SA"/>
        </w:rPr>
        <w:t>زرارة ، عن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اخرى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عليه‌السلام عن التيمّم ، فضرب بيديه </w:t>
      </w:r>
      <w:r>
        <w:rPr>
          <w:rStyle w:val="FootnoteAnchor"/>
          <w:rtl w:val="true"/>
        </w:rPr>
        <w:footnoteReference w:id="1275"/>
      </w:r>
      <w:r>
        <w:rPr>
          <w:rFonts w:ascii="IRNazanin" w:hAnsi="IRNazanin" w:eastAsia="IRNazanin"/>
          <w:color w:val="111111"/>
          <w:sz w:val="28"/>
          <w:sz w:val="28"/>
          <w:szCs w:val="28"/>
          <w:rtl w:val="true"/>
          <w:lang w:bidi="fa-IR"/>
        </w:rPr>
        <w:t xml:space="preserve">الأرض ثم رفعهما فنفضهما ثم مسح </w:t>
      </w:r>
      <w:r>
        <w:rPr>
          <w:rStyle w:val="FootnoteAnchor"/>
          <w:rtl w:val="true"/>
        </w:rPr>
        <w:footnoteReference w:id="1276"/>
      </w:r>
      <w:r>
        <w:rPr>
          <w:rFonts w:ascii="Amiri" w:hAnsi="Amiri" w:eastAsia="Amiri" w:cs="Amiri"/>
          <w:color w:val="111111"/>
          <w:sz w:val="28"/>
          <w:sz w:val="28"/>
          <w:szCs w:val="28"/>
          <w:rtl w:val="true"/>
          <w:lang w:bidi="ar-SA"/>
        </w:rPr>
        <w:t xml:space="preserve">جبهته وكفّيه مرة واحدة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بيديه على البساط فمسح بها وجهه ثم </w:t>
      </w:r>
      <w:r>
        <w:rPr>
          <w:rStyle w:val="FootnoteAnchor"/>
          <w:rtl w:val="true"/>
        </w:rPr>
        <w:footnoteReference w:id="1278"/>
      </w:r>
      <w:r>
        <w:rPr>
          <w:rFonts w:ascii="Amiri" w:hAnsi="Amiri" w:eastAsia="Amiri" w:cs="Amiri"/>
          <w:color w:val="111111"/>
          <w:sz w:val="28"/>
          <w:sz w:val="28"/>
          <w:szCs w:val="28"/>
          <w:rtl w:val="true"/>
          <w:lang w:bidi="ar-SA"/>
        </w:rPr>
        <w:t xml:space="preserve">كفيه إحداهما بالأخرى </w:t>
      </w:r>
      <w:r>
        <w:rPr>
          <w:rStyle w:val="FootnoteAnchor"/>
          <w:rtl w:val="true"/>
        </w:rPr>
        <w:footnoteReference w:id="1279"/>
      </w:r>
      <w:r>
        <w:rPr>
          <w:rFonts w:ascii="Amiri" w:hAnsi="Amiri" w:eastAsia="Amiri" w:cs="Amiri"/>
          <w:color w:val="111111"/>
          <w:sz w:val="28"/>
          <w:sz w:val="28"/>
          <w:szCs w:val="28"/>
          <w:rtl w:val="true"/>
          <w:lang w:bidi="ar-SA"/>
        </w:rPr>
        <w:t>ثم لم يعد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الفقه </w:t>
      </w:r>
      <w:r>
        <w:rPr>
          <w:rStyle w:val="FootnoteAnchor"/>
          <w:rtl w:val="true"/>
        </w:rPr>
        <w:footnoteReference w:id="1280"/>
      </w:r>
      <w:r>
        <w:rPr>
          <w:rFonts w:ascii="Amiri" w:hAnsi="Amiri" w:eastAsia="Amiri" w:cs="Amiri"/>
          <w:color w:val="111111"/>
          <w:sz w:val="28"/>
          <w:sz w:val="28"/>
          <w:szCs w:val="28"/>
          <w:rtl w:val="true"/>
          <w:lang w:bidi="ar-SA"/>
        </w:rPr>
        <w:t xml:space="preserve">الحكم باتحاد الضرب في بيان التيمّم من غير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أخبار اخر معارضة لهذه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اسماعيل بن همام ،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التيمّم ضربة للوجه وضربة للكفين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ضربتين للوجه واليدين </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ليث المرادي ، عن الرضا عليه‌السلام </w:t>
      </w:r>
      <w:r>
        <w:rPr>
          <w:rStyle w:val="FootnoteAnchor"/>
          <w:rtl w:val="true"/>
        </w:rPr>
        <w:footnoteReference w:id="1283"/>
      </w:r>
      <w:r>
        <w:rPr>
          <w:rFonts w:ascii="Amiri" w:hAnsi="Amiri" w:eastAsia="Amiri" w:cs="Amiri"/>
          <w:color w:val="111111"/>
          <w:sz w:val="28"/>
          <w:sz w:val="28"/>
          <w:szCs w:val="28"/>
          <w:rtl w:val="true"/>
          <w:lang w:bidi="ar-SA"/>
        </w:rPr>
        <w:t xml:space="preserve">في التيمّم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تضرب كفّيك على الأرض مرتين ثم تنفضهما وتمسح بهما وجهك وذراعيك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ضرب واحد </w:t>
      </w:r>
    </w:p>
    <w:p>
      <w:pPr>
        <w:pStyle w:val="BookText"/>
        <w:rPr/>
      </w:pPr>
      <w:r>
        <w:rPr>
          <w:rFonts w:ascii="Amiri" w:hAnsi="Amiri" w:eastAsia="Amiri" w:cs="Amiri"/>
          <w:color w:val="111111"/>
          <w:sz w:val="28"/>
          <w:sz w:val="28"/>
          <w:szCs w:val="28"/>
          <w:rtl w:val="true"/>
          <w:lang w:bidi="ar-SA"/>
        </w:rPr>
        <w:t xml:space="preserve">للوضوء والغسل من الجنابة ، تضرب بيديك مرتين ثم تنفضهما نفضة للوجه ومرّة لليدين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بناء على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تحمل على التفصيل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1286"/>
      </w:r>
      <w:r>
        <w:rPr>
          <w:rFonts w:ascii="Amiri" w:hAnsi="Amiri" w:eastAsia="Amiri" w:cs="Amiri"/>
          <w:color w:val="111111"/>
          <w:sz w:val="28"/>
          <w:sz w:val="28"/>
          <w:szCs w:val="28"/>
          <w:rtl w:val="true"/>
          <w:lang w:bidi="ar-SA"/>
        </w:rPr>
        <w:t>أيضا الحكم بتعدّد الضرب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دالّة على تعدد الضرب فيهما من غير إشارة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القول باعتبار الضربتين بعد احتمال حمل بعض الأخبار المتقدّمة على النسخ وبعضها أو كلّها على بيان كيفيّة مسحات التيمّم وتعيين الممسوح دون بيان الضربات ، فهي مجملة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Style w:val="FootnoteAnchor"/>
          <w:rtl w:val="true"/>
        </w:rPr>
        <w:footnoteReference w:id="1287"/>
      </w:r>
      <w:r>
        <w:rPr>
          <w:rFonts w:ascii="Amiri" w:hAnsi="Amiri" w:eastAsia="Amiri" w:cs="Amiri"/>
          <w:color w:val="111111"/>
          <w:sz w:val="28"/>
          <w:sz w:val="28"/>
          <w:szCs w:val="28"/>
          <w:rtl w:val="true"/>
          <w:lang w:bidi="ar-SA"/>
        </w:rPr>
        <w:t xml:space="preserve">ذكر في بعضها الضرب على المسح وفي بعضها على البساط ، وذكر في بعضها الوضع مكان الضرب مع تعيين </w:t>
      </w:r>
      <w:r>
        <w:rPr>
          <w:rStyle w:val="FootnoteAnchor"/>
          <w:rtl w:val="true"/>
        </w:rPr>
        <w:footnoteReference w:id="1288"/>
      </w:r>
      <w:r>
        <w:rPr>
          <w:rFonts w:ascii="IRNazanin" w:hAnsi="IRNazanin" w:eastAsia="IRNazanin"/>
          <w:color w:val="111111"/>
          <w:sz w:val="28"/>
          <w:sz w:val="28"/>
          <w:szCs w:val="28"/>
          <w:rtl w:val="true"/>
          <w:lang w:bidi="fa-IR"/>
        </w:rPr>
        <w:t>الضرب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بضعف ذلك ؛ إذ احتمال النسخ في المقام من أوهن الاحتمالات ، والاحتمال الآخر ضعيف أيضا جدّا للخروج </w:t>
      </w:r>
      <w:r>
        <w:rPr>
          <w:rStyle w:val="FootnoteAnchor"/>
          <w:rtl w:val="true"/>
        </w:rPr>
        <w:footnoteReference w:id="1289"/>
      </w:r>
      <w:r>
        <w:rPr>
          <w:rFonts w:ascii="Amiri" w:hAnsi="Amiri" w:eastAsia="Amiri" w:cs="Amiri"/>
          <w:color w:val="111111"/>
          <w:sz w:val="28"/>
          <w:sz w:val="28"/>
          <w:szCs w:val="28"/>
          <w:rtl w:val="true"/>
          <w:lang w:bidi="ar-SA"/>
        </w:rPr>
        <w:t>عن صريح تلك الأخبار ؛ إذ هي مسوقة لبيان أصل كيفيّة التيمّم لا خصوص بعض أفعاله دون بعض ، فترك بعضها دليل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سيّما على قول </w:t>
      </w:r>
      <w:r>
        <w:rPr>
          <w:rStyle w:val="FootnoteAnchor"/>
          <w:rtl w:val="true"/>
        </w:rPr>
        <w:footnoteReference w:id="1290"/>
      </w:r>
      <w:r>
        <w:rPr>
          <w:rFonts w:ascii="Amiri" w:hAnsi="Amiri" w:eastAsia="Amiri" w:cs="Amiri"/>
          <w:color w:val="111111"/>
          <w:sz w:val="28"/>
          <w:sz w:val="28"/>
          <w:szCs w:val="28"/>
          <w:rtl w:val="true"/>
          <w:lang w:bidi="ar-SA"/>
        </w:rPr>
        <w:t>المعظم من عدّ الضرب من جملة أفعال التيمّم ، والضرب على غير ما يصحّ التيمّم به غير شاهد على ما ذكر ؛ لوضوح الحال فيه ونصّ الكتاب باعتبار الضرب على الصعيد ، مضافا إلى خروج ذلك عن أصل الكيفية ، والأخبار المذكورة مسوقة لبيانها ، فإذا لم يكن للأخبار المذكورة محمل ظاهر تعيّن الرجوع إلى المرجّحات في العمل بأحد الجانبين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قيامها على ترجيح الأخبار المتقدمة من وجوه ؛ لأوفقيّتها بظاهر إطلاق الكتاب ومخالفتها لمعظم العامة ، وانطباق الثانية على قول معظمهم ، فيتقوى حملها على التقية </w:t>
      </w:r>
    </w:p>
    <w:p>
      <w:pPr>
        <w:pStyle w:val="BookText"/>
        <w:rPr/>
      </w:pPr>
      <w:r>
        <w:rPr>
          <w:rFonts w:ascii="Amiri" w:hAnsi="Amiri" w:eastAsia="Amiri" w:cs="Amiri"/>
          <w:color w:val="111111"/>
          <w:sz w:val="28"/>
          <w:sz w:val="28"/>
          <w:szCs w:val="28"/>
          <w:rtl w:val="true"/>
          <w:lang w:bidi="ar-SA"/>
        </w:rPr>
        <w:t>التي هي عمدة السبب في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شهرتها رواية وفتوى بالنسبة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موافقة الأخيرة للاحتياط لو سلّم لا تكافئ ذلك مع فساده في نفسه ؛ إذ لا احتياط في شي‌ء من الطرفين ؛ لاحتمال فساد التيمّم الواقع بالضربتين على القول باعتبار الضربة الواحدة ، بل كأنه الأظهر لاحتمال اعتبار وقوع المسحات بتلك الضربة كما هو الموجود في أخبار المرة ، فالتعدي عنها يحتاج إلى الدليل ، ولذا لم يذكر أحد في وجوه الاحتياط حصوله بالعمل بالضربتين وإنما بنوا على تكرار التيمّم أو ما هو بمنزلته كما سيجي‌ء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الاكتفاء بالمرة مطلقة ، بل مجملة بالنسبة إلى عدم وجوب المرة الثانية ؛ لعدم التصريح فيها بعدم وجوبها ، وإنما يستفاد ذلك من السكوت عنها ، فليحمل ذلك على ما دلّ على اعتبارها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كون دلالة هذه الأخبار على وجوب المرّتين أقوى من دلالة تلك على عدمه ؛ للتصريح فيها بالتعدد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تلك الأخبار في نفسها كالصريحة في عدم وجوب الزائد ، وبملاحظة ورودها في مقام البيان صريحة في ذلك ، سيّما مع اعتضادها بالكثرة والعمل في الجملة ، والقول باحتمال الترك من جهة التقيّة لو صحّ </w:t>
      </w:r>
      <w:r>
        <w:rPr>
          <w:rStyle w:val="FootnoteAnchor"/>
          <w:rtl w:val="true"/>
        </w:rPr>
        <w:footnoteReference w:id="1291"/>
      </w:r>
      <w:r>
        <w:rPr>
          <w:rFonts w:ascii="Amiri" w:hAnsi="Amiri" w:eastAsia="Amiri" w:cs="Amiri"/>
          <w:color w:val="111111"/>
          <w:sz w:val="28"/>
          <w:sz w:val="28"/>
          <w:szCs w:val="28"/>
          <w:rtl w:val="true"/>
          <w:lang w:bidi="ar-SA"/>
        </w:rPr>
        <w:t xml:space="preserve">لم يوجب الضعف في الدلالة ، مضافا إلى عدم وضوح دلالة كثير من تلك الأخبار ، بل لا ينطبق ظواهر تلك الأخبار على القول بالمرتين إلا الصحيحة </w:t>
      </w:r>
      <w:r>
        <w:rPr>
          <w:rStyle w:val="FootnoteAnchor"/>
          <w:rtl w:val="true"/>
        </w:rPr>
        <w:footnoteReference w:id="1292"/>
      </w:r>
      <w:r>
        <w:rPr>
          <w:rFonts w:ascii="Amiri" w:hAnsi="Amiri" w:eastAsia="Amiri" w:cs="Amiri"/>
          <w:color w:val="111111"/>
          <w:sz w:val="28"/>
          <w:sz w:val="28"/>
          <w:szCs w:val="28"/>
          <w:rtl w:val="true"/>
          <w:lang w:bidi="ar-SA"/>
        </w:rPr>
        <w:t>الأولى ؛ إذ غيرها إنما يفيد اعتبار التوالي في الضربتين ، وبعضها يومي إلى اعتبار الضربتين بالنسبة إلى كل من الوجه واليدين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يقيّد بعضها اعتبار الضربتين أولا </w:t>
      </w:r>
      <w:r>
        <w:rPr>
          <w:rStyle w:val="FootnoteAnchor"/>
          <w:rtl w:val="true"/>
        </w:rPr>
        <w:footnoteReference w:id="1293"/>
      </w:r>
      <w:r>
        <w:rPr>
          <w:rFonts w:ascii="Amiri" w:hAnsi="Amiri" w:eastAsia="Amiri" w:cs="Amiri"/>
          <w:color w:val="111111"/>
          <w:sz w:val="28"/>
          <w:sz w:val="28"/>
          <w:szCs w:val="28"/>
          <w:rtl w:val="true"/>
          <w:lang w:bidi="ar-SA"/>
        </w:rPr>
        <w:t>ثم ضربة ثالثة لليدين ؛ إذ تكرار النفض لهما من دون الضرب ولا قائل بشي‌ء منهما في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جميع ما ذكرنا ضعف القول الثاني ، فتعيّن البناء على الأخبار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التعارض بين الأخبار </w:t>
      </w:r>
      <w:r>
        <w:rPr>
          <w:rStyle w:val="FootnoteAnchor"/>
          <w:rtl w:val="true"/>
        </w:rPr>
        <w:footnoteReference w:id="1294"/>
      </w:r>
      <w:r>
        <w:rPr>
          <w:rFonts w:ascii="Amiri" w:hAnsi="Amiri" w:eastAsia="Amiri" w:cs="Amiri"/>
          <w:color w:val="111111"/>
          <w:sz w:val="28"/>
          <w:sz w:val="28"/>
          <w:szCs w:val="28"/>
          <w:rtl w:val="true"/>
          <w:lang w:bidi="ar-SA"/>
        </w:rPr>
        <w:t>المذكورة لا بدّ من الجمع بينها مهما أمكن ، وأقرب محاملها حمل الأخبار الأوّلة على التيمّم الواقع بدلا من الوضوء ، والأخيرة على بدل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حجة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يذكر شاهدا على القول المذكور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القول به بين الأصحاب قديما وحديثا ، بل قد حكي الإجماع عليه حيث عدّه الصدوق في أماليه </w:t>
      </w:r>
      <w:r>
        <w:rPr>
          <w:rStyle w:val="FootnoteAnchor"/>
          <w:rtl w:val="true"/>
        </w:rPr>
        <w:footnoteReference w:id="1295"/>
      </w:r>
      <w:r>
        <w:rPr>
          <w:rFonts w:ascii="Amiri" w:hAnsi="Amiri" w:eastAsia="Amiri" w:cs="Amiri"/>
          <w:color w:val="111111"/>
          <w:sz w:val="28"/>
          <w:sz w:val="28"/>
          <w:szCs w:val="28"/>
          <w:rtl w:val="true"/>
          <w:lang w:bidi="ar-SA"/>
        </w:rPr>
        <w:t>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الشيخان الجليلان في التبيان </w:t>
      </w:r>
      <w:r>
        <w:rPr>
          <w:rStyle w:val="FootnoteAnchor"/>
          <w:rtl w:val="true"/>
        </w:rPr>
        <w:footnoteReference w:id="1296"/>
      </w:r>
      <w:r>
        <w:rPr>
          <w:rFonts w:ascii="Amiri" w:hAnsi="Amiri" w:eastAsia="Amiri" w:cs="Amiri"/>
          <w:color w:val="111111"/>
          <w:sz w:val="28"/>
          <w:sz w:val="28"/>
          <w:szCs w:val="28"/>
          <w:rtl w:val="true"/>
          <w:lang w:bidi="ar-SA"/>
        </w:rPr>
        <w:t xml:space="preserve">ومجمع البيان </w:t>
      </w:r>
      <w:r>
        <w:rPr>
          <w:rStyle w:val="FootnoteAnchor"/>
          <w:rtl w:val="true"/>
        </w:rPr>
        <w:footnoteReference w:id="1297"/>
      </w:r>
      <w:r>
        <w:rPr>
          <w:rFonts w:ascii="Amiri" w:hAnsi="Amiri" w:eastAsia="Amiri" w:cs="Amiri"/>
          <w:color w:val="111111"/>
          <w:sz w:val="28"/>
          <w:sz w:val="28"/>
          <w:szCs w:val="28"/>
          <w:rtl w:val="true"/>
          <w:lang w:bidi="ar-SA"/>
        </w:rPr>
        <w:t>بكونه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ذلك من الشيخ في التهذيب </w:t>
      </w:r>
      <w:r>
        <w:rPr>
          <w:rStyle w:val="FootnoteAnchor"/>
          <w:rtl w:val="true"/>
        </w:rPr>
        <w:footnoteReference w:id="1298"/>
      </w:r>
      <w:r>
        <w:rPr>
          <w:rFonts w:ascii="Amiri" w:hAnsi="Amiri" w:eastAsia="Amiri" w:cs="Amiri"/>
          <w:color w:val="111111"/>
          <w:sz w:val="28"/>
          <w:sz w:val="28"/>
          <w:szCs w:val="28"/>
          <w:rtl w:val="true"/>
          <w:lang w:bidi="ar-SA"/>
        </w:rPr>
        <w:t>على ما قيل ، والإجماعات المذكورة كافية في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عنها فالشهرة قد رجّحت العمل بكلّ منهما في موردها ، فيتقوى على الآخر في خصوص ذلك ، فيقيّد </w:t>
      </w:r>
      <w:r>
        <w:rPr>
          <w:rStyle w:val="FootnoteAnchor"/>
          <w:rtl w:val="true"/>
        </w:rPr>
        <w:footnoteReference w:id="1299"/>
      </w:r>
      <w:r>
        <w:rPr>
          <w:rFonts w:ascii="Amiri" w:hAnsi="Amiri" w:eastAsia="Amiri" w:cs="Amiri"/>
          <w:color w:val="111111"/>
          <w:sz w:val="28"/>
          <w:sz w:val="28"/>
          <w:szCs w:val="28"/>
          <w:rtl w:val="true"/>
          <w:lang w:bidi="ar-SA"/>
        </w:rPr>
        <w:t>بملاحظة ذلك كل من الخبرين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ما دلّ على المرة يعمل به في الوضوء ؛ لاعتضاده بالشهرة في خصوصه وكذا ما دلّ على المرتين بالنسبة إلى الغسل ، ودلالة الأول على الاكتفاء بها في الغسل أضعف من دلالة الأخيرة على عدمه ، وكذا العكس ، فيقيّد كل من الإطلاقين بالآخر ، وهو المدّعى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يتخيل في أخبار المرتين أن تحمل على التقية بالنسبة إلى الوضوء ؛ لموافقته لمذهب العامّة ، وعدم شهرة القول به عندنا ، بل مخالفته </w:t>
      </w:r>
      <w:r>
        <w:rPr>
          <w:rStyle w:val="FootnoteAnchor"/>
          <w:rtl w:val="true"/>
        </w:rPr>
        <w:footnoteReference w:id="1300"/>
      </w:r>
      <w:r>
        <w:rPr>
          <w:rFonts w:ascii="Amiri" w:hAnsi="Amiri" w:eastAsia="Amiri" w:cs="Amiri"/>
          <w:color w:val="111111"/>
          <w:sz w:val="28"/>
          <w:sz w:val="28"/>
          <w:szCs w:val="28"/>
          <w:rtl w:val="true"/>
          <w:lang w:bidi="ar-SA"/>
        </w:rPr>
        <w:t xml:space="preserve">لأخبارنا في الجملة ، ولا يلزم من ذلك حملها على التقيّة بالنسبة إلى البدل عن الغسل ، فهي بالنسبة إلى ذلك حجة ، </w:t>
      </w:r>
    </w:p>
    <w:p>
      <w:pPr>
        <w:pStyle w:val="BookText"/>
        <w:rPr/>
      </w:pPr>
      <w:r>
        <w:rPr>
          <w:rFonts w:ascii="Amiri" w:hAnsi="Amiri" w:eastAsia="Amiri" w:cs="Amiri"/>
          <w:color w:val="111111"/>
          <w:sz w:val="28"/>
          <w:sz w:val="28"/>
          <w:szCs w:val="28"/>
          <w:rtl w:val="true"/>
          <w:lang w:bidi="ar-SA"/>
        </w:rPr>
        <w:t>فبملاحظة ذلك يكون مفاد تلك الأخبار خاصّا بالنسبة إلى ما دلّ على اعتبار المرة ، ولا بدّ إذن من حمله عليها كما هو القاعدة المطّردة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أخبار حاكمة بالتفصيل حيث ذكر الحلي بعد حكمه به أنه الموافق للروايات والعمل ، وذكر الصيمري أن للمفصّلين على قولهم به روايات ، وربما يستند في </w:t>
      </w:r>
      <w:r>
        <w:rPr>
          <w:rStyle w:val="FootnoteAnchor"/>
          <w:rtl w:val="true"/>
        </w:rPr>
        <w:footnoteReference w:id="1301"/>
      </w:r>
      <w:r>
        <w:rPr>
          <w:rFonts w:ascii="Amiri" w:hAnsi="Amiri" w:eastAsia="Amiri" w:cs="Amiri"/>
          <w:color w:val="111111"/>
          <w:sz w:val="28"/>
          <w:sz w:val="28"/>
          <w:szCs w:val="28"/>
          <w:rtl w:val="true"/>
          <w:lang w:bidi="ar-SA"/>
        </w:rPr>
        <w:t>ذلك إلى صحيحة زرارة المتقدمة ، وصحيحة محمد بن مسلم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المنتهى </w:t>
      </w:r>
      <w:r>
        <w:rPr>
          <w:rStyle w:val="FootnoteAnchor"/>
          <w:rtl w:val="true"/>
        </w:rPr>
        <w:footnoteReference w:id="1302"/>
      </w:r>
      <w:r>
        <w:rPr>
          <w:rFonts w:ascii="Amiri" w:hAnsi="Amiri" w:eastAsia="Amiri" w:cs="Amiri"/>
          <w:color w:val="111111"/>
          <w:sz w:val="28"/>
          <w:sz w:val="28"/>
          <w:szCs w:val="28"/>
          <w:rtl w:val="true"/>
          <w:lang w:bidi="ar-SA"/>
        </w:rPr>
        <w:t>عن الشيخ بإسناده ، عن محمد بن مسلم ، عن أن التيمّم من الوضوء مرة واحدة ومن الجنابة مضافا إلى تأيّد المشهور بعد الشهرة بكونه مخالفا لقول العامة كافة ؛ إذ لا ذاهب منهم إلى التفصيل المذكور ، فيتطرق احتمال التقية في كل من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الرشد في خلافهم وبموافقته للاعتبار ؛ إذ المناسب لاستيعاب جميع البدل المأخوذ في مبدله كثرة الضرب في البدل ، وإن الحدث الأصغر والأكبر مختلفان فيناسبه اختلاف الفعل المبيح عنهما ، وكذا المبدلان مختلفان فيناسبه اختلاف البدلين ، وبأن البناء عليه يوجب العمل بجميع أخبار الباب بخلاف الأخذ بأحد الإطلاقين ؛ لوجوب طرح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ذلك بأن مجرد حصول الجمع بين الأخبار على النحو المذكور لا يجعلها دليلا على التفصيل إلا أن يكون هناك شاهد على الجمع المذكور ، فما ذكر من الشواهد عليه 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فبأن الشهرة في هذه المسألة ليست بحيث يوجب سقوط ما دلّ على خلافها إذا كان في نفسه حجّة شرعية على نحو الصحيح المتروك ؛ لذهاب جماعة من فحول القدماء والمتأخرين إلى الاكتفاء بالمرة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 يكون البناء على التفصيل أشهر ، ومجرد ذلك لا يرفع الاعتماد عن ظواهر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تصلح جامعة بين أخبار الباب ؛ لاقتضاء الجمع سقوط كل من الإطلاقين عن الحجية بالنسبة إلى بعض الأفراد ، وما ذكر من اعتضاد دلالة كل من الروايتين </w:t>
      </w:r>
    </w:p>
    <w:p>
      <w:pPr>
        <w:pStyle w:val="BookText"/>
        <w:rPr/>
      </w:pPr>
      <w:r>
        <w:rPr>
          <w:rFonts w:ascii="Amiri" w:hAnsi="Amiri" w:eastAsia="Amiri" w:cs="Amiri"/>
          <w:color w:val="111111"/>
          <w:sz w:val="28"/>
          <w:sz w:val="28"/>
          <w:szCs w:val="28"/>
          <w:rtl w:val="true"/>
          <w:lang w:bidi="ar-SA"/>
        </w:rPr>
        <w:t>بالنسبة إلى مورد الشهرة ، فيرجّح في ذلك على الأخرى مدفوع على بلوغ الشهرة على 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فالحكم بحصول الترجيح بها في بعض مدلول اللفظ محل نظر ، وهو خارج عن ظاهر ما دلّ من الأخبار على الترجيح بالشهرة إن قلنا بشموله لشهرة الفتوى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مخالفة الشهرة في المقامين لأخبار الجانبين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عمدة الأخبار الدالّة على الاكتفاء بالمرة كالنصّ في التيمّم الواقع بدلا عن الغسل ؛ لورودها في حكاية عمار ، فهي صريحة بالنسبة إلى المورد وإن كان ظاهر اللفظ فيها مطلقا </w:t>
      </w:r>
      <w:r>
        <w:rPr>
          <w:rStyle w:val="FootnoteAnchor"/>
          <w:rtl w:val="true"/>
        </w:rPr>
        <w:footnoteReference w:id="1303"/>
      </w:r>
      <w:r>
        <w:rPr>
          <w:rFonts w:ascii="Amiri" w:hAnsi="Amiri" w:eastAsia="Amiri" w:cs="Amiri"/>
          <w:color w:val="111111"/>
          <w:sz w:val="28"/>
          <w:sz w:val="28"/>
          <w:szCs w:val="28"/>
          <w:rtl w:val="true"/>
          <w:lang w:bidi="ar-SA"/>
        </w:rPr>
        <w:t>فليس المعارضة بينها من قبيل العموم من وجه ؛ ليستند في الجمع إلى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والاستناد إلى الإجماع المنقول موهون بشيوع الخلاف من فحول القدماء والمتأخرين ، مضافا إلى ظهور المناقشة في دلالة ما ذكر 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فبأنّ قضية الأخبار الدالّة على الأخذ بالمخالف للعامة عند تعارض الخبرين إنما دلّ على طرح الخبر الآخر ، و </w:t>
      </w:r>
      <w:r>
        <w:rPr>
          <w:rStyle w:val="FootnoteAnchor"/>
          <w:rtl w:val="true"/>
        </w:rPr>
        <w:footnoteReference w:id="1304"/>
      </w:r>
      <w:r>
        <w:rPr>
          <w:rFonts w:ascii="Amiri" w:hAnsi="Amiri" w:eastAsia="Amiri" w:cs="Amiri"/>
          <w:color w:val="111111"/>
          <w:sz w:val="28"/>
          <w:sz w:val="28"/>
          <w:szCs w:val="28"/>
          <w:rtl w:val="true"/>
          <w:lang w:bidi="ar-SA"/>
        </w:rPr>
        <w:t xml:space="preserve">لا يخصّصه ببعض مدلوله من دون ظهور مخصص بمجرد خروج التفصيل عن مذهب </w:t>
      </w:r>
      <w:r>
        <w:rPr>
          <w:rStyle w:val="FootnoteAnchor"/>
          <w:rtl w:val="true"/>
        </w:rPr>
        <w:footnoteReference w:id="1305"/>
      </w:r>
      <w:r>
        <w:rPr>
          <w:rFonts w:ascii="Amiri" w:hAnsi="Amiri" w:eastAsia="Amiri" w:cs="Amiri"/>
          <w:color w:val="111111"/>
          <w:sz w:val="28"/>
          <w:sz w:val="28"/>
          <w:szCs w:val="28"/>
          <w:rtl w:val="true"/>
          <w:lang w:bidi="ar-SA"/>
        </w:rPr>
        <w:t>العامة ، وهو الظاهر من بناء الأصحاب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اختصاص الحمل على التقية بالنسبة إلى البعض فغاية الأمر نهوضه حجة على الباقي ، ولا يجعله ذلك خاصا بالنسبة إلى إطلاق الآخر ؛ إذ من الظاهر أن دلالة اللفظ عليه لا يخرج عن العموم ، ولا يجعله حمل بعضه على التقية نصّا في الباقي ، ليكون تعارضه مع الإطلاق من قبيل معارضة المقيّد للمطلق ؛ ليجب حمله عليه كما هو قضية فهم العرف في سائر المقامات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فبأن ما ذكر إجمالا من ورود الروايات بالتفصيل موهون بعدم وجود أثر لها </w:t>
      </w:r>
    </w:p>
    <w:p>
      <w:pPr>
        <w:pStyle w:val="BookText"/>
        <w:rPr/>
      </w:pPr>
      <w:r>
        <w:rPr>
          <w:rFonts w:ascii="Amiri" w:hAnsi="Amiri" w:eastAsia="Amiri" w:cs="Amiri"/>
          <w:color w:val="111111"/>
          <w:sz w:val="28"/>
          <w:sz w:val="28"/>
          <w:szCs w:val="28"/>
          <w:rtl w:val="true"/>
          <w:lang w:bidi="ar-SA"/>
        </w:rPr>
        <w:t>في الأخبار سوى ما يتوهّم دلالتها عليه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الشيخ في الكتابين إلى الصحيحتين ، وكأنها الملحوظة في النقل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إليها موهون بأن صحيحة زرارة ظاهرة </w:t>
      </w:r>
      <w:r>
        <w:rPr>
          <w:rStyle w:val="FootnoteAnchor"/>
          <w:rtl w:val="true"/>
        </w:rPr>
        <w:footnoteReference w:id="1306"/>
      </w:r>
      <w:r>
        <w:rPr>
          <w:rFonts w:ascii="Amiri" w:hAnsi="Amiri" w:eastAsia="Amiri" w:cs="Amiri"/>
          <w:color w:val="111111"/>
          <w:sz w:val="28"/>
          <w:sz w:val="28"/>
          <w:szCs w:val="28"/>
          <w:rtl w:val="true"/>
          <w:lang w:bidi="ar-SA"/>
        </w:rPr>
        <w:t xml:space="preserve">الدلالة على عكس ذلك ؛ لظهورها </w:t>
      </w:r>
      <w:r>
        <w:rPr>
          <w:rStyle w:val="FootnoteAnchor"/>
          <w:rtl w:val="true"/>
        </w:rPr>
        <w:footnoteReference w:id="1307"/>
      </w:r>
      <w:r>
        <w:rPr>
          <w:rFonts w:ascii="Amiri" w:hAnsi="Amiri" w:eastAsia="Amiri" w:cs="Amiri"/>
          <w:color w:val="111111"/>
          <w:sz w:val="28"/>
          <w:sz w:val="28"/>
          <w:szCs w:val="28"/>
          <w:rtl w:val="true"/>
          <w:lang w:bidi="ar-SA"/>
        </w:rPr>
        <w:t>في الحكم باتحاد الكيفيّتين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ذلك أيضا في موثقة عمار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عن الوضوء وعن الجنابة وعن الحيض للنساء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فهي كالموثقة المذكورة من الأدلة على فساد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الغضّ عن ظهور تلك الصحيحة في ذلك فلا ظهور فيها في خلافه ، فيسقط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محمد بن مسلم مع اطراح ظاهرها بين الأصحاب لا دلالة فيها على ذلك بوجه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المنتهى لا أثر لها في كتب الأخبار والاستدلال ، والظاهر أنها لا أصل لها وإنما توهّمه الفاضل رواية من كلام الشيخ عند ذكره في كلام ورود التفصيل في الصحيحتين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إليه غير واحد من الأفاضل ، وقد أوضح ذلك في المنتهى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وسائر الوجوه المذكورة لتأييد القول المذكور بيّنة الوهن ، فلا حاجة إلى تفصيل الكلام فيها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بتثليث الضربات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فسّر بغير ما حكاه في الذكرى من عبارة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 وإن 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صحيحة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التيمّم ، فضرب بكفيه الأرض ثم مسح بهما وجهه ثم ضرب بشماله الأرض ، فمسح بها مرفقه إلى أطراف الأصابع واحدة على ظهرها وواحدة على بطنها ، ثم </w:t>
      </w:r>
    </w:p>
    <w:p>
      <w:pPr>
        <w:pStyle w:val="BookText"/>
        <w:rPr/>
      </w:pPr>
      <w:r>
        <w:rPr>
          <w:rFonts w:ascii="Amiri" w:hAnsi="Amiri" w:eastAsia="Amiri" w:cs="Amiri"/>
          <w:color w:val="111111"/>
          <w:sz w:val="28"/>
          <w:sz w:val="28"/>
          <w:szCs w:val="28"/>
          <w:rtl w:val="true"/>
          <w:lang w:bidi="ar-SA"/>
        </w:rPr>
        <w:t>ضرب بيمينه الأرض ثم صنع بشماله كما صنع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التيمّم على ما كان فيه الغسل في الوضوء الوجه واليدين إلى المرفقين ، وألقى ما كان عليه مسح الرأس والقدمين فلا يؤتم </w:t>
      </w:r>
      <w:r>
        <w:rPr>
          <w:rStyle w:val="FootnoteAnchor"/>
          <w:rtl w:val="true"/>
        </w:rPr>
        <w:footnoteReference w:id="1310"/>
      </w:r>
      <w:r>
        <w:rPr>
          <w:rFonts w:ascii="Amiri" w:hAnsi="Amiri" w:eastAsia="Amiri" w:cs="Amiri"/>
          <w:color w:val="111111"/>
          <w:sz w:val="28"/>
          <w:sz w:val="28"/>
          <w:szCs w:val="28"/>
          <w:rtl w:val="true"/>
          <w:lang w:bidi="ar-SA"/>
        </w:rPr>
        <w:t xml:space="preserve">بالصعيد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هذه الرواية وإن صحّ إسنادها إلا أنّها مطرحة بين الأصحاب معارضة بالمعتبرة المستفيضة موافقة لمذهب العامة ، فيعيّن حملها على التقية</w:t>
      </w:r>
      <w:r>
        <w:rPr>
          <w:rFonts w:eastAsia="Amiri" w:cs="Amiri" w:ascii="Amiri" w:hAnsi="Amiri"/>
          <w:color w:val="111111"/>
          <w:sz w:val="28"/>
          <w:szCs w:val="28"/>
          <w:rtl w:val="true"/>
          <w:lang w:bidi="ar-SA"/>
        </w:rPr>
        <w:t xml:space="preserve">. </w:t>
      </w:r>
      <w:bookmarkStart w:id="326" w:name="pg15839_360938"/>
    </w:p>
    <w:p>
      <w:pPr>
        <w:pStyle w:val="Heading4"/>
        <w:numPr>
          <w:ilvl w:val="3"/>
          <w:numId w:val="1"/>
        </w:numPr>
        <w:rPr/>
      </w:pPr>
      <w:bookmarkStart w:id="327" w:name="__RefHeading___Toc14338535_2142443653"/>
      <w:bookmarkStart w:id="328" w:name="_Toc120"/>
      <w:bookmarkEnd w:id="326"/>
      <w:bookmarkEnd w:id="327"/>
      <w:r>
        <w:rPr>
          <w:rtl w:val="true"/>
        </w:rPr>
        <w:t>تبصرة</w:t>
      </w:r>
      <w:r>
        <w:rPr>
          <w:rtl w:val="true"/>
        </w:rPr>
        <w:t xml:space="preserve">: [ </w:t>
      </w:r>
      <w:r>
        <w:rPr>
          <w:rtl w:val="true"/>
        </w:rPr>
        <w:t xml:space="preserve">في مسح الوجه </w:t>
      </w:r>
      <w:r>
        <w:rPr>
          <w:rtl w:val="true"/>
        </w:rPr>
        <w:t>]</w:t>
      </w:r>
      <w:bookmarkEnd w:id="328"/>
    </w:p>
    <w:p>
      <w:pPr>
        <w:pStyle w:val="BookText"/>
        <w:rPr/>
      </w:pPr>
      <w:r>
        <w:rPr>
          <w:rFonts w:ascii="Amiri" w:hAnsi="Amiri" w:eastAsia="Amiri" w:cs="Amiri"/>
          <w:color w:val="111111"/>
          <w:sz w:val="28"/>
          <w:sz w:val="28"/>
          <w:szCs w:val="28"/>
          <w:rtl w:val="true"/>
          <w:lang w:bidi="ar-SA"/>
        </w:rPr>
        <w:t xml:space="preserve">الثاني من أفعال التيمّم مسح الوجه ، وقد اختلف الأصحاب في تعيين القدر الممسوح منه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خصوص الجبهة من قصاص الشعر إلى طرف الأنف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كشف الرموز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الجبينين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جماعة من المتأخرين منهم الشهيد الثاني في المسالك </w:t>
      </w:r>
      <w:r>
        <w:rPr>
          <w:rStyle w:val="FootnoteAnchor"/>
          <w:rtl w:val="true"/>
        </w:rPr>
        <w:footnoteReference w:id="1314"/>
      </w:r>
      <w:r>
        <w:rPr>
          <w:rFonts w:ascii="Amiri" w:hAnsi="Amiri" w:eastAsia="Amiri" w:cs="Amiri"/>
          <w:color w:val="111111"/>
          <w:sz w:val="28"/>
          <w:sz w:val="28"/>
          <w:szCs w:val="28"/>
          <w:rtl w:val="true"/>
          <w:lang w:bidi="ar-SA"/>
        </w:rPr>
        <w:t xml:space="preserve">، بل في كشف اللثام </w:t>
      </w:r>
      <w:r>
        <w:rPr>
          <w:rStyle w:val="FootnoteAnchor"/>
          <w:rtl w:val="true"/>
        </w:rPr>
        <w:footnoteReference w:id="1315"/>
      </w:r>
      <w:r>
        <w:rPr>
          <w:rFonts w:ascii="Amiri" w:hAnsi="Amiri" w:eastAsia="Amiri" w:cs="Amiri"/>
          <w:color w:val="111111"/>
          <w:sz w:val="28"/>
          <w:sz w:val="28"/>
          <w:szCs w:val="28"/>
          <w:rtl w:val="true"/>
          <w:lang w:bidi="ar-SA"/>
        </w:rPr>
        <w:t>أنه يمكن إدخال ذلك في مقصود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w:t>
      </w:r>
      <w:r>
        <w:rPr>
          <w:rStyle w:val="FootnoteAnchor"/>
          <w:rtl w:val="true"/>
        </w:rPr>
        <w:footnoteReference w:id="1316"/>
      </w:r>
      <w:r>
        <w:rPr>
          <w:rFonts w:ascii="IRNazanin" w:hAnsi="IRNazanin" w:eastAsia="IRNazanin"/>
          <w:color w:val="111111"/>
          <w:sz w:val="28"/>
          <w:sz w:val="28"/>
          <w:szCs w:val="28"/>
          <w:rtl w:val="true"/>
          <w:lang w:bidi="fa-IR"/>
        </w:rPr>
        <w:t>، فإنهم أوجبوا مسح الوجه من القصاص إلى طرف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يخلو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الحاجبين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الصدوق في الفقيه </w:t>
      </w:r>
      <w:r>
        <w:rPr>
          <w:rStyle w:val="FootnoteAnchor"/>
          <w:rtl w:val="true"/>
        </w:rPr>
        <w:footnoteReference w:id="1317"/>
      </w:r>
      <w:r>
        <w:rPr>
          <w:rFonts w:ascii="Amiri" w:hAnsi="Amiri" w:eastAsia="Amiri" w:cs="Amiri"/>
          <w:color w:val="111111"/>
          <w:sz w:val="28"/>
          <w:sz w:val="28"/>
          <w:szCs w:val="28"/>
          <w:rtl w:val="true"/>
          <w:lang w:bidi="ar-SA"/>
        </w:rPr>
        <w:t>حيث اعتبر المسح على الجبينين والحاجبين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أدرج الجبهة في الجبينين ؛ إذ لا قائل ظاهر بعدم وجوب مسحها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غير واحد منهم الإجماع على وجوب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القول به عن المحقق </w:t>
      </w:r>
    </w:p>
    <w:p>
      <w:pPr>
        <w:pStyle w:val="BookText"/>
        <w:rPr/>
      </w:pPr>
      <w:r>
        <w:rPr>
          <w:rFonts w:ascii="Amiri" w:hAnsi="Amiri" w:eastAsia="Amiri" w:cs="Amiri"/>
          <w:color w:val="111111"/>
          <w:sz w:val="28"/>
          <w:sz w:val="28"/>
          <w:szCs w:val="28"/>
          <w:rtl w:val="true"/>
          <w:lang w:bidi="ar-SA"/>
        </w:rPr>
        <w:t xml:space="preserve">الكركي في عدة من كتبه ، وتلميذه في المسائل </w:t>
      </w:r>
      <w:r>
        <w:rPr>
          <w:rStyle w:val="FootnoteAnchor"/>
          <w:rtl w:val="true"/>
        </w:rPr>
        <w:footnoteReference w:id="1318"/>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المسح على تمام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عن 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الشهيد </w:t>
      </w:r>
      <w:r>
        <w:rPr>
          <w:rStyle w:val="FootnoteAnchor"/>
          <w:rtl w:val="true"/>
        </w:rPr>
        <w:footnoteReference w:id="1319"/>
      </w:r>
      <w:r>
        <w:rPr>
          <w:rFonts w:ascii="Amiri" w:hAnsi="Amiri" w:eastAsia="Amiri" w:cs="Amiri"/>
          <w:color w:val="111111"/>
          <w:sz w:val="28"/>
          <w:sz w:val="28"/>
          <w:szCs w:val="28"/>
          <w:rtl w:val="true"/>
          <w:lang w:bidi="ar-SA"/>
        </w:rPr>
        <w:t xml:space="preserve">أنّ </w:t>
      </w:r>
      <w:r>
        <w:rPr>
          <w:rStyle w:val="FootnoteAnchor"/>
          <w:rtl w:val="true"/>
        </w:rPr>
        <w:footnoteReference w:id="1320"/>
      </w:r>
      <w:r>
        <w:rPr>
          <w:rFonts w:ascii="Amiri" w:hAnsi="Amiri" w:eastAsia="Amiri" w:cs="Amiri"/>
          <w:color w:val="111111"/>
          <w:sz w:val="28"/>
          <w:sz w:val="28"/>
          <w:szCs w:val="28"/>
          <w:rtl w:val="true"/>
          <w:lang w:bidi="ar-SA"/>
        </w:rPr>
        <w:t>في كلام الجعفي إشعارا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البرهان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مسح الجميع والبعض إلا أنه لا يقتصر على أقل من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المعتبر </w:t>
      </w:r>
      <w:r>
        <w:rPr>
          <w:rStyle w:val="FootnoteAnchor"/>
          <w:rtl w:val="true"/>
        </w:rPr>
        <w:footnoteReference w:id="1322"/>
      </w:r>
      <w:r>
        <w:rPr>
          <w:rFonts w:ascii="Amiri" w:hAnsi="Amiri" w:eastAsia="Amiri" w:cs="Amiri"/>
          <w:color w:val="111111"/>
          <w:sz w:val="28"/>
          <w:sz w:val="28"/>
          <w:szCs w:val="28"/>
          <w:rtl w:val="true"/>
          <w:lang w:bidi="ar-SA"/>
        </w:rPr>
        <w:t xml:space="preserve">، وحكى </w:t>
      </w:r>
      <w:r>
        <w:rPr>
          <w:rStyle w:val="FootnoteAnchor"/>
          <w:rtl w:val="true"/>
        </w:rPr>
        <w:footnoteReference w:id="1323"/>
      </w:r>
      <w:r>
        <w:rPr>
          <w:rFonts w:ascii="Amiri" w:hAnsi="Amiri" w:eastAsia="Amiri" w:cs="Amiri"/>
          <w:color w:val="111111"/>
          <w:sz w:val="28"/>
          <w:sz w:val="28"/>
          <w:szCs w:val="28"/>
          <w:rtl w:val="true"/>
          <w:lang w:bidi="ar-SA"/>
        </w:rPr>
        <w:t>عن العماني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وقرّبه في كشف الرموز </w:t>
      </w:r>
      <w:r>
        <w:rPr>
          <w:rStyle w:val="FootnoteAnchor"/>
          <w:rtl w:val="true"/>
        </w:rPr>
        <w:footnoteReference w:id="1324"/>
      </w:r>
      <w:r>
        <w:rPr>
          <w:rFonts w:ascii="Amiri" w:hAnsi="Amiri" w:eastAsia="Amiri" w:cs="Amiri"/>
          <w:color w:val="111111"/>
          <w:sz w:val="28"/>
          <w:sz w:val="28"/>
          <w:szCs w:val="28"/>
          <w:rtl w:val="true"/>
          <w:lang w:bidi="ar-SA"/>
        </w:rPr>
        <w:t xml:space="preserve">، واستحسنه في المدارك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يرجع إلى القول المشهور في تعيين القدر الواجب ، فيكون الخلاف بينهما في استحباب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السبب في الخلاف اختلاف روايات الباب ، ففي معظم الأخبار ذكر مسح الوجه الظاهر في مسح جميعه ، وفي جملة منها ذكر المسح على الجبين </w:t>
      </w:r>
      <w:r>
        <w:rPr>
          <w:rStyle w:val="FootnoteAnchor"/>
          <w:rtl w:val="true"/>
        </w:rPr>
        <w:footnoteReference w:id="1326"/>
      </w:r>
      <w:r>
        <w:rPr>
          <w:rFonts w:ascii="Amiri" w:hAnsi="Amiri" w:eastAsia="Amiri" w:cs="Amiri"/>
          <w:color w:val="111111"/>
          <w:sz w:val="28"/>
          <w:sz w:val="28"/>
          <w:szCs w:val="28"/>
          <w:rtl w:val="true"/>
          <w:lang w:bidi="ar-SA"/>
        </w:rPr>
        <w:t>مفردا في بعضها ومثنى في البعض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زرارة المسح على الجبهة على </w:t>
      </w:r>
      <w:r>
        <w:rPr>
          <w:rStyle w:val="FootnoteAnchor"/>
          <w:rtl w:val="true"/>
        </w:rPr>
        <w:footnoteReference w:id="1327"/>
      </w:r>
      <w:r>
        <w:rPr>
          <w:rFonts w:ascii="Amiri" w:hAnsi="Amiri" w:eastAsia="Amiri" w:cs="Amiri"/>
          <w:color w:val="111111"/>
          <w:sz w:val="28"/>
          <w:sz w:val="28"/>
          <w:szCs w:val="28"/>
          <w:rtl w:val="true"/>
          <w:lang w:bidi="ar-SA"/>
        </w:rPr>
        <w:t xml:space="preserve">ما رواها الشيخ </w:t>
      </w:r>
      <w:r>
        <w:rPr>
          <w:rStyle w:val="FootnoteAnchor"/>
          <w:rtl w:val="true"/>
        </w:rPr>
        <w:footnoteReference w:id="1328"/>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ورواه </w:t>
      </w:r>
      <w:r>
        <w:rPr>
          <w:rStyle w:val="FootnoteAnchor"/>
          <w:rtl w:val="true"/>
        </w:rPr>
        <w:footnoteReference w:id="1329"/>
      </w:r>
      <w:r>
        <w:rPr>
          <w:rFonts w:ascii="Amiri" w:hAnsi="Amiri" w:eastAsia="Amiri" w:cs="Amiri"/>
          <w:color w:val="111111"/>
          <w:sz w:val="28"/>
          <w:sz w:val="28"/>
          <w:szCs w:val="28"/>
          <w:rtl w:val="true"/>
          <w:lang w:bidi="ar-SA"/>
        </w:rPr>
        <w:t xml:space="preserve">الكليني في موضع آخر بإسناده عن الكليني </w:t>
      </w:r>
      <w:r>
        <w:rPr>
          <w:rStyle w:val="FootnoteAnchor"/>
          <w:rtl w:val="true"/>
        </w:rPr>
        <w:footnoteReference w:id="1330"/>
      </w:r>
      <w:r>
        <w:rPr>
          <w:rFonts w:ascii="Amiri" w:hAnsi="Amiri" w:eastAsia="Amiri" w:cs="Amiri"/>
          <w:color w:val="111111"/>
          <w:sz w:val="28"/>
          <w:sz w:val="28"/>
          <w:szCs w:val="28"/>
          <w:rtl w:val="true"/>
          <w:lang w:bidi="ar-SA"/>
        </w:rPr>
        <w:t xml:space="preserve">بلفظ الجبين </w:t>
      </w:r>
      <w:r>
        <w:rPr>
          <w:rStyle w:val="FootnoteAnchor"/>
          <w:rtl w:val="true"/>
        </w:rPr>
        <w:footnoteReference w:id="1331"/>
      </w:r>
      <w:r>
        <w:rPr>
          <w:rFonts w:ascii="Amiri" w:hAnsi="Amiri" w:eastAsia="Amiri" w:cs="Amiri"/>
          <w:color w:val="111111"/>
          <w:sz w:val="28"/>
          <w:sz w:val="28"/>
          <w:szCs w:val="28"/>
          <w:rtl w:val="true"/>
          <w:lang w:bidi="ar-SA"/>
        </w:rPr>
        <w:t>مكان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على المشهور هو الرواية الأخيرة على إحدى روايتيها ، وهي كما ترى لا تنهض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عليه بالجمع بين الأخبار بحمل الجبينين والوجه على الجبهة ؛ إذ ليس المراد بالجبين خصوص معناه للإجماع على عدم الاكتفاء به ، وحمل الرواية على بيان بعض الممسوح في مقام البيان بعيد جدّا ، فلا بدّ من إخراجه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فليحمل على الجبهة بعلاقة المجاورة ؛ لانطباقه على الرواية المتقدمة ، وانجباره بفهم الأصحاب ، مضافا إلى ذكر الجبين مفردا في غير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إطلاق </w:t>
      </w:r>
      <w:r>
        <w:rPr>
          <w:rStyle w:val="FootnoteAnchor"/>
          <w:rtl w:val="true"/>
        </w:rPr>
        <w:footnoteReference w:id="1332"/>
      </w:r>
      <w:r>
        <w:rPr>
          <w:rFonts w:ascii="Amiri" w:hAnsi="Amiri" w:eastAsia="Amiri" w:cs="Amiri"/>
          <w:color w:val="111111"/>
          <w:sz w:val="28"/>
          <w:sz w:val="28"/>
          <w:szCs w:val="28"/>
          <w:rtl w:val="true"/>
          <w:lang w:bidi="ar-SA"/>
        </w:rPr>
        <w:t xml:space="preserve">الجبين على الجبهة في غير واحد من الأخبار الواردة في السجود ، و </w:t>
      </w:r>
      <w:r>
        <w:rPr>
          <w:rStyle w:val="FootnoteAnchor"/>
          <w:rtl w:val="true"/>
        </w:rPr>
        <w:footnoteReference w:id="1333"/>
      </w:r>
      <w:r>
        <w:rPr>
          <w:rFonts w:ascii="Amiri" w:hAnsi="Amiri" w:eastAsia="Amiri" w:cs="Amiri"/>
          <w:color w:val="111111"/>
          <w:sz w:val="28"/>
          <w:sz w:val="28"/>
          <w:szCs w:val="28"/>
          <w:rtl w:val="true"/>
          <w:lang w:bidi="ar-SA"/>
        </w:rPr>
        <w:t xml:space="preserve">عليه يحمل </w:t>
      </w:r>
      <w:r>
        <w:rPr>
          <w:rStyle w:val="FootnoteAnchor"/>
          <w:rtl w:val="true"/>
        </w:rPr>
        <w:footnoteReference w:id="1334"/>
      </w:r>
      <w:r>
        <w:rPr>
          <w:rFonts w:ascii="Amiri" w:hAnsi="Amiri" w:eastAsia="Amiri" w:cs="Amiri"/>
          <w:color w:val="111111"/>
          <w:sz w:val="28"/>
          <w:sz w:val="28"/>
          <w:szCs w:val="28"/>
          <w:rtl w:val="true"/>
          <w:lang w:bidi="ar-SA"/>
        </w:rPr>
        <w:t>إطلاق الوجه في الأخبار ، سيّما ما دلّ على الاكتفاء فيه بالبعض ، بل قضية ذلك الاكتفاء بمطلق البعض ، فيحمل على خصوص الجبهة في غيره ؛ للإجماع على وجوب 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إطلاق الوجه على خصوص الجبهة في بعض أخبار السجود ، وعليه </w:t>
      </w:r>
      <w:r>
        <w:rPr>
          <w:rStyle w:val="FootnoteAnchor"/>
          <w:rtl w:val="true"/>
        </w:rPr>
        <w:footnoteReference w:id="1335"/>
      </w:r>
      <w:r>
        <w:rPr>
          <w:rFonts w:ascii="Amiri" w:hAnsi="Amiri" w:eastAsia="Amiri" w:cs="Amiri"/>
          <w:color w:val="111111"/>
          <w:sz w:val="28"/>
          <w:sz w:val="28"/>
          <w:szCs w:val="28"/>
          <w:rtl w:val="true"/>
          <w:lang w:bidi="ar-SA"/>
        </w:rPr>
        <w:t>يحمل إطلاق الوجه في الأخبار سيّما مما دلّ على الاكتفاء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كله لا ينهض حجة على ذلك ؛ إذ حمل الجبين على مجموع الجبهة والجبين أقرب ، مضافا إلى إطلاق </w:t>
      </w:r>
      <w:r>
        <w:rPr>
          <w:rStyle w:val="FootnoteAnchor"/>
          <w:rtl w:val="true"/>
        </w:rPr>
        <w:footnoteReference w:id="1336"/>
      </w:r>
      <w:r>
        <w:rPr>
          <w:rFonts w:ascii="Amiri" w:hAnsi="Amiri" w:eastAsia="Amiri" w:cs="Amiri"/>
          <w:color w:val="111111"/>
          <w:sz w:val="28"/>
          <w:sz w:val="28"/>
          <w:szCs w:val="28"/>
          <w:rtl w:val="true"/>
          <w:lang w:bidi="ar-SA"/>
        </w:rPr>
        <w:t xml:space="preserve">وروده بلفظ التثنية في بعضها ، بل هو كالصريح في خلاف ذلك ، مضافا إلى ورود مسح الوجه باليدين في عدّة من الأخبار ، والجبهة وحدها لا تزيد على </w:t>
      </w:r>
    </w:p>
    <w:p>
      <w:pPr>
        <w:pStyle w:val="BookText"/>
        <w:rPr/>
      </w:pPr>
      <w:r>
        <w:rPr>
          <w:rFonts w:ascii="Amiri" w:hAnsi="Amiri" w:eastAsia="Amiri" w:cs="Amiri"/>
          <w:color w:val="111111"/>
          <w:sz w:val="28"/>
          <w:sz w:val="28"/>
          <w:szCs w:val="28"/>
          <w:rtl w:val="true"/>
          <w:lang w:bidi="ar-SA"/>
        </w:rPr>
        <w:t>ثلاث أصابع أو أربع ، فيكون مسح الزائد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على استحباب الزائد خلاف ظاهر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مراعاة الاحتياط لقضاء اليقين </w:t>
      </w:r>
      <w:r>
        <w:rPr>
          <w:rStyle w:val="FootnoteAnchor"/>
          <w:rtl w:val="true"/>
        </w:rPr>
        <w:footnoteReference w:id="1337"/>
      </w:r>
      <w:r>
        <w:rPr>
          <w:rFonts w:ascii="Amiri" w:hAnsi="Amiri" w:eastAsia="Amiri" w:cs="Amiri"/>
          <w:color w:val="111111"/>
          <w:sz w:val="28"/>
          <w:sz w:val="28"/>
          <w:szCs w:val="28"/>
          <w:rtl w:val="true"/>
          <w:lang w:bidi="ar-SA"/>
        </w:rPr>
        <w:t>بالفراغ ، فعلم بذلك قوة القول بلزوم انضمام الجبين إلى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انضمام الحاجبين فلا دليل عليه سوى ما رواه مرسلا في الفقه ، وهي لا تنهض حجة في مثله إلا أن الأحوط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باستيعاب الوجه فالوجه فيه ما عرفت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بعد إعراض الأصحاب عن البناء على ظاهر إطلاقها ، وتنصيص الصحيح على خلافه ، ودلالة المستفيضة على تقييده ، مضافا إلى الإجماع المحكي على عدم وجوب استيعابه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قلنا يظهر الوجه في القول بالتخيير ، والوجه في ضعفه</w:t>
      </w:r>
      <w:r>
        <w:rPr>
          <w:rFonts w:eastAsia="Amiri" w:cs="Amiri" w:ascii="Amiri" w:hAnsi="Amiri"/>
          <w:color w:val="111111"/>
          <w:sz w:val="28"/>
          <w:szCs w:val="28"/>
          <w:rtl w:val="true"/>
          <w:lang w:bidi="ar-SA"/>
        </w:rPr>
        <w:t xml:space="preserve">. </w:t>
      </w:r>
      <w:bookmarkStart w:id="329" w:name="pg15839_360942"/>
    </w:p>
    <w:p>
      <w:pPr>
        <w:pStyle w:val="Heading4"/>
        <w:numPr>
          <w:ilvl w:val="3"/>
          <w:numId w:val="1"/>
        </w:numPr>
        <w:rPr/>
      </w:pPr>
      <w:bookmarkStart w:id="330" w:name="__RefHeading___Toc14338537_2142443653"/>
      <w:bookmarkStart w:id="331" w:name="_Toc121"/>
      <w:bookmarkEnd w:id="329"/>
      <w:bookmarkEnd w:id="330"/>
      <w:r>
        <w:rPr>
          <w:rtl w:val="true"/>
        </w:rPr>
        <w:t>تبصرة</w:t>
      </w:r>
      <w:r>
        <w:rPr>
          <w:rtl w:val="true"/>
        </w:rPr>
        <w:t xml:space="preserve">: [ </w:t>
      </w:r>
      <w:r>
        <w:rPr>
          <w:rtl w:val="true"/>
        </w:rPr>
        <w:t xml:space="preserve">في التيمّم قبل الوقت </w:t>
      </w:r>
      <w:r>
        <w:rPr>
          <w:rtl w:val="true"/>
        </w:rPr>
        <w:t>]</w:t>
      </w:r>
      <w:bookmarkEnd w:id="331"/>
    </w:p>
    <w:p>
      <w:pPr>
        <w:pStyle w:val="Heading5"/>
        <w:numPr>
          <w:ilvl w:val="4"/>
          <w:numId w:val="1"/>
        </w:numPr>
        <w:rPr/>
      </w:pPr>
      <w:bookmarkStart w:id="332" w:name="__RefHeading___Toc14338539_2142443653"/>
      <w:bookmarkStart w:id="333" w:name="_Toc122"/>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لا خلاف بيننا في عدم صحة التيمّم للصلاة قبل وقتها ، واختلفوا في صحته </w:t>
      </w:r>
      <w:r>
        <w:rPr>
          <w:rStyle w:val="FootnoteAnchor"/>
          <w:rtl w:val="true"/>
        </w:rPr>
        <w:footnoteReference w:id="1338"/>
      </w:r>
      <w:r>
        <w:rPr>
          <w:rFonts w:ascii="IRNazanin" w:hAnsi="IRNazanin" w:eastAsia="IRNazanin"/>
          <w:color w:val="111111"/>
          <w:sz w:val="28"/>
          <w:sz w:val="28"/>
          <w:szCs w:val="28"/>
          <w:rtl w:val="true"/>
          <w:lang w:bidi="fa-IR"/>
        </w:rPr>
        <w:t xml:space="preserve">لها بعد دخول </w:t>
      </w:r>
      <w:r>
        <w:rPr>
          <w:rStyle w:val="FootnoteAnchor"/>
          <w:rtl w:val="true"/>
        </w:rPr>
        <w:footnoteReference w:id="1339"/>
      </w:r>
      <w:r>
        <w:rPr>
          <w:rFonts w:ascii="IRNazanin" w:hAnsi="IRNazanin" w:eastAsia="IRNazanin"/>
          <w:color w:val="111111"/>
          <w:sz w:val="28"/>
          <w:sz w:val="28"/>
          <w:szCs w:val="28"/>
          <w:rtl w:val="true"/>
          <w:lang w:bidi="fa-IR"/>
        </w:rPr>
        <w:t xml:space="preserve">وقتها </w:t>
      </w:r>
      <w:r>
        <w:rPr>
          <w:rStyle w:val="FootnoteAnchor"/>
          <w:rtl w:val="true"/>
        </w:rPr>
        <w:footnoteReference w:id="1340"/>
      </w:r>
      <w:r>
        <w:rPr>
          <w:rFonts w:ascii="Amiri" w:hAnsi="Amiri" w:eastAsia="Amiri" w:cs="Amiri"/>
          <w:color w:val="111111"/>
          <w:sz w:val="28"/>
          <w:sz w:val="28"/>
          <w:szCs w:val="28"/>
          <w:rtl w:val="true"/>
          <w:lang w:bidi="ar-SA"/>
        </w:rPr>
        <w:t xml:space="preserve">قبل تضيّق </w:t>
      </w:r>
      <w:r>
        <w:rPr>
          <w:rStyle w:val="FootnoteAnchor"/>
          <w:rtl w:val="true"/>
        </w:rPr>
        <w:footnoteReference w:id="1341"/>
      </w:r>
      <w:r>
        <w:rPr>
          <w:rFonts w:ascii="IRNazanin" w:hAnsi="IRNazanin" w:eastAsia="IRNazanin"/>
          <w:color w:val="111111"/>
          <w:sz w:val="28"/>
          <w:sz w:val="28"/>
          <w:szCs w:val="28"/>
          <w:rtl w:val="true"/>
          <w:lang w:bidi="fa-IR"/>
        </w:rPr>
        <w:t xml:space="preserve">العمل بالأصل أو بالعارض على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بين الأصحاب ، وقد حكي الشهرة عليه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1342"/>
      </w:r>
      <w:r>
        <w:rPr>
          <w:rFonts w:ascii="Amiri" w:hAnsi="Amiri" w:eastAsia="Amiri" w:cs="Amiri"/>
          <w:color w:val="111111"/>
          <w:sz w:val="28"/>
          <w:sz w:val="28"/>
          <w:szCs w:val="28"/>
          <w:rtl w:val="true"/>
          <w:lang w:bidi="ar-SA"/>
        </w:rPr>
        <w:t xml:space="preserve">والشيخ </w:t>
      </w:r>
      <w:r>
        <w:rPr>
          <w:rStyle w:val="FootnoteAnchor"/>
          <w:rtl w:val="true"/>
        </w:rPr>
        <w:footnoteReference w:id="1343"/>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القول به عن المفيد والسيد والشيخ في أكثر كتبه ، والديلمي والحلبي والحلي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عن الصدوق ، وظاهر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العلامة </w:t>
      </w:r>
      <w:r>
        <w:rPr>
          <w:rStyle w:val="FootnoteAnchor"/>
          <w:rtl w:val="true"/>
        </w:rPr>
        <w:footnoteReference w:id="1345"/>
      </w:r>
      <w:r>
        <w:rPr>
          <w:rFonts w:ascii="Amiri" w:hAnsi="Amiri" w:eastAsia="Amiri" w:cs="Amiri"/>
          <w:color w:val="111111"/>
          <w:sz w:val="28"/>
          <w:sz w:val="28"/>
          <w:szCs w:val="28"/>
          <w:rtl w:val="true"/>
          <w:lang w:bidi="ar-SA"/>
        </w:rPr>
        <w:t>في غير واحد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به في البيان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غير واحد من المتأخرين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العذر المرجوّ الزوال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القول به عن الإسكافي واستجوده المحقق </w:t>
      </w:r>
      <w:r>
        <w:rPr>
          <w:rStyle w:val="FootnoteAnchor"/>
          <w:rtl w:val="true"/>
        </w:rPr>
        <w:footnoteReference w:id="1347"/>
      </w:r>
      <w:r>
        <w:rPr>
          <w:rFonts w:ascii="Amiri" w:hAnsi="Amiri" w:eastAsia="Amiri" w:cs="Amiri"/>
          <w:color w:val="111111"/>
          <w:sz w:val="28"/>
          <w:sz w:val="28"/>
          <w:szCs w:val="28"/>
          <w:rtl w:val="true"/>
          <w:lang w:bidi="ar-SA"/>
        </w:rPr>
        <w:t xml:space="preserve">، واختاره العلامة </w:t>
      </w:r>
      <w:r>
        <w:rPr>
          <w:rStyle w:val="FootnoteAnchor"/>
          <w:rtl w:val="true"/>
        </w:rPr>
        <w:footnoteReference w:id="1348"/>
      </w:r>
      <w:r>
        <w:rPr>
          <w:rFonts w:ascii="Amiri" w:hAnsi="Amiri" w:eastAsia="Amiri" w:cs="Amiri"/>
          <w:color w:val="111111"/>
          <w:sz w:val="28"/>
          <w:sz w:val="28"/>
          <w:szCs w:val="28"/>
          <w:rtl w:val="true"/>
          <w:lang w:bidi="ar-SA"/>
        </w:rPr>
        <w:t>في عدة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جماعة من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القول الأول بعد الإجماع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المشتملة على المعتبرة المستفيضة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تجد الماء وأردت التيمّم فأخّر التيمّم إلى آخر الوقت ، فإن فاتك الماء لم تفتك الأرض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 موثقة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موثقته </w:t>
      </w:r>
      <w:r>
        <w:rPr>
          <w:rStyle w:val="FootnoteAnchor"/>
          <w:rtl w:val="true"/>
        </w:rPr>
        <w:footnoteReference w:id="1350"/>
      </w:r>
      <w:r>
        <w:rPr>
          <w:rFonts w:ascii="Amiri" w:hAnsi="Amiri" w:eastAsia="Amiri" w:cs="Amiri"/>
          <w:color w:val="111111"/>
          <w:sz w:val="28"/>
          <w:sz w:val="28"/>
          <w:szCs w:val="28"/>
          <w:rtl w:val="true"/>
          <w:lang w:bidi="ar-SA"/>
        </w:rPr>
        <w:t xml:space="preserve">الأخرى المروية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رجل أجنب فلم يصيب الماء ، أيتيمم؟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آخر الوقت ، فإن فاته الماء لم تفته الأرض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يجد المسافر الماء فليطلب ما دام في الوقت فإن خاف أن يفوته الوقت فليتيمم وليصلّ في آخر الوقت ولا قضاء عليه ، وليتوضأ لما يستقبل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اعتضادها بالشهرة بين الأصحاب ، ومخالفتها لما هو المعروف بين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القول الثاني بعد الأصل والإطلاقات الكثيرة الآمرة بالتيمم عند فقد الماء أو عدم الوصلة إليه أو خوف العطش أو حصول المرض وغير ذلك ، ظاهر الآية الشريفة والأخبار المستفيضة الدالّة على أن من تيمّم وصلّى ثم وجد الماء في الوقت لم يلزمه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 يدلّ على التفصيل بين وجدانه في الوقت وخارجه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أصاب الماء وقد صلّى بتيمم وهو في 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w:t>
      </w:r>
      <w:r>
        <w:rPr>
          <w:rStyle w:val="FootnoteAnchor"/>
          <w:rtl w:val="true"/>
        </w:rPr>
        <w:footnoteReference w:id="1353"/>
      </w:r>
      <w:r>
        <w:rPr>
          <w:rFonts w:ascii="Amiri" w:hAnsi="Amiri" w:eastAsia="Amiri" w:cs="Amiri"/>
          <w:color w:val="111111"/>
          <w:sz w:val="28"/>
          <w:sz w:val="28"/>
          <w:szCs w:val="28"/>
          <w:rtl w:val="true"/>
          <w:lang w:bidi="ar-SA"/>
        </w:rPr>
        <w:t xml:space="preserve">صلاته ولا إعادة عليه </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رجل تيمم وصلّى ثم بلغ الماء قبل أن يخرج الوقت؟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إعادة الصلاة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الصادق عليه‌السلام عن الرجل في السفر لا يجد الماء تيمم وصلّى ثم أتى الماء وعليه شي‌ء من الوقت ، يمضي على صلاته أم يتوضأ ويعيد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على صلاته ، فإنّ رب الماء هو رب التراب </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 موثقة عليّ بن أسباط ، عن عمّه ، عن الصادق عليه‌السلام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يعقوب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 تيمم وصلّى فأصاب بعد صلاته ماء ليتوضأ </w:t>
      </w:r>
      <w:r>
        <w:rPr>
          <w:rStyle w:val="FootnoteAnchor"/>
          <w:rtl w:val="true"/>
        </w:rPr>
        <w:footnoteReference w:id="1358"/>
      </w:r>
      <w:r>
        <w:rPr>
          <w:rFonts w:ascii="Amiri" w:hAnsi="Amiri" w:eastAsia="Amiri" w:cs="Amiri"/>
          <w:color w:val="111111"/>
          <w:sz w:val="28"/>
          <w:sz w:val="28"/>
          <w:szCs w:val="28"/>
          <w:rtl w:val="true"/>
          <w:lang w:bidi="ar-SA"/>
        </w:rPr>
        <w:t xml:space="preserve">ويعيد الصلاة ، أم يجزيه صلاته؟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الماء قبل أن يمضي الوقت توضّأ وأعاد ، فإن مضى الوقت فلا إعادة عليه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وما بمعناها صريحة الدلالة على صحة التيمّم في السعة ، وحملها على وقوع التيمّم في السعة على ظنّ الضيق أو وقوعه لغير الصلاة الواجبة مما تضيق وقته بعيد جدّا لا داعي إليه سوى ظواهر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الندب أظهر جدّا من الحمل المذكور ؛ لسهولة الخطب في حمل الأمر والنهي على الندب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الأخبار ما يومي إلى الكراهة ، ففي قوية محمد بن حمران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تيمم ثم دخل في الصلاة وقد كان طلب الماء فلم يقدر عليه ، ثم يؤتى بالماء حين يدخل في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يمضى في الصلاة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ينبغي لأحد أن يتيمم إلا في آخر الوقت ، فإنه مع إيماء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الكراهة لا يخلو عن ظهور فيها بمقتضى المقام ، حيث أطلق الحكم بصحة الصلاة الواقعة بالتيمم المفروض ، ولو لا البناء على الصحة لوجب الاستفصال سيّما مع استظهار وقوعه في </w:t>
      </w:r>
    </w:p>
    <w:p>
      <w:pPr>
        <w:pStyle w:val="BookText"/>
        <w:rPr/>
      </w:pP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القول المذكور عدّة من الإطلاقات المشتملة على الصحاح الدالّة على صحة الصلاة الواقعة بالتيمم من غير حاجة إلى الإعادة بعد وجدان الماء الشاملة لما إذا وقع التيمّم في السعة من غير استفصال في الجواب ، مع إطلاق السؤال ، بل ظهوره في غير الضيق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 عن رجل يأتي الماء وهو جنب وقد صلّى؟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ولا يعيد الصلاة </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 عن رجل أجنب فتيمم بالصعيد وصلّى ثم وجد الماء؟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إن ربّ الماء ربّ الصعيد ، وقد فعل أحد الطهورين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التعليل إيماء إلى اتحاد حكم الترابية والمائية ، ففيها تأييد للحكم المذكور من تلك الجهة أيضا كغيرها من الأخبار الدالّة عليها كعموم التشبيه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 أو عموم المنزلة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بمنزلة الماء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 مضافا إلى إطلاق ظاهر رواية السكوني الدالّة على الاكتفاء بالطلب في الغلوة أو الغلوتين عدّة من الروايات الحاكمة بصحة الصلاة الواقعة بالتيمم إذا وجد الماء في أثنائها ، وفي غير واحد منها التفصيل بين الدخول في الركوع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صورة وقوع التيمّم في الضيق بعيد عن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فبملاحظة جميع ذلك يظهر ضعف القول الأول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365"/>
      </w:r>
      <w:r>
        <w:rPr>
          <w:rFonts w:ascii="Amiri" w:hAnsi="Amiri" w:eastAsia="Amiri" w:cs="Amiri"/>
          <w:color w:val="111111"/>
          <w:sz w:val="28"/>
          <w:sz w:val="28"/>
          <w:szCs w:val="28"/>
          <w:rtl w:val="true"/>
          <w:lang w:bidi="ar-SA"/>
        </w:rPr>
        <w:t>مجرد اعتضاد تلك الأخبار بمخالفة العامة والشهرة المدعاة لا يقضي بترجيحها ، والاستناد إلى الإجماع موهون بشهرة الخلاف فيه</w:t>
      </w:r>
      <w:r>
        <w:rPr>
          <w:rFonts w:eastAsia="Amiri" w:cs="Amiri" w:ascii="Amiri" w:hAnsi="Amiri"/>
          <w:color w:val="111111"/>
          <w:sz w:val="28"/>
          <w:szCs w:val="28"/>
          <w:rtl w:val="true"/>
          <w:lang w:bidi="ar-SA"/>
        </w:rPr>
        <w:t xml:space="preserve">. </w:t>
      </w:r>
      <w:bookmarkStart w:id="334" w:name="pg15839_360946"/>
    </w:p>
    <w:p>
      <w:pPr>
        <w:pStyle w:val="BookText"/>
        <w:rPr/>
      </w:pPr>
      <w:bookmarkEnd w:id="334"/>
      <w:r>
        <w:rPr>
          <w:rFonts w:ascii="Amiri" w:hAnsi="Amiri" w:eastAsia="Amiri" w:cs="Amiri"/>
          <w:color w:val="111111"/>
          <w:sz w:val="28"/>
          <w:sz w:val="28"/>
          <w:szCs w:val="28"/>
          <w:rtl w:val="true"/>
          <w:lang w:bidi="ar-SA"/>
        </w:rPr>
        <w:t>حجة القول الثالث الجمع بين الأخبار المذكورة مع إشعار معظم ما دلّ على المنع في السعة برجاء حصول الماء بعد ذلك ، فيقيّد سائر الإطلاقات بخصوص ذلك ، بل لا دلالة واضحة فيها على الجواز في غير تلك الصورة ؛ إذ ليست مسوقة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مفاد تلك الروايات لزوم تأخير التيمّم مع احتمال تحصيل الماء بعد ذلك ، ولو كان بعيدا ، وهو غير رجاء الحصول ، فلا ينطبق على مقصودهم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الأخبار الدالّة على التوسعة في الجملة مع اعتضادها بما عرفت مما لا ينبغي الريب فيها ، مضافا إلى انتفاء الفائدة في التأخير مع القطع بعدم وجود الماء ، مع تفويت فضيلة أول الوقت ، وعدم وجود دليل واضح على اعتبار الضيق كذلك ، وبعد البناء على ضعف القول المذكور لا وجه لحمل الأخبار المذكورة إلا على صورة رجاء الحصول ؛ إذ القول بالتفصيل ظاهر سوى ذلك ، وإن استوجه الشهيد الثاني في الروض </w:t>
      </w:r>
      <w:r>
        <w:rPr>
          <w:rStyle w:val="FootnoteAnchor"/>
          <w:rtl w:val="true"/>
        </w:rPr>
        <w:footnoteReference w:id="1366"/>
      </w:r>
      <w:r>
        <w:rPr>
          <w:rFonts w:ascii="Amiri" w:hAnsi="Amiri" w:eastAsia="Amiri" w:cs="Amiri"/>
          <w:color w:val="111111"/>
          <w:sz w:val="28"/>
          <w:sz w:val="28"/>
          <w:szCs w:val="28"/>
          <w:rtl w:val="true"/>
          <w:lang w:bidi="ar-SA"/>
        </w:rPr>
        <w:t>التفصيل بين العلم وعدمه إلا أنه لم يفت به ، فيدور الأمر إذن بين القول بالتفصيل أو التوسعة المطلقة ؛ حملا لتلك الأخبار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فيبنى على ثبوته بمجرد الاحتمال كما هو ظاهر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بل أقوى</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4338541_2142443653"/>
      <w:bookmarkStart w:id="336" w:name="_Toc123"/>
      <w:bookmarkEnd w:id="335"/>
      <w:r>
        <w:rPr>
          <w:rtl w:val="true"/>
        </w:rPr>
        <w:t xml:space="preserve">[ </w:t>
      </w:r>
      <w:r>
        <w:rPr>
          <w:rtl w:val="true"/>
        </w:rPr>
        <w:t xml:space="preserve">تنبيهات </w:t>
      </w:r>
      <w:r>
        <w:rPr>
          <w:rtl w:val="true"/>
        </w:rPr>
        <w:t>]</w:t>
      </w:r>
      <w:bookmarkEnd w:id="336"/>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عدم الفرق بين كون العذر المسوغ للتيمم فقدان الماء أو سائر الأعضاء المسوغة من المرض ، ونحوه غيره ، فلا فرق بينهما على القولين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منعقد على عدم التفصيل بالتأخير للفاقد دون المريض خائف الضرر ، بل الجواز مطلقا أو وجوب التأخير مطلقا مع الرجاء أو بدونه ، فالقول بالتفصيل </w:t>
      </w:r>
    </w:p>
    <w:p>
      <w:pPr>
        <w:pStyle w:val="BookText"/>
        <w:rPr/>
      </w:pPr>
      <w:r>
        <w:rPr>
          <w:rFonts w:ascii="Amiri" w:hAnsi="Amiri" w:eastAsia="Amiri" w:cs="Amiri"/>
          <w:color w:val="111111"/>
          <w:sz w:val="28"/>
          <w:sz w:val="28"/>
          <w:szCs w:val="28"/>
          <w:rtl w:val="true"/>
          <w:lang w:bidi="ar-SA"/>
        </w:rPr>
        <w:t>على هذا الوجه احداث قول مبطل لما حصل لنا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الحدائق </w:t>
      </w:r>
      <w:r>
        <w:rPr>
          <w:rStyle w:val="FootnoteAnchor"/>
          <w:rtl w:val="true"/>
        </w:rPr>
        <w:footnoteReference w:id="1368"/>
      </w:r>
      <w:r>
        <w:rPr>
          <w:rFonts w:ascii="Amiri" w:hAnsi="Amiri" w:eastAsia="Amiri" w:cs="Amiri"/>
          <w:color w:val="111111"/>
          <w:sz w:val="28"/>
          <w:sz w:val="28"/>
          <w:szCs w:val="28"/>
          <w:rtl w:val="true"/>
          <w:lang w:bidi="ar-SA"/>
        </w:rPr>
        <w:t>اختيار التفصيل المذكور ؛ استضعافا للإجماع المذكور ، وأخذا بظاهر الأخبار الدالّة على التضيق ؛ لاختصاص معظمها بفاقد الماء ، فيحمل مطلقها عليه ، ويبنى فيما عداه على التوسعة المطلقة ؛ أخذا بالإطلاقات وبما دلّ على فضيلة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مع الغضّ عن الإجماع المذكور لا داعي إلى حمل المطلق هنا على المقيّد لانتفاء المعارضة ، مضافا إلى ظهور تنقيح المناط ، فالوجه البناء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أيضا ضعف القول بإطلاق المضايقة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وقت الصلاة وهو على تيممه ففي جواز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337" w:name="pg15839_360948"/>
    </w:p>
    <w:p>
      <w:pPr>
        <w:pStyle w:val="Heading2"/>
        <w:numPr>
          <w:ilvl w:val="1"/>
          <w:numId w:val="1"/>
        </w:numPr>
        <w:rPr/>
      </w:pPr>
      <w:bookmarkStart w:id="338" w:name="__RefHeading___Toc14338543_2142443653"/>
      <w:bookmarkStart w:id="339" w:name="_Toc124"/>
      <w:bookmarkEnd w:id="337"/>
      <w:bookmarkEnd w:id="338"/>
      <w:r>
        <w:rPr>
          <w:rtl w:val="true"/>
        </w:rPr>
        <w:t>الباب الخامس</w:t>
      </w:r>
      <w:r>
        <w:rPr>
          <w:rtl w:val="true"/>
        </w:rPr>
        <w:t xml:space="preserve">: </w:t>
      </w:r>
      <w:r>
        <w:rPr>
          <w:rtl w:val="true"/>
        </w:rPr>
        <w:t>في أحكام الأموات</w:t>
      </w:r>
      <w:bookmarkEnd w:id="339"/>
    </w:p>
    <w:p>
      <w:pPr>
        <w:pStyle w:val="Heading3"/>
        <w:numPr>
          <w:ilvl w:val="2"/>
          <w:numId w:val="1"/>
        </w:numPr>
        <w:rPr/>
      </w:pPr>
      <w:bookmarkStart w:id="340" w:name="__RefHeading___Toc14338545_2142443653"/>
      <w:bookmarkStart w:id="341" w:name="_Toc125"/>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وفيه مقدمة ومباحث وخاتمة </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4338547_2142443653"/>
      <w:bookmarkStart w:id="343" w:name="_Toc126"/>
      <w:bookmarkEnd w:id="342"/>
      <w:r>
        <w:rPr>
          <w:rtl w:val="true"/>
        </w:rPr>
        <w:t>المقدمة</w:t>
      </w:r>
      <w:r>
        <w:rPr>
          <w:rtl w:val="true"/>
        </w:rPr>
        <w:t xml:space="preserve">: </w:t>
      </w:r>
      <w:r>
        <w:rPr>
          <w:rtl w:val="true"/>
        </w:rPr>
        <w:t>في بيان أحكام المرض والاحتضار</w:t>
      </w:r>
      <w:bookmarkEnd w:id="343"/>
    </w:p>
    <w:p>
      <w:pPr>
        <w:pStyle w:val="Heading4"/>
        <w:numPr>
          <w:ilvl w:val="3"/>
          <w:numId w:val="1"/>
        </w:numPr>
        <w:rPr/>
      </w:pPr>
      <w:bookmarkStart w:id="344" w:name="__RefHeading___Toc14338549_2142443653"/>
      <w:bookmarkStart w:id="345" w:name="_Toc127"/>
      <w:bookmarkEnd w:id="344"/>
      <w:r>
        <w:rPr>
          <w:rtl w:val="true"/>
        </w:rPr>
        <w:t>تبصرة</w:t>
      </w:r>
      <w:r>
        <w:rPr>
          <w:rtl w:val="true"/>
        </w:rPr>
        <w:t xml:space="preserve">: [ </w:t>
      </w:r>
      <w:r>
        <w:rPr>
          <w:rtl w:val="true"/>
        </w:rPr>
        <w:t xml:space="preserve">في الصبر على المرض </w:t>
      </w:r>
      <w:r>
        <w:rPr>
          <w:rtl w:val="true"/>
        </w:rPr>
        <w:t>]</w:t>
      </w:r>
      <w:bookmarkEnd w:id="345"/>
    </w:p>
    <w:p>
      <w:pPr>
        <w:pStyle w:val="BookText"/>
        <w:rPr/>
      </w:pPr>
      <w:r>
        <w:rPr>
          <w:rFonts w:ascii="Amiri" w:hAnsi="Amiri" w:eastAsia="Amiri" w:cs="Amiri"/>
          <w:color w:val="111111"/>
          <w:sz w:val="28"/>
          <w:sz w:val="28"/>
          <w:szCs w:val="28"/>
          <w:rtl w:val="true"/>
          <w:lang w:bidi="ar-SA"/>
        </w:rPr>
        <w:t>يستحب الصبر على المرض وترك الجزع ، فإن المرض من مواهب اللّه سبحانه ومحنة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الجابر الجعفي ، عن الباقر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أحبّ اللّه عبدا نظر إليه ، فإذا نظر إليه أتحفه من ثلاثة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صداع وإما حمى وإما رمد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حمى ليلة كفارة سنة </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w:t>
      </w:r>
      <w:r>
        <w:rPr>
          <w:rStyle w:val="FootnoteAnchor"/>
          <w:rtl w:val="true"/>
        </w:rPr>
        <w:footnoteReference w:id="1372"/>
      </w:r>
      <w:r>
        <w:rPr>
          <w:rFonts w:ascii="Amiri" w:hAnsi="Amiri" w:eastAsia="Amiri" w:cs="Amiri"/>
          <w:color w:val="111111"/>
          <w:sz w:val="28"/>
          <w:sz w:val="28"/>
          <w:szCs w:val="28"/>
          <w:rtl w:val="true"/>
          <w:lang w:bidi="ar-SA"/>
        </w:rPr>
        <w:t xml:space="preserve">ألمها يبقى في الجسد إلى سنة </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صداع ليلة تحطّ كلّ الخطيئة </w:t>
      </w:r>
      <w:r>
        <w:rPr>
          <w:rStyle w:val="FootnoteAnchor"/>
          <w:rtl w:val="true"/>
        </w:rPr>
        <w:footnoteReference w:id="1374"/>
      </w:r>
      <w:r>
        <w:rPr>
          <w:rFonts w:ascii="Amiri" w:hAnsi="Amiri" w:eastAsia="Amiri" w:cs="Amiri"/>
          <w:color w:val="111111"/>
          <w:sz w:val="28"/>
          <w:sz w:val="28"/>
          <w:szCs w:val="28"/>
          <w:rtl w:val="true"/>
          <w:lang w:bidi="ar-SA"/>
        </w:rPr>
        <w:t xml:space="preserve">إلا الكبائر </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حمى ليلة كفارة لما قبلها وما بعدها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المرض ينقى </w:t>
      </w:r>
      <w:r>
        <w:rPr>
          <w:rStyle w:val="FootnoteAnchor"/>
          <w:rtl w:val="true"/>
        </w:rPr>
        <w:footnoteReference w:id="1377"/>
      </w:r>
      <w:r>
        <w:rPr>
          <w:rFonts w:ascii="Amiri" w:hAnsi="Amiri" w:eastAsia="Amiri" w:cs="Amiri"/>
          <w:color w:val="111111"/>
          <w:sz w:val="28"/>
          <w:sz w:val="28"/>
          <w:szCs w:val="28"/>
          <w:rtl w:val="true"/>
          <w:lang w:bidi="ar-SA"/>
        </w:rPr>
        <w:t xml:space="preserve">الجسد من الذنوب كما يذهب الكير خبث الحديد ، وإذا مرض الصبيّ كان مرضه كفّارة لوالديه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اشتكى ليلة فقبلها بقبولها وأدّى إلى اللّه كانت له كفّارة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قبلها بقبولها؟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على ما كان فيها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اشتكى فصبر واحتسب كتب اللّه له من الأجر أجر ألف شهيد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للمريض أربع خصال يرفع </w:t>
      </w:r>
      <w:r>
        <w:rPr>
          <w:rStyle w:val="FootnoteAnchor"/>
          <w:rtl w:val="true"/>
        </w:rPr>
        <w:footnoteReference w:id="1381"/>
      </w:r>
      <w:r>
        <w:rPr>
          <w:rFonts w:ascii="Amiri" w:hAnsi="Amiri" w:eastAsia="Amiri" w:cs="Amiri"/>
          <w:color w:val="111111"/>
          <w:sz w:val="28"/>
          <w:sz w:val="28"/>
          <w:szCs w:val="28"/>
          <w:rtl w:val="true"/>
          <w:lang w:bidi="ar-SA"/>
        </w:rPr>
        <w:t xml:space="preserve">اللّه عنه القلم ويأمر اللّه الملك يكتب له كلّ فضل كان يعمله في صحته ويتبع مرضه كل عضو في جسده فيستخرج ذنوبه منه ، فإن مات مات مغفورا له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مرض المسلم كتب اللّه له كأحسن ما كان يعمله في صحته وتساقطت ذنوبه كما يتساقط ورق الشجر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يستأنفون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إذا برء والمشرك إذا أسلم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قال لأصحابه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كلّ مال لا يزكّى ، ملعون كل جسد لا يزكى ، ولو في كل أربعين يوما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زكاة المال فقد عرفناها ، فما زكاة الأجساد؟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أن يصاب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فتغيّرت وجوه القوم الذين سمعوا ذلك منه ، فلمّا رآهم قد تغيّرت ألوانهم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عنيت بقولي؟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يخدش الخدش وينكب النكبة ويعثر العثرة ويمرض المرضة ويشاك الشوكة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ذكر في آخر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اختلاج العين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سلب أحد كريمته إلا عوضه اللّه منه الجنّة </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المستفيضة </w:t>
      </w:r>
      <w:r>
        <w:rPr>
          <w:rStyle w:val="FootnoteAnchor"/>
          <w:rtl w:val="true"/>
        </w:rPr>
        <w:footnoteReference w:id="1387"/>
      </w:r>
      <w:r>
        <w:rPr>
          <w:rFonts w:ascii="Amiri" w:hAnsi="Amiri" w:eastAsia="Amiri" w:cs="Amiri"/>
          <w:color w:val="111111"/>
          <w:sz w:val="28"/>
          <w:sz w:val="28"/>
          <w:szCs w:val="28"/>
          <w:rtl w:val="true"/>
          <w:lang w:bidi="ar-SA"/>
        </w:rPr>
        <w:t>أنّ المرض يطهّر المؤمن من الذنوب وأنه لا أجر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أمير المؤمنين </w:t>
      </w:r>
      <w:r>
        <w:rPr>
          <w:rStyle w:val="FootnoteAnchor"/>
          <w:rtl w:val="true"/>
        </w:rPr>
        <w:footnoteReference w:id="1388"/>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المرض لا أجر فيه ولكن لا يدع على العبد ذنبا إلا حطّه وإنما الأجر في القول باللسان والعمل بالجوارح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عليه‌السلام أراد بذلك الأجر إن ما </w:t>
      </w:r>
      <w:r>
        <w:rPr>
          <w:rStyle w:val="FootnoteAnchor"/>
          <w:rtl w:val="true"/>
        </w:rPr>
        <w:footnoteReference w:id="1390"/>
      </w:r>
      <w:r>
        <w:rPr>
          <w:rFonts w:ascii="Amiri" w:hAnsi="Amiri" w:eastAsia="Amiri" w:cs="Amiri"/>
          <w:color w:val="111111"/>
          <w:sz w:val="28"/>
          <w:sz w:val="28"/>
          <w:szCs w:val="28"/>
          <w:rtl w:val="true"/>
          <w:lang w:bidi="ar-SA"/>
        </w:rPr>
        <w:t>يترتب على إظهاره الشكر والصبر ونحوهما من الأعمال القولية أو الفعلية دون نفس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عنه عليه‌السلام أنه عاد سلمان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شيعتنا يصيبه وجع إلا بذنب قد سبق منه ، وذلك الوجع </w:t>
      </w:r>
      <w:r>
        <w:rPr>
          <w:rStyle w:val="FootnoteAnchor"/>
          <w:rtl w:val="true"/>
        </w:rPr>
        <w:footnoteReference w:id="1391"/>
      </w:r>
      <w:r>
        <w:rPr>
          <w:rFonts w:ascii="Amiri" w:hAnsi="Amiri" w:eastAsia="Amiri" w:cs="Amiri"/>
          <w:color w:val="111111"/>
          <w:sz w:val="28"/>
          <w:sz w:val="28"/>
          <w:szCs w:val="28"/>
          <w:rtl w:val="true"/>
          <w:lang w:bidi="ar-SA"/>
        </w:rPr>
        <w:t xml:space="preserve">تطهير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في شي‌ء من ذلك أجر خلا التطهير؟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الأجر بالصبر عليه والتضرّع إلى اللّه والدعاء </w:t>
      </w:r>
      <w:r>
        <w:rPr>
          <w:rStyle w:val="FootnoteAnchor"/>
          <w:rtl w:val="true"/>
        </w:rPr>
        <w:footnoteReference w:id="1392"/>
      </w:r>
      <w:r>
        <w:rPr>
          <w:rFonts w:ascii="IRNazanin" w:hAnsi="IRNazanin" w:eastAsia="IRNazanin"/>
          <w:color w:val="111111"/>
          <w:sz w:val="28"/>
          <w:sz w:val="28"/>
          <w:szCs w:val="28"/>
          <w:rtl w:val="true"/>
          <w:lang w:bidi="fa-IR"/>
        </w:rPr>
        <w:t xml:space="preserve">له بهما </w:t>
      </w:r>
    </w:p>
    <w:p>
      <w:pPr>
        <w:pStyle w:val="BookText"/>
        <w:rPr/>
      </w:pPr>
      <w:r>
        <w:rPr>
          <w:rFonts w:ascii="Amiri" w:hAnsi="Amiri" w:eastAsia="Amiri" w:cs="Amiri"/>
          <w:color w:val="111111"/>
          <w:sz w:val="28"/>
          <w:sz w:val="28"/>
          <w:szCs w:val="28"/>
          <w:rtl w:val="true"/>
          <w:lang w:bidi="ar-SA"/>
        </w:rPr>
        <w:t xml:space="preserve">تكتب لكم الحسنات وترفع لكم الدرجات ، وأما </w:t>
      </w:r>
      <w:r>
        <w:rPr>
          <w:rStyle w:val="FootnoteAnchor"/>
          <w:rtl w:val="true"/>
        </w:rPr>
        <w:footnoteReference w:id="1393"/>
      </w:r>
      <w:r>
        <w:rPr>
          <w:rFonts w:ascii="Amiri" w:hAnsi="Amiri" w:eastAsia="Amiri" w:cs="Amiri"/>
          <w:color w:val="111111"/>
          <w:sz w:val="28"/>
          <w:sz w:val="28"/>
          <w:szCs w:val="28"/>
          <w:rtl w:val="true"/>
          <w:lang w:bidi="ar-SA"/>
        </w:rPr>
        <w:t xml:space="preserve">الوجع خاصّة فهو تطهير وكفّارة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في النهج أنه عليه‌السلام قال لبعض أصحابه في علة اعتلها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ما كان من شكواك حطا لسيّئاتك ، فإن المرض لا أجر فيه ولكنه يحطّ السيئات ويحتّها حتّ الأوراق ، إنما الأجر في القول باللسان والعمل بالأيدي والأقدام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وبنى السيد قدّس سره كلامه عليه‌السلام على الفرق بين الأجر والعوض ، فإن الأجر إنما يكون في مقابلة الأفعال الاختيارية الصادرة من العبد ، والعوض أعم منه ، فقد يكون بإزاء فعل اللّه بالعبد من الآلام والأسقام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بعيد عن ظاهر الأخبار المذكورة إلا أنه يناسب الجمع بين الأخبار ؛ لدلالة الأخبار المستفيضة أيضا على حصول الأجر به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أنين المريض تسبيح وصياحه تهليل ونومه على فراشه </w:t>
      </w:r>
      <w:r>
        <w:rPr>
          <w:rStyle w:val="FootnoteAnchor"/>
          <w:rtl w:val="true"/>
        </w:rPr>
        <w:footnoteReference w:id="1396"/>
      </w:r>
      <w:r>
        <w:rPr>
          <w:rFonts w:ascii="Amiri" w:hAnsi="Amiri" w:eastAsia="Amiri" w:cs="Amiri"/>
          <w:color w:val="111111"/>
          <w:sz w:val="28"/>
          <w:sz w:val="28"/>
          <w:szCs w:val="28"/>
          <w:rtl w:val="true"/>
          <w:lang w:bidi="ar-SA"/>
        </w:rPr>
        <w:t xml:space="preserve">عبادة وتقلّبه جنبا إلى جنب فكأنما جاهد </w:t>
      </w:r>
      <w:r>
        <w:rPr>
          <w:rStyle w:val="FootnoteAnchor"/>
          <w:rtl w:val="true"/>
        </w:rPr>
        <w:footnoteReference w:id="1397"/>
      </w:r>
      <w:r>
        <w:rPr>
          <w:rFonts w:ascii="Amiri" w:hAnsi="Amiri" w:eastAsia="Amiri" w:cs="Amiri"/>
          <w:color w:val="111111"/>
          <w:sz w:val="28"/>
          <w:sz w:val="28"/>
          <w:szCs w:val="28"/>
          <w:rtl w:val="true"/>
          <w:lang w:bidi="ar-SA"/>
        </w:rPr>
        <w:t xml:space="preserve">عدوّ اللّه ويمشي في الناس وما عليه ذنب </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عليه‌السلام ما التي من الأوجاع وكان سقاما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المؤمن ما له من الأجر في المصائب لتمنّى أن يقرض بالمقاريض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سهر ليلة في العلة التي يصيب المؤمن عبادة سنة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ليتعاهد المؤمن بالبلاء إما بمرض في جسده أو بمصيبة في أهل ومال أو مصيبة من مصائب الدنيا ليأجر عليها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إلا وهو يذكر في كل أربعين يوما ببلاء إما في ماله أو ولده أو في نفسه فيؤجر عليه ، وهو </w:t>
      </w:r>
      <w:r>
        <w:rPr>
          <w:rStyle w:val="FootnoteAnchor"/>
          <w:rtl w:val="true"/>
        </w:rPr>
        <w:footnoteReference w:id="1403"/>
      </w:r>
      <w:r>
        <w:rPr>
          <w:rFonts w:ascii="Amiri" w:hAnsi="Amiri" w:eastAsia="Amiri" w:cs="Amiri"/>
          <w:color w:val="111111"/>
          <w:sz w:val="28"/>
          <w:sz w:val="28"/>
          <w:szCs w:val="28"/>
          <w:rtl w:val="true"/>
          <w:lang w:bidi="ar-SA"/>
        </w:rPr>
        <w:t xml:space="preserve">لا يدرى أين هو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حمى ليلة تعدل عبادة سنة ، وحمى ليلتين تعدل عبادة سنتين ، وحمى ثلاث تعدل عبادة سبعين سنة </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ذكرنا يكون المراد بالأجر في رواية ابن أبي يعفور مطلق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بإرادة ترتب الأجر في هذه الأخبار على الصبر وإظهار الشكر ونحوها دون نفس المرض حسب ما أشار إليه عليه‌السلام في الرواية المتقدمة ، وكأنّ هذا أوفق بظاهر الأخبار في مقام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له أيضا ترك الشكوى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مرض يوما وليلة فلم يشك إلى عوّاده </w:t>
      </w:r>
      <w:r>
        <w:rPr>
          <w:rStyle w:val="FootnoteAnchor"/>
          <w:rtl w:val="true"/>
        </w:rPr>
        <w:footnoteReference w:id="1406"/>
      </w:r>
      <w:r>
        <w:rPr>
          <w:rFonts w:ascii="Amiri" w:hAnsi="Amiri" w:eastAsia="Amiri" w:cs="Amiri"/>
          <w:color w:val="111111"/>
          <w:sz w:val="28"/>
          <w:sz w:val="28"/>
          <w:szCs w:val="28"/>
          <w:rtl w:val="true"/>
          <w:lang w:bidi="ar-SA"/>
        </w:rPr>
        <w:t xml:space="preserve">بعثه اللّه يوم القيامة مع إبراهيم خليل الرحمن عليه‌السلام حتى يجوز الصراط كالبرق اللامع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غير واحد من الأخبار أن المراد بالشكوى تعظيم ما ابتلي به من المرض وتشديد أمره دون مجرّد بيان ما 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الشكوى أن تقول قد ابتليت بما لم يبتل به أحد أو تقول لقد أصابني ما لم يصب أحدا وليس الشكوى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سهرت البارحة وحممت اليوم ونحو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الشكاية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البارحة </w:t>
      </w:r>
      <w:r>
        <w:rPr>
          <w:rStyle w:val="FootnoteAnchor"/>
          <w:rtl w:val="true"/>
        </w:rPr>
        <w:footnoteReference w:id="1409"/>
      </w:r>
      <w:r>
        <w:rPr>
          <w:rFonts w:ascii="Amiri" w:hAnsi="Amiri" w:eastAsia="Amiri" w:cs="Amiri"/>
          <w:color w:val="111111"/>
          <w:sz w:val="28"/>
          <w:sz w:val="28"/>
          <w:szCs w:val="28"/>
          <w:rtl w:val="true"/>
          <w:lang w:bidi="ar-SA"/>
        </w:rPr>
        <w:t xml:space="preserve">ولكن الشكاية أن يقول ابتليت بما لم يبتل به أحد </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ينزّل الخبران على أن مجرد الإخبار بالواقع ليس بشكاية ، وإنما الشكوى هو المشتكى </w:t>
      </w:r>
      <w:r>
        <w:rPr>
          <w:rStyle w:val="FootnoteAnchor"/>
          <w:rtl w:val="true"/>
        </w:rPr>
        <w:footnoteReference w:id="1411"/>
      </w:r>
      <w:r>
        <w:rPr>
          <w:rFonts w:ascii="Amiri" w:hAnsi="Amiri" w:eastAsia="Amiri" w:cs="Amiri"/>
          <w:color w:val="111111"/>
          <w:sz w:val="28"/>
          <w:sz w:val="28"/>
          <w:szCs w:val="28"/>
          <w:rtl w:val="true"/>
          <w:lang w:bidi="ar-SA"/>
        </w:rPr>
        <w:t>عن حال المرض ، ولو كان ذلك بيان الواقع سواء كان بيان الواقع مقصودا له أيضا أو لم يتعلق قصده إلا بالشكاية ، بخلاف ما إذا لم يقصد إلا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الأخبار رجحان عدم الإظهار مطلقا ، فعن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مرضا </w:t>
      </w:r>
      <w:r>
        <w:rPr>
          <w:rStyle w:val="FootnoteAnchor"/>
          <w:rtl w:val="true"/>
        </w:rPr>
        <w:footnoteReference w:id="1412"/>
      </w:r>
      <w:r>
        <w:rPr>
          <w:rFonts w:ascii="Amiri" w:hAnsi="Amiri" w:eastAsia="Amiri" w:cs="Amiri"/>
          <w:color w:val="111111"/>
          <w:sz w:val="28"/>
          <w:sz w:val="28"/>
          <w:szCs w:val="28"/>
          <w:rtl w:val="true"/>
          <w:lang w:bidi="ar-SA"/>
        </w:rPr>
        <w:t xml:space="preserve">أصابه ثلاثة أيام من الناس ، وشكى إلى اللّه عزوجل كان حقّا على اللّه أن يعافيه منه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اخبركم بخمس خصال هي </w:t>
      </w:r>
      <w:r>
        <w:rPr>
          <w:rStyle w:val="FootnoteAnchor"/>
          <w:rtl w:val="true"/>
        </w:rPr>
        <w:footnoteReference w:id="1414"/>
      </w:r>
      <w:r>
        <w:rPr>
          <w:rFonts w:ascii="Amiri" w:hAnsi="Amiri" w:eastAsia="Amiri" w:cs="Amiri"/>
          <w:color w:val="111111"/>
          <w:sz w:val="28"/>
          <w:sz w:val="28"/>
          <w:szCs w:val="28"/>
          <w:rtl w:val="true"/>
          <w:lang w:bidi="ar-SA"/>
        </w:rPr>
        <w:t xml:space="preserve">من البر ، والبر يدعو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إخفاء المصيبة وكتمانها </w:t>
      </w:r>
      <w:r>
        <w:rPr>
          <w:rFonts w:eastAsia="Amiri" w:cs="Amiri" w:ascii="Amiri" w:hAnsi="Amiri"/>
          <w:color w:val="111111"/>
          <w:sz w:val="28"/>
          <w:szCs w:val="28"/>
          <w:rtl w:val="true"/>
          <w:lang w:bidi="ar-SA"/>
        </w:rPr>
        <w:t xml:space="preserve">.. » </w:t>
      </w:r>
      <w:r>
        <w:rPr>
          <w:rStyle w:val="FootnoteAnchor"/>
          <w:rtl w:val="true"/>
        </w:rPr>
        <w:footnoteReference w:id="141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من كنوز الجنة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الحاجة وكتمان الصدقة وكتمان المرض وكتمان المصيبة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آخر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كنوز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منها كتمان الوجع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يظهر من بعض الأخبار رجحان الصبر على المرض والرضا به بحيث لا يريد من اللّه سبحانه رفع ذلك عنه ، فلا يدعو لنفسه برفع ذلك البلاء ، بل يكون راضيا بما رضي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مرضا شديدا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أشتهى أن أكون ممن لا أقترح على اللّه ربي ما يدبّره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ضاهيت إبراهيم الخليل عليه‌السلام حيث 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أقترح على ربي بل حسبي اللّه ونعم الوكيل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استحباب الدعاء بالشفاء وكشف البلاء ، فإن ذلك مقام وذاك مقام آخر لكل منهما جهة 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بعض الأخبار الرخصة في الشكاية إلى إخوانه المؤمنين ويخصّص المنع من الشكاية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نزلت بك نازلة فلا </w:t>
      </w:r>
      <w:r>
        <w:rPr>
          <w:rFonts w:eastAsia="Amiri" w:cs="Amiri" w:ascii="Amiri" w:hAnsi="Amiri"/>
          <w:color w:val="111111"/>
          <w:sz w:val="28"/>
          <w:szCs w:val="28"/>
          <w:rtl w:val="true"/>
          <w:lang w:bidi="ar-SA"/>
        </w:rPr>
        <w:t xml:space="preserve">... »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w:t>
      </w:r>
      <w:r>
        <w:rPr>
          <w:rStyle w:val="FootnoteAnchor"/>
          <w:rtl w:val="true"/>
        </w:rPr>
        <w:footnoteReference w:id="1421"/>
      </w:r>
      <w:r>
        <w:rPr>
          <w:rFonts w:ascii="Amiri" w:hAnsi="Amiri" w:eastAsia="Amiri" w:cs="Amiri"/>
          <w:color w:val="111111"/>
          <w:sz w:val="28"/>
          <w:sz w:val="28"/>
          <w:szCs w:val="28"/>
          <w:rtl w:val="true"/>
          <w:lang w:bidi="ar-SA"/>
        </w:rPr>
        <w:t>أن يتذكر الموت ليعزم على الطاعات وترك الأسواء ، فتغير حاله مما هو عليه إذا عافاه اللّه تعالى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اشتكى العبد ثم عوفي فلم يحدث خيرا ولم يكف عن سوء لقيت الملائكة بعضها بعضا يعني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داويناه فلم ينفعه الدواء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لا يراجع الأطباء في مرضه إلا عند الحاجة ، فقد روي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تجنب الدواء ما احتمل بدنك الدواء </w:t>
      </w:r>
      <w:r>
        <w:rPr>
          <w:rStyle w:val="FootnoteAnchor"/>
          <w:rtl w:val="true"/>
        </w:rPr>
        <w:footnoteReference w:id="1423"/>
      </w:r>
      <w:r>
        <w:rPr>
          <w:rFonts w:ascii="Amiri" w:hAnsi="Amiri" w:eastAsia="Amiri" w:cs="Amiri"/>
          <w:color w:val="111111"/>
          <w:sz w:val="28"/>
          <w:sz w:val="28"/>
          <w:szCs w:val="28"/>
          <w:rtl w:val="true"/>
          <w:lang w:bidi="ar-SA"/>
        </w:rPr>
        <w:t xml:space="preserve">فإذا لم يحتمل الدواء فالدواء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w:t>
      </w:r>
      <w:r>
        <w:rPr>
          <w:rStyle w:val="FootnoteAnchor"/>
          <w:rtl w:val="true"/>
        </w:rPr>
        <w:footnoteReference w:id="1425"/>
      </w:r>
      <w:r>
        <w:rPr>
          <w:rFonts w:ascii="Amiri" w:hAnsi="Amiri" w:eastAsia="Amiri" w:cs="Amiri"/>
          <w:color w:val="111111"/>
          <w:sz w:val="28"/>
          <w:sz w:val="28"/>
          <w:szCs w:val="28"/>
          <w:rtl w:val="true"/>
          <w:lang w:bidi="ar-SA"/>
        </w:rPr>
        <w:t xml:space="preserve">معالجة الأطباء ما اندفع الداء عنكم ، فإنه بمنزلة البناء قليله يجرّ إلى كثيره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لا يطرح نفسه على الأرض ويخلد إلى النوم على الفراش ما استطاع القيام ؛ لما في النهج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امش بدائك ما أمشى </w:t>
      </w:r>
      <w:r>
        <w:rPr>
          <w:rStyle w:val="FootnoteAnchor"/>
          <w:rtl w:val="true"/>
        </w:rPr>
        <w:footnoteReference w:id="1427"/>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تضطجع ما استطعت القيام مع العلة </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ويدعو بالدعوات المأثورة للمريض ولخصوص بعض الأمراض ، وأن يستشفي </w:t>
      </w:r>
      <w:r>
        <w:rPr>
          <w:rStyle w:val="FootnoteAnchor"/>
          <w:rtl w:val="true"/>
        </w:rPr>
        <w:footnoteReference w:id="1430"/>
      </w:r>
      <w:r>
        <w:rPr>
          <w:rFonts w:ascii="Amiri" w:hAnsi="Amiri" w:eastAsia="Amiri" w:cs="Amiri"/>
          <w:color w:val="111111"/>
          <w:sz w:val="28"/>
          <w:sz w:val="28"/>
          <w:szCs w:val="28"/>
          <w:rtl w:val="true"/>
          <w:lang w:bidi="ar-SA"/>
        </w:rPr>
        <w:t xml:space="preserve">بالتربة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المقرّر في محله ، وأن يستعمل الدواء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نبيا من الأنبياء مرض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أتداوى حتى يكون الذي أمرضني هو يشفيني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أشفيك حتّى تتداوى فإن الشفاء مني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يدعو لنفسه بالشفاء ، فعن العالم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داء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داء دعاء </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يتصدق بما تيسّر له ، فإن الصدقة من أعظم ما تدفع به البليّة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يعطي السائل بيده ، ويأمر السائل أن يدعو له </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كما روى الصادق عليه‌السلام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السعي في قضاء حاجة المريض سيّما إذا كان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لمريض في حاجة قضاها أو لم يقضها خرج من ذنوبه كيوم ولدته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المريض من أهل بيته أو ليس ذلك </w:t>
      </w:r>
      <w:r>
        <w:rPr>
          <w:rStyle w:val="FootnoteAnchor"/>
          <w:rtl w:val="true"/>
        </w:rPr>
        <w:footnoteReference w:id="1434"/>
      </w:r>
      <w:r>
        <w:rPr>
          <w:rFonts w:ascii="Amiri" w:hAnsi="Amiri" w:eastAsia="Amiri" w:cs="Amiri"/>
          <w:color w:val="111111"/>
          <w:sz w:val="28"/>
          <w:sz w:val="28"/>
          <w:szCs w:val="28"/>
          <w:rtl w:val="true"/>
          <w:lang w:bidi="ar-SA"/>
        </w:rPr>
        <w:t xml:space="preserve">أجرا إذا سعى في حاجة أهل بيته؟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يطعمه ما يشتهيه إذا لم يكن مضرّا بحاله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أطعم مريضا شهواته أطعمه اللّه من ثمار الجنة </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يتمرض من غير علة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أيؤجر الخلق كلهم من الناس؟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 منهم التارك للسؤاك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والمتمرّض من غير علة والمتشمّت </w:t>
      </w:r>
      <w:r>
        <w:rPr>
          <w:rStyle w:val="FootnoteAnchor"/>
          <w:rtl w:val="true"/>
        </w:rPr>
        <w:footnoteReference w:id="1437"/>
      </w:r>
      <w:r>
        <w:rPr>
          <w:rFonts w:ascii="Amiri" w:hAnsi="Amiri" w:eastAsia="Amiri" w:cs="Amiri"/>
          <w:color w:val="111111"/>
          <w:sz w:val="28"/>
          <w:sz w:val="28"/>
          <w:szCs w:val="28"/>
          <w:rtl w:val="true"/>
          <w:lang w:bidi="ar-SA"/>
        </w:rPr>
        <w:t xml:space="preserve">من غير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1438"/>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346" w:name="pg15839_360957"/>
    </w:p>
    <w:p>
      <w:pPr>
        <w:pStyle w:val="Heading4"/>
        <w:numPr>
          <w:ilvl w:val="3"/>
          <w:numId w:val="1"/>
        </w:numPr>
        <w:rPr/>
      </w:pPr>
      <w:bookmarkStart w:id="347" w:name="__RefHeading___Toc14338551_2142443653"/>
      <w:bookmarkStart w:id="348" w:name="_Toc128"/>
      <w:bookmarkEnd w:id="346"/>
      <w:bookmarkEnd w:id="347"/>
      <w:r>
        <w:rPr>
          <w:rtl w:val="true"/>
        </w:rPr>
        <w:t>تبصرة</w:t>
      </w:r>
      <w:r>
        <w:rPr>
          <w:rtl w:val="true"/>
        </w:rPr>
        <w:t xml:space="preserve">: [ </w:t>
      </w:r>
      <w:r>
        <w:rPr>
          <w:rtl w:val="true"/>
        </w:rPr>
        <w:t xml:space="preserve">في عيادة المريض </w:t>
      </w:r>
      <w:r>
        <w:rPr>
          <w:rtl w:val="true"/>
        </w:rPr>
        <w:t>]</w:t>
      </w:r>
      <w:bookmarkEnd w:id="348"/>
    </w:p>
    <w:p>
      <w:pPr>
        <w:pStyle w:val="BookText"/>
        <w:rPr/>
      </w:pPr>
      <w:r>
        <w:rPr>
          <w:rFonts w:ascii="Amiri" w:hAnsi="Amiri" w:eastAsia="Amiri" w:cs="Amiri"/>
          <w:color w:val="111111"/>
          <w:sz w:val="28"/>
          <w:sz w:val="28"/>
          <w:szCs w:val="28"/>
          <w:rtl w:val="true"/>
          <w:lang w:bidi="ar-SA"/>
        </w:rPr>
        <w:t xml:space="preserve">يستحب عيادة المريض ، 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 مريضا نادى مناد من السماء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w:t>
      </w:r>
      <w:r>
        <w:rPr>
          <w:rStyle w:val="FootnoteAnchor"/>
          <w:rtl w:val="true"/>
        </w:rPr>
        <w:footnoteReference w:id="1440"/>
      </w:r>
      <w:r>
        <w:rPr>
          <w:rFonts w:ascii="Amiri" w:hAnsi="Amiri" w:eastAsia="Amiri" w:cs="Amiri"/>
          <w:color w:val="111111"/>
          <w:sz w:val="28"/>
          <w:sz w:val="28"/>
          <w:szCs w:val="28"/>
          <w:rtl w:val="true"/>
          <w:lang w:bidi="ar-SA"/>
        </w:rPr>
        <w:t xml:space="preserve">وطاب ممشاك تبوّأت من الجنة منزلا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Style w:val="FootnoteAnchor"/>
          <w:rtl w:val="true"/>
        </w:rPr>
        <w:footnoteReference w:id="1442"/>
      </w:r>
      <w:r>
        <w:rPr>
          <w:rFonts w:ascii="Amiri" w:hAnsi="Amiri" w:eastAsia="Amiri" w:cs="Amiri"/>
          <w:color w:val="111111"/>
          <w:sz w:val="28"/>
          <w:sz w:val="28"/>
          <w:szCs w:val="28"/>
          <w:rtl w:val="true"/>
          <w:lang w:bidi="ar-SA"/>
        </w:rPr>
        <w:t xml:space="preserve">ما من رجل يعود مريضا ممسيا إلا خرج معه سبعون ألف ملك يستغفرون له حتى يصبح ، وكان له خريف في الجنة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يعود مسلما غدوة إلا صلّى عليه سبعون ألف ملك حتى يمشي ، وإذا عاده عشاء </w:t>
      </w:r>
      <w:r>
        <w:rPr>
          <w:rStyle w:val="FootnoteAnchor"/>
          <w:rtl w:val="true"/>
        </w:rPr>
        <w:footnoteReference w:id="1444"/>
      </w:r>
      <w:r>
        <w:rPr>
          <w:rFonts w:ascii="Amiri" w:hAnsi="Amiri" w:eastAsia="Amiri" w:cs="Amiri"/>
          <w:color w:val="111111"/>
          <w:sz w:val="28"/>
          <w:sz w:val="28"/>
          <w:szCs w:val="28"/>
          <w:rtl w:val="true"/>
          <w:lang w:bidi="ar-SA"/>
        </w:rPr>
        <w:t xml:space="preserve">صلّى عليه سبعون ألف ملك حتى يصبح ، وكان له خراف في الجنة </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 مريضا فله لكل خطوة خطاها حتى رجع إلى منزله سبعون ألف ألف حسنة ومحى </w:t>
      </w:r>
      <w:r>
        <w:rPr>
          <w:rStyle w:val="FootnoteAnchor"/>
          <w:rtl w:val="true"/>
        </w:rPr>
        <w:footnoteReference w:id="1446"/>
      </w:r>
      <w:r>
        <w:rPr>
          <w:rFonts w:ascii="Amiri" w:hAnsi="Amiri" w:eastAsia="Amiri" w:cs="Amiri"/>
          <w:color w:val="111111"/>
          <w:sz w:val="28"/>
          <w:sz w:val="28"/>
          <w:szCs w:val="28"/>
          <w:rtl w:val="true"/>
          <w:lang w:bidi="ar-SA"/>
        </w:rPr>
        <w:t xml:space="preserve">عنه سبعون ألف ألف سيئة ، ويرفع له سبعون ألف ألف درجة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به سبعون ألف ألف ملك يعودونه في قبره ويستغفرون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يعير </w:t>
      </w:r>
      <w:r>
        <w:rPr>
          <w:rStyle w:val="FootnoteAnchor"/>
          <w:rtl w:val="true"/>
        </w:rPr>
        <w:footnoteReference w:id="1448"/>
      </w:r>
      <w:r>
        <w:rPr>
          <w:rFonts w:ascii="IRNazanin" w:hAnsi="IRNazanin" w:eastAsia="IRNazanin"/>
          <w:color w:val="111111"/>
          <w:sz w:val="28"/>
          <w:sz w:val="28"/>
          <w:szCs w:val="28"/>
          <w:rtl w:val="true"/>
          <w:lang w:bidi="fa-IR"/>
        </w:rPr>
        <w:t xml:space="preserve">اللّه عزوجل من عباده </w:t>
      </w:r>
      <w:r>
        <w:rPr>
          <w:rStyle w:val="FootnoteAnchor"/>
          <w:rtl w:val="true"/>
        </w:rPr>
        <w:footnoteReference w:id="1449"/>
      </w:r>
      <w:r>
        <w:rPr>
          <w:rFonts w:ascii="Amiri" w:hAnsi="Amiri" w:eastAsia="Amiri" w:cs="Amiri"/>
          <w:color w:val="111111"/>
          <w:sz w:val="28"/>
          <w:sz w:val="28"/>
          <w:szCs w:val="28"/>
          <w:rtl w:val="true"/>
          <w:lang w:bidi="ar-SA"/>
        </w:rPr>
        <w:t xml:space="preserve">يوم القيامة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إذ مرضت أن تعودني؟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 العباد لا تألم ولا 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 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عدته لوجدتني عنده ، ثم لتكفّلت بحوائجك فقضيتها لك ، وذلك من كرامة عبدي المؤمن وأنا الرحمن الرحيم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أبا موسى الأشعري عاد الحسن عليه‌السلام فقال له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لا يمنعنا ما في أنفسنا عليك أن نحدّثك بما سمعنا أنه من عاد مريضا شيّعه سبعون ألف ملك كلهم يستغفرون له إن كان مصبحا حتى يمسي وإن كان مساء حتى يصبح وكان له خريف في الجنة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عاد مؤمنا خاض الرحمة خوضا فإذا جلس غمرته الرحمة ، فإذا انصرف وكّل اللّه سبعين ألف ملك كلهم </w:t>
      </w:r>
      <w:r>
        <w:rPr>
          <w:rStyle w:val="FootnoteAnchor"/>
          <w:rtl w:val="true"/>
        </w:rPr>
        <w:footnoteReference w:id="1452"/>
      </w:r>
      <w:r>
        <w:rPr>
          <w:rFonts w:ascii="Amiri" w:hAnsi="Amiri" w:eastAsia="Amiri" w:cs="Amiri"/>
          <w:color w:val="111111"/>
          <w:sz w:val="28"/>
          <w:sz w:val="28"/>
          <w:szCs w:val="28"/>
          <w:rtl w:val="true"/>
          <w:lang w:bidi="ar-SA"/>
        </w:rPr>
        <w:t xml:space="preserve">يستغفرون له ويترحمون عليه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لك الجنة إلى تلك الساعة من غد ،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الخريف جعلت فداك؟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زاوية في الجنة يسير الراكب فيها أربعين عاما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 مريضا في اللّه لم يسأل المريض للعائد شيئا إلا استجاب اللّه له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الكثيرة المتجاوزة حدّ الإحصاء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ولنتمّم </w:t>
      </w:r>
      <w:r>
        <w:rPr>
          <w:rStyle w:val="FootnoteAnchor"/>
          <w:rtl w:val="true"/>
        </w:rPr>
        <w:footnoteReference w:id="1455"/>
      </w:r>
      <w:r>
        <w:rPr>
          <w:rFonts w:ascii="Amiri" w:hAnsi="Amiri" w:eastAsia="Amiri" w:cs="Amiri"/>
          <w:color w:val="111111"/>
          <w:sz w:val="28"/>
          <w:sz w:val="28"/>
          <w:szCs w:val="28"/>
          <w:rtl w:val="true"/>
          <w:lang w:bidi="ar-SA"/>
        </w:rPr>
        <w:t xml:space="preserve">الكلام في المقام برسم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w:t>
      </w:r>
      <w:r>
        <w:rPr>
          <w:rStyle w:val="FootnoteAnchor"/>
          <w:rtl w:val="true"/>
        </w:rPr>
        <w:footnoteReference w:id="1456"/>
      </w:r>
      <w:r>
        <w:rPr>
          <w:rFonts w:ascii="Amiri" w:hAnsi="Amiri" w:eastAsia="Amiri" w:cs="Amiri"/>
          <w:color w:val="111111"/>
          <w:sz w:val="28"/>
          <w:sz w:val="28"/>
          <w:szCs w:val="28"/>
          <w:rtl w:val="true"/>
          <w:lang w:bidi="ar-SA"/>
        </w:rPr>
        <w:t>ذكر من الفضل إنما هو في عيادة المؤمن ، وأما الكفّار من سائر الملل الفاسدة فلا رجحان لعيادتهم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تساووهم في المجلس ولا تعودوا مريضهم ولا تشيّعوا جنائزهم </w:t>
      </w:r>
      <w:r>
        <w:rPr>
          <w:rFonts w:eastAsia="Amiri" w:cs="Amiri" w:ascii="Amiri" w:hAnsi="Amiri"/>
          <w:color w:val="111111"/>
          <w:sz w:val="28"/>
          <w:szCs w:val="28"/>
          <w:rtl w:val="true"/>
          <w:lang w:bidi="ar-SA"/>
        </w:rPr>
        <w:t xml:space="preserve">» </w:t>
      </w:r>
      <w:r>
        <w:rPr>
          <w:rStyle w:val="FootnoteAnchor"/>
          <w:rtl w:val="true"/>
        </w:rPr>
        <w:footnoteReference w:id="1457"/>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يحتمل القول بالتحريم من جهة ظاهر النهي إلا أن القول به لا يخلو من </w:t>
      </w:r>
      <w:r>
        <w:rPr>
          <w:rStyle w:val="FootnoteAnchor"/>
          <w:rtl w:val="true"/>
        </w:rPr>
        <w:footnoteReference w:id="1459"/>
      </w:r>
      <w:r>
        <w:rPr>
          <w:rFonts w:ascii="Amiri" w:hAnsi="Amiri" w:eastAsia="Amiri" w:cs="Amiri"/>
          <w:color w:val="111111"/>
          <w:sz w:val="28"/>
          <w:sz w:val="28"/>
          <w:szCs w:val="28"/>
          <w:rtl w:val="true"/>
          <w:lang w:bidi="ar-SA"/>
        </w:rPr>
        <w:t>بعد ، والرواية غير صالحة للاعتماد في مقام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ففيها دلالة على جريان الحكم في غير أهل الذمة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أهل الحقّ من سائر الفرق الضالّة من أهل الإسلام فقد يحتمل رجحان عيادتهم لاندراجهم في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التعبير بالمسلم في المقام في بعض الأخبار إلا أن الظاهر خلافه ؛ إذ لا حرمة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النهي عن موادّتهم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إن </w:t>
      </w:r>
      <w:r>
        <w:rPr>
          <w:rStyle w:val="FootnoteAnchor"/>
          <w:rtl w:val="true"/>
        </w:rPr>
        <w:footnoteReference w:id="1460"/>
      </w:r>
      <w:r>
        <w:rPr>
          <w:rFonts w:ascii="Amiri" w:hAnsi="Amiri" w:eastAsia="Amiri" w:cs="Amiri"/>
          <w:color w:val="111111"/>
          <w:sz w:val="28"/>
          <w:sz w:val="28"/>
          <w:szCs w:val="28"/>
          <w:rtl w:val="true"/>
          <w:lang w:bidi="ar-SA"/>
        </w:rPr>
        <w:t xml:space="preserve">كان من أرحامه لم يبعد القول برجحان عيادته ، سيّما بالنسبة إلى الوالدين </w:t>
      </w:r>
      <w:r>
        <w:rPr>
          <w:rStyle w:val="FootnoteAnchor"/>
          <w:rtl w:val="true"/>
        </w:rPr>
        <w:footnoteReference w:id="1461"/>
      </w:r>
      <w:r>
        <w:rPr>
          <w:rFonts w:ascii="Amiri" w:hAnsi="Amiri" w:eastAsia="Amiri" w:cs="Amiri"/>
          <w:color w:val="111111"/>
          <w:sz w:val="28"/>
          <w:sz w:val="28"/>
          <w:szCs w:val="28"/>
          <w:rtl w:val="true"/>
          <w:lang w:bidi="ar-SA"/>
        </w:rPr>
        <w:t>، ولو حصل هناك جهة خارجة كالترغيب باعثة على إظهار المودة كالترغيب في المذهب أو التقية ، فلا إشكال في رجحان العيادة ، بل قد تجب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اورد </w:t>
      </w:r>
      <w:r>
        <w:rPr>
          <w:rStyle w:val="FootnoteAnchor"/>
          <w:rtl w:val="true"/>
        </w:rPr>
        <w:footnoteReference w:id="1462"/>
      </w:r>
      <w:r>
        <w:rPr>
          <w:rFonts w:ascii="Amiri" w:hAnsi="Amiri" w:eastAsia="Amiri" w:cs="Amiri"/>
          <w:color w:val="111111"/>
          <w:sz w:val="28"/>
          <w:sz w:val="28"/>
          <w:szCs w:val="28"/>
          <w:rtl w:val="true"/>
          <w:lang w:bidi="ar-SA"/>
        </w:rPr>
        <w:t>التأكيد في عيادة مرضاهم وتشييع جنائزهم وحسن السيرة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يجري نحوه في عيادة الكفار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الفسّاق من أهل الإيمان فالظاهر استحباب عيادتهم ؛ لإطلاق الأدلة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جريان الحكم في بعض مقتر في الكبائر كتارك الصلاة وصاحب النرد والشطرنج </w:t>
      </w:r>
    </w:p>
    <w:p>
      <w:pPr>
        <w:pStyle w:val="BookText"/>
        <w:rPr/>
      </w:pPr>
      <w:r>
        <w:rPr>
          <w:rFonts w:ascii="Amiri" w:hAnsi="Amiri" w:eastAsia="Amiri" w:cs="Amiri"/>
          <w:color w:val="111111"/>
          <w:sz w:val="28"/>
          <w:sz w:val="28"/>
          <w:szCs w:val="28"/>
          <w:rtl w:val="true"/>
          <w:lang w:bidi="ar-SA"/>
        </w:rPr>
        <w:t>ونحوهم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 النهي عن عيادة بعض هؤلاء ، وقد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دلّت عدة من الأخبار على سقوط العيادة عن المرأة ، فعن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النساء جمعة ولا عيادة مريض ولا اتّباع جنازة </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عيادة </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جمعة ولا جماعة ولا أذان ولا إقامة ولا عيادة مريض ولا اتّباع جنازة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وقضية هذه الأخبار سقوط العيادة عن المرأة ولو بالنسبة إلى مثلها أو أقاربها أو </w:t>
      </w:r>
      <w:r>
        <w:rPr>
          <w:rStyle w:val="FootnoteAnchor"/>
          <w:rtl w:val="true"/>
        </w:rPr>
        <w:footnoteReference w:id="1466"/>
      </w:r>
      <w:r>
        <w:rPr>
          <w:rFonts w:ascii="IRNazanin" w:hAnsi="IRNazanin" w:eastAsia="IRNazanin"/>
          <w:color w:val="111111"/>
          <w:sz w:val="28"/>
          <w:sz w:val="28"/>
          <w:szCs w:val="28"/>
          <w:rtl w:val="true"/>
          <w:lang w:bidi="fa-IR"/>
        </w:rPr>
        <w:t>أرحامها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بعيد جدّا مخالف لإطلاق الروايات وسائر العمومات الدالّة على رجحان صلة الأرحام والتودّد إلى أهل الإيمان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هذه الأخبار على إرادة الرخصة وبيان عدم الاهتمام في شأنهنّ على نحو الرجال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اقترانه بسقوط الجماعة والأذان والإقامة عنها مع مشروعيتها في شأنها ورجحان الإتيان بها في الجملة إلا أنها لا تأكّد لها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في العيادة امور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الجلوس عنده إلا أن تحبّ ذلك ويريده ويسأله ذلك </w:t>
      </w:r>
      <w:r>
        <w:rPr>
          <w:rStyle w:val="FootnoteAnchor"/>
          <w:rtl w:val="true"/>
        </w:rPr>
        <w:footnoteReference w:id="1467"/>
      </w:r>
      <w:r>
        <w:rPr>
          <w:rFonts w:ascii="Amiri" w:hAnsi="Amiri" w:eastAsia="Amiri" w:cs="Amiri"/>
          <w:color w:val="111111"/>
          <w:sz w:val="28"/>
          <w:sz w:val="28"/>
          <w:szCs w:val="28"/>
          <w:rtl w:val="true"/>
          <w:lang w:bidi="ar-SA"/>
        </w:rPr>
        <w:t xml:space="preserve">، 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العيادة أن تضع يدك على ذراعه وتعجّل القيام من عنده ، فإن عيادة النوكى أشدّ على </w:t>
      </w:r>
    </w:p>
    <w:p>
      <w:pPr>
        <w:pStyle w:val="BookText"/>
        <w:rPr/>
      </w:pPr>
      <w:r>
        <w:rPr>
          <w:rFonts w:ascii="Amiri" w:hAnsi="Amiri" w:eastAsia="Amiri" w:cs="Amiri"/>
          <w:color w:val="111111"/>
          <w:sz w:val="28"/>
          <w:sz w:val="28"/>
          <w:szCs w:val="28"/>
          <w:rtl w:val="true"/>
          <w:lang w:bidi="ar-SA"/>
        </w:rPr>
        <w:t xml:space="preserve">المريض من وجعه </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العائد إحدى يديه على الأخرى أو على جبهته </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الوجه فيه إظهار التحزن عليه كما هو الشائع في وضع اليد على الجبهة ، فقد يحمل ذلك إذن على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العائد يده على ذراع المريض أو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ذلك في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عيادة المريض أن يضع أحدكم يده عليه ويسأله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كيف أصبحت وكيف أمسيت؟ وتمام تحيتكم المصافحة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للمريض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دخل على مريض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العظيم ربّ العرش العظيم أن يشفيك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 ما لم يحضر أجله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صلى‌اللّه‌عليه‌وآله يعودني وأنا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اللّه ضرّك وعظّم أجرك وعافاك في دينك وجسدك إلى مدة أجلك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دخل على مريض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البأس ربّ الناس واشف أنت الشافي ولا شافي إلا أنت </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أنه عاد مريضا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نسأل </w:t>
      </w:r>
      <w:r>
        <w:rPr>
          <w:rStyle w:val="FootnoteAnchor"/>
          <w:rtl w:val="true"/>
        </w:rPr>
        <w:footnoteReference w:id="1474"/>
      </w:r>
      <w:r>
        <w:rPr>
          <w:rFonts w:ascii="Amiri" w:hAnsi="Amiri" w:eastAsia="Amiri" w:cs="Amiri"/>
          <w:color w:val="111111"/>
          <w:sz w:val="28"/>
          <w:sz w:val="28"/>
          <w:szCs w:val="28"/>
          <w:rtl w:val="true"/>
          <w:lang w:bidi="ar-SA"/>
        </w:rPr>
        <w:t xml:space="preserve">اللّه العافية ولا أنساك الشكر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أحدهما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على مريض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اعيذك باللّه العظيم ربّ العرش العظيم من كلّ عرق فعار ومن شرّ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المريض للعائد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عاد مريضا في اللّه لم يسأل المريض للعائد شيئا إلا استجاب اللّه له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عودوا مرضاكم واسألوهم الدعاء ، فإنه يعدل دعاء الملائكة </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يفيد استجابة دعاء المريض للعائد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العيادة مع بقاء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العيادة ثلاثة والتعزية مرة </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اغبوا في العيادة واربعوا إلا أن يكون مغلوبا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المراد بالغب في العيادة أن يعوده يوما دون يوم وبالربع أن يعوده يوما دون أربع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العيادة بعد ثلاثة أيام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أنّه يعاد المريض بعد ثلاثة أيّام من مرضه أو يراد به وقوع العيادة كلّ مرّة بعد ثلاثة أيّام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عيادة أقل من ثلاثة أيام فإذا وجبت فيوم ويوم لا ويومين لا ، وإذا طالت المرض ترك المريض وعياله </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يراد من الفقرة الأولى أنه لا عيادة قبل مضي ثلاثة أيام من المرض ، فيوافق الرواية المتقدمة بالتفسير الأول ، وأن يراد به أن أقلّ العيادة أن يعوده ثلاثة أيام ، وبعد ذلك يعوده غبا يوما </w:t>
      </w:r>
      <w:r>
        <w:rPr>
          <w:rStyle w:val="FootnoteAnchor"/>
          <w:rtl w:val="true"/>
        </w:rPr>
        <w:footnoteReference w:id="1485"/>
      </w:r>
      <w:r>
        <w:rPr>
          <w:rFonts w:ascii="Amiri" w:hAnsi="Amiri" w:eastAsia="Amiri" w:cs="Amiri"/>
          <w:color w:val="111111"/>
          <w:sz w:val="28"/>
          <w:sz w:val="28"/>
          <w:szCs w:val="28"/>
          <w:rtl w:val="true"/>
          <w:lang w:bidi="ar-SA"/>
        </w:rPr>
        <w:t>دون يومين أو أن أقلّ العيادة أن يعوده في كل عشرة أيام ، فيوافق الرواية السابقة بالتفسير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العيادة مع طول المرض ، فيترك المريض مع عياله كما في الفقرة الأخيرة من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المراد به ترك العيادة حينئذ بعد الإتيان بها على الوجه المتقدم ، فلو لم يعده من أول الأمر إما لمانع كغيبة </w:t>
      </w:r>
      <w:r>
        <w:rPr>
          <w:rStyle w:val="FootnoteAnchor"/>
          <w:rtl w:val="true"/>
        </w:rPr>
        <w:footnoteReference w:id="1486"/>
      </w:r>
      <w:r>
        <w:rPr>
          <w:rFonts w:ascii="Amiri" w:hAnsi="Amiri" w:eastAsia="Amiri" w:cs="Amiri"/>
          <w:color w:val="111111"/>
          <w:sz w:val="28"/>
          <w:sz w:val="28"/>
          <w:szCs w:val="28"/>
          <w:rtl w:val="true"/>
          <w:lang w:bidi="ar-SA"/>
        </w:rPr>
        <w:t xml:space="preserve">ونحوها أو لا لمانع ، فلا يظهر من الرواية سقوط العيادة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فكأن المراد به طول المرض خارجا عن المعتاد وسقوط العيادة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حينئذ إما على سبيل الرخصة فالساقط إذن تأكد الاستحباب ، أو مطلقا مع كون الساقط حينئذ مطلق العيادة بالمرة ، أو خصوص وقوعها على النحو المقدم دون عيادته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يرجّيه في العافية ، فعنه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دخلتم على المريض فنفّسوا له في الأجل فإن ذلك لا يرد شيئا وهو يطيب النفس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يأكل عنده ، فعن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يأكل العائد عند العليل ، فيحبط اللّه أجر عيادته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 العائد إليه شيئا من تفاحة أو سفرجلة أو قطعة من عود ونحو ذلك ، فعن مولى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بعض مواليه فخرجنا نعوده ونحن عدة من مواليه فاستقبلنا عليه‌السلام في بعض الطريق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فلانا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أحدكم تفاحة أو سفرجلة أو أترجة أو لعقة من طيب أو قطعة من عود بخور؟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من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علمتم أن المريض يستريح إلى كل ما ادخل به عليه؟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349" w:name="pg15839_360965"/>
    </w:p>
    <w:p>
      <w:pPr>
        <w:pStyle w:val="Heading4"/>
        <w:numPr>
          <w:ilvl w:val="3"/>
          <w:numId w:val="1"/>
        </w:numPr>
        <w:rPr/>
      </w:pPr>
      <w:bookmarkStart w:id="350" w:name="__RefHeading___Toc14338553_2142443653"/>
      <w:bookmarkStart w:id="351" w:name="_Toc129"/>
      <w:bookmarkEnd w:id="349"/>
      <w:bookmarkEnd w:id="350"/>
      <w:r>
        <w:rPr>
          <w:rtl w:val="true"/>
        </w:rPr>
        <w:t>تبصرة</w:t>
      </w:r>
      <w:r>
        <w:rPr>
          <w:rtl w:val="true"/>
        </w:rPr>
        <w:t xml:space="preserve">: [ </w:t>
      </w:r>
      <w:r>
        <w:rPr>
          <w:rtl w:val="true"/>
        </w:rPr>
        <w:t xml:space="preserve">في الوصية </w:t>
      </w:r>
      <w:r>
        <w:rPr>
          <w:rtl w:val="true"/>
        </w:rPr>
        <w:t>]</w:t>
      </w:r>
      <w:bookmarkEnd w:id="351"/>
    </w:p>
    <w:p>
      <w:pPr>
        <w:pStyle w:val="BookText"/>
        <w:rPr/>
      </w:pPr>
      <w:r>
        <w:rPr>
          <w:rFonts w:ascii="Amiri" w:hAnsi="Amiri" w:eastAsia="Amiri" w:cs="Amiri"/>
          <w:color w:val="111111"/>
          <w:sz w:val="28"/>
          <w:sz w:val="28"/>
          <w:szCs w:val="28"/>
          <w:rtl w:val="true"/>
          <w:lang w:bidi="ar-SA"/>
        </w:rPr>
        <w:t>نصّ جماعة من الأصحاب من غير ظهور خلاف فيه بوجوب الوصية بالحقوق الواجبة عليه سواء كانت لله أو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المستفيضة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مسلم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ينبغي </w:t>
      </w:r>
      <w:r>
        <w:rPr>
          <w:rStyle w:val="FootnoteAnchor"/>
          <w:rtl w:val="true"/>
        </w:rPr>
        <w:footnoteReference w:id="1492"/>
      </w:r>
      <w:r>
        <w:rPr>
          <w:rFonts w:ascii="Amiri" w:hAnsi="Amiri" w:eastAsia="Amiri" w:cs="Amiri"/>
          <w:color w:val="111111"/>
          <w:sz w:val="28"/>
          <w:sz w:val="28"/>
          <w:szCs w:val="28"/>
          <w:rtl w:val="true"/>
          <w:lang w:bidi="ar-SA"/>
        </w:rPr>
        <w:t xml:space="preserve">لامرئ مسلم أن يبيت إلا ووصيته تحت رأسه </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بغير وصية مات ميتة الجاهلية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التأمل في الأدلة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الذي عليه إن كان مضيقا يمكن أداؤه حالّا وجب عليه ذلك ، فلا باعث في تأخيره وإن كان موسّعا تخيّر بين تنجيزه والإيصاء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وجوب الإيصاء عند التأخير مع ظنّ الفوت بل مع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ظنّ السلامة فالظاهر عدم الوجوب ؛ للأصل والسيرة الجارية ، وكذا في الحقّ المضيّق مع عدم تمكنه من الأداء معجّلا إذا أمكن تفريق ذمّته بعد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مجرد الإيصاء غير كاف في ذلك ، بل لا بدّ من الإيصاء به على وجه يحكم به شرعا ، فلا بدّ من الإشهاد عليه ؛ إذ مجرد الوصية مع عدم الثبوت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نعم ، إذا علم تمكن الوصيّ من إنجازه مع عدمه اكتفى به ، والظاهر أن القدر الواجب من ذلك هو الإعلام بالحال على وجه يثبت شرعا حسب ما ذكرنا حيث يؤدّى عنه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صدق الوصية في المقام على ذلك ، وإن لم يأمر أحدا بمباشرة ذلك ، بل ولو لم يصرّح بدفع ذلك عنه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فلا يدخل ذلك في </w:t>
      </w:r>
      <w:r>
        <w:rPr>
          <w:rStyle w:val="FootnoteAnchor"/>
          <w:rtl w:val="true"/>
        </w:rPr>
        <w:footnoteReference w:id="1497"/>
      </w:r>
      <w:r>
        <w:rPr>
          <w:rFonts w:ascii="Amiri" w:hAnsi="Amiri" w:eastAsia="Amiri" w:cs="Amiri"/>
          <w:color w:val="111111"/>
          <w:sz w:val="28"/>
          <w:sz w:val="28"/>
          <w:szCs w:val="28"/>
          <w:rtl w:val="true"/>
          <w:lang w:bidi="ar-SA"/>
        </w:rPr>
        <w:t>عنوان الوصية المعروفة ، ومع ظنّه عدم إمضاء وصيّته بعد موته ، فإن أمكنه أداء الحق في حياته تعيّن عليه ذلك ، وإلّا ففي وجوب الوصية حينئذ وجهان كان أوجههما الوجوب إلا مع القطع عادة بعدم ترتب ثمرة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الوصية بالحقوق الغير المالية مما لا يجب ذلك في ماله بدون الوصية كقضاء العبادات إذا لم يكن هناك من يجب القضاء عنه ، أو كان وعلم عدم الإتيان به ففي وجوبه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القاعدة يقضي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مما ذكرناه هو وجوب الوصية بكل حقّ واجب عليه قصّر في أدائه أولا إذا لم يتمكن من أدائه في الحال ، أو لم يجب عليه حينئذ أداؤه ، وكان في ترك الوصية به خوف ضياع الحق ، فيجب عليه الإيصاء به ، فإن كان مما يكتفي مجرد الثبوت في الإتيان به كاستيجار الحج أو دفع الزكاة أو الخمس أو سائر الحقوق المالية كفى الإعلام بالحال على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توقّف الإتيان عليه أمره </w:t>
      </w:r>
      <w:r>
        <w:rPr>
          <w:rStyle w:val="FootnoteAnchor"/>
          <w:rtl w:val="true"/>
        </w:rPr>
        <w:footnoteReference w:id="1498"/>
      </w:r>
      <w:r>
        <w:rPr>
          <w:rFonts w:ascii="Amiri" w:hAnsi="Amiri" w:eastAsia="Amiri" w:cs="Amiri"/>
          <w:color w:val="111111"/>
          <w:sz w:val="28"/>
          <w:sz w:val="28"/>
          <w:szCs w:val="28"/>
          <w:rtl w:val="true"/>
          <w:lang w:bidi="ar-SA"/>
        </w:rPr>
        <w:t>بذلك كغير الحقوق المالية مما ثبت في ذمّته فلا يبعد القول بوجوب الوصية بتحصيل تفريغ ذمّته منه ، ولو ببذل المال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الوصية في نفسها من السنن الأكيدة سيّما في حال المرض ، قد أوصى رسول اللّه صلى‌اللّه‌عليه‌وآله والأئمة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الإطلاقات المتقدمة أقوى دلالة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غير واحد من الأخبار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تمام ما نقص من الزكاة </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المراد به نظير ما ورد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الراتبة تمام ما نقص من صلاة الفريضة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تمام ما نقص من الوضوء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المحدّثين أن المراد بذلك وجوب الوصية بما بقي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مرفوعة محمد بن يحيى ، عنهم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أوصى الثلث احتسب له من زكاته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المراد به ثبوت أجر الزكاة فيه إذا كانت وصية في المصارف الراجحة ووجوه البرّ سيّما إذا كان أوصى به للفقراء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قيام ذلك مقام الزكاة حقيقة كما هو الظاهر منها فالظاهر أنه لا </w:t>
      </w:r>
      <w:r>
        <w:rPr>
          <w:rStyle w:val="FootnoteAnchor"/>
          <w:rtl w:val="true"/>
        </w:rPr>
        <w:footnoteReference w:id="1503"/>
      </w:r>
      <w:r>
        <w:rPr>
          <w:rFonts w:ascii="IRNazanin" w:hAnsi="IRNazanin" w:eastAsia="IRNazanin"/>
          <w:color w:val="111111"/>
          <w:sz w:val="28"/>
          <w:sz w:val="28"/>
          <w:szCs w:val="28"/>
          <w:rtl w:val="true"/>
          <w:lang w:bidi="fa-IR"/>
        </w:rPr>
        <w:t>قائل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بعض الأئمة عليهم‌السلام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 عليك ما لو يعلم به أهلك ما واروك ، وأوسعت عليك فاستقرضت منك فلم تقدّم خيرا ، وجعلت لك نظرة عند موتك في ثلثك فلم تقدّم خيرا </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عن أبيه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يوصي </w:t>
      </w:r>
      <w:r>
        <w:rPr>
          <w:rStyle w:val="FootnoteAnchor"/>
          <w:rtl w:val="true"/>
        </w:rPr>
        <w:footnoteReference w:id="1505"/>
      </w:r>
      <w:r>
        <w:rPr>
          <w:rFonts w:ascii="Amiri" w:hAnsi="Amiri" w:eastAsia="Amiri" w:cs="Amiri"/>
          <w:color w:val="111111"/>
          <w:sz w:val="28"/>
          <w:sz w:val="28"/>
          <w:szCs w:val="28"/>
          <w:rtl w:val="true"/>
          <w:lang w:bidi="ar-SA"/>
        </w:rPr>
        <w:t xml:space="preserve">عند موته لذوي قرابته ممن لا يرثه فقد ضمّ عمله بمعصية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ويستحب أن يحسن وصيته عند الموت ، ففي وصية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عند موته كان نقصا في مروته ولم يملك الشفاعة </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عند الموت وصيته كان نقصا في مروته وعقله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أبيه عليهما‌السلام ، عن أبيه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أوصى ولم يحف ولم يضار كان كمن تصدّق به في حياته </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أجّلت في عمرك يومين فاجعل أحدهما لأدبك لتستعين به على يوم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الاستعانة؟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تحسن تدبير ما تخلف وتحكمه </w:t>
      </w:r>
      <w:r>
        <w:rPr>
          <w:rFonts w:eastAsia="Amiri" w:cs="Amiri" w:ascii="Amiri" w:hAnsi="Amiri"/>
          <w:color w:val="111111"/>
          <w:sz w:val="28"/>
          <w:szCs w:val="28"/>
          <w:rtl w:val="true"/>
          <w:lang w:bidi="ar-SA"/>
        </w:rPr>
        <w:t xml:space="preserve">» </w:t>
      </w:r>
      <w:r>
        <w:rPr>
          <w:rStyle w:val="FootnoteAnchor"/>
          <w:rtl w:val="true"/>
        </w:rPr>
        <w:footnoteReference w:id="1510"/>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وصيته عند الموت كان نقصا في مروته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يوصي الميّت إذا حضرته وفاته واجتمع الناس إليه؟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 اللّهم إني أعهد إليك في دار الدنيا أني أشهد أن لا إله إلا أنت وحدك لا شريك لك وأن محمدا عبدك ورسولك ، وأن الجنة حق والنار حق ، وأن البعث حق والحساب حق ، والميزان حق ، وأن الدين كما وصفت ، وأن الإسلام كما شرعت ، وأن القول كما حدّثت ، وأن القرآن كما أنزلت ، وأنك أنت اللّه الحق المبين ، جزى اللّه محمدا صلى‌اللّه‌عليه‌وآله خير الجزاء خصّ </w:t>
      </w:r>
      <w:r>
        <w:rPr>
          <w:rStyle w:val="FootnoteAnchor"/>
          <w:rtl w:val="true"/>
        </w:rPr>
        <w:footnoteReference w:id="1512"/>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بالسلام ، اللّهم يا عدتي عند كربتي وصاحبي عند شدّتي ويا ولييّ عند </w:t>
      </w:r>
      <w:r>
        <w:rPr>
          <w:rStyle w:val="FootnoteAnchor"/>
          <w:rtl w:val="true"/>
        </w:rPr>
        <w:footnoteReference w:id="1513"/>
      </w:r>
      <w:r>
        <w:rPr>
          <w:rFonts w:ascii="Amiri" w:hAnsi="Amiri" w:eastAsia="Amiri" w:cs="Amiri"/>
          <w:color w:val="111111"/>
          <w:sz w:val="28"/>
          <w:sz w:val="28"/>
          <w:szCs w:val="28"/>
          <w:rtl w:val="true"/>
          <w:lang w:bidi="ar-SA"/>
        </w:rPr>
        <w:t>نعمتى ، إلهى وإله آبائى لا تكلني إلى نفسي طرفة عين أبدا ، فإنك إن وكلتني إلى نفسي أقرب من الشر وأبعد من الخير ، وآنس في القبر وحشتي ، واجعل لي عهدا يوم القاك منشورا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يوصى بحاجته ، وتصديق هذه الوصية في القرآن في السورة التي يذكر فيها مريم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 فهذا عهد الميت والوصية حق على كل مسلم أن يحفظ هذه الوصية ويعلمها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علّمنيها رسول اللّه صلى‌اللّه‌عليه‌وآله 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عليه‌السلام ، وقال النبيّ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أنت وعلّمها أهل بيتك وشيعتك </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 xml:space="preserve">. </w:t>
      </w:r>
      <w:bookmarkStart w:id="352" w:name="pg15839_360970"/>
    </w:p>
    <w:p>
      <w:pPr>
        <w:pStyle w:val="Heading4"/>
        <w:numPr>
          <w:ilvl w:val="3"/>
          <w:numId w:val="1"/>
        </w:numPr>
        <w:rPr/>
      </w:pPr>
      <w:bookmarkStart w:id="353" w:name="__RefHeading___Toc14338555_2142443653"/>
      <w:bookmarkStart w:id="354" w:name="_Toc130"/>
      <w:bookmarkEnd w:id="352"/>
      <w:bookmarkEnd w:id="353"/>
      <w:r>
        <w:rPr>
          <w:rtl w:val="true"/>
        </w:rPr>
        <w:t>تبصرة</w:t>
      </w:r>
      <w:r>
        <w:rPr>
          <w:rtl w:val="true"/>
        </w:rPr>
        <w:t xml:space="preserve">: [ </w:t>
      </w:r>
      <w:r>
        <w:rPr>
          <w:rtl w:val="true"/>
        </w:rPr>
        <w:t xml:space="preserve">في التوبة والإنابة </w:t>
      </w:r>
      <w:r>
        <w:rPr>
          <w:rtl w:val="true"/>
        </w:rPr>
        <w:t>]</w:t>
      </w:r>
      <w:bookmarkEnd w:id="354"/>
    </w:p>
    <w:p>
      <w:pPr>
        <w:pStyle w:val="BookText"/>
        <w:rPr/>
      </w:pPr>
      <w:r>
        <w:rPr>
          <w:rFonts w:ascii="Amiri" w:hAnsi="Amiri" w:eastAsia="Amiri" w:cs="Amiri"/>
          <w:color w:val="111111"/>
          <w:sz w:val="28"/>
          <w:sz w:val="28"/>
          <w:szCs w:val="28"/>
          <w:rtl w:val="true"/>
          <w:lang w:bidi="ar-SA"/>
        </w:rPr>
        <w:t>ويجب عليه التوبة من جميع الذنوب والآثام ، فإن التوبة هادم لجميع الذنوب ، وهي من الواجبات الفورية سيّما في حال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يقبل توبة عبده ما لم يغرغر توبوا إلى ربّكم قبل أن تموتوا ، وبادروا بالأعمال الزكية قبل أن تشتغلوا ، وصلوا الذي بينكم وبينه بكثرة ذكركم إياه </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تاب قبل موته بسنة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السنة لكثير ، من مات قبل موته بشهر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الشهر لكثير ، من تاب قبل موته بجمعة قبل اللّه توبته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يوما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أن يعاين قبل اللّه توبته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حسن الظن باللّه سيّما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يموتن أحدكم حتى يحسن ظنه باللّه عزوجل ، فإن حسن الظن باللّه ثمن الجنة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 عن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الظنّ باللّه فإن أبا عبد اللّه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كان اللّه عند ظنه به </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في كتاب علي عليه‌السلام إن رسول اللّه صلى‌اللّه‌عليه‌وآله قال 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الّا هو ما أعطي مؤمن قط خير الدنيا والآخرة إلا بحسن الظن باللّه ورجائه وحسن خلقه والكف عن اغتياب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لا إله إلا هو لا يحسن </w:t>
      </w:r>
    </w:p>
    <w:p>
      <w:pPr>
        <w:pStyle w:val="BookText"/>
        <w:rPr/>
      </w:pPr>
      <w:r>
        <w:rPr>
          <w:rFonts w:ascii="Amiri" w:hAnsi="Amiri" w:eastAsia="Amiri" w:cs="Amiri"/>
          <w:color w:val="111111"/>
          <w:sz w:val="28"/>
          <w:sz w:val="28"/>
          <w:szCs w:val="28"/>
          <w:rtl w:val="true"/>
          <w:lang w:bidi="ar-SA"/>
        </w:rPr>
        <w:t xml:space="preserve">ظنّ عبد مؤمن إلا كان اللّه عند ظنّ عبده المؤمن لأنه </w:t>
      </w:r>
      <w:r>
        <w:rPr>
          <w:rStyle w:val="FootnoteAnchor"/>
          <w:rtl w:val="true"/>
        </w:rPr>
        <w:footnoteReference w:id="1520"/>
      </w:r>
      <w:r>
        <w:rPr>
          <w:rFonts w:ascii="Amiri" w:hAnsi="Amiri" w:eastAsia="Amiri" w:cs="Amiri"/>
          <w:color w:val="111111"/>
          <w:sz w:val="28"/>
          <w:sz w:val="28"/>
          <w:szCs w:val="28"/>
          <w:rtl w:val="true"/>
          <w:lang w:bidi="ar-SA"/>
        </w:rPr>
        <w:t xml:space="preserve">كريم بيده الخير و </w:t>
      </w:r>
      <w:r>
        <w:rPr>
          <w:rStyle w:val="FootnoteAnchor"/>
          <w:rtl w:val="true"/>
        </w:rPr>
        <w:footnoteReference w:id="1521"/>
      </w:r>
      <w:r>
        <w:rPr>
          <w:rFonts w:ascii="Amiri" w:hAnsi="Amiri" w:eastAsia="Amiri" w:cs="Amiri"/>
          <w:color w:val="111111"/>
          <w:sz w:val="28"/>
          <w:sz w:val="28"/>
          <w:szCs w:val="28"/>
          <w:rtl w:val="true"/>
          <w:lang w:bidi="ar-SA"/>
        </w:rPr>
        <w:t xml:space="preserve">يستحيي أن يكون عبده المؤمن قد أحسن به الظنّ ثم يخلفه ظنّه ورجاه فأحسنوا باللّه الظنّ وارغبوا إليه </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بإسناده ، عن مولانا العسكري عليه‌السلام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بعض أهل مجلسه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 فقصده عائدا وجلس عند رأسه فوجده دنفا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ظنّك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ظني باللّه فحسن </w:t>
      </w:r>
      <w:r>
        <w:rPr>
          <w:rFonts w:eastAsia="Amiri" w:cs="Amiri" w:ascii="Amiri" w:hAnsi="Amiri"/>
          <w:color w:val="111111"/>
          <w:sz w:val="28"/>
          <w:szCs w:val="28"/>
          <w:rtl w:val="true"/>
          <w:lang w:bidi="ar-SA"/>
        </w:rPr>
        <w:t xml:space="preserve">.. » </w:t>
      </w:r>
      <w:r>
        <w:rPr>
          <w:rStyle w:val="FootnoteAnchor"/>
          <w:rtl w:val="true"/>
        </w:rPr>
        <w:footnoteReference w:id="152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فهد مرسلا عنهم عليهم‌السلام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في حالة المرض خصوصا مرض الموت أن يزيد الرجاء على الخوف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بعض الأصحاب حسن الظن باللّه من الواجبات ؛ نظرا إلى بعض الأخبار المذكورة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الأخبار المذكورة على الوجوب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اليأس من رحمة اللّه من أعظم الكبائر ،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إكثار ذكر الموت والاستعداد له بالأعمال الصالحة ، وقصر الأمل في الدنيا الفانية ، والرغبة في الآخرة الباقية وفي رضوان ربّ العالمين ومرافقة الأنبياء والمرسلين والأوصياء المرضيين والملائكة المقرّبين وعباد اللّه الصالحين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المؤمنين أكيس؟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ذكرا للموت وأشدهم له استعدادا </w:t>
      </w:r>
      <w:r>
        <w:rPr>
          <w:rFonts w:eastAsia="Amiri" w:cs="Amiri" w:ascii="Amiri" w:hAnsi="Amiri"/>
          <w:color w:val="111111"/>
          <w:sz w:val="28"/>
          <w:szCs w:val="28"/>
          <w:rtl w:val="true"/>
          <w:lang w:bidi="ar-SA"/>
        </w:rPr>
        <w:t xml:space="preserve">» </w:t>
      </w:r>
      <w:r>
        <w:rPr>
          <w:rStyle w:val="FootnoteAnchor"/>
          <w:rtl w:val="true"/>
        </w:rPr>
        <w:footnoteReference w:id="1525"/>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من ذكر هادم اللذات ما ذكر في كثير </w:t>
      </w:r>
    </w:p>
    <w:p>
      <w:pPr>
        <w:pStyle w:val="BookText"/>
        <w:rPr/>
      </w:pPr>
      <w:r>
        <w:rPr>
          <w:rFonts w:ascii="Amiri" w:hAnsi="Amiri" w:eastAsia="Amiri" w:cs="Amiri"/>
          <w:color w:val="111111"/>
          <w:sz w:val="28"/>
          <w:sz w:val="28"/>
          <w:szCs w:val="28"/>
          <w:rtl w:val="true"/>
          <w:lang w:bidi="ar-SA"/>
        </w:rPr>
        <w:t xml:space="preserve">إلّا قلّله ولا في قليل إلّا كثّره </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استحيوا من اللّه حقّ الحياء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Style w:val="FootnoteAnchor"/>
          <w:rtl w:val="true"/>
        </w:rPr>
        <w:footnoteReference w:id="1529"/>
      </w:r>
      <w:r>
        <w:rPr>
          <w:rFonts w:ascii="Amiri" w:hAnsi="Amiri" w:eastAsia="Amiri" w:cs="Amiri"/>
          <w:color w:val="111111"/>
          <w:sz w:val="28"/>
          <w:sz w:val="28"/>
          <w:szCs w:val="28"/>
          <w:rtl w:val="true"/>
          <w:lang w:bidi="ar-SA"/>
        </w:rPr>
        <w:t xml:space="preserve">نستحيي من اللّه حق الحياء؟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حفظ الرأس وما حوى والبطن وما وعى وترك زينة الحياة الدنيا وذكر الموت والبلاء فقد استحى من اللّه حق الحياء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الموت حق منزلته من عدّ غدا من أجله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 غدا من أجله فقد </w:t>
      </w:r>
      <w:r>
        <w:rPr>
          <w:rStyle w:val="FootnoteAnchor"/>
          <w:rtl w:val="true"/>
        </w:rPr>
        <w:footnoteReference w:id="1532"/>
      </w:r>
      <w:r>
        <w:rPr>
          <w:rFonts w:ascii="Amiri" w:hAnsi="Amiri" w:eastAsia="Amiri" w:cs="Amiri"/>
          <w:color w:val="111111"/>
          <w:sz w:val="28"/>
          <w:sz w:val="28"/>
          <w:szCs w:val="28"/>
          <w:rtl w:val="true"/>
          <w:lang w:bidi="ar-SA"/>
        </w:rPr>
        <w:t xml:space="preserve">أساء صحبة الموت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أطال عبد الأمل إلا أساء العمل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ذكر الموت ، فإنه لم يكثر ذكر الموت أحدا </w:t>
      </w:r>
      <w:r>
        <w:rPr>
          <w:rStyle w:val="FootnoteAnchor"/>
          <w:rtl w:val="true"/>
        </w:rPr>
        <w:footnoteReference w:id="1535"/>
      </w:r>
      <w:r>
        <w:rPr>
          <w:rFonts w:ascii="Amiri" w:hAnsi="Amiri" w:eastAsia="Amiri" w:cs="Amiri"/>
          <w:color w:val="111111"/>
          <w:sz w:val="28"/>
          <w:sz w:val="28"/>
          <w:szCs w:val="28"/>
          <w:rtl w:val="true"/>
          <w:lang w:bidi="ar-SA"/>
        </w:rPr>
        <w:t xml:space="preserve">إلا زهد في الدنيا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355" w:name="pg15839_360973"/>
    </w:p>
    <w:p>
      <w:pPr>
        <w:pStyle w:val="Heading4"/>
        <w:numPr>
          <w:ilvl w:val="3"/>
          <w:numId w:val="1"/>
        </w:numPr>
        <w:rPr/>
      </w:pPr>
      <w:bookmarkStart w:id="356" w:name="__RefHeading___Toc14338557_2142443653"/>
      <w:bookmarkStart w:id="357" w:name="_Toc131"/>
      <w:bookmarkEnd w:id="355"/>
      <w:bookmarkEnd w:id="356"/>
      <w:r>
        <w:rPr>
          <w:rtl w:val="true"/>
        </w:rPr>
        <w:t>تبصرة</w:t>
      </w:r>
      <w:r>
        <w:rPr>
          <w:rtl w:val="true"/>
        </w:rPr>
        <w:t xml:space="preserve">: [ </w:t>
      </w:r>
      <w:r>
        <w:rPr>
          <w:rtl w:val="true"/>
        </w:rPr>
        <w:t xml:space="preserve">في توجيه المؤمن إلى القبلة حال الاحتضار </w:t>
      </w:r>
      <w:r>
        <w:rPr>
          <w:rtl w:val="true"/>
        </w:rPr>
        <w:t>]</w:t>
      </w:r>
      <w:bookmarkEnd w:id="357"/>
    </w:p>
    <w:p>
      <w:pPr>
        <w:pStyle w:val="Heading5"/>
        <w:numPr>
          <w:ilvl w:val="4"/>
          <w:numId w:val="1"/>
        </w:numPr>
        <w:rPr/>
      </w:pPr>
      <w:bookmarkStart w:id="358" w:name="__RefHeading___Toc14338559_2142443653"/>
      <w:bookmarkStart w:id="359" w:name="_Toc132"/>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يجب توجيهه إلى القبلة حال السوق يعني حال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عليه وثبّتنا اللّه بالقول الثابت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من الأصحاب منهم المفيد </w:t>
      </w:r>
      <w:r>
        <w:rPr>
          <w:rStyle w:val="FootnoteAnchor"/>
          <w:rtl w:val="true"/>
        </w:rPr>
        <w:footnoteReference w:id="1537"/>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1538"/>
      </w:r>
      <w:r>
        <w:rPr>
          <w:rFonts w:ascii="Amiri" w:hAnsi="Amiri" w:eastAsia="Amiri" w:cs="Amiri"/>
          <w:color w:val="111111"/>
          <w:sz w:val="28"/>
          <w:sz w:val="28"/>
          <w:szCs w:val="28"/>
          <w:rtl w:val="true"/>
          <w:lang w:bidi="ar-SA"/>
        </w:rPr>
        <w:t xml:space="preserve">والديلمي والقاضي </w:t>
      </w:r>
      <w:r>
        <w:rPr>
          <w:rStyle w:val="FootnoteAnchor"/>
          <w:rtl w:val="true"/>
        </w:rPr>
        <w:footnoteReference w:id="1539"/>
      </w:r>
      <w:r>
        <w:rPr>
          <w:rFonts w:ascii="Amiri" w:hAnsi="Amiri" w:eastAsia="Amiri" w:cs="Amiri"/>
          <w:color w:val="111111"/>
          <w:sz w:val="28"/>
          <w:sz w:val="28"/>
          <w:szCs w:val="28"/>
          <w:rtl w:val="true"/>
          <w:lang w:bidi="ar-SA"/>
        </w:rPr>
        <w:t xml:space="preserve">والطوسي </w:t>
      </w:r>
      <w:r>
        <w:rPr>
          <w:rStyle w:val="FootnoteAnchor"/>
          <w:rtl w:val="true"/>
        </w:rPr>
        <w:footnoteReference w:id="1540"/>
      </w:r>
      <w:r>
        <w:rPr>
          <w:rFonts w:ascii="Amiri" w:hAnsi="Amiri" w:eastAsia="Amiri" w:cs="Amiri"/>
          <w:color w:val="111111"/>
          <w:sz w:val="28"/>
          <w:sz w:val="28"/>
          <w:szCs w:val="28"/>
          <w:rtl w:val="true"/>
          <w:lang w:bidi="ar-SA"/>
        </w:rPr>
        <w:t xml:space="preserve">والحلّي </w:t>
      </w:r>
      <w:r>
        <w:rPr>
          <w:rStyle w:val="FootnoteAnchor"/>
          <w:rtl w:val="true"/>
        </w:rPr>
        <w:footnoteReference w:id="1541"/>
      </w: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1542"/>
      </w:r>
      <w:r>
        <w:rPr>
          <w:rFonts w:ascii="Amiri" w:hAnsi="Amiri" w:eastAsia="Amiri" w:cs="Amiri"/>
          <w:color w:val="111111"/>
          <w:sz w:val="28"/>
          <w:sz w:val="28"/>
          <w:szCs w:val="28"/>
          <w:rtl w:val="true"/>
          <w:lang w:bidi="ar-SA"/>
        </w:rPr>
        <w:t xml:space="preserve">والعلامة </w:t>
      </w:r>
      <w:r>
        <w:rPr>
          <w:rStyle w:val="FootnoteAnchor"/>
          <w:rtl w:val="true"/>
        </w:rPr>
        <w:footnoteReference w:id="1543"/>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القطيفي وجماعة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الهادي إلى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على الوجوب ؛ لأنه سنّة للمسلمين مستمرة بين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544"/>
      </w:r>
      <w:r>
        <w:rPr>
          <w:rFonts w:ascii="IRNazanin" w:hAnsi="IRNazanin" w:eastAsia="IRNazanin"/>
          <w:color w:val="111111"/>
          <w:sz w:val="28"/>
          <w:sz w:val="28"/>
          <w:szCs w:val="28"/>
          <w:rtl w:val="true"/>
          <w:lang w:bidi="fa-IR"/>
        </w:rPr>
        <w:t xml:space="preserve">والحدائق </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 خبرا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على الشهرة بعد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وعزاه الفاضل التستري إلى أكثر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وقوّى القول بالاستحباب كما هو واضح مختار الشيخ في الخلاف </w:t>
      </w:r>
      <w:r>
        <w:rPr>
          <w:rStyle w:val="FootnoteAnchor"/>
          <w:rtl w:val="true"/>
        </w:rPr>
        <w:footnoteReference w:id="1547"/>
      </w:r>
      <w:r>
        <w:rPr>
          <w:rFonts w:ascii="IRNazanin" w:hAnsi="IRNazanin" w:eastAsia="IRNazanin"/>
          <w:color w:val="111111"/>
          <w:sz w:val="28"/>
          <w:sz w:val="28"/>
          <w:szCs w:val="28"/>
          <w:rtl w:val="true"/>
          <w:lang w:bidi="fa-IR"/>
        </w:rPr>
        <w:t xml:space="preserve">، وظاهر المبسوط </w:t>
      </w:r>
      <w:r>
        <w:rPr>
          <w:rStyle w:val="FootnoteAnchor"/>
          <w:rtl w:val="true"/>
        </w:rPr>
        <w:footnoteReference w:id="1548"/>
      </w:r>
      <w:r>
        <w:rPr>
          <w:rFonts w:ascii="Amiri" w:hAnsi="Amiri" w:eastAsia="Amiri" w:cs="Amiri"/>
          <w:color w:val="111111"/>
          <w:sz w:val="28"/>
          <w:sz w:val="28"/>
          <w:szCs w:val="28"/>
          <w:rtl w:val="true"/>
          <w:lang w:bidi="ar-SA"/>
        </w:rPr>
        <w:t xml:space="preserve">، والمحقق في المعتبر </w:t>
      </w:r>
      <w:r>
        <w:rPr>
          <w:rStyle w:val="FootnoteAnchor"/>
          <w:rtl w:val="true"/>
        </w:rPr>
        <w:footnoteReference w:id="1549"/>
      </w:r>
      <w:r>
        <w:rPr>
          <w:rFonts w:ascii="Amiri" w:hAnsi="Amiri" w:eastAsia="Amiri" w:cs="Amiri"/>
          <w:color w:val="111111"/>
          <w:sz w:val="28"/>
          <w:sz w:val="28"/>
          <w:szCs w:val="28"/>
          <w:rtl w:val="true"/>
          <w:lang w:bidi="ar-SA"/>
        </w:rPr>
        <w:t xml:space="preserve">، وجماعة من المتأخرين منهم السيد في المدارك </w:t>
      </w:r>
      <w:r>
        <w:rPr>
          <w:rStyle w:val="FootnoteAnchor"/>
          <w:rtl w:val="true"/>
        </w:rPr>
        <w:footnoteReference w:id="1550"/>
      </w:r>
      <w:r>
        <w:rPr>
          <w:rFonts w:ascii="Amiri" w:hAnsi="Amiri" w:eastAsia="Amiri" w:cs="Amiri"/>
          <w:color w:val="111111"/>
          <w:sz w:val="28"/>
          <w:sz w:val="28"/>
          <w:szCs w:val="28"/>
          <w:rtl w:val="true"/>
          <w:lang w:bidi="ar-SA"/>
        </w:rPr>
        <w:t xml:space="preserve">وصاحب الذخيرة </w:t>
      </w:r>
      <w:r>
        <w:rPr>
          <w:rStyle w:val="FootnoteAnchor"/>
          <w:rtl w:val="true"/>
        </w:rPr>
        <w:footnoteReference w:id="1551"/>
      </w:r>
      <w:r>
        <w:rPr>
          <w:rFonts w:ascii="Amiri" w:hAnsi="Amiri" w:eastAsia="Amiri" w:cs="Amiri"/>
          <w:color w:val="111111"/>
          <w:sz w:val="28"/>
          <w:sz w:val="28"/>
          <w:szCs w:val="28"/>
          <w:rtl w:val="true"/>
          <w:lang w:bidi="ar-SA"/>
        </w:rPr>
        <w:t xml:space="preserve">وكشف اللثام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وأسنده في التذكرة </w:t>
      </w:r>
      <w:r>
        <w:rPr>
          <w:rStyle w:val="FootnoteAnchor"/>
          <w:rtl w:val="true"/>
        </w:rPr>
        <w:footnoteReference w:id="1553"/>
      </w:r>
      <w:r>
        <w:rPr>
          <w:rFonts w:ascii="Amiri" w:hAnsi="Amiri" w:eastAsia="Amiri" w:cs="Amiri"/>
          <w:color w:val="111111"/>
          <w:sz w:val="28"/>
          <w:sz w:val="28"/>
          <w:szCs w:val="28"/>
          <w:rtl w:val="true"/>
          <w:lang w:bidi="ar-SA"/>
        </w:rPr>
        <w:t xml:space="preserve">إلى الباقين </w:t>
      </w:r>
      <w:r>
        <w:rPr>
          <w:rStyle w:val="FootnoteAnchor"/>
          <w:rtl w:val="true"/>
        </w:rPr>
        <w:footnoteReference w:id="1554"/>
      </w:r>
      <w:r>
        <w:rPr>
          <w:rFonts w:ascii="Amiri" w:hAnsi="Amiri" w:eastAsia="Amiri" w:cs="Amiri"/>
          <w:color w:val="111111"/>
          <w:sz w:val="28"/>
          <w:sz w:val="28"/>
          <w:szCs w:val="28"/>
          <w:rtl w:val="true"/>
          <w:lang w:bidi="ar-SA"/>
        </w:rPr>
        <w:t>بعد إسناد الوجوب إلى المفيد والديلمي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في التذكرة والقواعد </w:t>
      </w:r>
      <w:r>
        <w:rPr>
          <w:rStyle w:val="FootnoteAnchor"/>
          <w:rtl w:val="true"/>
        </w:rPr>
        <w:footnoteReference w:id="1555"/>
      </w:r>
      <w:r>
        <w:rPr>
          <w:rFonts w:ascii="Amiri" w:hAnsi="Amiri" w:eastAsia="Amiri" w:cs="Amiri"/>
          <w:color w:val="111111"/>
          <w:sz w:val="28"/>
          <w:sz w:val="28"/>
          <w:szCs w:val="28"/>
          <w:rtl w:val="true"/>
          <w:lang w:bidi="ar-SA"/>
        </w:rPr>
        <w:t>التوقف في المسألة حيث ذكر القولين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المختار ما رواه الصدوق في الفقيه </w:t>
      </w:r>
      <w:r>
        <w:rPr>
          <w:rStyle w:val="FootnoteAnchor"/>
          <w:rtl w:val="true"/>
        </w:rPr>
        <w:footnoteReference w:id="1556"/>
      </w:r>
      <w:r>
        <w:rPr>
          <w:rFonts w:ascii="Amiri" w:hAnsi="Amiri" w:eastAsia="Amiri" w:cs="Amiri"/>
          <w:color w:val="111111"/>
          <w:sz w:val="28"/>
          <w:sz w:val="28"/>
          <w:szCs w:val="28"/>
          <w:rtl w:val="true"/>
          <w:lang w:bidi="ar-SA"/>
        </w:rPr>
        <w:t xml:space="preserve">مرسلا ، وفي العلل </w:t>
      </w:r>
      <w:r>
        <w:rPr>
          <w:rStyle w:val="FootnoteAnchor"/>
          <w:rtl w:val="true"/>
        </w:rPr>
        <w:footnoteReference w:id="1557"/>
      </w:r>
      <w:r>
        <w:rPr>
          <w:rFonts w:ascii="Amiri" w:hAnsi="Amiri" w:eastAsia="Amiri" w:cs="Amiri"/>
          <w:color w:val="111111"/>
          <w:sz w:val="28"/>
          <w:sz w:val="28"/>
          <w:szCs w:val="28"/>
          <w:rtl w:val="true"/>
          <w:lang w:bidi="ar-SA"/>
        </w:rPr>
        <w:t xml:space="preserve">مسندا 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 على رجل من ولد عبد المطلب ، فإذا هو في السوق وقد وجّه إلى غير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وجّهوه إلى القبلة ، فإنكم إذا فعلتم ذلك أقبلت عليه الملائكة وأقبل اللّه عليه بوجهه ، فلم يزل كذلك حتى يقبض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الدعائم </w:t>
      </w:r>
      <w:r>
        <w:rPr>
          <w:rStyle w:val="FootnoteAnchor"/>
          <w:rtl w:val="true"/>
        </w:rPr>
        <w:footnoteReference w:id="1558"/>
      </w: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أوضح روايات الباب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الصدوق اعتماده عليها حيث ذكره في عدّة من كتبه سيّما الفقيه مع ضمانه صحة جميع ما 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يناقش في دلالته بأن ظاهر التعليل يومي إلى إرادة الاستحباب مع ما هو ظاهر من </w:t>
      </w:r>
    </w:p>
    <w:p>
      <w:pPr>
        <w:pStyle w:val="BookText"/>
        <w:rPr/>
      </w:pPr>
      <w:r>
        <w:rPr>
          <w:rFonts w:ascii="Amiri" w:hAnsi="Amiri" w:eastAsia="Amiri" w:cs="Amiri"/>
          <w:color w:val="111111"/>
          <w:sz w:val="28"/>
          <w:sz w:val="28"/>
          <w:szCs w:val="28"/>
          <w:rtl w:val="true"/>
          <w:lang w:bidi="ar-SA"/>
        </w:rPr>
        <w:t>كثرة استعمال الأمر في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ووهنه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في واقعة ، فلا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بباطن قدميه القبلة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الأمر الوجوب ، والظاهر حمل الميت على المشرف بالموت </w:t>
      </w:r>
      <w:r>
        <w:rPr>
          <w:rStyle w:val="FootnoteAnchor"/>
          <w:rtl w:val="true"/>
        </w:rPr>
        <w:footnoteReference w:id="1560"/>
      </w:r>
      <w:r>
        <w:rPr>
          <w:rFonts w:ascii="Amiri" w:hAnsi="Amiri" w:eastAsia="Amiri" w:cs="Amiri"/>
          <w:color w:val="111111"/>
          <w:sz w:val="28"/>
          <w:sz w:val="28"/>
          <w:szCs w:val="28"/>
          <w:rtl w:val="true"/>
          <w:lang w:bidi="ar-SA"/>
        </w:rPr>
        <w:t xml:space="preserve">؛ إذ هو مجاز شائع ، بل قضية ما ذكره جماعة من أهل اللغة أن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يمت بعد ، وبالتخفيف من فارقه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حاجة إلى التأويل في الخبر المذكور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الاحتضار هو الزمان المعهود لاستقبال الميت ، ومراعاة الاستقبال أهمّ </w:t>
      </w:r>
      <w:r>
        <w:rPr>
          <w:rStyle w:val="FootnoteAnchor"/>
          <w:rtl w:val="true"/>
        </w:rPr>
        <w:footnoteReference w:id="1561"/>
      </w:r>
      <w:r>
        <w:rPr>
          <w:rFonts w:ascii="Amiri" w:hAnsi="Amiri" w:eastAsia="Amiri" w:cs="Amiri"/>
          <w:color w:val="111111"/>
          <w:sz w:val="28"/>
          <w:sz w:val="28"/>
          <w:szCs w:val="28"/>
          <w:rtl w:val="true"/>
          <w:lang w:bidi="ar-SA"/>
        </w:rPr>
        <w:t>بالنسبة إليه ، فحمل الرواية عليه هو الأولى من البناء على تركه وذكر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لأحدكم ميت فسجوه </w:t>
      </w:r>
      <w:r>
        <w:rPr>
          <w:rStyle w:val="FootnoteAnchor"/>
          <w:rtl w:val="true"/>
        </w:rPr>
        <w:footnoteReference w:id="1562"/>
      </w:r>
      <w:r>
        <w:rPr>
          <w:rFonts w:ascii="Amiri" w:hAnsi="Amiri" w:eastAsia="Amiri" w:cs="Amiri"/>
          <w:color w:val="111111"/>
          <w:sz w:val="28"/>
          <w:sz w:val="28"/>
          <w:szCs w:val="28"/>
          <w:rtl w:val="true"/>
          <w:lang w:bidi="ar-SA"/>
        </w:rPr>
        <w:t xml:space="preserve">تجاه القبلة ، وكذلك إذا غسل يحضر له موضع المغتسل تجاه القبلة ، فيكون مستقبل باطن قدميه ووجهه إلى القبلة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أصحّ ما في الباب سندا إلا أن دلالتها على المدّعى محل مناقشة ؛ لظهورها في استقباله القبلة بعد الموت ، وهو غير المدّعى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بالموت الإشراف عليه كما هو شائع في الاستعمالات حسب ما أشرنا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مجاز لا يصار إليه إلا مع قيام القرينة عليه ، وهي منتفية في المقام ، بل ذكر السجية يومي إلى كونه بعد الموت لاستحبابها حينئذ كما يأتى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حمل على ذلك لكان الاستقبال حينئذ واجبا بعد موته ، ولا قائل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 من يقول بوجوبه حين الاحتضار يقول بوجوبه بعده ، ففيها إذن دلالة على وجوبه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حين الاحتضار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الأمر </w:t>
      </w:r>
      <w:r>
        <w:rPr>
          <w:rStyle w:val="FootnoteAnchor"/>
          <w:rtl w:val="true"/>
        </w:rPr>
        <w:footnoteReference w:id="1565"/>
      </w:r>
      <w:r>
        <w:rPr>
          <w:rFonts w:ascii="Amiri" w:hAnsi="Amiri" w:eastAsia="Amiri" w:cs="Amiri"/>
          <w:color w:val="111111"/>
          <w:sz w:val="28"/>
          <w:sz w:val="28"/>
          <w:szCs w:val="28"/>
          <w:rtl w:val="true"/>
          <w:lang w:bidi="ar-SA"/>
        </w:rPr>
        <w:t xml:space="preserve">على الندب إلا أنه 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إذن انتفاء استحبابه حال الموت ؛ لاشتراط استحباب الاستقبال بتحقق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بناء على حمله على الوجوب أيضا ، فيترجّح بذلك حمل الرواية على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أشرنا إليه من كون بيان ذلك لحال الاحتضار أهمّ فبعيد ترك بيانه في المقام وذكر غيره ، ويؤيد اعتضاده بفهم الجماعة ومراعاة الحائطة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في البرّاء ابن معرور الأنصاري ثلث من الستين منها أنه لما حضرته الوفاة كان غائبا عن المدينة فأمر أن يحول وجهه إلى رسول اللّه صلى‌اللّه‌عليه‌وآله وأوصى بالثلث من ماله ، فنزل الكتاب بالقبلة وجرت السنّة بالثلث </w:t>
      </w:r>
      <w:r>
        <w:rPr>
          <w:rFonts w:eastAsia="Amiri" w:cs="Amiri" w:ascii="Amiri" w:hAnsi="Amiri"/>
          <w:color w:val="111111"/>
          <w:sz w:val="28"/>
          <w:szCs w:val="28"/>
          <w:rtl w:val="true"/>
          <w:lang w:bidi="ar-SA"/>
        </w:rPr>
        <w:t xml:space="preserve">.. » </w:t>
      </w:r>
      <w:r>
        <w:rPr>
          <w:rStyle w:val="FootnoteAnchor"/>
          <w:rtl w:val="true"/>
        </w:rPr>
        <w:footnoteReference w:id="156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يحتج على ذلك بصحيحة </w:t>
      </w:r>
      <w:r>
        <w:rPr>
          <w:rStyle w:val="FootnoteAnchor"/>
          <w:rtl w:val="true"/>
        </w:rPr>
        <w:footnoteReference w:id="1567"/>
      </w:r>
      <w:r>
        <w:rPr>
          <w:rFonts w:ascii="Amiri" w:hAnsi="Amiri" w:eastAsia="Amiri" w:cs="Amiri"/>
          <w:color w:val="111111"/>
          <w:sz w:val="28"/>
          <w:sz w:val="28"/>
          <w:szCs w:val="28"/>
          <w:rtl w:val="true"/>
          <w:lang w:bidi="ar-SA"/>
        </w:rPr>
        <w:t xml:space="preserve">ذريح المحاربي ، عن الصادق عليه‌السلام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Style w:val="FootnoteAnchor"/>
          <w:rtl w:val="true"/>
        </w:rPr>
        <w:footnoteReference w:id="1568"/>
      </w:r>
      <w:r>
        <w:rPr>
          <w:rFonts w:ascii="Amiri" w:hAnsi="Amiri" w:eastAsia="Amiri" w:cs="Amiri"/>
          <w:color w:val="111111"/>
          <w:sz w:val="28"/>
          <w:sz w:val="28"/>
          <w:szCs w:val="28"/>
          <w:rtl w:val="true"/>
          <w:lang w:bidi="ar-SA"/>
        </w:rPr>
        <w:t xml:space="preserve">وجهت الميت للقبلة فاستقبل بوجهه القبلة ولا تجعله معترضا </w:t>
      </w:r>
      <w:r>
        <w:rPr>
          <w:rStyle w:val="FootnoteAnchor"/>
          <w:rtl w:val="true"/>
        </w:rPr>
        <w:footnoteReference w:id="1569"/>
      </w:r>
      <w:r>
        <w:rPr>
          <w:rFonts w:ascii="Amiri" w:hAnsi="Amiri" w:eastAsia="Amiri" w:cs="Amiri"/>
          <w:color w:val="111111"/>
          <w:sz w:val="28"/>
          <w:sz w:val="28"/>
          <w:szCs w:val="28"/>
          <w:rtl w:val="true"/>
          <w:lang w:bidi="ar-SA"/>
        </w:rPr>
        <w:t xml:space="preserve">كما يجعل الناس ، فإني رأيت أصحابنا يفعلون وقد كان أبو بصير يأمر بالاعتراض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والاعتراض المتقدم جار في المقام ، مضافا إلى عدم دلالته على وجوب الاستقبال وإنما يفيد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مطلوبية الاستقبال في الجملة ، وهو ظاهر في الوجوب حتى يثبت الإذن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تجعله معترضا كما تجعله </w:t>
      </w:r>
      <w:r>
        <w:rPr>
          <w:rStyle w:val="FootnoteAnchor"/>
          <w:rtl w:val="true"/>
        </w:rPr>
        <w:footnoteReference w:id="1571"/>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ذلك في حال الاحتضار ، فإنهم يوجّهون الميت حال احتضاره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ابراهيم الشعيري ، عن الصادق عليه‌السلام أنه قال في توجيه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يستقبل بوجهه القبلة ويجعل قدميه مما يلي القبلة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واردة في بيان كيفية التوجيه لا حكمه ؛ لكنّها لا تخلو من </w:t>
      </w:r>
      <w:r>
        <w:rPr>
          <w:rStyle w:val="FootnoteAnchor"/>
          <w:rtl w:val="true"/>
        </w:rPr>
        <w:footnoteReference w:id="1573"/>
      </w:r>
      <w:r>
        <w:rPr>
          <w:rFonts w:ascii="Amiri" w:hAnsi="Amiri" w:eastAsia="Amiri" w:cs="Amiri"/>
          <w:color w:val="111111"/>
          <w:sz w:val="28"/>
          <w:sz w:val="28"/>
          <w:szCs w:val="28"/>
          <w:rtl w:val="true"/>
          <w:lang w:bidi="ar-SA"/>
        </w:rPr>
        <w:t>تأييد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الدعائم عن أمير المؤمنين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الفطرة أن يستقبل بالعليل القبلة إذا احتضر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بالاستحباب الأصل ، وعدم وضوح دلالة الأخبار على وجوب الاستقبال حين الاحتضار ، بل إشعار بعضها بالاستحباب حسبما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ويدفعها ما عرفت من دلالة الأخبار عليه سيّما بعد الاعتضاد بفهم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عليها أيضا بأنه لو بني على كون مورد تلك الأخبار ما بعد الموت حسبما مرّ الكلام فيه كان الحكم في الاستحباب قبل تحقيق الموت خاليا عن الدليل ، فلا وجه إذن لحكم هؤلاء بالاستحباب ؛ إذ هو أيضا حكم شرعي يتوقف على قيام دليل شرعي عليه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الأولى قد دلّت على ثبوت الرجحان في خصوص المحتضر ، وضعفها </w:t>
      </w:r>
      <w:bookmarkStart w:id="360" w:name="pg15839_360978"/>
    </w:p>
    <w:p>
      <w:pPr>
        <w:pStyle w:val="BookText"/>
        <w:rPr/>
      </w:pPr>
      <w:bookmarkEnd w:id="360"/>
      <w:r>
        <w:rPr>
          <w:rFonts w:ascii="Amiri" w:hAnsi="Amiri" w:eastAsia="Amiri" w:cs="Amiri"/>
          <w:color w:val="111111"/>
          <w:sz w:val="28"/>
          <w:sz w:val="28"/>
          <w:szCs w:val="28"/>
          <w:rtl w:val="true"/>
          <w:lang w:bidi="ar-SA"/>
        </w:rPr>
        <w:t>لا يمنع من العمل بها في مقام الاستحباب ، بل ولا عند من لا يتسامح فيه لانجباره باتفاق الأصحاب ؛ إذ لم نجد قائلا بعدم رجحانه سوى ما يحكى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كيفية الاستقبال في المقام حسب ما ذكر في الأخبار المذكورة أن يستلقى الميت على ظهره نحو القبلة ويستقبل القبلة بباطن قدميه بحيث لو جلس كان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حكي عن أبي بصير من الأمر بالاعتراض محمول على </w:t>
      </w:r>
      <w:r>
        <w:rPr>
          <w:rStyle w:val="FootnoteAnchor"/>
          <w:rtl w:val="true"/>
        </w:rPr>
        <w:footnoteReference w:id="1575"/>
      </w:r>
      <w:r>
        <w:rPr>
          <w:rFonts w:ascii="Amiri" w:hAnsi="Amiri" w:eastAsia="Amiri" w:cs="Amiri"/>
          <w:color w:val="111111"/>
          <w:sz w:val="28"/>
          <w:sz w:val="28"/>
          <w:szCs w:val="28"/>
          <w:rtl w:val="true"/>
          <w:lang w:bidi="ar-SA"/>
        </w:rPr>
        <w:t>التقية منه أو ممن أمره به من الأئمة عليهم‌السلام فإنه منقول عن أبي حنيفة ، وقد جعل الاستقبال في المقام على نحو الاستقبال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 توجيهه على النحو المذكور لقصر المكان فالظاهر استقباله على وجه الجلوس مع مدّ رجليه نحو القبلة مع الإمكان ، ولو أمكن الاعتراض على نحو القبر دون غيره ؛ نظرا إلى المكان الذي فيه مع عدم إمكان التحويل عنه ففي وجوب مراعاته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وجوب الاستقبال بمقاديم بدن المصلوب ونحوه مع عدم إمكان التوجيه على النحو المذكور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4338561_2142443653"/>
      <w:bookmarkStart w:id="362" w:name="_Toc133"/>
      <w:bookmarkEnd w:id="361"/>
      <w:r>
        <w:rPr>
          <w:rtl w:val="true"/>
        </w:rPr>
        <w:t xml:space="preserve">[ </w:t>
      </w:r>
      <w:r>
        <w:rPr>
          <w:rtl w:val="true"/>
        </w:rPr>
        <w:t xml:space="preserve">تنبيهات </w:t>
      </w:r>
      <w:r>
        <w:rPr>
          <w:rtl w:val="true"/>
        </w:rPr>
        <w:t>]</w:t>
      </w:r>
      <w:bookmarkEnd w:id="362"/>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بتوجيهه إلى القبلة حسبما </w:t>
      </w:r>
      <w:r>
        <w:rPr>
          <w:rStyle w:val="FootnoteAnchor"/>
          <w:rtl w:val="true"/>
        </w:rPr>
        <w:footnoteReference w:id="1576"/>
      </w:r>
      <w:r>
        <w:rPr>
          <w:rFonts w:ascii="Amiri" w:hAnsi="Amiri" w:eastAsia="Amiri" w:cs="Amiri"/>
          <w:color w:val="111111"/>
          <w:sz w:val="28"/>
          <w:sz w:val="28"/>
          <w:szCs w:val="28"/>
          <w:rtl w:val="true"/>
          <w:lang w:bidi="ar-SA"/>
        </w:rPr>
        <w:t>ذكروه من علم بحاله من المسلمين على سبيل الوجوب الكفائي كغيره من أحكام الميت من التغسيل والتكفين ونحوهما ، فالحال فيها كغيرها حسبما يفصّل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باختصاص الوجوب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فيه إن شاء اللّه عند بيان المذكورات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في المقام وجوبه على الميت مع إمكانه في شأنه ، فإن ذلك إنما يراد لمصلحته ، فهو أولى بتحصيل مصلحة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قوي جدّا إذا لم يكن هناك من يحوّله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لو ظنّ الوفاة ولم يكن من </w:t>
      </w:r>
      <w:r>
        <w:rPr>
          <w:rStyle w:val="FootnoteAnchor"/>
          <w:rtl w:val="true"/>
        </w:rPr>
        <w:footnoteReference w:id="1577"/>
      </w:r>
      <w:r>
        <w:rPr>
          <w:rFonts w:ascii="Amiri" w:hAnsi="Amiri" w:eastAsia="Amiri" w:cs="Amiri"/>
          <w:color w:val="111111"/>
          <w:sz w:val="28"/>
          <w:sz w:val="28"/>
          <w:szCs w:val="28"/>
          <w:rtl w:val="true"/>
          <w:lang w:bidi="ar-SA"/>
        </w:rPr>
        <w:t xml:space="preserve">يوجّهه إلى القبلة حين الاحتضار احتمل القول بوجوب الاستقبال عليه قبله من باب المقدمة إذا </w:t>
      </w:r>
      <w:r>
        <w:rPr>
          <w:rStyle w:val="FootnoteAnchor"/>
          <w:rtl w:val="true"/>
        </w:rPr>
        <w:footnoteReference w:id="1578"/>
      </w:r>
      <w:r>
        <w:rPr>
          <w:rFonts w:ascii="Amiri" w:hAnsi="Amiri" w:eastAsia="Amiri" w:cs="Amiri"/>
          <w:color w:val="111111"/>
          <w:sz w:val="28"/>
          <w:sz w:val="28"/>
          <w:szCs w:val="28"/>
          <w:rtl w:val="true"/>
          <w:lang w:bidi="ar-SA"/>
        </w:rPr>
        <w:t>ظنّ عدم قدرته على التحويل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لا وجه لوجوب المقدمة عليه قبل ذيها إلا أن يقال بأن الاحتضار وقت للاستقبال لا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ينتهي الوجوب بحصول الموت أو إنه </w:t>
      </w:r>
      <w:r>
        <w:rPr>
          <w:rStyle w:val="FootnoteAnchor"/>
          <w:rtl w:val="true"/>
        </w:rPr>
        <w:footnoteReference w:id="1579"/>
      </w:r>
      <w:r>
        <w:rPr>
          <w:rFonts w:ascii="Amiri" w:hAnsi="Amiri" w:eastAsia="Amiri" w:cs="Amiri"/>
          <w:color w:val="111111"/>
          <w:sz w:val="28"/>
          <w:sz w:val="28"/>
          <w:szCs w:val="28"/>
          <w:rtl w:val="true"/>
          <w:lang w:bidi="ar-SA"/>
        </w:rPr>
        <w:t xml:space="preserve">يجب دوام الاستقبال مهما أمكن؟ قولان ، فظاهر كلامهم من الحكم بوجوب استقبال </w:t>
      </w:r>
      <w:r>
        <w:rPr>
          <w:rStyle w:val="FootnoteAnchor"/>
          <w:rtl w:val="true"/>
        </w:rPr>
        <w:footnoteReference w:id="1580"/>
      </w:r>
      <w:r>
        <w:rPr>
          <w:rFonts w:ascii="Amiri" w:hAnsi="Amiri" w:eastAsia="Amiri" w:cs="Amiri"/>
          <w:color w:val="111111"/>
          <w:sz w:val="28"/>
          <w:sz w:val="28"/>
          <w:szCs w:val="28"/>
          <w:rtl w:val="true"/>
          <w:lang w:bidi="ar-SA"/>
        </w:rPr>
        <w:t>المحتضر اختصاص الوجوب بتلك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1581"/>
      </w:r>
      <w:r>
        <w:rPr>
          <w:rFonts w:ascii="IRNazanin" w:hAnsi="IRNazanin" w:eastAsia="IRNazanin"/>
          <w:color w:val="111111"/>
          <w:sz w:val="28"/>
          <w:sz w:val="28"/>
          <w:szCs w:val="28"/>
          <w:rtl w:val="true"/>
          <w:lang w:bidi="fa-IR"/>
        </w:rPr>
        <w:t xml:space="preserve">أن ظاهر الأخبار سقوط الاستقبال بالموت ، قال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احتمال دوام الاستقبال ، وينبّه عليه ذكره حال الغسل ووجوبه حال الصلاة والدفن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المدارك </w:t>
      </w:r>
      <w:r>
        <w:rPr>
          <w:rStyle w:val="FootnoteAnchor"/>
          <w:rtl w:val="true"/>
        </w:rPr>
        <w:footnoteReference w:id="1583"/>
      </w:r>
      <w:r>
        <w:rPr>
          <w:rFonts w:ascii="Amiri" w:hAnsi="Amiri" w:eastAsia="Amiri" w:cs="Amiri"/>
          <w:color w:val="111111"/>
          <w:sz w:val="28"/>
          <w:sz w:val="28"/>
          <w:szCs w:val="28"/>
          <w:rtl w:val="true"/>
          <w:lang w:bidi="ar-SA"/>
        </w:rPr>
        <w:t xml:space="preserve">بأنه لم يقف على ما ذكره من الأخبار ، قال شيخه </w:t>
      </w:r>
      <w:r>
        <w:rPr>
          <w:rStyle w:val="FootnoteAnchor"/>
          <w:rtl w:val="true"/>
        </w:rPr>
        <w:footnoteReference w:id="1584"/>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البقاء على تلك الحال حتى ينتقل إلى المغتسل ويراعي هناك أيضا كذلك إلا أنه يكون حين خروج الروح فقط ؛ لأن ظاهر الأخبار بعد الموت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لو حمل الميت في الأخبار المذكورة على المشرف على الموت إما لكونه حقيقة فيه بخصوصه كما أشرنا إليه ، أو من باب مجاز المشارفة كان مفاد الروايات المذكورة </w:t>
      </w:r>
    </w:p>
    <w:p>
      <w:pPr>
        <w:pStyle w:val="BookText"/>
        <w:rPr/>
      </w:pPr>
      <w:r>
        <w:rPr>
          <w:rFonts w:ascii="Amiri" w:hAnsi="Amiri" w:eastAsia="Amiri" w:cs="Amiri"/>
          <w:color w:val="111111"/>
          <w:sz w:val="28"/>
          <w:sz w:val="28"/>
          <w:szCs w:val="28"/>
          <w:rtl w:val="true"/>
          <w:lang w:bidi="ar-SA"/>
        </w:rPr>
        <w:t>اختصاص الوجوب بتلك الحال ، فلا دلالة فيها على وجوب الاستقبال في غيرها ، بل ربما يشعر ظواهرها على انتفاء الوجوب بانتفاء الموضوع حسبما ذكره الشهيد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رواية الصدوق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w:t>
      </w:r>
      <w:r>
        <w:rPr>
          <w:rFonts w:eastAsia="Amiri" w:cs="Amiri" w:ascii="Amiri" w:hAnsi="Amiri"/>
          <w:color w:val="111111"/>
          <w:sz w:val="28"/>
          <w:szCs w:val="28"/>
          <w:rtl w:val="true"/>
          <w:lang w:bidi="ar-SA"/>
        </w:rPr>
        <w:t xml:space="preserve">» ) </w:t>
      </w:r>
      <w:r>
        <w:rPr>
          <w:rStyle w:val="FootnoteAnchor"/>
          <w:rtl w:val="true"/>
        </w:rPr>
        <w:footnoteReference w:id="1585"/>
      </w:r>
      <w:r>
        <w:rPr>
          <w:rFonts w:ascii="Amiri" w:hAnsi="Amiri" w:eastAsia="Amiri" w:cs="Amiri"/>
          <w:color w:val="111111"/>
          <w:sz w:val="28"/>
          <w:sz w:val="28"/>
          <w:szCs w:val="28"/>
          <w:rtl w:val="true"/>
          <w:lang w:bidi="ar-SA"/>
        </w:rPr>
        <w:t>لم يزل اللّه مقبلا عليه بوجهه والملائكة مقبلة عليه حتى يقبض ؛ ولا يراد به بقاؤه مستقبلا حتى يقبض ؛ ليقيّد بمفهوم الغاية ارتفاع حكم الاستقبال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يكون في التعليل المذكور إشعار بارتفاع الحكم ، وربّما يستدلّ على بقاء الحكم بالاستصحاب ، وهو أيضا مشكل ؛ لتوقيت الحكم بتلك الحال بناء على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فالقول بوجوب البقاء على الاستقبال محلّ تأمل ، وكأنّ الأظهر عدمه ؛ أخذا بالأصل في غيره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ظاهر التعليل المذكور وغيره ، ولا بأس بالبناء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استمرار الحكم إما وجوبا أو ندبا فإنما يجري ذلك إلى حين الغسل ، أما بعده فيجعل على نحو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طهر يوضع كما يوضع في قبره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التشبيه في وضعه معترضا دون الإضجاع </w:t>
      </w:r>
      <w:r>
        <w:rPr>
          <w:rStyle w:val="FootnoteAnchor"/>
          <w:rtl w:val="true"/>
        </w:rPr>
        <w:footnoteReference w:id="1587"/>
      </w:r>
      <w:r>
        <w:rPr>
          <w:rFonts w:ascii="Amiri" w:hAnsi="Amiri" w:eastAsia="Amiri" w:cs="Amiri"/>
          <w:color w:val="111111"/>
          <w:sz w:val="28"/>
          <w:sz w:val="28"/>
          <w:szCs w:val="28"/>
          <w:rtl w:val="true"/>
          <w:lang w:bidi="ar-SA"/>
        </w:rPr>
        <w:t>على الأيمن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هنا استقبال العين للقريب والجهة للبعيد على ما هو الحال في الصلاة ، فلو جهلت وجب تحصيله مع الإمكان ، فإن لم يتمكن من العلم فالظاهر قيام الظنّ مقامه ، فإن لم يتمكن منه أيضا سقط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استقبال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في الذكرى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من جهة إلحاقه بالصلاة بناء على المشهور من وجوب الصلاة إلى الجوانب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والفرق بين الأمرين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حينئذ خروج القبلة عن بعض الجهات ودارت بين جهتين أو جهات فهل يسقط مراعاة الاستقبال مطلقا أو يتعيّن توجّهه نحو الجهات المشكوكة؟ وجهان ، أحوطهما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الحكم المذكور بين الذكر والأنثى ، والصغير والكبير ؛ لإطلاق </w:t>
      </w:r>
      <w:r>
        <w:rPr>
          <w:rStyle w:val="FootnoteAnchor"/>
          <w:rtl w:val="true"/>
        </w:rPr>
        <w:footnoteReference w:id="1589"/>
      </w:r>
      <w:r>
        <w:rPr>
          <w:rFonts w:ascii="Amiri" w:hAnsi="Amiri" w:eastAsia="Amiri" w:cs="Amiri"/>
          <w:color w:val="111111"/>
          <w:sz w:val="28"/>
          <w:sz w:val="28"/>
          <w:szCs w:val="28"/>
          <w:rtl w:val="true"/>
          <w:lang w:bidi="ar-SA"/>
        </w:rPr>
        <w:t>معظم الأخبار وظاهر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شموله للسقط إذا كان فيه حياة وجهان ، وهو إنما يثبت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المسلم المخالف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يبنى ذلك على وجوب غسله وكفنه ودفنه ، فإن قلنا بالوجوب جرى فيه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بوجوبها نظرا إلى أنّ </w:t>
      </w:r>
      <w:r>
        <w:rPr>
          <w:rStyle w:val="FootnoteAnchor"/>
          <w:rtl w:val="true"/>
        </w:rPr>
        <w:footnoteReference w:id="1590"/>
      </w:r>
      <w:r>
        <w:rPr>
          <w:rFonts w:ascii="Amiri" w:hAnsi="Amiri" w:eastAsia="Amiri" w:cs="Amiri"/>
          <w:color w:val="111111"/>
          <w:sz w:val="28"/>
          <w:sz w:val="28"/>
          <w:szCs w:val="28"/>
          <w:rtl w:val="true"/>
          <w:lang w:bidi="ar-SA"/>
        </w:rPr>
        <w:t>مذهبهم عدم الوجوب فيعاملون بما عاملوا به أنفسهم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الكافر فظاهر </w:t>
      </w:r>
      <w:r>
        <w:rPr>
          <w:rStyle w:val="FootnoteAnchor"/>
          <w:rtl w:val="true"/>
        </w:rPr>
        <w:footnoteReference w:id="1591"/>
      </w:r>
      <w:r>
        <w:rPr>
          <w:rFonts w:ascii="Amiri" w:hAnsi="Amiri" w:eastAsia="Amiri" w:cs="Amiri"/>
          <w:color w:val="111111"/>
          <w:sz w:val="28"/>
          <w:sz w:val="28"/>
          <w:szCs w:val="28"/>
          <w:rtl w:val="true"/>
          <w:lang w:bidi="ar-SA"/>
        </w:rPr>
        <w:t xml:space="preserve">عدم جريان الحكم فيه سواء كان مشخصا </w:t>
      </w:r>
      <w:r>
        <w:rPr>
          <w:rStyle w:val="FootnoteAnchor"/>
          <w:rtl w:val="true"/>
        </w:rPr>
        <w:footnoteReference w:id="1592"/>
      </w:r>
      <w:r>
        <w:rPr>
          <w:rFonts w:ascii="IRNazanin" w:hAnsi="IRNazanin" w:eastAsia="IRNazanin"/>
          <w:color w:val="111111"/>
          <w:sz w:val="28"/>
          <w:sz w:val="28"/>
          <w:szCs w:val="28"/>
          <w:rtl w:val="true"/>
          <w:lang w:bidi="fa-IR"/>
        </w:rPr>
        <w:t>منتحلا للإسلام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وأطفال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والمخالفين ملحوقون بآبائهم إلّا أن يلحقوا المسلمين كالمسبي عن أولاد الكفار </w:t>
      </w:r>
      <w:r>
        <w:rPr>
          <w:rFonts w:eastAsia="Amiri" w:cs="Amiri" w:ascii="Amiri" w:hAnsi="Amiri"/>
          <w:color w:val="111111"/>
          <w:sz w:val="28"/>
          <w:szCs w:val="28"/>
          <w:rtl w:val="true"/>
          <w:lang w:bidi="ar-SA"/>
        </w:rPr>
        <w:t xml:space="preserve">) </w:t>
      </w:r>
      <w:r>
        <w:rPr>
          <w:rStyle w:val="FootnoteAnchor"/>
          <w:rtl w:val="true"/>
        </w:rPr>
        <w:footnoteReference w:id="1593"/>
      </w:r>
      <w:r>
        <w:rPr>
          <w:rFonts w:ascii="Amiri" w:hAnsi="Amiri" w:eastAsia="Amiri" w:cs="Amiri"/>
          <w:color w:val="111111"/>
          <w:sz w:val="28"/>
          <w:sz w:val="28"/>
          <w:szCs w:val="28"/>
          <w:rtl w:val="true"/>
          <w:lang w:bidi="ar-SA"/>
        </w:rPr>
        <w:t>وفي جريان الحكم في أولاد المخالفين إذا انقطعوا عن آبائهم بالسبي أو غيره وتبعوا المؤمنين وجهان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يحكم بوجوب الاستقبال بعد تحقيق كونها حال الاحتضار ، وأما مع ظنّه </w:t>
      </w:r>
    </w:p>
    <w:p>
      <w:pPr>
        <w:pStyle w:val="BookText"/>
        <w:rPr/>
      </w:pPr>
      <w:r>
        <w:rPr>
          <w:rFonts w:ascii="Amiri" w:hAnsi="Amiri" w:eastAsia="Amiri" w:cs="Amiri"/>
          <w:color w:val="111111"/>
          <w:sz w:val="28"/>
          <w:sz w:val="28"/>
          <w:szCs w:val="28"/>
          <w:rtl w:val="true"/>
          <w:lang w:bidi="ar-SA"/>
        </w:rPr>
        <w:t>ففي الحكم بالوجوب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به ؛ إذ الغالب في مثل ذلك حصول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الاستقبال بالسكون ونحوه إلى علم موته؟ لا يجب ؛ لعدم ثبوت كونه حال الاحتضار ، فقد يكون ميتا وقد لا يموت ،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مع دوران الأمر بين كونه ميتا أو في شرف الموت استصحابا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يجري الحكم في أبعاض الميت؟ الظاهر ذلك ، فلو قطعت رأسه لوحظ القبلة في كل من الرأس والجسد ولو كان حيا </w:t>
      </w:r>
      <w:r>
        <w:rPr>
          <w:rStyle w:val="FootnoteAnchor"/>
          <w:rtl w:val="true"/>
        </w:rPr>
        <w:footnoteReference w:id="1594"/>
      </w:r>
      <w:r>
        <w:rPr>
          <w:rFonts w:ascii="Amiri" w:hAnsi="Amiri" w:eastAsia="Amiri" w:cs="Amiri"/>
          <w:color w:val="111111"/>
          <w:sz w:val="28"/>
          <w:sz w:val="28"/>
          <w:szCs w:val="28"/>
          <w:rtl w:val="true"/>
          <w:lang w:bidi="ar-SA"/>
        </w:rPr>
        <w:t>وقطع رجله لم يجر فيه الحكم ؛ لدوران الحكم مدار موت الشخص دون موت العضو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سادسها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يقرأ سورة يس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يس ومات في يومه أدخله اللّه الجنة وحضر غسله ثلاثون ألف ملك يستغفرون له ويشيّعونه إلى قبره بالاستغفار له ، فإذا دخل </w:t>
      </w:r>
      <w:r>
        <w:rPr>
          <w:rStyle w:val="FootnoteAnchor"/>
          <w:rtl w:val="true"/>
        </w:rPr>
        <w:footnoteReference w:id="1596"/>
      </w:r>
      <w:r>
        <w:rPr>
          <w:rFonts w:ascii="Amiri" w:hAnsi="Amiri" w:eastAsia="Amiri" w:cs="Amiri"/>
          <w:color w:val="111111"/>
          <w:sz w:val="28"/>
          <w:sz w:val="28"/>
          <w:szCs w:val="28"/>
          <w:rtl w:val="true"/>
          <w:lang w:bidi="ar-SA"/>
        </w:rPr>
        <w:t xml:space="preserve">في لحده كانوا في جوف قبره يعبدون اللّه ، وثواب عبادتهم له ، وفسح له في قبره مدّ بصره ، واومن من ضغطة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يقرأ عنده </w:t>
      </w:r>
      <w:r>
        <w:rPr>
          <w:rStyle w:val="FootnoteAnchor"/>
          <w:rtl w:val="true"/>
        </w:rPr>
        <w:footnoteReference w:id="1597"/>
      </w:r>
      <w:r>
        <w:rPr>
          <w:rFonts w:ascii="Amiri" w:hAnsi="Amiri" w:eastAsia="Amiri" w:cs="Amiri"/>
          <w:color w:val="111111"/>
          <w:sz w:val="28"/>
          <w:sz w:val="28"/>
          <w:szCs w:val="28"/>
          <w:rtl w:val="true"/>
          <w:lang w:bidi="ar-SA"/>
        </w:rPr>
        <w:t xml:space="preserve">السورة المباركة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يس فإن في قراءة يس عشر بركات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قرأت عند ميت إلا خففت عنه تلك الساعة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قرأ الميّت بالتشديد أمكن الاستدلال به حسبما مرّ على استحباب قراءته حين الاحتضار ، فيكون التخفيف بتهوّن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ذلك لو قرأ بالتخفيف أيضا بناء على حمله على المشارف للموت أو الأعم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يعمّ ذلك قراءته عند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يخلو </w:t>
      </w:r>
      <w:r>
        <w:rPr>
          <w:rStyle w:val="FootnoteAnchor"/>
          <w:rtl w:val="true"/>
        </w:rPr>
        <w:footnoteReference w:id="1599"/>
      </w:r>
      <w:r>
        <w:rPr>
          <w:rFonts w:ascii="IRNazanin" w:hAnsi="IRNazanin" w:eastAsia="IRNazanin"/>
          <w:color w:val="111111"/>
          <w:sz w:val="28"/>
          <w:sz w:val="28"/>
          <w:szCs w:val="28"/>
          <w:rtl w:val="true"/>
          <w:lang w:bidi="fa-IR"/>
        </w:rPr>
        <w:t>عن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يقرأ عنده </w:t>
      </w:r>
      <w:r>
        <w:rPr>
          <w:rStyle w:val="FootnoteAnchor"/>
          <w:rtl w:val="true"/>
        </w:rPr>
        <w:footnoteReference w:id="1600"/>
      </w:r>
      <w:r>
        <w:rPr>
          <w:rFonts w:ascii="Amiri" w:hAnsi="Amiri" w:eastAsia="Amiri" w:cs="Amiri"/>
          <w:color w:val="111111"/>
          <w:sz w:val="28"/>
          <w:sz w:val="28"/>
          <w:szCs w:val="28"/>
          <w:rtl w:val="true"/>
          <w:lang w:bidi="ar-SA"/>
        </w:rPr>
        <w:t xml:space="preserve">الصافات ، فعن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عليه‌السلام يقول لابنه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عند رأس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وَالصَّافّاتِ صَفًّا </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حتى تستتمّها ، فقرأ 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أَشَدُّ خَلْقاً أَمْ مَنْ خَلَقْنا </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قضى الفتى ، فلما سجي وخرجوا أقبل عليه يعقوب بن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الموت يقرأ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فصرت تأمرنا بالصافات؟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تقرأ عند مكروب من الموت إلا عجّل اللّه راحته </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يقرأ سورة الكافرون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نابذوا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عند المريض والميت آية الكرسي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أخرجه إلى رضى منك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ذنبه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يقرأ آية السخرة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 xml:space="preserve">.. ) </w:t>
      </w:r>
      <w:r>
        <w:rPr>
          <w:rStyle w:val="FootnoteAnchor"/>
          <w:rtl w:val="true"/>
        </w:rPr>
        <w:footnoteReference w:id="1607"/>
      </w:r>
      <w:r>
        <w:rPr>
          <w:rFonts w:ascii="Amiri" w:hAnsi="Amiri" w:eastAsia="Amiri" w:cs="Amiri"/>
          <w:color w:val="111111"/>
          <w:sz w:val="28"/>
          <w:sz w:val="28"/>
          <w:szCs w:val="28"/>
          <w:rtl w:val="true"/>
          <w:lang w:bidi="ar-SA"/>
        </w:rPr>
        <w:t xml:space="preserve">إلى آخره ، ثم يقرأ ثلاث آيات من آخر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ثم يقرأ سورة الأحزاب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ذلك الراوندي رحمه‌اللّه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الدعائم ،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لمن حضر المنازع أن يقرأ عند رأسه </w:t>
      </w:r>
    </w:p>
    <w:p>
      <w:pPr>
        <w:pStyle w:val="BookText"/>
        <w:rPr/>
      </w:pPr>
      <w:r>
        <w:rPr>
          <w:rFonts w:ascii="Amiri" w:hAnsi="Amiri" w:eastAsia="Amiri" w:cs="Amiri"/>
          <w:color w:val="111111"/>
          <w:sz w:val="28"/>
          <w:sz w:val="28"/>
          <w:szCs w:val="28"/>
          <w:rtl w:val="true"/>
          <w:lang w:bidi="ar-SA"/>
        </w:rPr>
        <w:t xml:space="preserve">آية الكرسي وآيتين بعدها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إلى آخر الآية ، ثم ثلاث آيات من آخر البقرة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أخرجها منه إلى رضى منك ورضوان ، اللّهم لقّه البشرى ، اللّهم اغفر له ذنبه وارحمه </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يلقّن كلمات الفرج ، فعن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إذا حضر من أهل بيته أحد الموت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إله إلا اللّه الحليم الكريم ، لا إله إلا اللّه العلي العظيم ، سبحان اللّه ربّ السماوات السبع وربّ الأرضين السبع وما فيهنّ وما بينهنّ وربّ العرش العظيم ، والحمد لله ربّ العالمين ، فإذا قالها المريض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فليس عليك بأس </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زرارة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الرجل عند النزع فلقّنه كلمات الفرج </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وذكر التهليل والتسبيح والتحميد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اختلاف في كلمات الفرج زيادة ونقصانا ، والموجود في الصحيح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صحيحة اخرى إلا أنه أسقط فيه لفظ الجلالة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ربّ السماوات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الفقيه </w:t>
      </w:r>
      <w:r>
        <w:rPr>
          <w:rStyle w:val="FootnoteAnchor"/>
          <w:rtl w:val="true"/>
        </w:rPr>
        <w:footnoteReference w:id="1614"/>
      </w:r>
      <w:r>
        <w:rPr>
          <w:rFonts w:ascii="Amiri" w:hAnsi="Amiri" w:eastAsia="Amiri" w:cs="Amiri"/>
          <w:color w:val="111111"/>
          <w:sz w:val="28"/>
          <w:sz w:val="28"/>
          <w:szCs w:val="28"/>
          <w:rtl w:val="true"/>
          <w:lang w:bidi="ar-SA"/>
        </w:rPr>
        <w:t xml:space="preserve">وكتاب فقه الرضا </w:t>
      </w:r>
      <w:r>
        <w:rPr>
          <w:rStyle w:val="FootnoteAnchor"/>
          <w:rtl w:val="true"/>
        </w:rPr>
        <w:footnoteReference w:id="1615"/>
      </w:r>
      <w:r>
        <w:rPr>
          <w:rFonts w:ascii="Amiri" w:hAnsi="Amiri" w:eastAsia="Amiri" w:cs="Amiri"/>
          <w:color w:val="111111"/>
          <w:sz w:val="28"/>
          <w:sz w:val="28"/>
          <w:szCs w:val="28"/>
          <w:rtl w:val="true"/>
          <w:lang w:bidi="ar-SA"/>
        </w:rPr>
        <w:t xml:space="preserve">عليه‌السلام وغيرها </w:t>
      </w:r>
      <w:r>
        <w:rPr>
          <w:rStyle w:val="FootnoteAnchor"/>
          <w:rtl w:val="true"/>
        </w:rPr>
        <w:footnoteReference w:id="1616"/>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تحتهنّ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بينهنّ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يلقّن الشهادتين ، والإقرار بالأئمة الطاهرين سلام اللّه عليهم أجمعين ، ففي صحيحة الحلبي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 الميت قبل أن يموت فلقّنه شهادة أن لا إله إلا اللّه وحده لا شريك له وأن محمدا عبده ورسوله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يحضره الموت إلا وكّل إبليس من شياطينه من يأمره بالكفر ويشكّكه في دينه حتى نفسه ، فمن كان مؤمنا لم يقدر عليه ، فإذا حضرتم موتاكم فلقّنوهم شهادة أن لا إله إلا اللّه وأن محمدا رسول اللّه صلى‌اللّه‌عليه‌وآله حتى يموتوا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فلقّنوا موتاكم عند الموت شهادة أن لا إله إلا اللّه والولاية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يستفاد من بعض هذه الأخبار استحباب تكرير التلقين المذكور إلى أن يموت كما نصّ عليه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الصادق عليه‌السلام عن آبائه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لا إله إلّا اللّه ، فإنّ من كان آخر كلامه لا إله إلّا اللّه دخل الجنة </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يلقّنه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يقبل اليسير ويعفو عن الكثير اقبل منّي اليسير واعف عنّي الكثير ، إنك أنت الغفور الرحيم </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المفيد في مجالسه وأبو علي ابن الشيخ في المجالس ، بإسناده أيضا عن سعيد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حضر شابا عند وفاته فقال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فاعتقل لسانه مرارا ، فقال لامرأة </w:t>
      </w:r>
      <w:r>
        <w:rPr>
          <w:rStyle w:val="FootnoteAnchor"/>
          <w:rtl w:val="true"/>
        </w:rPr>
        <w:footnoteReference w:id="1624"/>
      </w:r>
      <w:r>
        <w:rPr>
          <w:rFonts w:ascii="IRNazanin" w:hAnsi="IRNazanin" w:eastAsia="IRNazanin"/>
          <w:color w:val="111111"/>
          <w:sz w:val="28"/>
          <w:sz w:val="28"/>
          <w:szCs w:val="28"/>
          <w:rtl w:val="true"/>
          <w:lang w:bidi="fa-IR"/>
        </w:rPr>
        <w:t xml:space="preserve">عند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لهذا أمّ؟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أنا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أساخطة </w:t>
      </w:r>
      <w:r>
        <w:rPr>
          <w:rStyle w:val="FootnoteAnchor"/>
          <w:rtl w:val="true"/>
        </w:rPr>
        <w:footnoteReference w:id="1625"/>
      </w:r>
      <w:r>
        <w:rPr>
          <w:rFonts w:ascii="Amiri" w:hAnsi="Amiri" w:eastAsia="Amiri" w:cs="Amiri"/>
          <w:color w:val="111111"/>
          <w:sz w:val="28"/>
          <w:sz w:val="28"/>
          <w:szCs w:val="28"/>
          <w:rtl w:val="true"/>
          <w:lang w:bidi="ar-SA"/>
        </w:rPr>
        <w:t xml:space="preserve">أنت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رضي‌اللّه‌عنه برضاك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قبيح المنظر وسخ الثياب منتن الريح ، قد وليني الساعة يأخذ بكظمي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الشابّ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وأرى الأسود قد تولّى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 وأرى الأبيض قد 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طفى على تلك الحال </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أي مات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 رجلا الموت فقال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رسول اللّه صلى‌اللّه‌عليه‌وآله ومعه اناس من أصحابه حتى أتاه وهو 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الرجل حتى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الرجل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وسوادا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أقرب؟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الكثير من معاصيك واقبل منّي اليسير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 ثم اغمي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عنه أسأله فأفاق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حضرتم ميتا فقولوا له </w:t>
      </w:r>
      <w:r>
        <w:rPr>
          <w:rStyle w:val="FootnoteAnchor"/>
          <w:rtl w:val="true"/>
        </w:rPr>
        <w:footnoteReference w:id="1629"/>
      </w:r>
      <w:r>
        <w:rPr>
          <w:rFonts w:ascii="Amiri" w:hAnsi="Amiri" w:eastAsia="Amiri" w:cs="Amiri"/>
          <w:color w:val="111111"/>
          <w:sz w:val="28"/>
          <w:sz w:val="28"/>
          <w:szCs w:val="28"/>
          <w:rtl w:val="true"/>
          <w:lang w:bidi="ar-SA"/>
        </w:rPr>
        <w:t xml:space="preserve">هذا الكلام ليقوله </w:t>
      </w:r>
      <w:r>
        <w:rPr>
          <w:rFonts w:eastAsia="Amiri" w:cs="Amiri" w:ascii="Amiri" w:hAnsi="Amiri"/>
          <w:color w:val="111111"/>
          <w:sz w:val="28"/>
          <w:szCs w:val="28"/>
          <w:rtl w:val="true"/>
          <w:lang w:bidi="ar-SA"/>
        </w:rPr>
        <w:t xml:space="preserve">» </w:t>
      </w:r>
      <w:r>
        <w:rPr>
          <w:rStyle w:val="FootnoteAnchor"/>
          <w:rtl w:val="true"/>
        </w:rPr>
        <w:footnoteReference w:id="1630"/>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bookmarkStart w:id="363" w:name="pg15839_360987"/>
    </w:p>
    <w:p>
      <w:pPr>
        <w:pStyle w:val="Heading2"/>
        <w:numPr>
          <w:ilvl w:val="1"/>
          <w:numId w:val="1"/>
        </w:numPr>
        <w:rPr/>
      </w:pPr>
      <w:bookmarkStart w:id="364" w:name="__RefHeading___Toc14338563_2142443653"/>
      <w:bookmarkStart w:id="365" w:name="_Toc134"/>
      <w:bookmarkEnd w:id="363"/>
      <w:bookmarkEnd w:id="364"/>
      <w:r>
        <w:rPr>
          <w:rtl w:val="true"/>
        </w:rPr>
        <w:t>الباب</w:t>
      </w:r>
      <w:r>
        <w:rPr>
          <w:rtl w:val="true"/>
        </w:rPr>
        <w:t xml:space="preserve">: </w:t>
      </w:r>
      <w:r>
        <w:rPr>
          <w:rtl w:val="true"/>
        </w:rPr>
        <w:t>في بيان النجاسات والمطهّرات ، وأحكام النجاسات</w:t>
      </w:r>
      <w:bookmarkEnd w:id="365"/>
    </w:p>
    <w:p>
      <w:pPr>
        <w:pStyle w:val="Heading3"/>
        <w:numPr>
          <w:ilvl w:val="2"/>
          <w:numId w:val="1"/>
        </w:numPr>
        <w:rPr/>
      </w:pPr>
      <w:bookmarkStart w:id="366" w:name="__RefHeading___Toc14338565_2142443653"/>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ففيه فصول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4338567_2142443653"/>
      <w:bookmarkStart w:id="369" w:name="_Toc136"/>
      <w:bookmarkEnd w:id="368"/>
      <w:r>
        <w:rPr>
          <w:rtl w:val="true"/>
        </w:rPr>
        <w:t xml:space="preserve">[ </w:t>
      </w:r>
      <w:r>
        <w:rPr>
          <w:rtl w:val="true"/>
        </w:rPr>
        <w:t xml:space="preserve">الفصل </w:t>
      </w:r>
      <w:r>
        <w:rPr>
          <w:rtl w:val="true"/>
        </w:rPr>
        <w:t xml:space="preserve">] </w:t>
      </w:r>
      <w:r>
        <w:rPr>
          <w:rtl w:val="true"/>
        </w:rPr>
        <w:t>الأوّل</w:t>
      </w:r>
      <w:r>
        <w:rPr>
          <w:rtl w:val="true"/>
        </w:rPr>
        <w:t xml:space="preserve">: </w:t>
      </w:r>
      <w:r>
        <w:rPr>
          <w:rtl w:val="true"/>
        </w:rPr>
        <w:t>في أعداد النجاسات</w:t>
      </w:r>
      <w:bookmarkEnd w:id="369"/>
    </w:p>
    <w:p>
      <w:pPr>
        <w:pStyle w:val="Heading4"/>
        <w:numPr>
          <w:ilvl w:val="3"/>
          <w:numId w:val="1"/>
        </w:numPr>
        <w:rPr/>
      </w:pPr>
      <w:bookmarkStart w:id="370" w:name="__RefHeading___Toc14338569_2142443653"/>
      <w:bookmarkStart w:id="371" w:name="_Toc137"/>
      <w:bookmarkEnd w:id="370"/>
      <w:r>
        <w:rPr>
          <w:rtl w:val="true"/>
        </w:rPr>
        <w:t>تبصرة</w:t>
      </w:r>
      <w:r>
        <w:rPr>
          <w:rtl w:val="true"/>
        </w:rPr>
        <w:t xml:space="preserve">: [ </w:t>
      </w:r>
      <w:r>
        <w:rPr>
          <w:rtl w:val="true"/>
        </w:rPr>
        <w:t xml:space="preserve">في نجاسة البول والغائط مما لا يؤكل لحمه </w:t>
      </w:r>
      <w:r>
        <w:rPr>
          <w:rtl w:val="true"/>
        </w:rPr>
        <w:t>]</w:t>
      </w:r>
      <w:bookmarkEnd w:id="371"/>
    </w:p>
    <w:p>
      <w:pPr>
        <w:pStyle w:val="BookText"/>
        <w:rPr/>
      </w:pPr>
      <w:r>
        <w:rPr>
          <w:rFonts w:ascii="Amiri" w:hAnsi="Amiri" w:eastAsia="Amiri" w:cs="Amiri"/>
          <w:color w:val="111111"/>
          <w:sz w:val="28"/>
          <w:sz w:val="28"/>
          <w:szCs w:val="28"/>
          <w:rtl w:val="true"/>
          <w:lang w:bidi="ar-SA"/>
        </w:rPr>
        <w:t xml:space="preserve">الأول والثاني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مما لا يؤكل لحمه مما له نفس سائلة ، بلا خلاف فيه إلا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الإجماع عليه مطلقا في كلام جماعة من الأصحاب ، وقد حكي الإجماع عليه عن الشيخ </w:t>
      </w:r>
      <w:r>
        <w:rPr>
          <w:rStyle w:val="FootnoteAnchor"/>
          <w:rtl w:val="true"/>
        </w:rPr>
        <w:footnoteReference w:id="1632"/>
      </w:r>
      <w:r>
        <w:rPr>
          <w:rFonts w:ascii="Amiri" w:hAnsi="Amiri" w:eastAsia="Amiri" w:cs="Amiri"/>
          <w:color w:val="111111"/>
          <w:sz w:val="28"/>
          <w:sz w:val="28"/>
          <w:szCs w:val="28"/>
          <w:rtl w:val="true"/>
          <w:lang w:bidi="ar-SA"/>
        </w:rPr>
        <w:t xml:space="preserve">وابن زهرة </w:t>
      </w:r>
      <w:r>
        <w:rPr>
          <w:rStyle w:val="FootnoteAnchor"/>
          <w:rtl w:val="true"/>
        </w:rPr>
        <w:footnoteReference w:id="1633"/>
      </w:r>
      <w:r>
        <w:rPr>
          <w:rFonts w:ascii="IRNazanin" w:hAnsi="IRNazanin" w:eastAsia="IRNazanin"/>
          <w:color w:val="111111"/>
          <w:sz w:val="28"/>
          <w:sz w:val="28"/>
          <w:szCs w:val="28"/>
          <w:rtl w:val="true"/>
          <w:lang w:bidi="fa-IR"/>
        </w:rPr>
        <w:t xml:space="preserve">والفاضلان </w:t>
      </w:r>
      <w:r>
        <w:rPr>
          <w:rStyle w:val="FootnoteAnchor"/>
          <w:rtl w:val="true"/>
        </w:rPr>
        <w:footnoteReference w:id="1634"/>
      </w:r>
      <w:r>
        <w:rPr>
          <w:rFonts w:ascii="Amiri" w:hAnsi="Amiri" w:eastAsia="Amiri" w:cs="Amiri"/>
          <w:color w:val="111111"/>
          <w:sz w:val="28"/>
          <w:sz w:val="28"/>
          <w:szCs w:val="28"/>
          <w:rtl w:val="true"/>
          <w:lang w:bidi="ar-SA"/>
        </w:rPr>
        <w:t xml:space="preserve">وغيرهم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بالنسبة إلى بول الإنسان وغائطه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قيام الضرورة عليه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بول السنّور وخرئه وغيره كالفأر غير واحد من الأخبار ، وبالنسبة إلى </w:t>
      </w:r>
    </w:p>
    <w:p>
      <w:pPr>
        <w:pStyle w:val="BookText"/>
        <w:rPr/>
      </w:pPr>
      <w:r>
        <w:rPr>
          <w:rFonts w:ascii="Amiri" w:hAnsi="Amiri" w:eastAsia="Amiri" w:cs="Amiri"/>
          <w:color w:val="111111"/>
          <w:sz w:val="28"/>
          <w:sz w:val="28"/>
          <w:szCs w:val="28"/>
          <w:rtl w:val="true"/>
          <w:lang w:bidi="ar-SA"/>
        </w:rPr>
        <w:t xml:space="preserve">مطلق بول ما لا يؤكل لحمه صحيحة عبد اللّه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ثوبك من أبوال ما لا يؤكل لحمه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في غير واحد من الأخبار من أنّ ما يؤكل لحمه فبوله وروثه طاهر لإشعاره بنجاستهما </w:t>
      </w:r>
      <w:r>
        <w:rPr>
          <w:rStyle w:val="FootnoteAnchor"/>
          <w:rtl w:val="true"/>
        </w:rPr>
        <w:footnoteReference w:id="1637"/>
      </w:r>
      <w:r>
        <w:rPr>
          <w:rFonts w:ascii="Amiri" w:hAnsi="Amiri" w:eastAsia="Amiri" w:cs="Amiri"/>
          <w:color w:val="111111"/>
          <w:sz w:val="28"/>
          <w:sz w:val="28"/>
          <w:szCs w:val="28"/>
          <w:rtl w:val="true"/>
          <w:lang w:bidi="ar-SA"/>
        </w:rPr>
        <w:t>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يدلّ جملة من الأخبار على نجاسة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على حكم غير عذرة الإنسان إشكال ، وإن أطلقت في بعض الأخبار على عذرة غير الإنسان أو هي في أصل وضعها اسم لفناء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أطلقت على الغائط تسمية له باسم محله حتى وصل إلى حدّ الحقيقة على نحو لفظ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فشموله لغير ما للإنسان مبني على التسرية فيه من ذلك إلى مطلق الغائط ، فوصوله إذن إلى حد الحقيقة كذلك غير معلوم ، ومعه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فالإجماع المعلوم والمنقول في غير ما سنذكر الخلاف فيه كاف في الحجة عليه سيّما مع اعتضاده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وقع الخلاف في المقام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الطير وخرئه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 الأصحاب عدم الفرق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Style w:val="FootnoteAnchor"/>
          <w:rtl w:val="true"/>
        </w:rPr>
        <w:footnoteReference w:id="1638"/>
      </w:r>
      <w:r>
        <w:rPr>
          <w:rFonts w:ascii="Amiri" w:hAnsi="Amiri" w:eastAsia="Amiri" w:cs="Amiri"/>
          <w:color w:val="111111"/>
          <w:sz w:val="28"/>
          <w:sz w:val="28"/>
          <w:szCs w:val="28"/>
          <w:rtl w:val="true"/>
          <w:lang w:bidi="ar-SA"/>
        </w:rPr>
        <w:t>الإجماع على نجاسة خرء وبول مطلق الجلّال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العلامة في التذكرة </w:t>
      </w:r>
      <w:r>
        <w:rPr>
          <w:rStyle w:val="FootnoteAnchor"/>
          <w:rtl w:val="true"/>
        </w:rPr>
        <w:footnoteReference w:id="1639"/>
      </w:r>
      <w:r>
        <w:rPr>
          <w:rFonts w:ascii="Amiri" w:hAnsi="Amiri" w:eastAsia="Amiri" w:cs="Amiri"/>
          <w:color w:val="111111"/>
          <w:sz w:val="28"/>
          <w:sz w:val="28"/>
          <w:szCs w:val="28"/>
          <w:rtl w:val="true"/>
          <w:lang w:bidi="ar-SA"/>
        </w:rPr>
        <w:t xml:space="preserve">وبعض المتأخرين نفي الخلاف في إلحاق الجلّال من كل حيوان ، والموطوء بغير المأكول في نجاسة البول والعذرة ، فذهب في المبسوط </w:t>
      </w:r>
      <w:r>
        <w:rPr>
          <w:rStyle w:val="FootnoteAnchor"/>
          <w:rtl w:val="true"/>
        </w:rPr>
        <w:footnoteReference w:id="1640"/>
      </w:r>
      <w:r>
        <w:rPr>
          <w:rFonts w:ascii="IRNazanin" w:hAnsi="IRNazanin" w:eastAsia="IRNazanin"/>
          <w:color w:val="111111"/>
          <w:sz w:val="28"/>
          <w:sz w:val="28"/>
          <w:szCs w:val="28"/>
          <w:rtl w:val="true"/>
          <w:lang w:bidi="fa-IR"/>
        </w:rPr>
        <w:t xml:space="preserve">إلى القول </w:t>
      </w:r>
    </w:p>
    <w:p>
      <w:pPr>
        <w:pStyle w:val="BookText"/>
        <w:rPr/>
      </w:pPr>
      <w:r>
        <w:rPr>
          <w:rFonts w:ascii="Amiri" w:hAnsi="Amiri" w:eastAsia="Amiri" w:cs="Amiri"/>
          <w:color w:val="111111"/>
          <w:sz w:val="28"/>
          <w:sz w:val="28"/>
          <w:szCs w:val="28"/>
          <w:rtl w:val="true"/>
          <w:lang w:bidi="ar-SA"/>
        </w:rPr>
        <w:t>بالنجاسة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إلى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الشهرة عليه مستفيضة بين الأصحاب ، ويشمله عدة من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والجعفي والشيخ في النهاية </w:t>
      </w:r>
      <w:r>
        <w:rPr>
          <w:rStyle w:val="FootnoteAnchor"/>
          <w:rtl w:val="true"/>
        </w:rPr>
        <w:footnoteReference w:id="1641"/>
      </w:r>
      <w:r>
        <w:rPr>
          <w:rFonts w:ascii="Amiri" w:hAnsi="Amiri" w:eastAsia="Amiri" w:cs="Amiri"/>
          <w:color w:val="111111"/>
          <w:sz w:val="28"/>
          <w:sz w:val="28"/>
          <w:szCs w:val="28"/>
          <w:rtl w:val="true"/>
          <w:lang w:bidi="ar-SA"/>
        </w:rPr>
        <w:t>القول بالطهارة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في المبسوط </w:t>
      </w:r>
      <w:r>
        <w:rPr>
          <w:rStyle w:val="FootnoteAnchor"/>
          <w:rtl w:val="true"/>
        </w:rPr>
        <w:footnoteReference w:id="1642"/>
      </w:r>
      <w:r>
        <w:rPr>
          <w:rFonts w:ascii="Amiri" w:hAnsi="Amiri" w:eastAsia="Amiri" w:cs="Amiri"/>
          <w:color w:val="111111"/>
          <w:sz w:val="28"/>
          <w:sz w:val="28"/>
          <w:szCs w:val="28"/>
          <w:rtl w:val="true"/>
          <w:lang w:bidi="ar-SA"/>
        </w:rPr>
        <w:t>أيضا إلا أنه استثنى منه الخشاف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 إطلاق صحيحة عبد اللّه بن سنان المتقدمة ، مع اعتضادها بالشهرة العظيمة وظواهر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المختلف </w:t>
      </w:r>
      <w:r>
        <w:rPr>
          <w:rStyle w:val="FootnoteAnchor"/>
          <w:rtl w:val="true"/>
        </w:rPr>
        <w:footnoteReference w:id="1643"/>
      </w:r>
      <w:r>
        <w:rPr>
          <w:rFonts w:ascii="Amiri" w:hAnsi="Amiri" w:eastAsia="Amiri" w:cs="Amiri"/>
          <w:color w:val="111111"/>
          <w:sz w:val="28"/>
          <w:sz w:val="28"/>
          <w:szCs w:val="28"/>
          <w:rtl w:val="true"/>
          <w:lang w:bidi="ar-SA"/>
        </w:rPr>
        <w:t xml:space="preserve">المنقولة عن كتاب عمار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خرء الخطاف لا بأس به هو ممّا يؤكل لحمه </w:t>
      </w:r>
      <w:r>
        <w:rPr>
          <w:rFonts w:eastAsia="Amiri" w:cs="Amiri" w:ascii="Amiri" w:hAnsi="Amiri"/>
          <w:color w:val="111111"/>
          <w:sz w:val="28"/>
          <w:szCs w:val="28"/>
          <w:rtl w:val="true"/>
          <w:lang w:bidi="ar-SA"/>
        </w:rPr>
        <w:t xml:space="preserve">.. » </w:t>
      </w:r>
      <w:r>
        <w:rPr>
          <w:rStyle w:val="FootnoteAnchor"/>
          <w:rtl w:val="true"/>
        </w:rPr>
        <w:footnoteReference w:id="164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إشعار بأن العلة في نفي البأس عنه هو أكل لحمه ، فيفيد ذلك حصول البأس لولاه مع كونه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خصوص الرواية الدالّة على خصوص </w:t>
      </w:r>
      <w:r>
        <w:rPr>
          <w:rStyle w:val="FootnoteAnchor"/>
          <w:rtl w:val="true"/>
        </w:rPr>
        <w:footnoteReference w:id="1645"/>
      </w:r>
      <w:r>
        <w:rPr>
          <w:rFonts w:ascii="Amiri" w:hAnsi="Amiri" w:eastAsia="Amiri" w:cs="Amiri"/>
          <w:color w:val="111111"/>
          <w:sz w:val="28"/>
          <w:sz w:val="28"/>
          <w:szCs w:val="28"/>
          <w:rtl w:val="true"/>
          <w:lang w:bidi="ar-SA"/>
        </w:rPr>
        <w:t>نجاسة بول الخفاش مع كونه طائرا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غيره ضعيف ؛ إذ لا قائل به سوى الشيخ كما ستعرف والقول بأن الصحيحة المذكورة واردة في الأبوال فلا يدلّ على حكم الأرواث ، وأن الطائر لا يتحقق له بول في الغالب مدفوع بقيام الإجماع ظاهرا </w:t>
      </w:r>
      <w:r>
        <w:rPr>
          <w:rStyle w:val="FootnoteAnchor"/>
          <w:rtl w:val="true"/>
        </w:rPr>
        <w:footnoteReference w:id="1646"/>
      </w:r>
      <w:r>
        <w:rPr>
          <w:rFonts w:ascii="Amiri" w:hAnsi="Amiri" w:eastAsia="Amiri" w:cs="Amiri"/>
          <w:color w:val="111111"/>
          <w:sz w:val="28"/>
          <w:sz w:val="28"/>
          <w:szCs w:val="28"/>
          <w:rtl w:val="true"/>
          <w:lang w:bidi="ar-SA"/>
        </w:rPr>
        <w:t>على عدم الفرق بينهما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1647"/>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1648"/>
      </w:r>
      <w:r>
        <w:rPr>
          <w:rFonts w:ascii="Amiri" w:hAnsi="Amiri" w:eastAsia="Amiri" w:cs="Amiri"/>
          <w:color w:val="111111"/>
          <w:sz w:val="28"/>
          <w:sz w:val="28"/>
          <w:szCs w:val="28"/>
          <w:rtl w:val="true"/>
          <w:lang w:bidi="ar-SA"/>
        </w:rPr>
        <w:t xml:space="preserve">وصاحبي المدارك </w:t>
      </w:r>
      <w:r>
        <w:rPr>
          <w:rStyle w:val="FootnoteAnchor"/>
          <w:rtl w:val="true"/>
        </w:rPr>
        <w:footnoteReference w:id="1649"/>
      </w:r>
      <w:r>
        <w:rPr>
          <w:rFonts w:ascii="Amiri" w:hAnsi="Amiri" w:eastAsia="Amiri" w:cs="Amiri"/>
          <w:color w:val="111111"/>
          <w:sz w:val="28"/>
          <w:sz w:val="28"/>
          <w:szCs w:val="28"/>
          <w:rtl w:val="true"/>
          <w:lang w:bidi="ar-SA"/>
        </w:rPr>
        <w:t xml:space="preserve">والذخيرة </w:t>
      </w:r>
      <w:r>
        <w:rPr>
          <w:rStyle w:val="FootnoteAnchor"/>
          <w:rtl w:val="true"/>
        </w:rPr>
        <w:footnoteReference w:id="1650"/>
      </w:r>
      <w:r>
        <w:rPr>
          <w:rFonts w:ascii="Amiri" w:hAnsi="Amiri" w:eastAsia="Amiri" w:cs="Amiri"/>
          <w:color w:val="111111"/>
          <w:sz w:val="28"/>
          <w:sz w:val="28"/>
          <w:szCs w:val="28"/>
          <w:rtl w:val="true"/>
          <w:lang w:bidi="ar-SA"/>
        </w:rPr>
        <w:t>الإجماع على عدم الفرق بين الأرواث والأبوال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اندفاع الأخير ؛ إذ عدم تحقق البول له بعد تحقق الإجماع المذكور لا يوجب ردّ الاستدلال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غير ما يؤكل لحمه نجس ، فروثه كذلك وإن لم يكن الروث من صاحب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الظاهر حصول البول للطائر في الجملة كما هو معروف في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عليه النصّ حجة القول الثاني 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يطير فلا بأس بخرئه وبوله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في البحار </w:t>
      </w:r>
      <w:r>
        <w:rPr>
          <w:rStyle w:val="FootnoteAnchor"/>
          <w:rtl w:val="true"/>
        </w:rPr>
        <w:footnoteReference w:id="1652"/>
      </w:r>
      <w:r>
        <w:rPr>
          <w:rFonts w:ascii="Amiri" w:hAnsi="Amiri" w:eastAsia="Amiri" w:cs="Amiri"/>
          <w:color w:val="111111"/>
          <w:sz w:val="28"/>
          <w:sz w:val="28"/>
          <w:szCs w:val="28"/>
          <w:rtl w:val="true"/>
          <w:lang w:bidi="ar-SA"/>
        </w:rPr>
        <w:t>، وجاء بخطّ الجبعي نقلا عن جامع البزنطي ،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بمعارضته للصحيحة المتقدمة مدفوع بأن عمومها أصرح من الصحيحة ، فهي أقوى بحسب الدلالة ، ولو سلّم تكافؤها بحسب الدلالة فقضية الأصل في ذلك الرجوع إلى أصالة الطهارة وهي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اطراح الرواية بين الأصحاب ، وإعراض المعظم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رماها الحلي في السرائر </w:t>
      </w:r>
      <w:r>
        <w:rPr>
          <w:rStyle w:val="FootnoteAnchor"/>
          <w:rtl w:val="true"/>
        </w:rPr>
        <w:footnoteReference w:id="1654"/>
      </w:r>
      <w:r>
        <w:rPr>
          <w:rFonts w:ascii="Amiri" w:hAnsi="Amiri" w:eastAsia="Amiri" w:cs="Amiri"/>
          <w:color w:val="111111"/>
          <w:sz w:val="28"/>
          <w:sz w:val="28"/>
          <w:szCs w:val="28"/>
          <w:rtl w:val="true"/>
          <w:lang w:bidi="ar-SA"/>
        </w:rPr>
        <w:t xml:space="preserve">إلى الشذوذ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عند محقّقي أصحابنا والمحصّلين منهم خلاف هذه الرواية ؛ لأنه هو الذي يقتضيه أخبارهم التي أجمع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منه وجود أخبار دالّة على النجاسة فيها إلا أن يقال بأن مقصوده بذلك الإطلاق المذكور المؤيّد بظواهر غيرها من الأخبار المذكورة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ذكر في الروض </w:t>
      </w:r>
      <w:r>
        <w:rPr>
          <w:rStyle w:val="FootnoteAnchor"/>
          <w:rtl w:val="true"/>
        </w:rPr>
        <w:footnoteReference w:id="1655"/>
      </w:r>
      <w:r>
        <w:rPr>
          <w:rFonts w:ascii="Amiri" w:hAnsi="Amiri" w:eastAsia="Amiri" w:cs="Amiri"/>
          <w:color w:val="111111"/>
          <w:sz w:val="28"/>
          <w:sz w:val="28"/>
          <w:szCs w:val="28"/>
          <w:rtl w:val="true"/>
          <w:lang w:bidi="ar-SA"/>
        </w:rPr>
        <w:t xml:space="preserve">أن روايات التنجيس في الطير </w:t>
      </w:r>
      <w:r>
        <w:rPr>
          <w:rStyle w:val="FootnoteAnchor"/>
          <w:rtl w:val="true"/>
        </w:rPr>
        <w:footnoteReference w:id="1656"/>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وجود </w:t>
      </w:r>
    </w:p>
    <w:p>
      <w:pPr>
        <w:pStyle w:val="BookText"/>
        <w:rPr/>
      </w:pPr>
      <w:r>
        <w:rPr>
          <w:rFonts w:ascii="Amiri" w:hAnsi="Amiri" w:eastAsia="Amiri" w:cs="Amiri"/>
          <w:color w:val="111111"/>
          <w:sz w:val="28"/>
          <w:sz w:val="28"/>
          <w:szCs w:val="28"/>
          <w:rtl w:val="true"/>
          <w:lang w:bidi="ar-SA"/>
        </w:rPr>
        <w:t>روايات خاصة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نظفر </w:t>
      </w:r>
      <w:r>
        <w:rPr>
          <w:rStyle w:val="FootnoteAnchor"/>
          <w:rtl w:val="true"/>
        </w:rPr>
        <w:footnoteReference w:id="1657"/>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فبملاحظة ذلك مع موافقة الأول للاحتياط وكثرة الأخبار الدالّة عليه وشذوذ الخبر المذكور لتفرد أبي بصير بنقله </w:t>
      </w:r>
      <w:r>
        <w:rPr>
          <w:rStyle w:val="FootnoteAnchor"/>
          <w:rtl w:val="true"/>
        </w:rPr>
        <w:footnoteReference w:id="1658"/>
      </w:r>
      <w:r>
        <w:rPr>
          <w:rFonts w:ascii="Amiri" w:hAnsi="Amiri" w:eastAsia="Amiri" w:cs="Amiri"/>
          <w:color w:val="111111"/>
          <w:sz w:val="28"/>
          <w:sz w:val="28"/>
          <w:szCs w:val="28"/>
          <w:rtl w:val="true"/>
          <w:lang w:bidi="ar-SA"/>
        </w:rPr>
        <w:t xml:space="preserve">وعدم إشعار شي‌ء من الأخبار بما يوافق مضمونه </w:t>
      </w:r>
      <w:r>
        <w:rPr>
          <w:rFonts w:eastAsia="Amiri" w:cs="Amiri" w:ascii="Amiri" w:hAnsi="Amiri"/>
          <w:color w:val="111111"/>
          <w:sz w:val="28"/>
          <w:szCs w:val="28"/>
          <w:rtl w:val="true"/>
          <w:lang w:bidi="ar-SA"/>
        </w:rPr>
        <w:t xml:space="preserve">[ ... ]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372" w:name="pg15839_360992"/>
    </w:p>
    <w:p>
      <w:pPr>
        <w:pStyle w:val="Heading4"/>
        <w:numPr>
          <w:ilvl w:val="3"/>
          <w:numId w:val="1"/>
        </w:numPr>
        <w:rPr/>
      </w:pPr>
      <w:bookmarkStart w:id="373" w:name="__RefHeading___Toc14338571_2142443653"/>
      <w:bookmarkStart w:id="374" w:name="_Toc138"/>
      <w:bookmarkEnd w:id="372"/>
      <w:bookmarkEnd w:id="373"/>
      <w:r>
        <w:rPr>
          <w:rtl w:val="true"/>
        </w:rPr>
        <w:t>تبصرة</w:t>
      </w:r>
      <w:r>
        <w:rPr>
          <w:rtl w:val="true"/>
        </w:rPr>
        <w:t xml:space="preserve">: [ </w:t>
      </w:r>
      <w:r>
        <w:rPr>
          <w:rtl w:val="true"/>
        </w:rPr>
        <w:t xml:space="preserve">في نجاسة الدم </w:t>
      </w:r>
      <w:r>
        <w:rPr>
          <w:rtl w:val="true"/>
        </w:rPr>
        <w:t>]</w:t>
      </w:r>
      <w:bookmarkEnd w:id="374"/>
    </w:p>
    <w:p>
      <w:pPr>
        <w:pStyle w:val="Heading5"/>
        <w:numPr>
          <w:ilvl w:val="4"/>
          <w:numId w:val="1"/>
        </w:numPr>
        <w:rPr/>
      </w:pPr>
      <w:bookmarkStart w:id="375" w:name="__RefHeading___Toc14338573_2142443653"/>
      <w:bookmarkStart w:id="376" w:name="_Toc13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الرابع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كل حيوان ذي نفس سائلة سواء كان مسفوحا من العرق أو خارقا بالرشح ، قليلا كان أو كثيرا ، بلا خلاف ظاهر بين الأصحاب سوى ما يحكى عن الإسكافي </w:t>
      </w:r>
      <w:r>
        <w:rPr>
          <w:rStyle w:val="FootnoteAnchor"/>
          <w:rtl w:val="true"/>
        </w:rPr>
        <w:footnoteReference w:id="1660"/>
      </w:r>
      <w:r>
        <w:rPr>
          <w:rFonts w:ascii="Amiri" w:hAnsi="Amiri" w:eastAsia="Amiri" w:cs="Amiri"/>
          <w:color w:val="111111"/>
          <w:sz w:val="28"/>
          <w:sz w:val="28"/>
          <w:szCs w:val="28"/>
          <w:rtl w:val="true"/>
          <w:lang w:bidi="ar-SA"/>
        </w:rPr>
        <w:t>من القول بطهارة ما يكون سعته دون سعة الدرهم الذي سعته كعقد الإبهام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المحكيّة عنه غير صريحة في حكمه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تفيد عدم تخصيصه الثوب مع تعميمه الحكم لسائر النجاسات سوى المني ودم الحيض ، فإنّ قليلهما وكثيرهما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يحكى عن الصدوق الحكم بطهارة ما دون الحمّصة مما عدا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أيضا غير دالّة عليه ، وإنما تفيد عدم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عبّر بذلك عن مسألة العفو عما دون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فهما شاذّان ضعيفان لو ثبت القول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الحكم بعد الإجماعات المحكية ظواهر جملة من الإطلاقات ، ويستثنى منه الدم المتخلّف فيما يؤكل لحمه من الذبيحة بعد القذف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طهارته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حلال طاهر بغير خلاف يعرف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عليهما اتفاق الاصحاب من غير خلاف ينقل</w:t>
      </w:r>
      <w:r>
        <w:rPr>
          <w:rFonts w:eastAsia="Amiri" w:cs="Amiri" w:ascii="Amiri" w:hAnsi="Amiri"/>
          <w:color w:val="111111"/>
          <w:sz w:val="28"/>
          <w:szCs w:val="28"/>
          <w:rtl w:val="true"/>
          <w:lang w:bidi="ar-SA"/>
        </w:rPr>
        <w:t xml:space="preserve">. </w:t>
      </w:r>
      <w:bookmarkStart w:id="377" w:name="pg15839_360993"/>
    </w:p>
    <w:p>
      <w:pPr>
        <w:pStyle w:val="BookText"/>
        <w:rPr/>
      </w:pPr>
      <w:bookmarkEnd w:id="377"/>
      <w:r>
        <w:rPr>
          <w:rFonts w:ascii="Amiri" w:hAnsi="Amiri" w:eastAsia="Amiri" w:cs="Amiri"/>
          <w:color w:val="111111"/>
          <w:sz w:val="28"/>
          <w:sz w:val="28"/>
          <w:szCs w:val="28"/>
          <w:rtl w:val="true"/>
          <w:lang w:bidi="ar-SA"/>
        </w:rPr>
        <w:t xml:space="preserve">ويدلّ عليه بعد الإجماع ظاهرا ، ظاهر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وقيام السيرة القاطعة على عدم التحرز عنه ، مضافا إلى ما فيه من الحرج والعسر ، فالحكم بالحلّ والطهارة في المتخلف في اللحم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جريانه في المتخلف في البطن والكبد والعروق والقلب وجهان ، أقواهما ذلك كما هو ظاهر إطلاقاتهم ؛ لظاهر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السيرة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المحقق الكركي </w:t>
      </w:r>
      <w:r>
        <w:rPr>
          <w:rStyle w:val="FootnoteAnchor"/>
          <w:rtl w:val="true"/>
        </w:rPr>
        <w:footnoteReference w:id="1664"/>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1665"/>
      </w:r>
      <w:r>
        <w:rPr>
          <w:rFonts w:ascii="Amiri" w:hAnsi="Amiri" w:eastAsia="Amiri" w:cs="Amiri"/>
          <w:color w:val="111111"/>
          <w:sz w:val="28"/>
          <w:sz w:val="28"/>
          <w:szCs w:val="28"/>
          <w:rtl w:val="true"/>
          <w:lang w:bidi="ar-SA"/>
        </w:rPr>
        <w:t xml:space="preserve">على عدم الفرق بين المتخلف في خلال </w:t>
      </w:r>
      <w:r>
        <w:rPr>
          <w:rStyle w:val="FootnoteAnchor"/>
          <w:rtl w:val="true"/>
        </w:rPr>
        <w:footnoteReference w:id="1666"/>
      </w:r>
      <w:r>
        <w:rPr>
          <w:rFonts w:ascii="Amiri" w:hAnsi="Amiri" w:eastAsia="Amiri" w:cs="Amiri"/>
          <w:color w:val="111111"/>
          <w:sz w:val="28"/>
          <w:sz w:val="28"/>
          <w:szCs w:val="28"/>
          <w:rtl w:val="true"/>
          <w:lang w:bidi="ar-SA"/>
        </w:rPr>
        <w:t>اللحم والمتخلف في البطن والعروق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ذلك تأمّله في إلحاق المتخلف في القلب والكبد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من جماعة منهم الفاضل </w:t>
      </w:r>
      <w:r>
        <w:rPr>
          <w:rStyle w:val="FootnoteAnchor"/>
          <w:rtl w:val="true"/>
        </w:rPr>
        <w:footnoteReference w:id="1667"/>
      </w:r>
      <w:r>
        <w:rPr>
          <w:rFonts w:ascii="Amiri" w:hAnsi="Amiri" w:eastAsia="Amiri" w:cs="Amiri"/>
          <w:color w:val="111111"/>
          <w:sz w:val="28"/>
          <w:sz w:val="28"/>
          <w:szCs w:val="28"/>
          <w:rtl w:val="true"/>
          <w:lang w:bidi="ar-SA"/>
        </w:rPr>
        <w:t xml:space="preserve">والشهيدان </w:t>
      </w:r>
      <w:r>
        <w:rPr>
          <w:rStyle w:val="FootnoteAnchor"/>
          <w:rtl w:val="true"/>
        </w:rPr>
        <w:footnoteReference w:id="1668"/>
      </w:r>
      <w:r>
        <w:rPr>
          <w:rStyle w:val="FootnoteAnchor"/>
          <w:rtl w:val="true"/>
        </w:rPr>
        <w:footnoteReference w:id="1669"/>
      </w:r>
      <w:r>
        <w:rPr>
          <w:rFonts w:ascii="Amiri" w:hAnsi="Amiri" w:eastAsia="Amiri" w:cs="Amiri"/>
          <w:color w:val="111111"/>
          <w:sz w:val="28"/>
          <w:sz w:val="28"/>
          <w:szCs w:val="28"/>
          <w:rtl w:val="true"/>
          <w:lang w:bidi="ar-SA"/>
        </w:rPr>
        <w:t xml:space="preserve">في بعض كتبهما القول بعدم الإلحاق حيث استثنيا </w:t>
      </w:r>
      <w:r>
        <w:rPr>
          <w:rStyle w:val="FootnoteAnchor"/>
          <w:rtl w:val="true"/>
        </w:rPr>
        <w:footnoteReference w:id="1670"/>
      </w:r>
      <w:r>
        <w:rPr>
          <w:rFonts w:ascii="Amiri" w:hAnsi="Amiri" w:eastAsia="Amiri" w:cs="Amiri"/>
          <w:color w:val="111111"/>
          <w:sz w:val="28"/>
          <w:sz w:val="28"/>
          <w:szCs w:val="28"/>
          <w:rtl w:val="true"/>
          <w:lang w:bidi="ar-SA"/>
        </w:rPr>
        <w:t>المتخلف في تضاعيف اللحم خاصّة ، ولم يذكروا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أرادوا بذلك المتخلف في مطلق الذبيحة كما عبّر به غيرهم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4338575_2142443653"/>
      <w:bookmarkStart w:id="379" w:name="_Toc140"/>
      <w:bookmarkEnd w:id="378"/>
      <w:r>
        <w:rPr>
          <w:rtl w:val="true"/>
        </w:rPr>
        <w:t xml:space="preserve">[ </w:t>
      </w:r>
      <w:r>
        <w:rPr>
          <w:rtl w:val="true"/>
        </w:rPr>
        <w:t xml:space="preserve">تنبيهات </w:t>
      </w:r>
      <w:r>
        <w:rPr>
          <w:rtl w:val="true"/>
        </w:rPr>
        <w:t>]</w:t>
      </w:r>
      <w:bookmarkEnd w:id="37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w:t>
      </w:r>
      <w:r>
        <w:rPr>
          <w:rStyle w:val="FootnoteAnchor"/>
          <w:rtl w:val="true"/>
        </w:rPr>
        <w:footnoteReference w:id="1671"/>
      </w:r>
      <w:r>
        <w:rPr>
          <w:rFonts w:ascii="Amiri" w:hAnsi="Amiri" w:eastAsia="Amiri" w:cs="Amiri"/>
          <w:color w:val="111111"/>
          <w:sz w:val="28"/>
          <w:sz w:val="28"/>
          <w:szCs w:val="28"/>
          <w:rtl w:val="true"/>
          <w:lang w:bidi="ar-SA"/>
        </w:rPr>
        <w:t xml:space="preserve">امور ينبغي الإشارة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المتخلف في الذبيحة التي لا يؤكل لحمه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عدة من الأصحاب منهم العلامة المجلسي </w:t>
      </w:r>
      <w:r>
        <w:rPr>
          <w:rStyle w:val="FootnoteAnchor"/>
          <w:rtl w:val="true"/>
        </w:rPr>
        <w:footnoteReference w:id="1672"/>
      </w:r>
      <w:r>
        <w:rPr>
          <w:rFonts w:ascii="Amiri" w:hAnsi="Amiri" w:eastAsia="Amiri" w:cs="Amiri"/>
          <w:color w:val="111111"/>
          <w:sz w:val="28"/>
          <w:sz w:val="28"/>
          <w:szCs w:val="28"/>
          <w:rtl w:val="true"/>
          <w:lang w:bidi="ar-SA"/>
        </w:rPr>
        <w:t>أن ظاهر الأصحاب الحكم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المعالم عن بعض مشايخه التردد فيه ، ثم الميل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واحتملهما في كشف اللثام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إطلاق الجماعة من الأصحاب منهم ابن زهرة </w:t>
      </w:r>
      <w:r>
        <w:rPr>
          <w:rStyle w:val="FootnoteAnchor"/>
          <w:rtl w:val="true"/>
        </w:rPr>
        <w:footnoteReference w:id="1674"/>
      </w:r>
      <w:r>
        <w:rPr>
          <w:rFonts w:ascii="IRNazanin" w:hAnsi="IRNazanin" w:eastAsia="IRNazanin"/>
          <w:color w:val="111111"/>
          <w:sz w:val="28"/>
          <w:sz w:val="28"/>
          <w:szCs w:val="28"/>
          <w:rtl w:val="true"/>
          <w:lang w:bidi="fa-IR"/>
        </w:rPr>
        <w:t xml:space="preserve">والمحقق </w:t>
      </w:r>
      <w:r>
        <w:rPr>
          <w:rStyle w:val="FootnoteAnchor"/>
          <w:rtl w:val="true"/>
        </w:rPr>
        <w:footnoteReference w:id="1675"/>
      </w:r>
      <w:r>
        <w:rPr>
          <w:rFonts w:ascii="Amiri" w:hAnsi="Amiri" w:eastAsia="Amiri" w:cs="Amiri"/>
          <w:color w:val="111111"/>
          <w:sz w:val="28"/>
          <w:sz w:val="28"/>
          <w:szCs w:val="28"/>
          <w:rtl w:val="true"/>
          <w:lang w:bidi="ar-SA"/>
        </w:rPr>
        <w:t xml:space="preserve">والعلامة </w:t>
      </w:r>
      <w:r>
        <w:rPr>
          <w:rStyle w:val="FootnoteAnchor"/>
          <w:rtl w:val="true"/>
        </w:rPr>
        <w:footnoteReference w:id="1676"/>
      </w:r>
      <w:r>
        <w:rPr>
          <w:rFonts w:ascii="Amiri" w:hAnsi="Amiri" w:eastAsia="Amiri" w:cs="Amiri"/>
          <w:color w:val="111111"/>
          <w:sz w:val="28"/>
          <w:sz w:val="28"/>
          <w:szCs w:val="28"/>
          <w:rtl w:val="true"/>
          <w:lang w:bidi="ar-SA"/>
        </w:rPr>
        <w:t xml:space="preserve">في عدة من كتبه والشهيد </w:t>
      </w:r>
      <w:r>
        <w:rPr>
          <w:rStyle w:val="FootnoteAnchor"/>
          <w:rtl w:val="true"/>
        </w:rPr>
        <w:footnoteReference w:id="1677"/>
      </w:r>
      <w:r>
        <w:rPr>
          <w:rFonts w:ascii="IRNazanin" w:hAnsi="IRNazanin" w:eastAsia="IRNazanin"/>
          <w:color w:val="111111"/>
          <w:sz w:val="28"/>
          <w:sz w:val="28"/>
          <w:szCs w:val="28"/>
          <w:rtl w:val="true"/>
          <w:lang w:bidi="fa-IR"/>
        </w:rPr>
        <w:t xml:space="preserve">وابن فهد </w:t>
      </w:r>
      <w:r>
        <w:rPr>
          <w:rStyle w:val="FootnoteAnchor"/>
          <w:rtl w:val="true"/>
        </w:rPr>
        <w:footnoteReference w:id="1678"/>
      </w:r>
      <w:r>
        <w:rPr>
          <w:rFonts w:ascii="Amiri" w:hAnsi="Amiri" w:eastAsia="Amiri" w:cs="Amiri"/>
          <w:color w:val="111111"/>
          <w:sz w:val="28"/>
          <w:sz w:val="28"/>
          <w:szCs w:val="28"/>
          <w:rtl w:val="true"/>
          <w:lang w:bidi="ar-SA"/>
        </w:rPr>
        <w:t>، وعدم الفرق بين مأكول اللحم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جواز استعمال جلده قبل الدبغ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يبني الخلاف على ذلك ؛ لعدم خلوّ الجلد عن أجزاء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أشهريّة القول بالجواز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يومي ذلك إلى طهارة الدم المتخلف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الأصل في المقام لما عرفت من إطلاق عدة من الأخبار المعتضد بظاهر الإجماعات المحكيّة هو القول بالنجاسة ، والقول بجواز استعمال الجلد قبل الدباغ لا يستلزم القول بطهارة الدم المتخلف فيه </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لعدم العلم بحصول شي‌ء فيه ، ومعه فيمكن إزالته بغير الدفع ، فالقول بالمنع لا يخلو عن قوة إلّا أن المسألة محلّ إشكال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بطهارة المتخلف في الأجزاء المحرمة </w:t>
      </w:r>
      <w:r>
        <w:rPr>
          <w:rStyle w:val="FootnoteAnchor"/>
          <w:rtl w:val="true"/>
        </w:rPr>
        <w:footnoteReference w:id="1680"/>
      </w:r>
      <w:r>
        <w:rPr>
          <w:rFonts w:ascii="Amiri" w:hAnsi="Amiri" w:eastAsia="Amiri" w:cs="Amiri"/>
          <w:color w:val="111111"/>
          <w:sz w:val="28"/>
          <w:sz w:val="28"/>
          <w:szCs w:val="28"/>
          <w:rtl w:val="true"/>
          <w:lang w:bidi="ar-SA"/>
        </w:rPr>
        <w:t xml:space="preserve">عن المحلل إشكال ، والأظهر فيه الطهارة وإن لم يشمله ظاهر الآية المذكورة ؛ إذ الظاهر حرمته تبعا لما فيه ؛ أخذا بالأصل مع </w:t>
      </w:r>
    </w:p>
    <w:p>
      <w:pPr>
        <w:pStyle w:val="BookText"/>
        <w:rPr/>
      </w:pPr>
      <w:r>
        <w:rPr>
          <w:rFonts w:ascii="Amiri" w:hAnsi="Amiri" w:eastAsia="Amiri" w:cs="Amiri"/>
          <w:color w:val="111111"/>
          <w:sz w:val="28"/>
          <w:sz w:val="28"/>
          <w:szCs w:val="28"/>
          <w:rtl w:val="true"/>
          <w:lang w:bidi="ar-SA"/>
        </w:rPr>
        <w:t>عدم وضوح شمول أدلة النجاسة لمثله ، مضافا إلى السيرة في كثير من تلك الأجزاء بعدم التحرز ، ولم يعهد في الروايات ورود منع فيه مع عموم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حبس دم الذبيحة من </w:t>
      </w:r>
      <w:r>
        <w:rPr>
          <w:rStyle w:val="FootnoteAnchor"/>
          <w:rtl w:val="true"/>
        </w:rPr>
        <w:footnoteReference w:id="1681"/>
      </w:r>
      <w:r>
        <w:rPr>
          <w:rFonts w:ascii="Amiri" w:hAnsi="Amiri" w:eastAsia="Amiri" w:cs="Amiri"/>
          <w:color w:val="111111"/>
          <w:sz w:val="28"/>
          <w:sz w:val="28"/>
          <w:szCs w:val="28"/>
          <w:rtl w:val="true"/>
          <w:lang w:bidi="ar-SA"/>
        </w:rPr>
        <w:t>الخروج حتى مات كان الدم المتخلف فيه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فيتوقف جواز أكله على غسله وإخراج ذلك الدم عن سائر أعضائه ، ولا يكتفي بمجرد غسل عروقه أو اطراحها لانبساط </w:t>
      </w:r>
      <w:r>
        <w:rPr>
          <w:rStyle w:val="FootnoteAnchor"/>
          <w:rtl w:val="true"/>
        </w:rPr>
        <w:footnoteReference w:id="1682"/>
      </w:r>
      <w:r>
        <w:rPr>
          <w:rFonts w:ascii="IRNazanin" w:hAnsi="IRNazanin" w:eastAsia="IRNazanin"/>
          <w:color w:val="111111"/>
          <w:sz w:val="28"/>
          <w:sz w:val="28"/>
          <w:szCs w:val="28"/>
          <w:rtl w:val="true"/>
          <w:lang w:bidi="fa-IR"/>
        </w:rPr>
        <w:t xml:space="preserve">الدم </w:t>
      </w:r>
      <w:r>
        <w:rPr>
          <w:rStyle w:val="FootnoteAnchor"/>
          <w:rtl w:val="true"/>
        </w:rPr>
        <w:footnoteReference w:id="1683"/>
      </w:r>
      <w:r>
        <w:rPr>
          <w:rFonts w:ascii="Amiri" w:hAnsi="Amiri" w:eastAsia="Amiri" w:cs="Amiri"/>
          <w:color w:val="111111"/>
          <w:sz w:val="28"/>
          <w:sz w:val="28"/>
          <w:szCs w:val="28"/>
          <w:rtl w:val="true"/>
          <w:lang w:bidi="ar-SA"/>
        </w:rPr>
        <w:t>، في جميع أجزاء اللحم وعدم العلم بخروجها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يحكم بأصالة </w:t>
      </w:r>
      <w:r>
        <w:rPr>
          <w:rStyle w:val="FootnoteAnchor"/>
          <w:rtl w:val="true"/>
        </w:rPr>
        <w:footnoteReference w:id="1684"/>
      </w:r>
      <w:r>
        <w:rPr>
          <w:rFonts w:ascii="Amiri" w:hAnsi="Amiri" w:eastAsia="Amiri" w:cs="Amiri"/>
          <w:color w:val="111111"/>
          <w:sz w:val="28"/>
          <w:sz w:val="28"/>
          <w:szCs w:val="28"/>
          <w:rtl w:val="true"/>
          <w:lang w:bidi="ar-SA"/>
        </w:rPr>
        <w:t>الطهارة في كل عضو لم يعلم اشتمالها على الدم إلا أنه يعارضه استصحاب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تذكية عند موته فلم يخرج منه إلا يسير من الدم ففي طهارة المتخلف وجهان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نجاسة العلقة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bookmarkStart w:id="380" w:name="pg15839_360996"/>
    </w:p>
    <w:p>
      <w:pPr>
        <w:pStyle w:val="Heading4"/>
        <w:numPr>
          <w:ilvl w:val="3"/>
          <w:numId w:val="1"/>
        </w:numPr>
        <w:rPr/>
      </w:pPr>
      <w:bookmarkStart w:id="381" w:name="__RefHeading___Toc14338577_2142443653"/>
      <w:bookmarkStart w:id="382" w:name="_Toc141"/>
      <w:bookmarkEnd w:id="380"/>
      <w:bookmarkEnd w:id="381"/>
      <w:r>
        <w:rPr>
          <w:rtl w:val="true"/>
        </w:rPr>
        <w:t>تبصرة</w:t>
      </w:r>
      <w:r>
        <w:rPr>
          <w:rtl w:val="true"/>
        </w:rPr>
        <w:t xml:space="preserve">: </w:t>
      </w:r>
      <w:r>
        <w:rPr>
          <w:rtl w:val="true"/>
        </w:rPr>
        <w:t>في نجاسة الكافر وأقسامه</w:t>
      </w:r>
      <w:bookmarkEnd w:id="382"/>
    </w:p>
    <w:p>
      <w:pPr>
        <w:pStyle w:val="BookText"/>
        <w:rPr/>
      </w:pPr>
      <w:r>
        <w:rPr>
          <w:rFonts w:ascii="Amiri" w:hAnsi="Amiri" w:eastAsia="Amiri" w:cs="Amiri"/>
          <w:color w:val="111111"/>
          <w:sz w:val="28"/>
          <w:sz w:val="28"/>
          <w:szCs w:val="28"/>
          <w:rtl w:val="true"/>
          <w:lang w:bidi="ar-SA"/>
        </w:rPr>
        <w:t xml:space="preserve">الثامن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بين الأصحاب بل الأمّة في نجاسته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والأخبار المستفيضة والسيرة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خلاف ضعيف في خصوص أهل الكتاب حيث ذهب شذوذ من الأصحاب إلى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ذلك إلى الإسكافي والعماني والمفيد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ينسب إلى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كلامه عليه بحث ، والأظهر عدم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دلّ عبارته هناك على الطهارة لدلّ على طهارة سائر الكفار ؛ إذ ليس في كلامه ذكر لخصوص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قبل تلك العبارة بنجاسة الكفار على اختلاف مللهم ، بل في دلالة عبارة المفيد عليه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عبارة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يتأمل أيضا في عبارة الإسكافي ؛ إذ </w:t>
      </w:r>
      <w:r>
        <w:rPr>
          <w:rStyle w:val="FootnoteAnchor"/>
          <w:rtl w:val="true"/>
        </w:rPr>
        <w:footnoteReference w:id="1686"/>
      </w:r>
      <w:r>
        <w:rPr>
          <w:rFonts w:ascii="Amiri" w:hAnsi="Amiri" w:eastAsia="Amiri" w:cs="Amiri"/>
          <w:color w:val="111111"/>
          <w:sz w:val="28"/>
          <w:sz w:val="28"/>
          <w:szCs w:val="28"/>
          <w:rtl w:val="true"/>
          <w:lang w:bidi="ar-SA"/>
        </w:rPr>
        <w:t>مدلول كلامه حلّية ذبائح أهل الكتاب ، وما صنع في أواني مستحلّي الميتة ومواكلتهم ، فإن دلّ ذلك على الطهارة لدلّ على طهارة غير أهل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فالقول بطهرهم من الوهن بمكان ؛ لقيام الأدلّة الظاهرة على نجاستهم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فيها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لا يحمل على الذات إلا بتقدير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w:t>
      </w:r>
    </w:p>
    <w:p>
      <w:pPr>
        <w:pStyle w:val="BookText"/>
        <w:rPr/>
      </w:pPr>
      <w:r>
        <w:rPr>
          <w:rFonts w:ascii="Amiri" w:hAnsi="Amiri" w:eastAsia="Amiri" w:cs="Amiri"/>
          <w:color w:val="111111"/>
          <w:sz w:val="28"/>
          <w:sz w:val="28"/>
          <w:szCs w:val="28"/>
          <w:rtl w:val="true"/>
          <w:lang w:bidi="ar-SA"/>
        </w:rPr>
        <w:t>يقيّد النجاسة العينية ؛ لاحتمال إرادة العارضية كما هو الغالب من مزاولتهم للنجاسة ، وأن النجاسة لم يثبت لها حقيقة شرعية فليحمل على معناها اللغوي الذي هو مطلق القذارة ، وأنها لا تشمل أهل الكتاب ؛ لعدم اندراجهم في المشركين بيّن الاندفاع ؛ لعدم إمكان حمل المصدر على الذات بطريق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سبيل المبالغة فلا مانع ، وهو مقدّم على المعنى المذكور إلا بمقتضى فهم العرف ، ومع الغضّ عنه فيحمل على النجس ليكون المصدر بمعنى الفاعل ، فيدلّ إذن على النجاسة العينيّة كما هو </w:t>
      </w:r>
      <w:r>
        <w:rPr>
          <w:rStyle w:val="FootnoteAnchor"/>
          <w:rtl w:val="true"/>
        </w:rPr>
        <w:footnoteReference w:id="1688"/>
      </w:r>
      <w:r>
        <w:rPr>
          <w:rFonts w:ascii="Amiri" w:hAnsi="Amiri" w:eastAsia="Amiri" w:cs="Amiri"/>
          <w:color w:val="111111"/>
          <w:sz w:val="28"/>
          <w:sz w:val="28"/>
          <w:szCs w:val="28"/>
          <w:rtl w:val="true"/>
          <w:lang w:bidi="ar-SA"/>
        </w:rPr>
        <w:t>مفاد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حمله على المعنى المذكور لا يبعد دلالته على النجاسة العينيّة سيّما بملاحظة عموم المشركين ، وإن المناسب للمقام هو النجاسة الشرعية ، فيقدم على اللغوية ، ولو قلنا بعدم ثبوت الحقيقة الشرعية ، ومع القول بها فلا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الْيَهُودُ عُزَيْرٌ ابْنُ اللّهِ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قاض بكون اليهود الّذين هم أقرب من سائر أهل الكتاب إلى التوحيد مشركين فكيف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فلا شكّ في شرك غيرهم ؛ لقول النصارى بالأقانيم الثلاثة والمجوس بالنور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المعلوم من ملاحظة فتاواهم وجريان السيرة المستمرة عليه حتى صار من شعار الشيعة يعرفون عند أهل الخلاف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 مضافا إلى الإجماعات المنقولة عليه حدّ الاستفاضة قد حكاه جماعة منهم السيد </w:t>
      </w:r>
      <w:r>
        <w:rPr>
          <w:rStyle w:val="FootnoteAnchor"/>
          <w:rtl w:val="true"/>
        </w:rPr>
        <w:footnoteReference w:id="1691"/>
      </w:r>
      <w:r>
        <w:rPr>
          <w:rFonts w:ascii="Amiri" w:hAnsi="Amiri" w:eastAsia="Amiri" w:cs="Amiri"/>
          <w:color w:val="111111"/>
          <w:sz w:val="28"/>
          <w:sz w:val="28"/>
          <w:szCs w:val="28"/>
          <w:rtl w:val="true"/>
          <w:lang w:bidi="ar-SA"/>
        </w:rPr>
        <w:t xml:space="preserve">والشيخ </w:t>
      </w:r>
      <w:r>
        <w:rPr>
          <w:rStyle w:val="FootnoteAnchor"/>
          <w:rtl w:val="true"/>
        </w:rPr>
        <w:footnoteReference w:id="1692"/>
      </w:r>
      <w:r>
        <w:rPr>
          <w:rFonts w:ascii="Amiri" w:hAnsi="Amiri" w:eastAsia="Amiri" w:cs="Amiri"/>
          <w:color w:val="111111"/>
          <w:sz w:val="28"/>
          <w:sz w:val="28"/>
          <w:szCs w:val="28"/>
          <w:rtl w:val="true"/>
          <w:lang w:bidi="ar-SA"/>
        </w:rPr>
        <w:t xml:space="preserve">وابن زهرة </w:t>
      </w:r>
      <w:r>
        <w:rPr>
          <w:rStyle w:val="FootnoteAnchor"/>
          <w:rtl w:val="true"/>
        </w:rPr>
        <w:footnoteReference w:id="1693"/>
      </w:r>
      <w:r>
        <w:rPr>
          <w:rFonts w:ascii="Amiri" w:hAnsi="Amiri" w:eastAsia="Amiri" w:cs="Amiri"/>
          <w:color w:val="111111"/>
          <w:sz w:val="28"/>
          <w:sz w:val="28"/>
          <w:szCs w:val="28"/>
          <w:rtl w:val="true"/>
          <w:lang w:bidi="ar-SA"/>
        </w:rPr>
        <w:t xml:space="preserve">والعلامة </w:t>
      </w:r>
      <w:r>
        <w:rPr>
          <w:rStyle w:val="FootnoteAnchor"/>
          <w:rtl w:val="true"/>
        </w:rPr>
        <w:footnoteReference w:id="1694"/>
      </w:r>
      <w:r>
        <w:rPr>
          <w:rFonts w:ascii="Amiri" w:hAnsi="Amiri" w:eastAsia="Amiri" w:cs="Amiri"/>
          <w:color w:val="111111"/>
          <w:sz w:val="28"/>
          <w:sz w:val="28"/>
          <w:szCs w:val="28"/>
          <w:rtl w:val="true"/>
          <w:lang w:bidi="ar-SA"/>
        </w:rPr>
        <w:t>في جملة من كتبه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 الكثيرة القريبة من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يورد عليها من معارضتها بما دلّ على الطهارة من مستفيضة اخرى فليحمل على الكراهة واضح الفساد ؛ إذ مع بعد الحمل المذكور لا داعي إليه مع موافقة تلك الروايات لمذاهب العامة ، بل وما أطبق عليه أئمّتهم ، مضافا إلى مخالفتها لظاهر الكتاب واطراحها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الجواز بعد الأصل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وَطَعامُ الَّذِينَ أُوتُوا الْكِتابَ حِلٌّ لَكُمْ </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الشامل لما باشروه بالرطوبة كما هو الغالب في المطعومات القريبة من الفعل ، بل هو الذي ينبغي أن يراد من الآية ؛ إذ حلّية غير ما باشروه بالرطوبة مما لا كلام فيه ، ويتساوى فيه أهل الكتاب وسائر الكفار وظواهر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الجميع أنه لا يعوّل على الأصل بعد </w:t>
      </w:r>
      <w:r>
        <w:rPr>
          <w:rStyle w:val="FootnoteAnchor"/>
          <w:rtl w:val="true"/>
        </w:rPr>
        <w:footnoteReference w:id="1696"/>
      </w:r>
      <w:r>
        <w:rPr>
          <w:rFonts w:ascii="Amiri" w:hAnsi="Amiri" w:eastAsia="Amiri" w:cs="Amiri"/>
          <w:color w:val="111111"/>
          <w:sz w:val="28"/>
          <w:sz w:val="28"/>
          <w:szCs w:val="28"/>
          <w:rtl w:val="true"/>
          <w:lang w:bidi="ar-SA"/>
        </w:rPr>
        <w:t xml:space="preserve">قيام الدليل ، والمراد بالطعام في الآية الشريفة هو الحبوب أو ما أشبهها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تعبيره بذلك في روايات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أهل اللغة تخصيصه بالحنطة ونحوها من الحبوب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المجمل </w:t>
      </w:r>
      <w:r>
        <w:rPr>
          <w:rStyle w:val="FootnoteAnchor"/>
          <w:rtl w:val="true"/>
        </w:rPr>
        <w:footnoteReference w:id="1698"/>
      </w:r>
      <w:r>
        <w:rPr>
          <w:rFonts w:ascii="Amiri" w:hAnsi="Amiri" w:eastAsia="Amiri" w:cs="Amiri"/>
          <w:color w:val="111111"/>
          <w:sz w:val="28"/>
          <w:sz w:val="28"/>
          <w:szCs w:val="28"/>
          <w:rtl w:val="true"/>
          <w:lang w:bidi="ar-SA"/>
        </w:rPr>
        <w:t xml:space="preserve">عن بعض أهل اللغة </w:t>
      </w:r>
      <w:r>
        <w:rPr>
          <w:rStyle w:val="FootnoteAnchor"/>
          <w:rtl w:val="true"/>
        </w:rPr>
        <w:footnoteReference w:id="1699"/>
      </w:r>
      <w:r>
        <w:rPr>
          <w:rFonts w:ascii="Amiri" w:hAnsi="Amiri" w:eastAsia="Amiri" w:cs="Amiri"/>
          <w:color w:val="111111"/>
          <w:sz w:val="28"/>
          <w:sz w:val="28"/>
          <w:szCs w:val="28"/>
          <w:rtl w:val="true"/>
          <w:lang w:bidi="ar-SA"/>
        </w:rPr>
        <w:t>أن الطعام البر خاصة ، وهو من الإطلاقات الشائعة له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إطلاق الآية الشريفة فلا مزيد </w:t>
      </w:r>
      <w:r>
        <w:rPr>
          <w:rStyle w:val="FootnoteAnchor"/>
          <w:rtl w:val="true"/>
        </w:rPr>
        <w:footnoteReference w:id="1700"/>
      </w:r>
      <w:r>
        <w:rPr>
          <w:rFonts w:ascii="Amiri" w:hAnsi="Amiri" w:eastAsia="Amiri" w:cs="Amiri"/>
          <w:color w:val="111111"/>
          <w:sz w:val="28"/>
          <w:sz w:val="28"/>
          <w:szCs w:val="28"/>
          <w:rtl w:val="true"/>
          <w:lang w:bidi="ar-SA"/>
        </w:rPr>
        <w:t xml:space="preserve">على الإطلاق ، فيقيّد بما </w:t>
      </w:r>
    </w:p>
    <w:p>
      <w:pPr>
        <w:pStyle w:val="BookText"/>
        <w:rPr/>
      </w:pPr>
      <w:r>
        <w:rPr>
          <w:rFonts w:ascii="Amiri" w:hAnsi="Amiri" w:eastAsia="Amiri" w:cs="Amiri"/>
          <w:color w:val="111111"/>
          <w:sz w:val="28"/>
          <w:sz w:val="28"/>
          <w:szCs w:val="28"/>
          <w:rtl w:val="true"/>
          <w:lang w:bidi="ar-SA"/>
        </w:rPr>
        <w:t>دلّ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أن الظاهر من المقام حلّية ما باشروه بالرطوبة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اختصاص توهم الحرمة من جهة النجاسة أو أنه بيان للحكم وإن كان معلوما بأدلة اخرى أيضا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فقد عرفت الحال فيها أيضا</w:t>
      </w:r>
      <w:r>
        <w:rPr>
          <w:rFonts w:eastAsia="Amiri" w:cs="Amiri" w:ascii="Amiri" w:hAnsi="Amiri"/>
          <w:color w:val="111111"/>
          <w:sz w:val="28"/>
          <w:szCs w:val="28"/>
          <w:rtl w:val="true"/>
          <w:lang w:bidi="ar-SA"/>
        </w:rPr>
        <w:t xml:space="preserve">. </w:t>
      </w:r>
      <w:bookmarkStart w:id="383" w:name="pg15839_361000"/>
    </w:p>
    <w:p>
      <w:pPr>
        <w:pStyle w:val="Heading4"/>
        <w:numPr>
          <w:ilvl w:val="3"/>
          <w:numId w:val="1"/>
        </w:numPr>
        <w:rPr/>
      </w:pPr>
      <w:bookmarkStart w:id="384" w:name="__RefHeading___Toc14338579_2142443653"/>
      <w:bookmarkStart w:id="385" w:name="_Toc142"/>
      <w:bookmarkEnd w:id="383"/>
      <w:bookmarkEnd w:id="384"/>
      <w:r>
        <w:rPr>
          <w:rtl w:val="true"/>
        </w:rPr>
        <w:t>تبصرة</w:t>
      </w:r>
      <w:r>
        <w:rPr>
          <w:rtl w:val="true"/>
        </w:rPr>
        <w:t xml:space="preserve">: [ </w:t>
      </w:r>
      <w:r>
        <w:rPr>
          <w:rtl w:val="true"/>
        </w:rPr>
        <w:t xml:space="preserve">في حكم سائر الكفّار </w:t>
      </w:r>
      <w:r>
        <w:rPr>
          <w:rtl w:val="true"/>
        </w:rPr>
        <w:t>]</w:t>
      </w:r>
      <w:bookmarkEnd w:id="385"/>
    </w:p>
    <w:p>
      <w:pPr>
        <w:pStyle w:val="BookText"/>
        <w:rPr/>
      </w:pPr>
      <w:r>
        <w:rPr>
          <w:rFonts w:ascii="Amiri" w:hAnsi="Amiri" w:eastAsia="Amiri" w:cs="Amiri"/>
          <w:color w:val="111111"/>
          <w:sz w:val="28"/>
          <w:sz w:val="28"/>
          <w:szCs w:val="28"/>
          <w:rtl w:val="true"/>
          <w:lang w:bidi="ar-SA"/>
        </w:rPr>
        <w:t xml:space="preserve">يثبت حكم النجاسة لسائر الكفار سواء كان كفرهم لكلّ </w:t>
      </w:r>
      <w:r>
        <w:rPr>
          <w:rStyle w:val="FootnoteAnchor"/>
          <w:rtl w:val="true"/>
        </w:rPr>
        <w:footnoteReference w:id="1701"/>
      </w:r>
      <w:r>
        <w:rPr>
          <w:rFonts w:ascii="Amiri" w:hAnsi="Amiri" w:eastAsia="Amiri" w:cs="Amiri"/>
          <w:color w:val="111111"/>
          <w:sz w:val="28"/>
          <w:sz w:val="28"/>
          <w:szCs w:val="28"/>
          <w:rtl w:val="true"/>
          <w:lang w:bidi="ar-SA"/>
        </w:rPr>
        <w:t xml:space="preserve">الأصول أو بعضها ، إما لعدم تصورها من رأس كما إذا كان في مواضع لم يتّفق له سماع شي‌ء من الأديان أو مع التردد فيها أو الظنّ بها على وجه أو الظنّ بخلافها أو اليقين من الدليل والتقليد أو غيرهما أو عدم الايمان وإن كان قاطعا </w:t>
      </w:r>
      <w:r>
        <w:rPr>
          <w:rFonts w:eastAsia="Amiri" w:cs="Amiri" w:ascii="Amiri" w:hAnsi="Amiri"/>
          <w:color w:val="111111"/>
          <w:sz w:val="28"/>
          <w:szCs w:val="28"/>
          <w:rtl w:val="true"/>
          <w:lang w:bidi="ar-SA"/>
        </w:rPr>
        <w:t xml:space="preserve">[ .. ] </w:t>
      </w:r>
      <w:r>
        <w:rPr>
          <w:rStyle w:val="FootnoteAnchor"/>
          <w:rtl w:val="true"/>
        </w:rPr>
        <w:footnoteReference w:id="1702"/>
      </w:r>
      <w:r>
        <w:rPr>
          <w:rFonts w:ascii="Amiri" w:hAnsi="Amiri" w:eastAsia="Amiri" w:cs="Amiri"/>
          <w:color w:val="111111"/>
          <w:sz w:val="28"/>
          <w:sz w:val="28"/>
          <w:szCs w:val="28"/>
          <w:rtl w:val="true"/>
          <w:lang w:bidi="ar-SA"/>
        </w:rPr>
        <w:t>الدرهم أو زائدا عليه ؛ لثبوت حكم العفو بالنسبة إلى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المسألة في خصوص كون الملاقي ما دون الدرهم ليس على ما ينبغي ، والأولى أن يقال بحصول العفو ، والحديث </w:t>
      </w:r>
      <w:r>
        <w:rPr>
          <w:rStyle w:val="FootnoteAnchor"/>
          <w:rtl w:val="true"/>
        </w:rPr>
        <w:footnoteReference w:id="1703"/>
      </w:r>
      <w:r>
        <w:rPr>
          <w:rFonts w:ascii="Amiri" w:hAnsi="Amiri" w:eastAsia="Amiri" w:cs="Amiri"/>
          <w:color w:val="111111"/>
          <w:sz w:val="28"/>
          <w:sz w:val="28"/>
          <w:szCs w:val="28"/>
          <w:rtl w:val="true"/>
          <w:lang w:bidi="ar-SA"/>
        </w:rPr>
        <w:t>بالنسبة إلى الملاقى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يذهب عليك أنه لو نجس الثوب أو البدن بالدم جرى في فعله حكم الدرهم قطعا ؛ لثبوت العفو مع وجوده ، فمع زواله </w:t>
      </w:r>
      <w:r>
        <w:rPr>
          <w:rStyle w:val="FootnoteAnchor"/>
          <w:rtl w:val="true"/>
        </w:rPr>
        <w:footnoteReference w:id="1704"/>
      </w:r>
      <w:r>
        <w:rPr>
          <w:rFonts w:ascii="Amiri" w:hAnsi="Amiri" w:eastAsia="Amiri" w:cs="Amiri"/>
          <w:color w:val="111111"/>
          <w:sz w:val="28"/>
          <w:sz w:val="28"/>
          <w:szCs w:val="28"/>
          <w:rtl w:val="true"/>
          <w:lang w:bidi="ar-SA"/>
        </w:rPr>
        <w:t>وجهان ، واستقرب في الدروس ؛ إذ تخفيف النجاسة لا يوجب الشديد في الحكم وهو ظاهر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الدم المعفوّ بغيره فهل يجري عليه حكم العفو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في الدروس </w:t>
      </w:r>
      <w:r>
        <w:rPr>
          <w:rStyle w:val="FootnoteAnchor"/>
          <w:rtl w:val="true"/>
        </w:rPr>
        <w:footnoteReference w:id="170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 نصّ في الحدائق </w:t>
      </w:r>
      <w:r>
        <w:rPr>
          <w:rStyle w:val="FootnoteAnchor"/>
          <w:rtl w:val="true"/>
        </w:rPr>
        <w:footnoteReference w:id="1707"/>
      </w:r>
      <w:r>
        <w:rPr>
          <w:rFonts w:ascii="Amiri" w:hAnsi="Amiri" w:eastAsia="Amiri" w:cs="Amiri"/>
          <w:color w:val="111111"/>
          <w:sz w:val="28"/>
          <w:sz w:val="28"/>
          <w:szCs w:val="28"/>
          <w:rtl w:val="true"/>
          <w:lang w:bidi="ar-SA"/>
        </w:rPr>
        <w:t xml:space="preserve">في بحث النجاسات ؛ إذ الأصل فيما يدور بين ما يجوز لبسه وما لا يجوز هو الجواز كما إذا اشترى جلدا ودار الأمر بين كونه ميتة أو مذكّاة ، وقد نصّ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شي‌ء فيه حلال وحرام فهو لك حلال حتى تعرف الحرام بعينه فتدعه </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 بالعدم ؛ أخذا بالاحتياط وأصالة الشغل حتى يتبيّن الفراغ ، وأن الأصل عدم العفو للإطلاقات الدالة عليه ، فينبغي الاقتصار على القدر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ما إذا دار بين محصورين مثلا أحدهما الدم المعفو والآخر غيره ، فعلم بكونه أحد الدمين ودار الأمر بين الأمرين ، فلا يقدح تنزيلا للشبهة المحصورة منزلة العلم كما في نظائره ، وما إذا كان هناك دم ولم يعلم أنه من أيّ القسمين ، من غير أن يكون دائرا بين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في الحدائق </w:t>
      </w:r>
      <w:r>
        <w:rPr>
          <w:rStyle w:val="FootnoteAnchor"/>
          <w:rtl w:val="true"/>
        </w:rPr>
        <w:footnoteReference w:id="1709"/>
      </w:r>
      <w:r>
        <w:rPr>
          <w:rFonts w:ascii="Amiri" w:hAnsi="Amiri" w:eastAsia="Amiri" w:cs="Amiri"/>
          <w:color w:val="111111"/>
          <w:sz w:val="28"/>
          <w:sz w:val="28"/>
          <w:szCs w:val="28"/>
          <w:rtl w:val="true"/>
          <w:lang w:bidi="ar-SA"/>
        </w:rPr>
        <w:t>عند بيان أحكام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يقرب الوجه الأول بأصالة عدم التغليظ </w:t>
      </w:r>
      <w:r>
        <w:rPr>
          <w:rStyle w:val="FootnoteAnchor"/>
          <w:rtl w:val="true"/>
        </w:rPr>
        <w:footnoteReference w:id="1710"/>
      </w:r>
      <w:r>
        <w:rPr>
          <w:rFonts w:ascii="Amiri" w:hAnsi="Amiri" w:eastAsia="Amiri" w:cs="Amiri"/>
          <w:color w:val="111111"/>
          <w:sz w:val="28"/>
          <w:sz w:val="28"/>
          <w:szCs w:val="28"/>
          <w:rtl w:val="true"/>
          <w:lang w:bidi="ar-SA"/>
        </w:rPr>
        <w:t>واستصحاب جواز الصلاة في البدن أو الثوب الحاصل فيه ، وما ذكر من أصالة عدم العفو إنما يجري فيما يشكّ فيه من جهة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الموضوع بعد وضوح الحكم فلا ؛ إذ لا يوجب ذلك زيادة في التخصيص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إن قرّر من الشارع أصل في مجهول الحال كما قرّره في الماء جرى في المقام ، وما ذكر من أصالة الشغل معارض بقيام الدليل الشرعي على الجواز</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قوّة الوجه الأول إلا أن المسألة لا يخلو من </w:t>
      </w:r>
      <w:r>
        <w:rPr>
          <w:rStyle w:val="FootnoteAnchor"/>
          <w:rtl w:val="true"/>
        </w:rPr>
        <w:footnoteReference w:id="1712"/>
      </w:r>
      <w:r>
        <w:rPr>
          <w:rFonts w:ascii="Amiri" w:hAnsi="Amiri" w:eastAsia="Amiri" w:cs="Amiri"/>
          <w:color w:val="111111"/>
          <w:sz w:val="28"/>
          <w:sz w:val="28"/>
          <w:szCs w:val="28"/>
          <w:rtl w:val="true"/>
          <w:lang w:bidi="ar-SA"/>
        </w:rPr>
        <w:t>خفاء ، ومراعاة الاحتياط فيها سيّما بالنسبة إلى المحصور مما لا ينبغي تركها</w:t>
      </w:r>
      <w:r>
        <w:rPr>
          <w:rFonts w:eastAsia="Amiri" w:cs="Amiri" w:ascii="Amiri" w:hAnsi="Amiri"/>
          <w:color w:val="111111"/>
          <w:sz w:val="28"/>
          <w:szCs w:val="28"/>
          <w:rtl w:val="true"/>
          <w:lang w:bidi="ar-SA"/>
        </w:rPr>
        <w:t xml:space="preserve">. </w:t>
      </w:r>
      <w:bookmarkStart w:id="386" w:name="pg15839_361002"/>
    </w:p>
    <w:p>
      <w:pPr>
        <w:pStyle w:val="Heading4"/>
        <w:numPr>
          <w:ilvl w:val="3"/>
          <w:numId w:val="1"/>
        </w:numPr>
        <w:rPr/>
      </w:pPr>
      <w:bookmarkStart w:id="387" w:name="__RefHeading___Toc14338581_2142443653"/>
      <w:bookmarkStart w:id="388" w:name="_Toc143"/>
      <w:bookmarkEnd w:id="386"/>
      <w:bookmarkEnd w:id="387"/>
      <w:r>
        <w:rPr>
          <w:rtl w:val="true"/>
        </w:rPr>
        <w:t>تبصرة</w:t>
      </w:r>
      <w:r>
        <w:rPr>
          <w:rtl w:val="true"/>
        </w:rPr>
        <w:t xml:space="preserve">: [ </w:t>
      </w:r>
      <w:r>
        <w:rPr>
          <w:rtl w:val="true"/>
        </w:rPr>
        <w:t xml:space="preserve">فيما يعفى عنه نجاسته </w:t>
      </w:r>
      <w:r>
        <w:rPr>
          <w:rtl w:val="true"/>
        </w:rPr>
        <w:t>]</w:t>
      </w:r>
      <w:bookmarkEnd w:id="388"/>
    </w:p>
    <w:p>
      <w:pPr>
        <w:pStyle w:val="BookText"/>
        <w:rPr/>
      </w:pPr>
      <w:r>
        <w:rPr>
          <w:rFonts w:ascii="Amiri" w:hAnsi="Amiri" w:eastAsia="Amiri" w:cs="Amiri"/>
          <w:color w:val="111111"/>
          <w:sz w:val="28"/>
          <w:sz w:val="28"/>
          <w:szCs w:val="28"/>
          <w:rtl w:val="true"/>
          <w:lang w:bidi="ar-SA"/>
        </w:rPr>
        <w:t xml:space="preserve">مما يعفى عنه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تتمّ الصلاة فيه منفردا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الجملة مما لا خلاف فيه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الإجماع عليه مطلقا </w:t>
      </w:r>
      <w:r>
        <w:rPr>
          <w:rStyle w:val="FootnoteAnchor"/>
          <w:rtl w:val="true"/>
        </w:rPr>
        <w:footnoteReference w:id="1713"/>
      </w:r>
      <w:r>
        <w:rPr>
          <w:rFonts w:ascii="Amiri" w:hAnsi="Amiri" w:eastAsia="Amiri" w:cs="Amiri"/>
          <w:color w:val="111111"/>
          <w:sz w:val="28"/>
          <w:sz w:val="28"/>
          <w:szCs w:val="28"/>
          <w:rtl w:val="true"/>
          <w:lang w:bidi="ar-SA"/>
        </w:rPr>
        <w:t xml:space="preserve">مستفيضة قد حكاه في الانتصار والخلاف </w:t>
      </w:r>
      <w:r>
        <w:rPr>
          <w:rStyle w:val="FootnoteAnchor"/>
          <w:rtl w:val="true"/>
        </w:rPr>
        <w:footnoteReference w:id="1714"/>
      </w:r>
      <w:r>
        <w:rPr>
          <w:rFonts w:ascii="IRNazanin" w:hAnsi="IRNazanin" w:eastAsia="IRNazanin"/>
          <w:color w:val="111111"/>
          <w:sz w:val="28"/>
          <w:sz w:val="28"/>
          <w:szCs w:val="28"/>
          <w:rtl w:val="true"/>
          <w:lang w:bidi="fa-IR"/>
        </w:rPr>
        <w:t xml:space="preserve">والسرائر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التذكرة </w:t>
      </w:r>
      <w:r>
        <w:rPr>
          <w:rStyle w:val="FootnoteAnchor"/>
          <w:rtl w:val="true"/>
        </w:rPr>
        <w:footnoteReference w:id="1716"/>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1717"/>
      </w:r>
      <w:r>
        <w:rPr>
          <w:rFonts w:ascii="Amiri" w:hAnsi="Amiri" w:eastAsia="Amiri" w:cs="Amiri"/>
          <w:color w:val="111111"/>
          <w:sz w:val="28"/>
          <w:sz w:val="28"/>
          <w:szCs w:val="28"/>
          <w:rtl w:val="true"/>
          <w:lang w:bidi="ar-SA"/>
        </w:rPr>
        <w:t xml:space="preserve">والمدارك </w:t>
      </w:r>
      <w:r>
        <w:rPr>
          <w:rStyle w:val="FootnoteAnchor"/>
          <w:rtl w:val="true"/>
        </w:rPr>
        <w:footnoteReference w:id="1718"/>
      </w:r>
      <w:r>
        <w:rPr>
          <w:rFonts w:ascii="Amiri" w:hAnsi="Amiri" w:eastAsia="Amiri" w:cs="Amiri"/>
          <w:color w:val="111111"/>
          <w:sz w:val="28"/>
          <w:sz w:val="28"/>
          <w:szCs w:val="28"/>
          <w:rtl w:val="true"/>
          <w:lang w:bidi="ar-SA"/>
        </w:rPr>
        <w:t xml:space="preserve">إلى الأصحاب ، وفي الذخيرة </w:t>
      </w:r>
      <w:r>
        <w:rPr>
          <w:rStyle w:val="FootnoteAnchor"/>
          <w:rtl w:val="true"/>
        </w:rPr>
        <w:footnoteReference w:id="1719"/>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 أصل الحكم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الراوندي </w:t>
      </w:r>
      <w:r>
        <w:rPr>
          <w:rStyle w:val="FootnoteAnchor"/>
          <w:rtl w:val="true"/>
        </w:rPr>
        <w:footnoteReference w:id="1720"/>
      </w:r>
      <w:r>
        <w:rPr>
          <w:rFonts w:ascii="Amiri" w:hAnsi="Amiri" w:eastAsia="Amiri" w:cs="Amiri"/>
          <w:color w:val="111111"/>
          <w:sz w:val="28"/>
          <w:sz w:val="28"/>
          <w:szCs w:val="28"/>
          <w:rtl w:val="true"/>
          <w:lang w:bidi="ar-SA"/>
        </w:rPr>
        <w:t>حكاية الإجماع على امور خمسة بالخصوص ، وهي القلنسوة والتكة والجورب والخفّ والنعل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ذلك النصوص المستفيضة كصحيحة حماد بن عثمان ، عمّن رواه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في الخفّ الذي قد أصابه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مما لا تتمّ </w:t>
      </w:r>
    </w:p>
    <w:p>
      <w:pPr>
        <w:pStyle w:val="BookText"/>
        <w:rPr/>
      </w:pPr>
      <w:r>
        <w:rPr>
          <w:rFonts w:ascii="Amiri" w:hAnsi="Amiri" w:eastAsia="Amiri" w:cs="Amiri"/>
          <w:color w:val="111111"/>
          <w:sz w:val="28"/>
          <w:sz w:val="28"/>
          <w:szCs w:val="28"/>
          <w:rtl w:val="true"/>
          <w:lang w:bidi="ar-SA"/>
        </w:rPr>
        <w:t xml:space="preserve">الصلاة فيه فلا بأس </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عبد اللّه بن سنان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 على الإنسان أو معه مما لا يجوز الصلاة فيه وحده فلا بأس بالصلاة </w:t>
      </w:r>
      <w:r>
        <w:rPr>
          <w:rStyle w:val="FootnoteAnchor"/>
          <w:rtl w:val="true"/>
        </w:rPr>
        <w:footnoteReference w:id="1722"/>
      </w:r>
      <w:r>
        <w:rPr>
          <w:rFonts w:ascii="Amiri" w:hAnsi="Amiri" w:eastAsia="Amiri" w:cs="Amiri"/>
          <w:color w:val="111111"/>
          <w:sz w:val="28"/>
          <w:sz w:val="28"/>
          <w:szCs w:val="28"/>
          <w:rtl w:val="true"/>
          <w:lang w:bidi="ar-SA"/>
        </w:rPr>
        <w:t xml:space="preserve">أن يصلّى فيه ، وإن كان قد قذر مثل القلنسوة والتكة والكمرة والنعل والخفّين وما أشبه ذلك </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الشي‌ء الذي لا يجوز الصلاة فيه وحده فيصيبه القذر مثل القلنسوة والتكّة والجورب </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 وما كان فيها من ضعف في الإسناد فينجبر باعتضاد بعضها ببعض ، وبعمل الأصحاب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المسألة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المقام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تعميم الحكم لكلّ الملابس كما هو قضية عموم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الراوندي تخصيصه بالخمسة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بعد دلالة الأخبار وفتاوى الأصحاب والإجماعات المطلقة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الظاهر من الأخبار أن المناط فيه عدم إتمام الصلاة فيه ، وهو جار في الجميع ، مضافا إلى التصريح بالتعليل في الفقه المنسوب إلى مولانا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أصاب قلنسوتك أو عمامتك أو التكة والجورب أو الخف شي‌ء أو بول أو دم أو غائط فلا بأس بالصلاة فيه ، وذلك أن الصلاة لا تتم في شي‌ء من هذه وحده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الراوندي إجماع على الخمسة دون البواقي ، فيبنى فيها على الأصل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مما عرفت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المشهور عدم التفاوت في ذلك بين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العلامة في عدّة من كتبه كالمنتهى </w:t>
      </w:r>
      <w:r>
        <w:rPr>
          <w:rStyle w:val="FootnoteAnchor"/>
          <w:rtl w:val="true"/>
        </w:rPr>
        <w:footnoteReference w:id="1726"/>
      </w:r>
      <w:r>
        <w:rPr>
          <w:rFonts w:ascii="Amiri" w:hAnsi="Amiri" w:eastAsia="Amiri" w:cs="Amiri"/>
          <w:color w:val="111111"/>
          <w:sz w:val="28"/>
          <w:sz w:val="28"/>
          <w:szCs w:val="28"/>
          <w:rtl w:val="true"/>
          <w:lang w:bidi="ar-SA"/>
        </w:rPr>
        <w:t xml:space="preserve">والتذكرة </w:t>
      </w:r>
      <w:r>
        <w:rPr>
          <w:rStyle w:val="FootnoteAnchor"/>
          <w:rtl w:val="true"/>
        </w:rPr>
        <w:footnoteReference w:id="1727"/>
      </w:r>
      <w:r>
        <w:rPr>
          <w:rFonts w:ascii="Amiri" w:hAnsi="Amiri" w:eastAsia="Amiri" w:cs="Amiri"/>
          <w:color w:val="111111"/>
          <w:sz w:val="28"/>
          <w:sz w:val="28"/>
          <w:szCs w:val="28"/>
          <w:rtl w:val="true"/>
          <w:lang w:bidi="ar-SA"/>
        </w:rPr>
        <w:t xml:space="preserve">والتحرير </w:t>
      </w:r>
      <w:r>
        <w:rPr>
          <w:rStyle w:val="FootnoteAnchor"/>
          <w:rtl w:val="true"/>
        </w:rPr>
        <w:footnoteReference w:id="1728"/>
      </w:r>
      <w:r>
        <w:rPr>
          <w:rFonts w:ascii="Amiri" w:hAnsi="Amiri" w:eastAsia="Amiri" w:cs="Amiri"/>
          <w:color w:val="111111"/>
          <w:sz w:val="28"/>
          <w:sz w:val="28"/>
          <w:szCs w:val="28"/>
          <w:rtl w:val="true"/>
          <w:lang w:bidi="ar-SA"/>
        </w:rPr>
        <w:t xml:space="preserve">، والشهيد في البيان </w:t>
      </w:r>
      <w:r>
        <w:rPr>
          <w:rStyle w:val="FootnoteAnchor"/>
          <w:rtl w:val="true"/>
        </w:rPr>
        <w:footnoteReference w:id="1729"/>
      </w:r>
      <w:r>
        <w:rPr>
          <w:rFonts w:ascii="Amiri" w:hAnsi="Amiri" w:eastAsia="Amiri" w:cs="Amiri"/>
          <w:color w:val="111111"/>
          <w:sz w:val="28"/>
          <w:sz w:val="28"/>
          <w:szCs w:val="28"/>
          <w:rtl w:val="true"/>
          <w:lang w:bidi="ar-SA"/>
        </w:rPr>
        <w:t>، وابن فهد في الموجز بما إذا كانت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نعرف مستندهم في ذلك ، وكأنه لحمل الإطلاقات على المتعارف ، وهو ما إذا كانت تلك الأمور في محالّها المعدّة لها ، فيبقى غيرها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وإطلاق الروايات وجعل المناط فيه عدم تمامية الصلاة ، مضافا إلى أن حمل النجاسة لا مانع منه مطلقا كما سيجي‌ء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يسري الحكم إلى غير الملبوس لا يشرط </w:t>
      </w:r>
      <w:r>
        <w:rPr>
          <w:rStyle w:val="FootnoteAnchor"/>
          <w:rtl w:val="true"/>
        </w:rPr>
        <w:footnoteReference w:id="1730"/>
      </w:r>
      <w:r>
        <w:rPr>
          <w:rFonts w:ascii="Amiri" w:hAnsi="Amiri" w:eastAsia="Amiri" w:cs="Amiri"/>
          <w:color w:val="111111"/>
          <w:sz w:val="28"/>
          <w:sz w:val="28"/>
          <w:szCs w:val="28"/>
          <w:rtl w:val="true"/>
          <w:lang w:bidi="ar-SA"/>
        </w:rPr>
        <w:t>الكون في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الأمرين فإن كان هناك اتفاق فاتفاق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لا يتم </w:t>
      </w:r>
      <w:r>
        <w:rPr>
          <w:rStyle w:val="FootnoteAnchor"/>
          <w:rtl w:val="true"/>
        </w:rPr>
        <w:footnoteReference w:id="1731"/>
      </w:r>
      <w:r>
        <w:rPr>
          <w:rFonts w:ascii="Amiri" w:hAnsi="Amiri" w:eastAsia="Amiri" w:cs="Amiri"/>
          <w:color w:val="111111"/>
          <w:sz w:val="28"/>
          <w:sz w:val="28"/>
          <w:szCs w:val="28"/>
          <w:rtl w:val="true"/>
          <w:lang w:bidi="ar-SA"/>
        </w:rPr>
        <w:t xml:space="preserve">الصلاة فيه ما لا تتم فيه مع بقائه على حاله ، فلو أمكن الصلاة فيه بعلاج كما إذا كان طويلا وأمكن وضع طوله على عرضه ليمكن الصلاة فيه لم يثبت فيه المنع قبل خيطه </w:t>
      </w:r>
      <w:r>
        <w:rPr>
          <w:rStyle w:val="FootnoteAnchor"/>
          <w:rtl w:val="true"/>
        </w:rPr>
        <w:footnoteReference w:id="1732"/>
      </w:r>
      <w:r>
        <w:rPr>
          <w:rFonts w:ascii="Amiri" w:hAnsi="Amiri" w:eastAsia="Amiri" w:cs="Amiri"/>
          <w:color w:val="111111"/>
          <w:sz w:val="28"/>
          <w:sz w:val="28"/>
          <w:szCs w:val="28"/>
          <w:rtl w:val="true"/>
          <w:lang w:bidi="ar-SA"/>
        </w:rPr>
        <w:t>كذلك ؛ أخذا بإطلاق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احتاج إلى شدّه بشي‌ء خارج عنه ، وأما إن كان معه فلا ، كالحبل المتصل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هناك امور لا تتم الصلاة في كلّ منها وتتم في الجميع فهل يجري الحكم المذكور في الجميع ، لعدم تمامية الصلاة في كل منها بالخصوص أو لا؟ وجهان ، أوجههما الأول وإن فرض حصول الستر </w:t>
      </w:r>
      <w:r>
        <w:rPr>
          <w:rStyle w:val="FootnoteAnchor"/>
          <w:rtl w:val="true"/>
        </w:rPr>
        <w:footnoteReference w:id="1733"/>
      </w:r>
      <w:r>
        <w:rPr>
          <w:rFonts w:ascii="Amiri" w:hAnsi="Amiri" w:eastAsia="Amiri" w:cs="Amiri"/>
          <w:color w:val="111111"/>
          <w:sz w:val="28"/>
          <w:sz w:val="28"/>
          <w:szCs w:val="28"/>
          <w:rtl w:val="true"/>
          <w:lang w:bidi="ar-SA"/>
        </w:rPr>
        <w:t>بها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ضمّ بعضها إلى البعض بحيث صار الجميع شيئا واحدا جرى حكم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734"/>
      </w:r>
      <w:r>
        <w:rPr>
          <w:rFonts w:ascii="Amiri" w:hAnsi="Amiri" w:eastAsia="Amiri" w:cs="Amiri"/>
          <w:color w:val="111111"/>
          <w:sz w:val="28"/>
          <w:sz w:val="28"/>
          <w:szCs w:val="28"/>
          <w:rtl w:val="true"/>
          <w:lang w:bidi="ar-SA"/>
        </w:rPr>
        <w:t xml:space="preserve">إن المقصود بما لا تتمّ الصلاة فيه ما كان كذلك لصغره ، وأما ما لا تتم الصلاة من جهة حياكته </w:t>
      </w:r>
      <w:r>
        <w:rPr>
          <w:rStyle w:val="FootnoteAnchor"/>
          <w:rtl w:val="true"/>
        </w:rPr>
        <w:footnoteReference w:id="1735"/>
      </w:r>
      <w:r>
        <w:rPr>
          <w:rFonts w:ascii="Amiri" w:hAnsi="Amiri" w:eastAsia="Amiri" w:cs="Amiri"/>
          <w:color w:val="111111"/>
          <w:sz w:val="28"/>
          <w:sz w:val="28"/>
          <w:szCs w:val="28"/>
          <w:rtl w:val="true"/>
          <w:lang w:bidi="ar-SA"/>
        </w:rPr>
        <w:t>دون صغره فلا يجري فيه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بعض الأفاضل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الصدوق </w:t>
      </w:r>
      <w:r>
        <w:rPr>
          <w:rStyle w:val="FootnoteAnchor"/>
          <w:rtl w:val="true"/>
        </w:rPr>
        <w:footnoteReference w:id="1736"/>
      </w:r>
      <w:r>
        <w:rPr>
          <w:rFonts w:ascii="Amiri" w:hAnsi="Amiri" w:eastAsia="Amiri" w:cs="Amiri"/>
          <w:color w:val="111111"/>
          <w:sz w:val="28"/>
          <w:sz w:val="28"/>
          <w:szCs w:val="28"/>
          <w:rtl w:val="true"/>
          <w:lang w:bidi="ar-SA"/>
        </w:rPr>
        <w:t>رحمه‌اللّه من جملة ذلك العمامة ، ووجّه ذلك تارة بأنها على حالها مما لا تتم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المناط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بأنها غير داخل في اسم الثوب ، وقد قامت الأدلة على اعتبار الطهارة في خصوص البدن والثوب ، ولا دليل على اعتبارها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احتمل في المدارك </w:t>
      </w:r>
      <w:r>
        <w:rPr>
          <w:rStyle w:val="FootnoteAnchor"/>
          <w:rtl w:val="true"/>
        </w:rPr>
        <w:footnoteReference w:id="1737"/>
      </w:r>
      <w:r>
        <w:rPr>
          <w:rFonts w:ascii="Amiri" w:hAnsi="Amiri" w:eastAsia="Amiri" w:cs="Amiri"/>
          <w:color w:val="111111"/>
          <w:sz w:val="28"/>
          <w:sz w:val="28"/>
          <w:szCs w:val="28"/>
          <w:rtl w:val="true"/>
          <w:lang w:bidi="ar-SA"/>
        </w:rPr>
        <w:t>على عدم حصول المنع من جهتها نظرا إلى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كلّ من الوجهين المذكورين ؛ إذ مجرد طي الثوب لا يجعله مما لا تتم الصلاة فيه مع سعته في نفسه ، وإلا لجرى في غير العمامة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الفساد ، وإن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المنشور كذا يشمل المطويّ أيضا بلا فرق ، فالتأمل في اندراجه في الثوب بعد صدقه عليه في العرف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اندراجه في اللباس كاف فيه ، وهو مما لا شكّ فيه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قد دلّ على اندراج العمامة في ذلك رواية الفقه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مستند الصدوق ، وهي لضعفها ومخالفتها لسائر الأخبار وكلام الأصحاب لا ينهض 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تحمل كعبارة الصدوق رحمه‌اللّه على خصوص العمامة التي لا تتم الصلاة فيها</w:t>
      </w:r>
      <w:r>
        <w:rPr>
          <w:rFonts w:eastAsia="Amiri" w:cs="Amiri" w:ascii="Amiri" w:hAnsi="Amiri"/>
          <w:color w:val="111111"/>
          <w:sz w:val="28"/>
          <w:szCs w:val="28"/>
          <w:rtl w:val="true"/>
          <w:lang w:bidi="ar-SA"/>
        </w:rPr>
        <w:t xml:space="preserve">. </w:t>
      </w:r>
      <w:bookmarkStart w:id="389" w:name="pg15839_361006"/>
    </w:p>
    <w:p>
      <w:pPr>
        <w:pStyle w:val="Heading4"/>
        <w:numPr>
          <w:ilvl w:val="3"/>
          <w:numId w:val="1"/>
        </w:numPr>
        <w:rPr/>
      </w:pPr>
      <w:bookmarkStart w:id="390" w:name="__RefHeading___Toc14338583_2142443653"/>
      <w:bookmarkStart w:id="391" w:name="_Toc144"/>
      <w:bookmarkEnd w:id="389"/>
      <w:bookmarkEnd w:id="390"/>
      <w:r>
        <w:rPr>
          <w:rtl w:val="true"/>
        </w:rPr>
        <w:t>تبصرة</w:t>
      </w:r>
      <w:r>
        <w:rPr>
          <w:rtl w:val="true"/>
        </w:rPr>
        <w:t xml:space="preserve">: [ </w:t>
      </w:r>
      <w:r>
        <w:rPr>
          <w:rtl w:val="true"/>
        </w:rPr>
        <w:t xml:space="preserve">في نجاسة ثوب المرأة المربّية </w:t>
      </w:r>
      <w:r>
        <w:rPr>
          <w:rtl w:val="true"/>
        </w:rPr>
        <w:t>]</w:t>
      </w:r>
      <w:bookmarkEnd w:id="391"/>
    </w:p>
    <w:p>
      <w:pPr>
        <w:pStyle w:val="Heading5"/>
        <w:numPr>
          <w:ilvl w:val="4"/>
          <w:numId w:val="1"/>
        </w:numPr>
        <w:rPr/>
      </w:pPr>
      <w:bookmarkStart w:id="392" w:name="__RefHeading___Toc14338585_2142443653"/>
      <w:bookmarkStart w:id="393" w:name="_Toc14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من جملة ما يعفى عنه في الصلاة نجاسة ثوب المرأة المربية للصبيّ ذات الثوب الواحد بالنسبة إلى بوله إذا غسلته في النهار مرة واحدة ، على المعروف من المذهب بلا خلاف </w:t>
      </w:r>
      <w:r>
        <w:rPr>
          <w:rStyle w:val="FootnoteAnchor"/>
          <w:rtl w:val="true"/>
        </w:rPr>
        <w:footnoteReference w:id="1738"/>
      </w:r>
      <w:r>
        <w:rPr>
          <w:rFonts w:ascii="Amiri" w:hAnsi="Amiri" w:eastAsia="Amiri" w:cs="Amiri"/>
          <w:color w:val="111111"/>
          <w:sz w:val="28"/>
          <w:sz w:val="28"/>
          <w:szCs w:val="28"/>
          <w:rtl w:val="true"/>
          <w:lang w:bidi="ar-SA"/>
        </w:rPr>
        <w:t xml:space="preserve">يعرف ؛ لخبر أبي حفص ،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ليس لها على قميص ولها </w:t>
      </w:r>
      <w:r>
        <w:rPr>
          <w:rStyle w:val="FootnoteAnchor"/>
          <w:rtl w:val="true"/>
        </w:rPr>
        <w:footnoteReference w:id="1739"/>
      </w:r>
      <w:r>
        <w:rPr>
          <w:rFonts w:ascii="Amiri" w:hAnsi="Amiri" w:eastAsia="Amiri" w:cs="Amiri"/>
          <w:color w:val="111111"/>
          <w:sz w:val="28"/>
          <w:sz w:val="28"/>
          <w:szCs w:val="28"/>
          <w:rtl w:val="true"/>
          <w:lang w:bidi="ar-SA"/>
        </w:rPr>
        <w:t xml:space="preserve">مولود فيبول عليها ، كيف تصنع؟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القميص في يوم </w:t>
      </w:r>
      <w:r>
        <w:rPr>
          <w:rStyle w:val="FootnoteAnchor"/>
          <w:rtl w:val="true"/>
        </w:rPr>
        <w:footnoteReference w:id="1740"/>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اعتضاد ذلك بما دلّ على أن هذه الشريعة سمحة سهلة لا حرج فيها ولا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الرواية منجبر بعمل الطائفة حيث لا يعرف رادّ لها في الفرقة ، فمناقشة صاحبي المدارك </w:t>
      </w:r>
      <w:r>
        <w:rPr>
          <w:rStyle w:val="FootnoteAnchor"/>
          <w:rtl w:val="true"/>
        </w:rPr>
        <w:footnoteReference w:id="1742"/>
      </w:r>
      <w:r>
        <w:rPr>
          <w:rFonts w:ascii="Amiri" w:hAnsi="Amiri" w:eastAsia="Amiri" w:cs="Amiri"/>
          <w:color w:val="111111"/>
          <w:sz w:val="28"/>
          <w:sz w:val="28"/>
          <w:szCs w:val="28"/>
          <w:rtl w:val="true"/>
          <w:lang w:bidi="ar-SA"/>
        </w:rPr>
        <w:t xml:space="preserve">والمعالم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ضعف الخبر وتقوية البناء على مقتضى الأصل من دوران الحكم مدار الحرج والمشقة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قضية الأصل في المقام عدم البناء على العفو </w:t>
      </w:r>
      <w:r>
        <w:rPr>
          <w:rStyle w:val="FootnoteAnchor"/>
          <w:rtl w:val="true"/>
        </w:rPr>
        <w:footnoteReference w:id="1743"/>
      </w:r>
      <w:r>
        <w:rPr>
          <w:rFonts w:ascii="Amiri" w:hAnsi="Amiri" w:eastAsia="Amiri" w:cs="Amiri"/>
          <w:color w:val="111111"/>
          <w:sz w:val="28"/>
          <w:sz w:val="28"/>
          <w:szCs w:val="28"/>
          <w:rtl w:val="true"/>
          <w:lang w:bidi="ar-SA"/>
        </w:rPr>
        <w:t xml:space="preserve">إلا فيما قام الدليل عليه ، ومقتضى الرواية المذكورة المعتضدة بالعمل هو ثبوت العفو بالنسبة إلى صاحبة </w:t>
      </w:r>
      <w:r>
        <w:rPr>
          <w:rStyle w:val="FootnoteAnchor"/>
          <w:rtl w:val="true"/>
        </w:rPr>
        <w:footnoteReference w:id="1744"/>
      </w:r>
      <w:r>
        <w:rPr>
          <w:rFonts w:ascii="Amiri" w:hAnsi="Amiri" w:eastAsia="Amiri" w:cs="Amiri"/>
          <w:color w:val="111111"/>
          <w:sz w:val="28"/>
          <w:sz w:val="28"/>
          <w:szCs w:val="28"/>
          <w:rtl w:val="true"/>
          <w:lang w:bidi="ar-SA"/>
        </w:rPr>
        <w:t xml:space="preserve">الثوب الواحد المربية للصبي الواحد عن نجاسة خصوص الثوب لخصوص بول الصبي ، ففي تسرية </w:t>
      </w:r>
    </w:p>
    <w:p>
      <w:pPr>
        <w:pStyle w:val="BookText"/>
        <w:rPr/>
      </w:pPr>
      <w:r>
        <w:rPr>
          <w:rFonts w:ascii="Amiri" w:hAnsi="Amiri" w:eastAsia="Amiri" w:cs="Amiri"/>
          <w:color w:val="111111"/>
          <w:sz w:val="28"/>
          <w:sz w:val="28"/>
          <w:szCs w:val="28"/>
          <w:rtl w:val="true"/>
          <w:lang w:bidi="ar-SA"/>
        </w:rPr>
        <w:t>الحكم إلى المربي للصبي أو المربية للصبي أو الصبية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الأصل كما عرفت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المنتهى </w:t>
      </w:r>
      <w:r>
        <w:rPr>
          <w:rStyle w:val="FootnoteAnchor"/>
          <w:rtl w:val="true"/>
        </w:rPr>
        <w:footnoteReference w:id="1745"/>
      </w:r>
      <w:r>
        <w:rPr>
          <w:rFonts w:ascii="Amiri" w:hAnsi="Amiri" w:eastAsia="Amiri" w:cs="Amiri"/>
          <w:color w:val="111111"/>
          <w:sz w:val="28"/>
          <w:sz w:val="28"/>
          <w:szCs w:val="28"/>
          <w:rtl w:val="true"/>
          <w:lang w:bidi="ar-SA"/>
        </w:rPr>
        <w:t xml:space="preserve">والنهاية </w:t>
      </w:r>
      <w:r>
        <w:rPr>
          <w:rStyle w:val="FootnoteAnchor"/>
          <w:rtl w:val="true"/>
        </w:rPr>
        <w:footnoteReference w:id="1746"/>
      </w:r>
      <w:r>
        <w:rPr>
          <w:rFonts w:ascii="Amiri" w:hAnsi="Amiri" w:eastAsia="Amiri" w:cs="Amiri"/>
          <w:color w:val="111111"/>
          <w:sz w:val="28"/>
          <w:sz w:val="28"/>
          <w:szCs w:val="28"/>
          <w:rtl w:val="true"/>
          <w:lang w:bidi="ar-SA"/>
        </w:rPr>
        <w:t xml:space="preserve">والشهيد </w:t>
      </w:r>
      <w:r>
        <w:rPr>
          <w:rStyle w:val="FootnoteAnchor"/>
          <w:rtl w:val="true"/>
        </w:rPr>
        <w:footnoteReference w:id="1747"/>
      </w:r>
      <w:r>
        <w:rPr>
          <w:rFonts w:ascii="Amiri" w:hAnsi="Amiri" w:eastAsia="Amiri" w:cs="Amiri"/>
          <w:color w:val="111111"/>
          <w:sz w:val="28"/>
          <w:sz w:val="28"/>
          <w:szCs w:val="28"/>
          <w:rtl w:val="true"/>
          <w:lang w:bidi="ar-SA"/>
        </w:rPr>
        <w:t>في عدّة من كتبه تسرية الحكم إلى المربي أيضا للاشتراك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في المدارك </w:t>
      </w:r>
      <w:r>
        <w:rPr>
          <w:rStyle w:val="FootnoteAnchor"/>
          <w:rtl w:val="true"/>
        </w:rPr>
        <w:footnoteReference w:id="1748"/>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للأصل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جماعة من الأصحاب بجريان الحكم في المربية للصبية ، وحكاه في المعالم عن الشهيدين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النهاية اختصاص الحكم بالصبي اقتصارا في الرخصة على المنصوص مع حصول الفرق ؛ إذ بول الصبي كالماء وبول الصبية أصفر ثخين ، وطبعها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الشمول بإطلاق الخبر المذكور للتعبير فيه بلفظ المولود الشامل للصنفين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الظاهر أن لفظ المذكور ليس مما يستوي فيه التذكير والتأنيث ليشمل الأمرين ؛ لشموله لهما مبني على أخذ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عن التأنيث شاملا للقسمين ، وهو غير متعين ؛ إذ كما يمكن كذلك يجوز أن يكون الموصوف </w:t>
      </w:r>
      <w:r>
        <w:rPr>
          <w:rFonts w:eastAsia="Amiri" w:cs="Amiri" w:ascii="Amiri" w:hAnsi="Amiri"/>
          <w:color w:val="111111"/>
          <w:sz w:val="28"/>
          <w:szCs w:val="28"/>
          <w:rtl w:val="true"/>
          <w:lang w:bidi="ar-SA"/>
        </w:rPr>
        <w:t xml:space="preserve">) </w:t>
      </w:r>
      <w:r>
        <w:rPr>
          <w:rStyle w:val="FootnoteAnchor"/>
          <w:rtl w:val="true"/>
        </w:rPr>
        <w:footnoteReference w:id="1749"/>
      </w:r>
      <w:r>
        <w:rPr>
          <w:rFonts w:ascii="Amiri" w:hAnsi="Amiri" w:eastAsia="Amiri" w:cs="Amiri"/>
          <w:color w:val="111111"/>
          <w:sz w:val="28"/>
          <w:sz w:val="28"/>
          <w:szCs w:val="28"/>
          <w:rtl w:val="true"/>
          <w:lang w:bidi="ar-SA"/>
        </w:rPr>
        <w:t>فيه خصوص الصبي ، مضافا إلى أنه يدّعى ظهوره في ذلك ، فقد حكي في المعالم عن بعض الأصحاب أن المتبادر من المولود هو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قرب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الشهيدان </w:t>
      </w:r>
      <w:r>
        <w:rPr>
          <w:rStyle w:val="FootnoteAnchor"/>
          <w:rtl w:val="true"/>
        </w:rPr>
        <w:footnoteReference w:id="1750"/>
      </w:r>
      <w:r>
        <w:rPr>
          <w:rFonts w:ascii="Amiri" w:hAnsi="Amiri" w:eastAsia="Amiri" w:cs="Amiri"/>
          <w:color w:val="111111"/>
          <w:sz w:val="28"/>
          <w:sz w:val="28"/>
          <w:szCs w:val="28"/>
          <w:rtl w:val="true"/>
          <w:lang w:bidi="ar-SA"/>
        </w:rPr>
        <w:t>إلى جريان الحكم في مربية الصبي ؛ للاشتراك في العلة وزيادة المشقة</w:t>
      </w:r>
      <w:r>
        <w:rPr>
          <w:rFonts w:eastAsia="Amiri" w:cs="Amiri" w:ascii="Amiri" w:hAnsi="Amiri"/>
          <w:color w:val="111111"/>
          <w:sz w:val="28"/>
          <w:szCs w:val="28"/>
          <w:rtl w:val="true"/>
          <w:lang w:bidi="ar-SA"/>
        </w:rPr>
        <w:t xml:space="preserve">. </w:t>
      </w:r>
      <w:bookmarkStart w:id="394" w:name="pg15839_361008"/>
    </w:p>
    <w:p>
      <w:pPr>
        <w:pStyle w:val="BookText"/>
        <w:rPr/>
      </w:pPr>
      <w:bookmarkEnd w:id="394"/>
      <w:r>
        <w:rPr>
          <w:rFonts w:ascii="Amiri" w:hAnsi="Amiri" w:eastAsia="Amiri" w:cs="Amiri"/>
          <w:color w:val="111111"/>
          <w:sz w:val="28"/>
          <w:sz w:val="28"/>
          <w:szCs w:val="28"/>
          <w:rtl w:val="true"/>
          <w:lang w:bidi="ar-SA"/>
        </w:rPr>
        <w:t xml:space="preserve">وكلام الشهيد الثاني في الروض </w:t>
      </w:r>
      <w:r>
        <w:rPr>
          <w:rStyle w:val="FootnoteAnchor"/>
          <w:rtl w:val="true"/>
        </w:rPr>
        <w:footnoteReference w:id="1751"/>
      </w:r>
      <w:r>
        <w:rPr>
          <w:rFonts w:ascii="Amiri" w:hAnsi="Amiri" w:eastAsia="Amiri" w:cs="Amiri"/>
          <w:color w:val="111111"/>
          <w:sz w:val="28"/>
          <w:sz w:val="28"/>
          <w:szCs w:val="28"/>
          <w:rtl w:val="true"/>
          <w:lang w:bidi="ar-SA"/>
        </w:rPr>
        <w:t>يومي إلى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والأوفق بالأصل ما ذكرناه من الاقتصار ؛ لزيادة النجاسة مع التعدد </w:t>
      </w:r>
      <w:r>
        <w:rPr>
          <w:rStyle w:val="FootnoteAnchor"/>
          <w:rtl w:val="true"/>
        </w:rPr>
        <w:footnoteReference w:id="1752"/>
      </w:r>
      <w:r>
        <w:rPr>
          <w:rFonts w:ascii="Amiri" w:hAnsi="Amiri" w:eastAsia="Amiri" w:cs="Amiri"/>
          <w:color w:val="111111"/>
          <w:sz w:val="28"/>
          <w:sz w:val="28"/>
          <w:szCs w:val="28"/>
          <w:rtl w:val="true"/>
          <w:lang w:bidi="ar-SA"/>
        </w:rPr>
        <w:t xml:space="preserve">المنافية للتخفيف ، وظاهر الشهيد </w:t>
      </w:r>
      <w:r>
        <w:rPr>
          <w:rStyle w:val="FootnoteAnchor"/>
          <w:rtl w:val="true"/>
        </w:rPr>
        <w:footnoteReference w:id="1753"/>
      </w:r>
      <w:r>
        <w:rPr>
          <w:rFonts w:ascii="Amiri" w:hAnsi="Amiri" w:eastAsia="Amiri" w:cs="Amiri"/>
          <w:color w:val="111111"/>
          <w:sz w:val="28"/>
          <w:sz w:val="28"/>
          <w:szCs w:val="28"/>
          <w:rtl w:val="true"/>
          <w:lang w:bidi="ar-SA"/>
        </w:rPr>
        <w:t>تسرية الحكم إلى الغائط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كنّي عن الغائط بالبول كما هو قاعدة العرب في ارتكاب الكناية فيما يستهجن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جواز الكناية المذكورة لا يوجب الخروج عن الظاهر والحمل عليه ، ولا شاهد على التسرية من تنقيح مناط ولا غيره ؛ لوضوح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التحرير عن البول دون الغائط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نصّ جماعة على عدم التعدية منهم الشهيد الثاني </w:t>
      </w:r>
      <w:r>
        <w:rPr>
          <w:rStyle w:val="FootnoteAnchor"/>
          <w:rtl w:val="true"/>
        </w:rPr>
        <w:footnoteReference w:id="1755"/>
      </w:r>
      <w:r>
        <w:rPr>
          <w:rFonts w:ascii="Amiri" w:hAnsi="Amiri" w:eastAsia="Amiri" w:cs="Amiri"/>
          <w:color w:val="111111"/>
          <w:sz w:val="28"/>
          <w:sz w:val="28"/>
          <w:szCs w:val="28"/>
          <w:rtl w:val="true"/>
          <w:lang w:bidi="ar-SA"/>
        </w:rPr>
        <w:t>وولده المحقق وسبطه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الأفاضل إجراء الحكم بالنسبة إلى البدن أيضا ؛ نظرا إلى عسر الاحتراز عن الثوب النجس ، ولزوم المشقة في غسل البدن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الوهن ؛ للفرق البيّن بين الثوب والبدن في سهولته </w:t>
      </w:r>
      <w:r>
        <w:rPr>
          <w:rStyle w:val="FootnoteAnchor"/>
          <w:rtl w:val="true"/>
        </w:rPr>
        <w:footnoteReference w:id="1756"/>
      </w:r>
      <w:r>
        <w:rPr>
          <w:rFonts w:ascii="Amiri" w:hAnsi="Amiri" w:eastAsia="Amiri" w:cs="Amiri"/>
          <w:color w:val="111111"/>
          <w:sz w:val="28"/>
          <w:sz w:val="28"/>
          <w:szCs w:val="28"/>
          <w:rtl w:val="true"/>
          <w:lang w:bidi="ar-SA"/>
        </w:rPr>
        <w:t>ويبسه وغيرهما ، فلا وجه للتسرية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جماعة من الأفاضل على اختصاص الحكم بالثوب</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4338587_2142443653"/>
      <w:bookmarkStart w:id="396" w:name="_Toc146"/>
      <w:bookmarkEnd w:id="395"/>
      <w:r>
        <w:rPr>
          <w:rtl w:val="true"/>
        </w:rPr>
        <w:t xml:space="preserve">[ </w:t>
      </w:r>
      <w:r>
        <w:rPr>
          <w:rtl w:val="true"/>
        </w:rPr>
        <w:t xml:space="preserve">تنبيهات </w:t>
      </w:r>
      <w:r>
        <w:rPr>
          <w:rtl w:val="true"/>
        </w:rPr>
        <w:t>]</w:t>
      </w:r>
      <w:bookmarkEnd w:id="396"/>
    </w:p>
    <w:p>
      <w:pPr>
        <w:pStyle w:val="BookText"/>
        <w:rPr/>
      </w:pPr>
      <w:r>
        <w:rPr>
          <w:rFonts w:ascii="Amiri" w:hAnsi="Amiri" w:eastAsia="Amiri" w:cs="Amiri"/>
          <w:color w:val="111111"/>
          <w:sz w:val="28"/>
          <w:sz w:val="28"/>
          <w:szCs w:val="28"/>
          <w:rtl w:val="true"/>
          <w:lang w:bidi="ar-SA"/>
        </w:rPr>
        <w:t xml:space="preserve">وهاهنا امور ينبغي الإشارة إليها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ما يزيد على الثوب الواحد ولم يحتج في اللبس إلى الجميع فلا تأمل في عدم جريان العفو ؛ لإمكان الإبدال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احتاجت إلى الجميع لبرد ونحوه فهل يجري على الجميع حكم الواحد؟ وجهان ؛ من الخروج عن مدلول النصّ ، وأنها في معنى المتّحد ، وقد نصّ غير واحد منهم على الأخير كالشهيد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تمكنت من تحصيل الثوب الآخر بشراء أو استيجار أو نحوهما فهل يثبت لهما الرخصة المذكورة أو يجب عليها مراعاة الطهارة إما بغسل ثوبها أو تحصيل 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الأول في المعالم ، وحكى الثاني عن 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النصّ يعطي الرخصة إلا أن الأحوط مراعاة الطهارة مع تحصيل الغير من غير مشقة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الاكتفاء بغسله مرة مجموع الليل والنهار إما لشمول اليوم الليل </w:t>
      </w:r>
      <w:r>
        <w:rPr>
          <w:rStyle w:val="FootnoteAnchor"/>
          <w:rtl w:val="true"/>
        </w:rPr>
        <w:footnoteReference w:id="1757"/>
      </w:r>
      <w:r>
        <w:rPr>
          <w:rFonts w:ascii="Amiri" w:hAnsi="Amiri" w:eastAsia="Amiri" w:cs="Amiri"/>
          <w:color w:val="111111"/>
          <w:sz w:val="28"/>
          <w:sz w:val="28"/>
          <w:szCs w:val="28"/>
          <w:rtl w:val="true"/>
          <w:lang w:bidi="ar-SA"/>
        </w:rPr>
        <w:t xml:space="preserve">أو لإلحاق الليل به كما يعطيه سياق الكلام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يكتف في مقام البيان بمجرد الغسل في اليوم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عليه في مقام البيان أقوى شاهد على الاكتفاء بالنسبة إلى الليل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فيه في الحدائق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تحتسب الليلة السابقة مع النهار أو اللاحقة أو يتخيّر بين الأمرين؟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إيقاع الغسل في النهار أخذا بظاهر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ويتساوى فيه أجزاؤه على ظاهر الرواية ، والأولى تأخير الصلاة وإيقاعه آخر النهار لتكون صلاته الأربع مع الطهارة ولا أقلّ من أخفّيّة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ذلك في شأنها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قضت العادة بنجاسة ثوبها مع فضلها بين الغسل في المقام مع أنّ بول الصبي الذي لم يفطم يكتفى فيه بالصبّ ، ففيما ذكر من الحكمين تدافع إلّا أن يقال باستثناء هذه الصورة من تلك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يؤيّد ذلك بأن تكرار البول موجب لتشديد النجاسة ، ويكفي فيه 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مقتضى ما دلّ على الاكتفاء بالصبّ هناك عدم الفرق بين المتكرّر وغيره ، وكلمات الأصحاب أيضا قاضية بذلك ، فلا يمكن جعل ذلك فارقا في المقام ، فالأولى أن يجعل الحكم هنا مقيّدا بما دل على الاكتفاء بمجرد الصب في بول الرضيع ؛ إذ ليس المولود هنا مقيّدا بالرضيع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يستشكل في دلالة الرواية على العفو بالنسبة إليه ؛ إذ غاية ما يدلّ عليه حصول العفو بالنسبة إلى من يثبت في بوله الغسل إلّا أن يدّعى الأولوية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بأنّ اعتبار الغسل قد يكون من جهة حصول العفو لما في الغسل من المبالغة في الإزالة بخلاف الصب ، فإنّه فان افاد التطهير إلّا أنّه لا يقضى بالعفو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الشهيد </w:t>
      </w:r>
      <w:r>
        <w:rPr>
          <w:rStyle w:val="FootnoteAnchor"/>
          <w:rtl w:val="true"/>
        </w:rPr>
        <w:footnoteReference w:id="1760"/>
      </w:r>
      <w:r>
        <w:rPr>
          <w:rFonts w:ascii="Amiri" w:hAnsi="Amiri" w:eastAsia="Amiri" w:cs="Amiri"/>
          <w:color w:val="111111"/>
          <w:sz w:val="28"/>
          <w:sz w:val="28"/>
          <w:szCs w:val="28"/>
          <w:rtl w:val="true"/>
          <w:lang w:bidi="ar-SA"/>
        </w:rPr>
        <w:t xml:space="preserve">وجماعة من الأصحاب إلى العفو عن نجاسة ثوب الخصي الذي يتواتر بوله إذا غسل في النهار </w:t>
      </w:r>
      <w:r>
        <w:rPr>
          <w:rStyle w:val="FootnoteAnchor"/>
          <w:rtl w:val="true"/>
        </w:rPr>
        <w:footnoteReference w:id="1761"/>
      </w:r>
      <w:r>
        <w:rPr>
          <w:rFonts w:ascii="Amiri" w:hAnsi="Amiri" w:eastAsia="Amiri" w:cs="Amiri"/>
          <w:color w:val="111111"/>
          <w:sz w:val="28"/>
          <w:sz w:val="28"/>
          <w:szCs w:val="28"/>
          <w:rtl w:val="true"/>
          <w:lang w:bidi="ar-SA"/>
        </w:rPr>
        <w:t xml:space="preserve">مرّة للزوم الحرج بتكلفه بالغسل ، ولرواية عبد الرحمن القصير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إلى أبي الحسن الأول عليه‌السلام أسأله عن خصيّ ببول فيلقى من ذلك شدّه وبري البلل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وينضح </w:t>
      </w:r>
      <w:r>
        <w:rPr>
          <w:rStyle w:val="FootnoteAnchor"/>
          <w:rtl w:val="true"/>
        </w:rPr>
        <w:footnoteReference w:id="1762"/>
      </w:r>
      <w:r>
        <w:rPr>
          <w:rFonts w:ascii="Amiri" w:hAnsi="Amiri" w:eastAsia="Amiri" w:cs="Amiri"/>
          <w:color w:val="111111"/>
          <w:sz w:val="28"/>
          <w:sz w:val="28"/>
          <w:szCs w:val="28"/>
          <w:rtl w:val="true"/>
          <w:lang w:bidi="ar-SA"/>
        </w:rPr>
        <w:t xml:space="preserve">ثوبه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الصدوق في الفقيه </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العمل بمضمونه ، وظاهر العلامة في التذكرة </w:t>
      </w:r>
      <w:r>
        <w:rPr>
          <w:rStyle w:val="FootnoteAnchor"/>
          <w:rtl w:val="true"/>
        </w:rPr>
        <w:footnoteReference w:id="1765"/>
      </w:r>
      <w:r>
        <w:rPr>
          <w:rFonts w:ascii="IRNazanin" w:hAnsi="IRNazanin" w:eastAsia="IRNazanin"/>
          <w:color w:val="111111"/>
          <w:sz w:val="28"/>
          <w:sz w:val="28"/>
          <w:szCs w:val="28"/>
          <w:rtl w:val="true"/>
          <w:lang w:bidi="fa-IR"/>
        </w:rPr>
        <w:t>عدم العمل بها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اختاره جماعة من المتأخرين ؛ لضعف الرواية وعدم انطباقها على المقصود لذكر النضح ، وهو غير مطهر لبوله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الأظهر ، فيبنى فيه على ما تقتضيه القواعد الشرعية من مراعاة الطهارة على قدر الإمكان ما لم يكن فيه مشقّة شديدة وإلّا سقط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يحمل الرواية على عدم ثبوت كون البلل الحاصل بعد البلل يوما فينضح عليه من جهة الاحتمال أو يقال بكون النزح لرفع اليقين بخروج البلل ليحمل إذا وجد البلل أن يكون من النزح إلّا أنّه يبعّد ذلك اعتبار كونه في اليوم مرّة</w:t>
      </w:r>
      <w:r>
        <w:rPr>
          <w:rFonts w:eastAsia="Amiri" w:cs="Amiri" w:ascii="Amiri" w:hAnsi="Amiri"/>
          <w:color w:val="111111"/>
          <w:sz w:val="28"/>
          <w:szCs w:val="28"/>
          <w:rtl w:val="true"/>
          <w:lang w:bidi="ar-SA"/>
        </w:rPr>
        <w:t xml:space="preserve">. </w:t>
      </w:r>
      <w:bookmarkStart w:id="397" w:name="pg15839_361012"/>
    </w:p>
    <w:p>
      <w:pPr>
        <w:pStyle w:val="Heading4"/>
        <w:numPr>
          <w:ilvl w:val="3"/>
          <w:numId w:val="1"/>
        </w:numPr>
        <w:rPr/>
      </w:pPr>
      <w:bookmarkStart w:id="398" w:name="__RefHeading___Toc14338589_2142443653"/>
      <w:bookmarkStart w:id="399" w:name="_Toc147"/>
      <w:bookmarkEnd w:id="397"/>
      <w:bookmarkEnd w:id="398"/>
      <w:r>
        <w:rPr>
          <w:rtl w:val="true"/>
        </w:rPr>
        <w:t>تبصرة</w:t>
      </w:r>
      <w:r>
        <w:rPr>
          <w:rtl w:val="true"/>
        </w:rPr>
        <w:t xml:space="preserve">: [ </w:t>
      </w:r>
      <w:r>
        <w:rPr>
          <w:rtl w:val="true"/>
        </w:rPr>
        <w:t xml:space="preserve">في نجاسة ملاقي الملاقي </w:t>
      </w:r>
      <w:r>
        <w:rPr>
          <w:rtl w:val="true"/>
        </w:rPr>
        <w:t>]</w:t>
      </w:r>
      <w:bookmarkEnd w:id="399"/>
    </w:p>
    <w:p>
      <w:pPr>
        <w:pStyle w:val="BookText"/>
        <w:rPr/>
      </w:pPr>
      <w:r>
        <w:rPr>
          <w:rFonts w:ascii="Amiri" w:hAnsi="Amiri" w:eastAsia="Amiri" w:cs="Amiri"/>
          <w:color w:val="111111"/>
          <w:sz w:val="28"/>
          <w:sz w:val="28"/>
          <w:szCs w:val="28"/>
          <w:rtl w:val="true"/>
          <w:lang w:bidi="ar-SA"/>
        </w:rPr>
        <w:t>كل واحد من النجاسات العينية تنجس ما يلاقيه مع الرطوبة فيها أو في ملاقيها كما هو معلوم ، ومستفاد من ملاحظة الروايات الواردة ، فإنّ معظم النجاسات إنّما يعلم بالأمر بالغسل ما يلاقيها فكأنّه جعل غسلا لملاقي من الأمور المساوية للنجاسة ، فالظاهر أنّ ذلك قاعدة مستفادة من الشرع معلومة من تتبع المقامات وإن لم ينص عليه بخصوصه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مما لا خلاف فيه لأحد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المتنجسات ، فهي أيضا تنجّس كلما لاقته مع الرطوبه ، كما يستفاد من الأخبار الكثيرة وسنشير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خلاف في المقام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يلاقي جسد الميّت الآدمي بعد برده ، فإنّه ذهب الحلّي إلى وجوب غسل ما يلاقيه دون ما يلاقي ذلك الملاقي ؛ استنادا إلى أصالة الطهارة في ملاقي الملاقي أو ما دلّ الدليل عليه ، وهو وجوب غسل الملاقي لجسد الميّت دون الملاقي له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العلامة </w:t>
      </w:r>
      <w:r>
        <w:rPr>
          <w:rStyle w:val="FootnoteAnchor"/>
          <w:rtl w:val="true"/>
        </w:rPr>
        <w:footnoteReference w:id="1767"/>
      </w:r>
      <w:r>
        <w:rPr>
          <w:rFonts w:ascii="Amiri" w:hAnsi="Amiri" w:eastAsia="Amiri" w:cs="Amiri"/>
          <w:color w:val="111111"/>
          <w:sz w:val="28"/>
          <w:sz w:val="28"/>
          <w:szCs w:val="28"/>
          <w:rtl w:val="true"/>
          <w:lang w:bidi="ar-SA"/>
        </w:rPr>
        <w:t>إلى مثل ذلك بالنسبة إلى ملاقي جسد الميت بيبوسة ، فأوجب غسله دون غسل ملاقيه ولو لاقاه برطوبة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استند في نجاسة الملاقي لجسد الميت أو مطلق بما دلّ من الأخبار على لزوم </w:t>
      </w:r>
    </w:p>
    <w:p>
      <w:pPr>
        <w:pStyle w:val="BookText"/>
        <w:rPr/>
      </w:pPr>
      <w:r>
        <w:rPr>
          <w:rFonts w:ascii="Amiri" w:hAnsi="Amiri" w:eastAsia="Amiri" w:cs="Amiri"/>
          <w:color w:val="111111"/>
          <w:sz w:val="28"/>
          <w:sz w:val="28"/>
          <w:szCs w:val="28"/>
          <w:rtl w:val="true"/>
          <w:lang w:bidi="ar-SA"/>
        </w:rPr>
        <w:t xml:space="preserve">غسله لزم القول بسرايته </w:t>
      </w:r>
      <w:r>
        <w:rPr>
          <w:rStyle w:val="FootnoteAnchor"/>
          <w:rtl w:val="true"/>
        </w:rPr>
        <w:footnoteReference w:id="1768"/>
      </w:r>
      <w:r>
        <w:rPr>
          <w:rFonts w:ascii="Amiri" w:hAnsi="Amiri" w:eastAsia="Amiri" w:cs="Amiri"/>
          <w:color w:val="111111"/>
          <w:sz w:val="28"/>
          <w:sz w:val="28"/>
          <w:szCs w:val="28"/>
          <w:rtl w:val="true"/>
          <w:lang w:bidi="ar-SA"/>
        </w:rPr>
        <w:t>منه إلى غيره على حدّ سائر الأمور المتنجسة ، فلا وجه لاستناده في طهارة ما يلاقي ذلك الملاقى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يقال بأنه غير قائل إذن بنجاسة الملاقي لبدن الميت إلا أنّه يحكم بلزوم غسله لظواهر الأخبار ، فهو مع بعده عن كلامهما واضح الفساد في نفسه ؛ إذ لا معنى لوجوب الغسل في نفسه ؛ إذ ليس بأشدّ من ملاقاته مع الرطوبة لسائر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فيه </w:t>
      </w:r>
      <w:r>
        <w:rPr>
          <w:rStyle w:val="FootnoteAnchor"/>
          <w:rtl w:val="true"/>
        </w:rPr>
        <w:footnoteReference w:id="1769"/>
      </w:r>
      <w:r>
        <w:rPr>
          <w:rFonts w:ascii="Amiri" w:hAnsi="Amiri" w:eastAsia="Amiri" w:cs="Amiri"/>
          <w:color w:val="111111"/>
          <w:sz w:val="28"/>
          <w:sz w:val="28"/>
          <w:szCs w:val="28"/>
          <w:rtl w:val="true"/>
          <w:lang w:bidi="ar-SA"/>
        </w:rPr>
        <w:t>الوجوب للغير تعيّن اشتراط صحة ذلك الغير به ، فيعود إلى القول بالنجاسة ؛ إذ لا يراد بها إلا تلك الحالة المانعة المتوقّف رفعها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على قول الحلي يلزم القول بعدم نجاسة الميت أو عدم سراية النجاسة منه وكلّ منهما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 به صاحب التنقيح </w:t>
      </w:r>
      <w:r>
        <w:rPr>
          <w:rStyle w:val="FootnoteAnchor"/>
          <w:rtl w:val="true"/>
        </w:rPr>
        <w:footnoteReference w:id="1770"/>
      </w:r>
      <w:r>
        <w:rPr>
          <w:rFonts w:ascii="IRNazanin" w:hAnsi="IRNazanin" w:eastAsia="IRNazanin"/>
          <w:color w:val="111111"/>
          <w:sz w:val="28"/>
          <w:sz w:val="28"/>
          <w:szCs w:val="28"/>
          <w:rtl w:val="true"/>
          <w:lang w:bidi="fa-IR"/>
        </w:rPr>
        <w:t xml:space="preserve">من القول بعدم </w:t>
      </w:r>
      <w:r>
        <w:rPr>
          <w:rStyle w:val="FootnoteAnchor"/>
          <w:rtl w:val="true"/>
        </w:rPr>
        <w:footnoteReference w:id="1771"/>
      </w:r>
      <w:r>
        <w:rPr>
          <w:rFonts w:ascii="Amiri" w:hAnsi="Amiri" w:eastAsia="Amiri" w:cs="Amiri"/>
          <w:color w:val="111111"/>
          <w:sz w:val="28"/>
          <w:sz w:val="28"/>
          <w:szCs w:val="28"/>
          <w:rtl w:val="true"/>
          <w:lang w:bidi="ar-SA"/>
        </w:rPr>
        <w:t>تنجيس المتنجس مطلقا ، فلو ازيلت عين النجاسة بالتمسح بخرقة ونحوها لم تتعدّ إلى غير المحل ، فيجوز استعمال الأواني المتنجسة بعد ذلك في الطهارات والأكل والشرب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غسل ما لاقى عين النجاسة وأما ما لاقى الملاقي لها بعد ما ازيل عنه العين بالتمسح ونحوه بحيث لا يبقى فيه شي‌ء منها فلا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هذا هو ما ذكرناه من عدم تنجيس المتنجس مطلقا سواء ازيلت عنه عين النجاسة أو بقيت الملاقاة إذا لاقاه من غير محلّ الملاقاة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احتمل في عبارته التفصيل بين ما ارتفعت الملاقاة بإزالة العين عن المحل ، وأما إذا بقيت الملاقاة فعلى الأول نقول بالتنجس دون الثاني استنادا إلى ما يوجّه </w:t>
      </w:r>
      <w:r>
        <w:rPr>
          <w:rStyle w:val="FootnoteAnchor"/>
          <w:rtl w:val="true"/>
        </w:rPr>
        <w:footnoteReference w:id="1772"/>
      </w:r>
      <w:r>
        <w:rPr>
          <w:rFonts w:ascii="Amiri" w:hAnsi="Amiri" w:eastAsia="Amiri" w:cs="Amiri"/>
          <w:color w:val="111111"/>
          <w:sz w:val="28"/>
          <w:sz w:val="28"/>
          <w:szCs w:val="28"/>
          <w:rtl w:val="true"/>
          <w:lang w:bidi="ar-SA"/>
        </w:rPr>
        <w:t>إطلاق آخر كلامه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عبارته الأخيرة هو اعتبار زوال العين عن محلّ الملاقاة ؛ إذ الظاهر منه فرض النجاسة في الأعيان الجامدة لفرضه زوال العين بالتمسّح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شكّ في اعتبار الزوال للزوم الملاقاة لعين النجاسة مع بقائه في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w:t>
      </w:r>
      <w:r>
        <w:rPr>
          <w:rStyle w:val="FootnoteAnchor"/>
          <w:rtl w:val="true"/>
        </w:rPr>
        <w:footnoteReference w:id="1773"/>
      </w:r>
      <w:r>
        <w:rPr>
          <w:rFonts w:ascii="Amiri" w:hAnsi="Amiri" w:eastAsia="Amiri" w:cs="Amiri"/>
          <w:color w:val="111111"/>
          <w:sz w:val="28"/>
          <w:sz w:val="28"/>
          <w:szCs w:val="28"/>
          <w:rtl w:val="true"/>
          <w:lang w:bidi="ar-SA"/>
        </w:rPr>
        <w:t>بقاء العين في محل آخر لا ربط له في تأثير المحل الخالي عنها ، وتخصيص ذلك بخصوص المائعات مما لا إشارة إليه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فضعف كلّ من الوجهين أظهر من أن 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فساده بعد إطباق الأصحاب عليه قديما وحديثا ، وجريان السيرة المستمرة الكاشفة عن قول الأئمة عليهم‌السلام أو تقريرهم قطعا ، الروايات المستفيضة المتكثرة بل البالغة حدّ التواتر بالنسبة إلى الأول بل الثاني أيضا كالدالّة على نجاسة الأواني بنجاسة الماء الذي فيها أو الدهن أو الدبس المائعين بموت الفأرة ونحوها أو نجاسة ما لاقى مياه الآبار بعد تنجسها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الأمر بغسل الأواني والفرش والبسط ونحوها أقوى دلالة عليه ؛ إذ لو لا السراية مع ملاقاتها بالرطوبة لما تفرع فائدة على غسلها ؛ إذ ليست تلك الأمور مما يستعمل فيما يتوقف على طهارة أنفسها ، وإنما يطلب طهارتها لعدم سراية النجاسة منها إلى ملاقيها من مأكول أو ملبوس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انتفت تلك الفائدة حسبما ذكره ، فينتفي الالتزام بغسلها وبطهرها </w:t>
      </w:r>
      <w:r>
        <w:rPr>
          <w:rStyle w:val="FootnoteAnchor"/>
          <w:rtl w:val="true"/>
        </w:rPr>
        <w:footnoteReference w:id="1774"/>
      </w:r>
      <w:r>
        <w:rPr>
          <w:rFonts w:ascii="Amiri" w:hAnsi="Amiri" w:eastAsia="Amiri" w:cs="Amiri"/>
          <w:color w:val="111111"/>
          <w:sz w:val="28"/>
          <w:sz w:val="28"/>
          <w:szCs w:val="28"/>
          <w:rtl w:val="true"/>
          <w:lang w:bidi="ar-SA"/>
        </w:rPr>
        <w:t>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الفاضل المذكور على ذلك بعد الأصل وخلوّ الأخبار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مما يعمّ به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بالمعتبرة المستفيضة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الصادق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ربما بلت فلا أقدر على الماء ويشتدّ ذلك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وتمسحت فامسح ذكرك بريقك فإن وجدت شيئا فقل هذا </w:t>
      </w:r>
    </w:p>
    <w:p>
      <w:pPr>
        <w:pStyle w:val="BookText"/>
        <w:rPr/>
      </w:pP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بحملها على أن يكون شكاية السائل </w:t>
      </w:r>
      <w:r>
        <w:rPr>
          <w:rStyle w:val="FootnoteAnchor"/>
          <w:rtl w:val="true"/>
        </w:rPr>
        <w:footnoteReference w:id="1776"/>
      </w:r>
      <w:r>
        <w:rPr>
          <w:rFonts w:ascii="Amiri" w:hAnsi="Amiri" w:eastAsia="Amiri" w:cs="Amiri"/>
          <w:color w:val="111111"/>
          <w:sz w:val="28"/>
          <w:sz w:val="28"/>
          <w:szCs w:val="28"/>
          <w:rtl w:val="true"/>
          <w:lang w:bidi="ar-SA"/>
        </w:rPr>
        <w:t xml:space="preserve">عن انتقاض وضوئه بالبلل الذي يجده بعد التمسح لاحتمال كونه بولا ، وذكر العجز عن الماء على هذا التقدير لتعذر إزالة البلل من </w:t>
      </w:r>
      <w:r>
        <w:rPr>
          <w:rStyle w:val="FootnoteAnchor"/>
          <w:rtl w:val="true"/>
        </w:rPr>
        <w:footnoteReference w:id="1777"/>
      </w:r>
      <w:r>
        <w:rPr>
          <w:rFonts w:ascii="Amiri" w:hAnsi="Amiri" w:eastAsia="Amiri" w:cs="Amiri"/>
          <w:color w:val="111111"/>
          <w:sz w:val="28"/>
          <w:sz w:val="28"/>
          <w:szCs w:val="28"/>
          <w:rtl w:val="true"/>
          <w:lang w:bidi="ar-SA"/>
        </w:rPr>
        <w:t xml:space="preserve">ثوبه وبدنه مما تعدّى من المخرج إليهما ، فأمره عليه‌السلام </w:t>
      </w:r>
      <w:r>
        <w:rPr>
          <w:rStyle w:val="FootnoteAnchor"/>
          <w:rtl w:val="true"/>
        </w:rPr>
        <w:footnoteReference w:id="1778"/>
      </w:r>
      <w:r>
        <w:rPr>
          <w:rFonts w:ascii="IRNazanin" w:hAnsi="IRNazanin" w:eastAsia="IRNazanin"/>
          <w:color w:val="111111"/>
          <w:sz w:val="28"/>
          <w:sz w:val="28"/>
          <w:szCs w:val="28"/>
          <w:rtl w:val="true"/>
          <w:lang w:bidi="fa-IR"/>
        </w:rPr>
        <w:t xml:space="preserve">بمسح </w:t>
      </w:r>
      <w:r>
        <w:rPr>
          <w:rStyle w:val="FootnoteAnchor"/>
          <w:rtl w:val="true"/>
        </w:rPr>
        <w:footnoteReference w:id="1779"/>
      </w:r>
      <w:r>
        <w:rPr>
          <w:rFonts w:ascii="Amiri" w:hAnsi="Amiri" w:eastAsia="Amiri" w:cs="Amiri"/>
          <w:color w:val="111111"/>
          <w:sz w:val="28"/>
          <w:sz w:val="28"/>
          <w:szCs w:val="28"/>
          <w:rtl w:val="true"/>
          <w:lang w:bidi="ar-SA"/>
        </w:rPr>
        <w:t xml:space="preserve">ذكره ، ولو مخرج بوله بعد مسح البول عنه بريقه حتى لو خرج عنه شي‌ء بعد ذلك صار مشكوكا عنده من جهة ذلك الريق الموضوع ، فلا حاجة </w:t>
      </w:r>
      <w:r>
        <w:rPr>
          <w:rStyle w:val="FootnoteAnchor"/>
          <w:rtl w:val="true"/>
        </w:rPr>
        <w:footnoteReference w:id="1780"/>
      </w:r>
      <w:r>
        <w:rPr>
          <w:rFonts w:ascii="Amiri" w:hAnsi="Amiri" w:eastAsia="Amiri" w:cs="Amiri"/>
          <w:color w:val="111111"/>
          <w:sz w:val="28"/>
          <w:sz w:val="28"/>
          <w:szCs w:val="28"/>
          <w:rtl w:val="true"/>
          <w:lang w:bidi="ar-SA"/>
        </w:rPr>
        <w:t>إلى إعادة الوضوء وتطهير الثوب أو البدن ، فيفيد عدم تعدّي النجاسة عن المحل المتنجس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يحتاج إلى تكلّف تخصيص التمسّح بالريق بالمواضع الطاهرة ، ولا إلى تكلف تعدّي النجاسة من المتنجس ، بل يصير الحديث دليلا على عدم التعدي منه ، فإن التمسح بالريق مما يزيدها 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أوفق بالأخبار الأخر ، وهذان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الحكم بالنجاسة إلا بعد التيقّن ، وعدم تعدي النجاسة من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من رحمة اللّه الواسعة فتحهما لعباده رأفة بهم ونعمة لهم ، ولكن أكثرهم لا يشكرون ، فينتقم اللّه منهم بابتلائهم بالوسواس واتّباعهم للخناس الذي يوسوس في صدور الناس من الجنة والناس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الخوارج ضيّقوا على أنفسهم لجهالتهم وإن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أبول ثم أتمسح بالأحجار فيجي‌ء من البلل ما يفسد سراويلي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مقتضاه عدم تنجس سراويله بالبلل الخارج من مخرج البول مع ملاقاته للتنجس </w:t>
      </w:r>
      <w:r>
        <w:rPr>
          <w:rStyle w:val="FootnoteAnchor"/>
          <w:rtl w:val="true"/>
        </w:rPr>
        <w:footnoteReference w:id="1785"/>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ما فيه ؛ فإن ظاهر هذه الرواية مخالف لغيرها مع إطباق الأصحاب على العمل بها ، وترك هذه ؛ فلا بدّ من تركها أو حملها على التقية أو على نفي الباس عن فساد السراويل كما فرضه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في المقام تقية حيث لم يصرّح عليه‌السلام بالجواب ، أو بحملها على عدم البأس بالنسبة إلى الطهارة الحدثية لو كان متوضّأ أو متيمّما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الحكم ، بن حكيم 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اصيب الماء وقد أصاب يدي شي‌ء من البول فأمسحه بالحائط والتراب ، ثم تعرق يدي فأمسح وجهي أو بعض جسدي أو يصيب ثوبي؟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بأس به </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فتصلّي بعد زوال العين لا تنجس ما يلاقيه من جسده مع رطوبة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فيها على كون الملاقاة بالمحل النجس ولا شمول العرق كلّ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في الوافي أنه أحد الوجهين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بملاحظة غيرها من الأخبار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 سألت الصادق عليه‌السلام عن </w:t>
      </w:r>
      <w:r>
        <w:rPr>
          <w:rStyle w:val="FootnoteAnchor"/>
          <w:rtl w:val="true"/>
        </w:rPr>
        <w:footnoteReference w:id="1787"/>
      </w:r>
      <w:r>
        <w:rPr>
          <w:rFonts w:ascii="Amiri" w:hAnsi="Amiri" w:eastAsia="Amiri" w:cs="Amiri"/>
          <w:color w:val="111111"/>
          <w:sz w:val="28"/>
          <w:sz w:val="28"/>
          <w:szCs w:val="28"/>
          <w:rtl w:val="true"/>
          <w:lang w:bidi="ar-SA"/>
        </w:rPr>
        <w:t xml:space="preserve">رجل بال في موضع ليس فيه ماء فمسح ذكره بحجر وقد عرق ذكره وفخذاه؟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وفخذيه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وسألته عمّن مسح ذكره بيده ثم عرقت </w:t>
      </w:r>
      <w:r>
        <w:rPr>
          <w:rStyle w:val="FootnoteAnchor"/>
          <w:rtl w:val="true"/>
        </w:rPr>
        <w:footnoteReference w:id="1788"/>
      </w:r>
      <w:r>
        <w:rPr>
          <w:rFonts w:ascii="IRNazanin" w:hAnsi="IRNazanin" w:eastAsia="IRNazanin"/>
          <w:color w:val="111111"/>
          <w:sz w:val="28"/>
          <w:sz w:val="28"/>
          <w:szCs w:val="28"/>
          <w:rtl w:val="true"/>
          <w:lang w:bidi="fa-IR"/>
        </w:rPr>
        <w:t xml:space="preserve">فأصاب ثوبه </w:t>
      </w:r>
      <w:r>
        <w:rPr>
          <w:rStyle w:val="FootnoteAnchor"/>
          <w:rtl w:val="true"/>
        </w:rPr>
        <w:footnoteReference w:id="1789"/>
      </w:r>
      <w:r>
        <w:rPr>
          <w:rFonts w:ascii="Amiri" w:hAnsi="Amiri" w:eastAsia="Amiri" w:cs="Amiri"/>
          <w:color w:val="111111"/>
          <w:sz w:val="28"/>
          <w:sz w:val="28"/>
          <w:szCs w:val="28"/>
          <w:rtl w:val="true"/>
          <w:lang w:bidi="ar-SA"/>
        </w:rPr>
        <w:t xml:space="preserve">يغسل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إذ حكمه عليه‌السلام بعدم غسل الثوب دليل على عدم تنجسه بملاقاة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بغسل فخذيه في السؤال فلوقوع الملاقاة هناك قبل إزالة النجاسة ، فتكون النجاسة قد تعدّى من المحل إلى ما يجاوره من بعد إجراء الذكر والفخذ من جهة حصول العرق بخلاف الثوب ، فإنّ ملاقاته إنما وقعت باليد المتنجسة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أنه لا دلالة في الفقرة الأخيرة على تنجس اليد ؛ إذ ليس فيها ما يدلّ على ملاقاة اليد لمحل النجاسة من الذكر ولا على كون الملاقاة مع الرطوبة ، ولا على كون العرق في محلّ النجاسة من الذكر </w:t>
      </w:r>
      <w:r>
        <w:rPr>
          <w:rStyle w:val="FootnoteAnchor"/>
          <w:rtl w:val="true"/>
        </w:rPr>
        <w:footnoteReference w:id="1791"/>
      </w:r>
      <w:r>
        <w:rPr>
          <w:rFonts w:ascii="Amiri" w:hAnsi="Amiri" w:eastAsia="Amiri" w:cs="Amiri"/>
          <w:color w:val="111111"/>
          <w:sz w:val="28"/>
          <w:sz w:val="28"/>
          <w:szCs w:val="28"/>
          <w:rtl w:val="true"/>
          <w:lang w:bidi="ar-SA"/>
        </w:rPr>
        <w:t xml:space="preserve">ولا على ما أن أصاب الثوب المحل للتنجس ، وحمل الفقرة الأولى على ما ذكر بعيد جدّا بل </w:t>
      </w:r>
      <w:r>
        <w:rPr>
          <w:rStyle w:val="FootnoteAnchor"/>
          <w:rtl w:val="true"/>
        </w:rPr>
        <w:footnoteReference w:id="1792"/>
      </w:r>
      <w:r>
        <w:rPr>
          <w:rFonts w:ascii="Amiri" w:hAnsi="Amiri" w:eastAsia="Amiri" w:cs="Amiri"/>
          <w:color w:val="111111"/>
          <w:sz w:val="28"/>
          <w:sz w:val="28"/>
          <w:szCs w:val="28"/>
          <w:rtl w:val="true"/>
          <w:lang w:bidi="ar-SA"/>
        </w:rPr>
        <w:t>فاسد قطعا ؛ إذ حصول العرق كذلك بحيث يسري النجاسة من رأس الذكر على الفخذين مما لا يتصوّر في المعتاد ، ولو فرض حصوله في فرض نادر جدّا فلا يعبّر عنه بالتعبير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فائدة ظاهرة في تجفيف خصوص الذكر بعد شيوع النجاسة كذلك ، ورطوبة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يدلّ أيضا على تنجيس المتنجس أيضا في الجملة إلا أن يقال بجريان نفس البول الباقي على المخرج ، وهو بعيد جدّا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فظاهر الرواية هو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فالمقصود حصول عرق الذكر والفخذين بعد مسح ذكره بالحجر وإزالة العين عنه ، فيدلّ إذن على تنجّس الفخذين </w:t>
      </w:r>
      <w:r>
        <w:rPr>
          <w:rStyle w:val="FootnoteAnchor"/>
          <w:rtl w:val="true"/>
        </w:rPr>
        <w:footnoteReference w:id="1793"/>
      </w:r>
      <w:r>
        <w:rPr>
          <w:rFonts w:ascii="Amiri" w:hAnsi="Amiri" w:eastAsia="Amiri" w:cs="Amiri"/>
          <w:color w:val="111111"/>
          <w:sz w:val="28"/>
          <w:sz w:val="28"/>
          <w:szCs w:val="28"/>
          <w:rtl w:val="true"/>
          <w:lang w:bidi="ar-SA"/>
        </w:rPr>
        <w:t>بملاقاته للذكر مع رطوبة العرق فيكون من جملة الأخبار الدالّة على تنجّس 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ظهر بما عرفت عدم دلالة الأخبار المذكورة عليه ، وليس في الأخبار ما هو أدلّ منها على ذلك ، على أنه لو سلّم دلالة بعضها على ذلك فلا يقاوم غيرها من الأخبار الكثيرة المعتضدة بالإجماع بل الضرورة ، فسقط ما استند إليه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يقضي العجب منه ما ذكره في الوافي بعد ذكر رواية سماعة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فكّ رقبة عن قيد التقليد أن الأخبار وما يجري مجراها صريحة في عدم تعدي النجاسة من المتنجس إلى شي‌ء قبل تطهيره ، وإن كان رطبا إذا أزيل عنه عين النجاسة بالتمسح ونحوه ، وإنما التنجس </w:t>
      </w:r>
      <w:r>
        <w:rPr>
          <w:rStyle w:val="FootnoteAnchor"/>
          <w:rtl w:val="true"/>
        </w:rPr>
        <w:footnoteReference w:id="1794"/>
      </w:r>
      <w:r>
        <w:rPr>
          <w:rFonts w:ascii="Amiri" w:hAnsi="Amiri" w:eastAsia="Amiri" w:cs="Amiri"/>
          <w:color w:val="111111"/>
          <w:sz w:val="28"/>
          <w:sz w:val="28"/>
          <w:szCs w:val="28"/>
          <w:rtl w:val="true"/>
          <w:lang w:bidi="ar-SA"/>
        </w:rPr>
        <w:t>للشي‌ء عين النجاسة لا غير ؛ لوضوح فساد دعوى صراحتها في ذلك بل ظهورها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دلالة بعضها على خلاف 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إطلاق بعضها موهما لذلك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 على خلافه روايات مستفيضة معتضدة بالعمل ، بل الإجماع ، بل ضرورة الدين على ما يظهر من ملاحظة طريقة المسلمين ، فكيف يجوز الركون إلى ما يتراءى منه في بادئ الرأي لو سلّم إشعاره بذلك</w:t>
      </w:r>
      <w:r>
        <w:rPr>
          <w:rFonts w:eastAsia="Amiri" w:cs="Amiri" w:ascii="Amiri" w:hAnsi="Amiri"/>
          <w:color w:val="111111"/>
          <w:sz w:val="28"/>
          <w:szCs w:val="28"/>
          <w:rtl w:val="true"/>
          <w:lang w:bidi="ar-SA"/>
        </w:rPr>
        <w:t xml:space="preserve">. </w:t>
      </w:r>
      <w:bookmarkStart w:id="400" w:name="pg15839_361019"/>
    </w:p>
    <w:p>
      <w:pPr>
        <w:pStyle w:val="Heading4"/>
        <w:numPr>
          <w:ilvl w:val="3"/>
          <w:numId w:val="1"/>
        </w:numPr>
        <w:rPr/>
      </w:pPr>
      <w:bookmarkStart w:id="401" w:name="__RefHeading___Toc14338591_2142443653"/>
      <w:bookmarkStart w:id="402" w:name="_Toc148"/>
      <w:bookmarkEnd w:id="400"/>
      <w:bookmarkEnd w:id="401"/>
      <w:r>
        <w:rPr>
          <w:rtl w:val="true"/>
        </w:rPr>
        <w:t>تبصرة</w:t>
      </w:r>
      <w:r>
        <w:rPr>
          <w:rtl w:val="true"/>
        </w:rPr>
        <w:t xml:space="preserve">: [ </w:t>
      </w:r>
      <w:r>
        <w:rPr>
          <w:rtl w:val="true"/>
        </w:rPr>
        <w:t xml:space="preserve">في أصالة الطهارة </w:t>
      </w:r>
      <w:r>
        <w:rPr>
          <w:rtl w:val="true"/>
        </w:rPr>
        <w:t>]</w:t>
      </w:r>
      <w:bookmarkEnd w:id="402"/>
    </w:p>
    <w:p>
      <w:pPr>
        <w:pStyle w:val="Heading5"/>
        <w:numPr>
          <w:ilvl w:val="4"/>
          <w:numId w:val="1"/>
        </w:numPr>
        <w:rPr/>
      </w:pPr>
      <w:bookmarkStart w:id="403" w:name="__RefHeading___Toc14338593_2142443653"/>
      <w:bookmarkStart w:id="404" w:name="_Toc149"/>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الأصل في جميع الأشياء الطهارة إلى أن يعلم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بعد الإجماع معلوما ومنقولا أصالة البراءة وأصالة العدم ؛ إذ النجاسة صفة وجودية قطعا ، قوله عليه‌السلام في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نظيف حتى تعلم أنه قذر ، فإذا علمت فقد قذر وما لم تعلم فليس عليك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في كتب الاستدلال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إمّا هذه الرواية مع نقل بعضه بالمعنى أو أنه خبر آخر وإن لم يذكر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 العبارة دلالة على طهارتها بالأصل ، وعلى استصحاب طهارتها إلا أن يعلم النجاسة ، فيجري القاعدة المذكورة فيما لو دار الأمر بين نجس العين وطاهرها ، وما إذا احتمل طروّ النجاسة على 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الطهارة في الثاني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 الاكتفاء في النجاسة بمطلق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الشيخ في النهاية </w:t>
      </w:r>
      <w:r>
        <w:rPr>
          <w:rStyle w:val="FootnoteAnchor"/>
          <w:rtl w:val="true"/>
        </w:rPr>
        <w:footnoteReference w:id="1796"/>
      </w:r>
      <w:r>
        <w:rPr>
          <w:rFonts w:ascii="Amiri" w:hAnsi="Amiri" w:eastAsia="Amiri" w:cs="Amiri"/>
          <w:color w:val="111111"/>
          <w:sz w:val="28"/>
          <w:sz w:val="28"/>
          <w:szCs w:val="28"/>
          <w:rtl w:val="true"/>
          <w:lang w:bidi="ar-SA"/>
        </w:rPr>
        <w:t>حيث حكم بعدم جواز الصلاة في ثوب قد أصابته النجاسة مع العلم بذلك أو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الحلبي بأن الشرعيات كلّها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وهنه ؛ إذ ليست الشرعيات مبنيّة على مطلق الظن ، وإنما يعتبر فيها ظنون مخصوصة دلّت على حجيّتها الأدلة ، والمفروض عدم قيام دليل عليه في المقام ، بل قيامه على خلافه كما عرفت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المستفيضة الناهية عن نقض اليقين إلا باليقين دلالة واضحة عليه ، وفي خصوص </w:t>
      </w:r>
    </w:p>
    <w:p>
      <w:pPr>
        <w:pStyle w:val="BookText"/>
        <w:rPr/>
      </w:pPr>
      <w:r>
        <w:rPr>
          <w:rFonts w:ascii="Amiri" w:hAnsi="Amiri" w:eastAsia="Amiri" w:cs="Amiri"/>
          <w:color w:val="111111"/>
          <w:sz w:val="28"/>
          <w:sz w:val="28"/>
          <w:szCs w:val="28"/>
          <w:rtl w:val="true"/>
          <w:lang w:bidi="ar-SA"/>
        </w:rPr>
        <w:t xml:space="preserve">نصوص مستفيضة دلالة على عدم اعتبار الظن فيه بالخصوص كالصحيح الوارد فيمن أعار ثوبه للذمي وهو يعلم أنه يشرب الخمر ويأكل لحم الخنزير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ولا تغسله من أجل ذلك ، فإنك أعرته إياه ، وهو طاهر ، ولم تستيقن أنه نجّسه </w:t>
      </w:r>
      <w:r>
        <w:rPr>
          <w:rStyle w:val="FootnoteAnchor"/>
          <w:rtl w:val="true"/>
        </w:rPr>
        <w:footnoteReference w:id="1797"/>
      </w:r>
      <w:r>
        <w:rPr>
          <w:rFonts w:ascii="Amiri" w:hAnsi="Amiri" w:eastAsia="Amiri" w:cs="Amiri"/>
          <w:color w:val="111111"/>
          <w:sz w:val="28"/>
          <w:sz w:val="28"/>
          <w:szCs w:val="28"/>
          <w:rtl w:val="true"/>
          <w:lang w:bidi="ar-SA"/>
        </w:rPr>
        <w:t xml:space="preserve">، فلا بأس أن تصلّي فيه حتى تستيقن أنه نجّسه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الظن الغالب في عبارة الشيخ على العلم العادي ، فينحصر الخلاف في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على الظاهر مسبوق بالاتفاق ملحوق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فلا تأمّل في أصل الحكم ، وإنما الكلام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في تنجيس المتنجس العلم بنجاسته بالخصوص ؛ فلا يخرج عن مقتضى الأصل بدونه أو يبنى على النجاسة بمجرد العلم بها وإن دار بين أمور فيحكم بنجاسة واحد منها بخصوصه ، وإن لم يتعين عنده؟ مقتضى ظاهر الخبر المذكور وغيره ذلك ، وهو قضية الأدلة الدالّة على تنجس الشي‌ء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تأمل فيه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يوهم في المقام بعض العبارات اعتبار العلم لخصوص النجس في تنجسه ، وإلا فهو على الطهارة من دونه ؛ إذ بعد دوران النجاسة بين أمور لا يعلم بنجاسة كل واحد منها </w:t>
      </w:r>
      <w:r>
        <w:rPr>
          <w:rStyle w:val="FootnoteAnchor"/>
          <w:rtl w:val="true"/>
        </w:rPr>
        <w:footnoteReference w:id="1800"/>
      </w:r>
      <w:r>
        <w:rPr>
          <w:rFonts w:ascii="Amiri" w:hAnsi="Amiri" w:eastAsia="Amiri" w:cs="Amiri"/>
          <w:color w:val="111111"/>
          <w:sz w:val="28"/>
          <w:sz w:val="28"/>
          <w:szCs w:val="28"/>
          <w:rtl w:val="true"/>
          <w:lang w:bidi="ar-SA"/>
        </w:rPr>
        <w:t>بالخصوص ، فيبنى على الطهارة في جميعها ، فيجوز استعماله إلا على وجه يوجب استعمال النجس المعلوم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جدا ، والرواية المذكورة وغيرها دالّة على خلافه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بالحكم بطهارة كل منها في الظاهر ، وإن حكم بنجاسة واحد منها على </w:t>
      </w:r>
    </w:p>
    <w:p>
      <w:pPr>
        <w:pStyle w:val="BookText"/>
        <w:rPr/>
      </w:pPr>
      <w:r>
        <w:rPr>
          <w:rFonts w:ascii="Amiri" w:hAnsi="Amiri" w:eastAsia="Amiri" w:cs="Amiri"/>
          <w:color w:val="111111"/>
          <w:sz w:val="28"/>
          <w:sz w:val="28"/>
          <w:szCs w:val="28"/>
          <w:rtl w:val="true"/>
          <w:lang w:bidi="ar-SA"/>
        </w:rPr>
        <w:t>سبيل الإجمال ، فلا يجوز استعمالها على وجه يوجب العلم باستعمال المحرم في الجملة ، وإن جاز الاستعمال بالنسبة إلى كل بالخصوص ؛ أخذا بظاهر الرواية المذكورة وقاعدة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أن قضية الأصل بعد العلم بنجاسة واحد منها وجوب الاجتناب عن الجميع ، والرواية المذكورة وغيرها لا تدلّ على ما ادّعوه </w:t>
      </w:r>
      <w:r>
        <w:rPr>
          <w:rStyle w:val="FootnoteAnchor"/>
          <w:rtl w:val="true"/>
        </w:rPr>
        <w:footnoteReference w:id="1801"/>
      </w:r>
      <w:r>
        <w:rPr>
          <w:rFonts w:ascii="Amiri" w:hAnsi="Amiri" w:eastAsia="Amiri" w:cs="Amiri"/>
          <w:color w:val="111111"/>
          <w:sz w:val="28"/>
          <w:sz w:val="28"/>
          <w:szCs w:val="28"/>
          <w:rtl w:val="true"/>
          <w:lang w:bidi="ar-SA"/>
        </w:rPr>
        <w:t xml:space="preserve">؛ إذ المفروض اندراج واحد من تلك الأمور فيما علم نجاسته ، فهو خارج من العموم قطعا ومندرج في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دلالة في العبارة على أصالة الطهارة في مثل ذلك ؛ إذ مقتضاها الحكم بالطهارة إلا أن يعلم النجاسة ، والمفروض حصول العلم وارتفاع الحكم بالطهارة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أصل آخر بعد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بدلالتها على الحكم بالطهارة إلى أن يعلم نجاسة كل بالخصوص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ويجرى الكلام المذكور بعينه بالنسبة إلى الاستصحاب ، فظهر بذلك قوة القول بوجوب الاجتناب في المشتبه المحصور ، وضعف ما رجّحه جماعة من المتأخرين من البناء على الطهارة بالنسبة إلى كلّ واحد منها ما لم يستوعب الجميع على وجه أو مع استيعابه على آخر إن لم يوجب </w:t>
      </w:r>
      <w:r>
        <w:rPr>
          <w:rStyle w:val="FootnoteAnchor"/>
          <w:rtl w:val="true"/>
        </w:rPr>
        <w:footnoteReference w:id="1802"/>
      </w:r>
      <w:r>
        <w:rPr>
          <w:rFonts w:ascii="IRNazanin" w:hAnsi="IRNazanin" w:eastAsia="IRNazanin"/>
          <w:color w:val="111111"/>
          <w:sz w:val="28"/>
          <w:sz w:val="28"/>
          <w:szCs w:val="28"/>
          <w:rtl w:val="true"/>
          <w:lang w:bidi="fa-IR"/>
        </w:rPr>
        <w:t>العلم بتنجس المستعمل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بالعلم هو العلم اليقيني أعني معناه المعروف لاعتبار اليقين فيه ، وحكي القول به عن الإسكافي والشيخ والقاضي والحلي في موضع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من عبائر الثلاثة المتقدمة عدم قبول شهادة العدلين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به العلم الشرعي أعني ما دلّ الدليل على حجيّته سواء كان علما أو ظنا أو منتهيا إلى العلم؟ وجهان ؛ من ظاهر اللفظ لانصرافه إلى المعنى المتبادر ، من أنه بعد قيام الدليل القطعي على حجيّة ذلك الظن يكون قطعيا ، فيندرج تحت العلم ، فلا معارضة بين ما دلّ على عدم الاعتماد على غير العلم في الحكم بالنجاسة وما دلّ على حجية الظنون المخصوصة ؛ </w:t>
      </w:r>
    </w:p>
    <w:p>
      <w:pPr>
        <w:pStyle w:val="BookText"/>
        <w:rPr/>
      </w:pPr>
      <w:r>
        <w:rPr>
          <w:rFonts w:ascii="Amiri" w:hAnsi="Amiri" w:eastAsia="Amiri" w:cs="Amiri"/>
          <w:color w:val="111111"/>
          <w:sz w:val="28"/>
          <w:sz w:val="28"/>
          <w:szCs w:val="28"/>
          <w:rtl w:val="true"/>
          <w:lang w:bidi="ar-SA"/>
        </w:rPr>
        <w:t>لرجوعها إلى العلم بعد قيام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أن الظاهر من العلم بالقذارة هو العلم بها بحسب الواقع ، وغاية ما قضى به ما دلّ على حجية الظن من الحكم بمقتضاه في الظاهر ، فيعارض مع العموم المذكور لقضائه باعتبار العلم بنجاسته واقعا في الحكم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عدم حجية الظن المفروض في المقام ، وقضاء ما دلّ على حجيته على الاكتفاء به في المقام وغيره ، فيكون التعارض بينهما من قبيل العموم من وجه ، فيرجع فيه إلى الأصل ، وقضية أصالة البراءة عدم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 من أنه بعد قيام الدليل على حجية الظن المخصوص يندرج ذلك في اسم العلم لحصول اليقين بوجوب البناء عليه مدفوع بما عرفت من أن اليقين الحاصل في المقام هو اليقين بالبناء دون ما هو الواقع ، وظاهر تعلق اليقين بالقذارة هو اليقين بحصوله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الظاهر من اليقين في المقام هو اليقين بحكم الشرع في الظاهر ، ولذا لا تأمل في حجية الظنون الحاصلة في الاستدلال على اثبات النجاسات ، والقول باستثنائه من القاعدة المذكورة بعيد مضافا إلى أن ما دلّ على اعتبار الظنون الخاصة يشمل مسألة النجاسات أيضا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دلالة الشرع على الحكم بمقتضى تلك الأمور يجب </w:t>
      </w:r>
      <w:r>
        <w:rPr>
          <w:rStyle w:val="FootnoteAnchor"/>
          <w:rtl w:val="true"/>
        </w:rPr>
        <w:footnoteReference w:id="1803"/>
      </w:r>
      <w:r>
        <w:rPr>
          <w:rFonts w:ascii="Amiri" w:hAnsi="Amiri" w:eastAsia="Amiri" w:cs="Amiri"/>
          <w:color w:val="111111"/>
          <w:sz w:val="28"/>
          <w:sz w:val="28"/>
          <w:szCs w:val="28"/>
          <w:rtl w:val="true"/>
          <w:lang w:bidi="ar-SA"/>
        </w:rPr>
        <w:t>الحكم بها وليس ذلك عملا بغير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تعميم العلم لما دلّ على حجية الشرع يقع الكلام في المقام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ذو اليد على الشى‌ء على نجاسته فالظاهر أنه لا تأمل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الأصحاب الاتفاق عليه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الفاضل الخوانساري </w:t>
      </w:r>
      <w:r>
        <w:rPr>
          <w:rStyle w:val="FootnoteAnchor"/>
          <w:rtl w:val="true"/>
        </w:rPr>
        <w:footnoteReference w:id="1805"/>
      </w:r>
      <w:r>
        <w:rPr>
          <w:rFonts w:ascii="Amiri" w:hAnsi="Amiri" w:eastAsia="Amiri" w:cs="Amiri"/>
          <w:color w:val="111111"/>
          <w:sz w:val="28"/>
          <w:sz w:val="28"/>
          <w:szCs w:val="28"/>
          <w:rtl w:val="true"/>
          <w:lang w:bidi="ar-SA"/>
        </w:rPr>
        <w:t xml:space="preserve">المناقشة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قبول قول المالك عدلا </w:t>
      </w:r>
      <w:r>
        <w:rPr>
          <w:rStyle w:val="FootnoteAnchor"/>
          <w:rtl w:val="true"/>
        </w:rPr>
        <w:footnoteReference w:id="1806"/>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أو فاسقا فلم نظفر له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اعتبار ذكر السبب في قبول الجرح والتعديل ؛ نظرا إلى اختلاف مراتب المذاهب فيه كأنّ الأظهر فيه البناء على ظاهر اللفظ من إرادة ما هو الواقع حتى يتبيّن الخلاف من دون لزوم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يقبل الشهادة على الملكيّة من دون سؤال عن السبب المملّك مع وقوع الخلاف في أسباب هذا إذا شهد عدلان على النجاسة وآخران على الطهارة وتعارضت البيّنتان مع عدم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يقدّم الطهارة لترجيح بيّنتها بالأصل أو للبناء على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أصالة الطهارة كما حكاه في الايضاح عن الشيخ وقوّى في البيان البناء على التساقط </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بعد أن استقرب جعله كالاشتباه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يقدّم النجاسة ترجيحا للناقل على المقرر ؛ للأصل كما حكاه في الايضاح </w:t>
      </w:r>
      <w:r>
        <w:rPr>
          <w:rStyle w:val="FootnoteAnchor"/>
          <w:rtl w:val="true"/>
        </w:rPr>
        <w:footnoteReference w:id="1808"/>
      </w:r>
      <w:r>
        <w:rPr>
          <w:rFonts w:ascii="Amiri" w:hAnsi="Amiri" w:eastAsia="Amiri" w:cs="Amiri"/>
          <w:color w:val="111111"/>
          <w:sz w:val="28"/>
          <w:sz w:val="28"/>
          <w:szCs w:val="28"/>
          <w:rtl w:val="true"/>
          <w:lang w:bidi="ar-SA"/>
        </w:rPr>
        <w:t>عن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يجعل كالمشتبه كما اختاره في التذكرة </w:t>
      </w:r>
      <w:r>
        <w:rPr>
          <w:rStyle w:val="FootnoteAnchor"/>
          <w:rtl w:val="true"/>
        </w:rPr>
        <w:footnoteReference w:id="1809"/>
      </w:r>
      <w:r>
        <w:rPr>
          <w:rFonts w:ascii="Amiri" w:hAnsi="Amiri" w:eastAsia="Amiri" w:cs="Amiri"/>
          <w:color w:val="111111"/>
          <w:sz w:val="28"/>
          <w:sz w:val="28"/>
          <w:szCs w:val="28"/>
          <w:rtl w:val="true"/>
          <w:lang w:bidi="ar-SA"/>
        </w:rPr>
        <w:t>والقواعد ، وحكي عن الشهيد الثاني؟ احتمالات ؛ أظهرها بحسب القواعد ترجيح الطهارة ؛ أخذا بالأصل السالم عن ثبوت المعارض سيّما بعد تقديم بيّنة الطهارة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تعارض البينتين في الإنائين مع عدم إمكان الجمع بينهما للقطع بطهارة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بتساقطهما ويرجع إلى أصل الطهارة في المائين كما اختاره في الخلاف </w:t>
      </w:r>
      <w:r>
        <w:rPr>
          <w:rStyle w:val="FootnoteAnchor"/>
          <w:rtl w:val="true"/>
        </w:rPr>
        <w:footnoteReference w:id="1810"/>
      </w:r>
      <w:r>
        <w:rPr>
          <w:rFonts w:ascii="IRNazanin" w:hAnsi="IRNazanin" w:eastAsia="IRNazanin"/>
          <w:color w:val="111111"/>
          <w:sz w:val="28"/>
          <w:sz w:val="28"/>
          <w:szCs w:val="28"/>
          <w:rtl w:val="true"/>
          <w:lang w:bidi="fa-IR"/>
        </w:rPr>
        <w:t xml:space="preserve">والمختلف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وحكى عن المبسوط ، وقوّاه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يجري عليها حكم المشتبهين لاتفاقهما على النجاسة وإنما التعارض في التعيين فيثبت النجاسة ويدور بين الأمرين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السرائر </w:t>
      </w:r>
      <w:r>
        <w:rPr>
          <w:rStyle w:val="FootnoteAnchor"/>
          <w:rtl w:val="true"/>
        </w:rPr>
        <w:footnoteReference w:id="1812"/>
      </w:r>
      <w:r>
        <w:rPr>
          <w:rFonts w:ascii="IRNazanin" w:hAnsi="IRNazanin" w:eastAsia="IRNazanin"/>
          <w:color w:val="111111"/>
          <w:sz w:val="28"/>
          <w:sz w:val="28"/>
          <w:szCs w:val="28"/>
          <w:rtl w:val="true"/>
          <w:lang w:bidi="fa-IR"/>
        </w:rPr>
        <w:t xml:space="preserve">والمعتبر </w:t>
      </w:r>
      <w:r>
        <w:rPr>
          <w:rStyle w:val="FootnoteAnchor"/>
          <w:rtl w:val="true"/>
        </w:rPr>
        <w:footnoteReference w:id="1813"/>
      </w:r>
      <w:r>
        <w:rPr>
          <w:rFonts w:ascii="Amiri" w:hAnsi="Amiri" w:eastAsia="Amiri" w:cs="Amiri"/>
          <w:color w:val="111111"/>
          <w:sz w:val="28"/>
          <w:sz w:val="28"/>
          <w:szCs w:val="28"/>
          <w:rtl w:val="true"/>
          <w:lang w:bidi="ar-SA"/>
        </w:rPr>
        <w:t xml:space="preserve">والتحرير </w:t>
      </w:r>
      <w:r>
        <w:rPr>
          <w:rStyle w:val="FootnoteAnchor"/>
          <w:rtl w:val="true"/>
        </w:rPr>
        <w:footnoteReference w:id="1814"/>
      </w:r>
      <w:r>
        <w:rPr>
          <w:rFonts w:ascii="Amiri" w:hAnsi="Amiri" w:eastAsia="Amiri" w:cs="Amiri"/>
          <w:color w:val="111111"/>
          <w:sz w:val="28"/>
          <w:sz w:val="28"/>
          <w:szCs w:val="28"/>
          <w:rtl w:val="true"/>
          <w:lang w:bidi="ar-SA"/>
        </w:rPr>
        <w:t xml:space="preserve">والايضاح </w:t>
      </w:r>
      <w:r>
        <w:rPr>
          <w:rStyle w:val="FootnoteAnchor"/>
          <w:rtl w:val="true"/>
        </w:rPr>
        <w:footnoteReference w:id="1815"/>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1816"/>
      </w:r>
      <w:r>
        <w:rPr>
          <w:rFonts w:ascii="Amiri" w:hAnsi="Amiri" w:eastAsia="Amiri" w:cs="Amiri"/>
          <w:color w:val="111111"/>
          <w:sz w:val="28"/>
          <w:sz w:val="28"/>
          <w:szCs w:val="28"/>
          <w:rtl w:val="true"/>
          <w:lang w:bidi="ar-SA"/>
        </w:rPr>
        <w:t>والشهيدين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يبنى على نجاستهما لحصول الشهادة بالنسبة إلى كل منهما كما حكاه المحقق الكركي قولا واحدا ، قد حكم الحلي أيضا إلا أنه حكم فيه بعد ذلك بالاشتباه وحكم قبله بغيره ، وكلامه مضطرب في المقام إلا أنّه اخّر بناء الحكم بالاشتباه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يبنى فيه على القرعة كما ذكره في السرائر </w:t>
      </w:r>
      <w:r>
        <w:rPr>
          <w:rStyle w:val="FootnoteAnchor"/>
          <w:rtl w:val="true"/>
        </w:rPr>
        <w:footnoteReference w:id="1817"/>
      </w:r>
      <w:r>
        <w:rPr>
          <w:rFonts w:ascii="Amiri" w:hAnsi="Amiri" w:eastAsia="Amiri" w:cs="Amiri"/>
          <w:color w:val="111111"/>
          <w:sz w:val="28"/>
          <w:sz w:val="28"/>
          <w:szCs w:val="28"/>
          <w:rtl w:val="true"/>
          <w:lang w:bidi="ar-SA"/>
        </w:rPr>
        <w:t>ثم استبعده؟ وجوه ؛ أضعفها الوجهان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بأحد الوجهين الأولين مبنيّ على أن القدر الجامع بين الشهادتين وإن كان أمرا كليّا هل يثبت بالشهادة المفروضة وإن وقع الاختلاف في الخصوصيات أو لا يثبت القدر الجامع ؛ لعدم توافق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بحسب القواعد هو الأول ، ولذا لو شهدوا أوّلا بالقدر الجامع قبلت قطعا ، فشهادتهما على التفصيل لا يمنع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يعلم بنجاسة أحدهما على سبيل الإجمال أو لم يعلم ذلك من شهادتهما ، وأما مع حصول العلم بأحد الوجهين فلا تأمل في إلحاقه بالمشتبهين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خبر العدل الواحد في ذلك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والمحكي عن الشيخ في المبسوط والخلاف </w:t>
      </w:r>
      <w:r>
        <w:rPr>
          <w:rStyle w:val="FootnoteAnchor"/>
          <w:rtl w:val="true"/>
        </w:rPr>
        <w:footnoteReference w:id="1818"/>
      </w:r>
      <w:r>
        <w:rPr>
          <w:rFonts w:ascii="Amiri" w:hAnsi="Amiri" w:eastAsia="Amiri" w:cs="Amiri"/>
          <w:color w:val="111111"/>
          <w:sz w:val="28"/>
          <w:sz w:val="28"/>
          <w:szCs w:val="28"/>
          <w:rtl w:val="true"/>
          <w:lang w:bidi="ar-SA"/>
        </w:rPr>
        <w:t xml:space="preserve">والفاضلين في المعتبر </w:t>
      </w:r>
      <w:r>
        <w:rPr>
          <w:rStyle w:val="FootnoteAnchor"/>
          <w:rtl w:val="true"/>
        </w:rPr>
        <w:footnoteReference w:id="1819"/>
      </w:r>
      <w:r>
        <w:rPr>
          <w:rFonts w:ascii="IRNazanin" w:hAnsi="IRNazanin" w:eastAsia="IRNazanin"/>
          <w:color w:val="111111"/>
          <w:sz w:val="28"/>
          <w:sz w:val="28"/>
          <w:szCs w:val="28"/>
          <w:rtl w:val="true"/>
          <w:lang w:bidi="fa-IR"/>
        </w:rPr>
        <w:t xml:space="preserve">والمنتهى </w:t>
      </w:r>
      <w:r>
        <w:rPr>
          <w:rStyle w:val="FootnoteAnchor"/>
          <w:rtl w:val="true"/>
        </w:rPr>
        <w:footnoteReference w:id="1820"/>
      </w:r>
      <w:r>
        <w:rPr>
          <w:rFonts w:ascii="Amiri" w:hAnsi="Amiri" w:eastAsia="Amiri" w:cs="Amiri"/>
          <w:color w:val="111111"/>
          <w:sz w:val="28"/>
          <w:sz w:val="28"/>
          <w:szCs w:val="28"/>
          <w:rtl w:val="true"/>
          <w:lang w:bidi="ar-SA"/>
        </w:rPr>
        <w:t xml:space="preserve">والتحرير </w:t>
      </w:r>
      <w:r>
        <w:rPr>
          <w:rStyle w:val="FootnoteAnchor"/>
          <w:rtl w:val="true"/>
        </w:rPr>
        <w:footnoteReference w:id="1821"/>
      </w:r>
      <w:r>
        <w:rPr>
          <w:rFonts w:ascii="IRNazanin" w:hAnsi="IRNazanin" w:eastAsia="IRNazanin"/>
          <w:color w:val="111111"/>
          <w:sz w:val="28"/>
          <w:sz w:val="28"/>
          <w:szCs w:val="28"/>
          <w:rtl w:val="true"/>
          <w:lang w:bidi="fa-IR"/>
        </w:rPr>
        <w:t xml:space="preserve">والقواعد </w:t>
      </w:r>
      <w:r>
        <w:rPr>
          <w:rStyle w:val="FootnoteAnchor"/>
          <w:rtl w:val="true"/>
        </w:rPr>
        <w:footnoteReference w:id="1822"/>
      </w:r>
      <w:r>
        <w:rPr>
          <w:rFonts w:ascii="Amiri" w:hAnsi="Amiri" w:eastAsia="Amiri" w:cs="Amiri"/>
          <w:color w:val="111111"/>
          <w:sz w:val="28"/>
          <w:sz w:val="28"/>
          <w:szCs w:val="28"/>
          <w:rtl w:val="true"/>
          <w:lang w:bidi="ar-SA"/>
        </w:rPr>
        <w:t xml:space="preserve">وموضع من التذكرة </w:t>
      </w:r>
      <w:r>
        <w:rPr>
          <w:rStyle w:val="FootnoteAnchor"/>
          <w:rtl w:val="true"/>
        </w:rPr>
        <w:footnoteReference w:id="1823"/>
      </w:r>
      <w:r>
        <w:rPr>
          <w:rFonts w:ascii="Amiri" w:hAnsi="Amiri" w:eastAsia="Amiri" w:cs="Amiri"/>
          <w:color w:val="111111"/>
          <w:sz w:val="28"/>
          <w:sz w:val="28"/>
          <w:szCs w:val="28"/>
          <w:rtl w:val="true"/>
          <w:lang w:bidi="ar-SA"/>
        </w:rPr>
        <w:t>، وابن فهد وغيرهم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موضع من التذكرة </w:t>
      </w:r>
      <w:r>
        <w:rPr>
          <w:rStyle w:val="FootnoteAnchor"/>
          <w:rtl w:val="true"/>
        </w:rPr>
        <w:footnoteReference w:id="1824"/>
      </w:r>
      <w:r>
        <w:rPr>
          <w:rFonts w:ascii="IRNazanin" w:hAnsi="IRNazanin" w:eastAsia="IRNazanin"/>
          <w:color w:val="111111"/>
          <w:sz w:val="28"/>
          <w:sz w:val="28"/>
          <w:szCs w:val="28"/>
          <w:rtl w:val="true"/>
          <w:lang w:bidi="fa-IR"/>
        </w:rPr>
        <w:t>، إلى قبوله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وقوّاه غير واحد من أفاضل المتأخرين ؛ لما يستفاد من جملة من الأخبار من تنزيل خبر العدل منزلة العلم كما لوارد في انعزال الوكيل إذا أخبره ثقة بالعزل ، وجعله فيه قرين المشافهة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قبول قول المانع العدل إذا أخبر بالاستبراء ، وما دلّ على ثبوت الوصية بقول الثقة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قوّى في الحدائق </w:t>
      </w:r>
      <w:r>
        <w:rPr>
          <w:rStyle w:val="FootnoteAnchor"/>
          <w:rtl w:val="true"/>
        </w:rPr>
        <w:footnoteReference w:id="1825"/>
      </w:r>
      <w:r>
        <w:rPr>
          <w:rFonts w:ascii="IRNazanin" w:hAnsi="IRNazanin" w:eastAsia="IRNazanin"/>
          <w:color w:val="111111"/>
          <w:sz w:val="28"/>
          <w:sz w:val="28"/>
          <w:szCs w:val="28"/>
          <w:rtl w:val="true"/>
          <w:lang w:bidi="fa-IR"/>
        </w:rPr>
        <w:t>قبول قوله مما دلّ على قبول خبر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ويضعّفه أن ما دلّ من الأخبار المذكورة على قبول قول العدل لا عموم فيه بحيث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بفهم العموم من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بحيث يشمل محلّ الكلام محلّ كلام ، مع أن ظاهر المعظم عدم القبول ، فالخروج بمجرد ذلك عن مقتضى الأصل المعلوم لا يخلو من خفاء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فحوى التردد بين المذكورتين ؛ إذ اعتبار شهادة الاثنين أو قيام البيّنة الظاهرة في التعدد أقوى شاهد على عدم العبرة بالواحد مع اتحاد المناط بين ثبوت الحلية والنجاسة كما </w:t>
      </w:r>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على القول بثبوت النجاسة بقول الواحد لا يثبت به العيب في المقام قطعا ؛ فيفترق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يضعف أيضا ما تقدم عن الحدائق </w:t>
      </w:r>
      <w:r>
        <w:rPr>
          <w:rStyle w:val="FootnoteAnchor"/>
          <w:rtl w:val="true"/>
        </w:rPr>
        <w:footnoteReference w:id="1826"/>
      </w:r>
      <w:r>
        <w:rPr>
          <w:rFonts w:ascii="Amiri" w:hAnsi="Amiri" w:eastAsia="Amiri" w:cs="Amiri"/>
          <w:color w:val="111111"/>
          <w:sz w:val="28"/>
          <w:sz w:val="28"/>
          <w:szCs w:val="28"/>
          <w:rtl w:val="true"/>
          <w:lang w:bidi="ar-SA"/>
        </w:rPr>
        <w:t xml:space="preserve">من الإباء عنه فيما يقال من ثبوت العيب بقول العدلين دون النجاسة ، وإذا انضمّ إلى شهادة الواحد الحلف فيما إذا ادّعى العيب فلا شكّ في ثبوته بالنسبة إلى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غير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إسنادها ودلالتها ، ولا يخفى أنّ قبول قول المالك في مثل ذلك مما لا ينبغي التأمل فيه سيّما بعد إطباق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ابن بكير أنه سئل الصادق عليه‌السلام عن رجل </w:t>
      </w:r>
      <w:r>
        <w:rPr>
          <w:rStyle w:val="FootnoteAnchor"/>
          <w:rtl w:val="true"/>
        </w:rPr>
        <w:footnoteReference w:id="1827"/>
      </w:r>
      <w:r>
        <w:rPr>
          <w:rFonts w:ascii="Amiri" w:hAnsi="Amiri" w:eastAsia="Amiri" w:cs="Amiri"/>
          <w:color w:val="111111"/>
          <w:sz w:val="28"/>
          <w:sz w:val="28"/>
          <w:szCs w:val="28"/>
          <w:rtl w:val="true"/>
          <w:lang w:bidi="ar-SA"/>
        </w:rPr>
        <w:t>أعار رجلا ثوبا فصلّى فيه وهو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أعلمه؟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عليه‌السلام عن الرجل من أهل المعرفة بالحق يأتيني بالبختج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وأنا أعلم به أنه يشربه على الثلث ولا يستحلّه على النصف يخبرنا أنّ عنده بختجا ، وقد ذهب ثلثاه وبقي ثلثه فأشرب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أخرى عن الصادق عليه‌السلام أنه سئل عن الرجل يأتي بالشراب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مسلما أو </w:t>
      </w:r>
      <w:r>
        <w:rPr>
          <w:rStyle w:val="FootnoteAnchor"/>
          <w:rtl w:val="true"/>
        </w:rPr>
        <w:footnoteReference w:id="1830"/>
      </w:r>
      <w:r>
        <w:rPr>
          <w:rFonts w:ascii="IRNazanin" w:hAnsi="IRNazanin" w:eastAsia="IRNazanin"/>
          <w:color w:val="111111"/>
          <w:sz w:val="28"/>
          <w:sz w:val="28"/>
          <w:szCs w:val="28"/>
          <w:rtl w:val="true"/>
          <w:lang w:bidi="fa-IR"/>
        </w:rPr>
        <w:t xml:space="preserve">ورعا مأمونا فلا بأس أن تشرب </w:t>
      </w:r>
      <w:r>
        <w:rPr>
          <w:rFonts w:eastAsia="IRNazanin" w:cs="IRNazanin"/>
          <w:color w:val="111111"/>
          <w:sz w:val="28"/>
          <w:szCs w:val="28"/>
          <w:rtl w:val="true"/>
          <w:lang w:bidi="fa-IR"/>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يستفاد من عدة من الأخبار الناهية عن السؤال في شراء بعض الجلود أو الجبن ، وفي غير واحد منها بعد الحكم المذكور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ضيّقوا على أنفسهم بجهالتهم وأن </w:t>
      </w:r>
      <w:bookmarkStart w:id="405" w:name="pg15839_361027"/>
    </w:p>
    <w:p>
      <w:pPr>
        <w:pStyle w:val="BookText"/>
        <w:rPr/>
      </w:pPr>
      <w:bookmarkEnd w:id="405"/>
      <w:r>
        <w:rPr>
          <w:rFonts w:ascii="Amiri" w:hAnsi="Amiri" w:eastAsia="Amiri" w:cs="Amiri"/>
          <w:color w:val="111111"/>
          <w:sz w:val="28"/>
          <w:sz w:val="28"/>
          <w:szCs w:val="28"/>
          <w:rtl w:val="true"/>
          <w:lang w:bidi="ar-SA"/>
        </w:rPr>
        <w:t xml:space="preserve">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تومي إلى سماع قول المالك وإلا فأيّ حسن كان في ذلك إلا أن يراد به الضيق من جهة تحمل السؤال ، وهو مع بعده في نفسه بعيد بحسب المقام</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4338595_2142443653"/>
      <w:bookmarkStart w:id="407" w:name="_Toc150"/>
      <w:bookmarkEnd w:id="406"/>
      <w:r>
        <w:rPr>
          <w:rtl w:val="true"/>
        </w:rPr>
        <w:t>فروع</w:t>
      </w:r>
      <w:bookmarkEnd w:id="4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كما في المعالم قبول شهادة العدلين في الحكم بالنجاسة ، وبه قال الشيخ في المبسوط </w:t>
      </w:r>
      <w:r>
        <w:rPr>
          <w:rStyle w:val="FootnoteAnchor"/>
          <w:rtl w:val="true"/>
        </w:rPr>
        <w:footnoteReference w:id="1834"/>
      </w:r>
      <w:r>
        <w:rPr>
          <w:rFonts w:ascii="Amiri" w:hAnsi="Amiri" w:eastAsia="Amiri" w:cs="Amiri"/>
          <w:color w:val="111111"/>
          <w:sz w:val="28"/>
          <w:sz w:val="28"/>
          <w:szCs w:val="28"/>
          <w:rtl w:val="true"/>
          <w:lang w:bidi="ar-SA"/>
        </w:rPr>
        <w:t>والفاضلان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 والشيخ في قوله الآخر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قضية القول بعدم اعتبار ما عدا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للأول بأن الظاهر أنه لا خلاف ولا إشكال في قبول شهادتها في ثبت العيب لو كان المبيع ماء وادّعى المشتري نجاسته حين العقد ، فيسلّط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لثبوت النجاسة ، والحكم به في الشرع ، فإذا ثبت شرعا لحقها سائر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أن الثابت بالبيّنة </w:t>
      </w:r>
      <w:r>
        <w:rPr>
          <w:rStyle w:val="FootnoteAnchor"/>
          <w:rtl w:val="true"/>
        </w:rPr>
        <w:footnoteReference w:id="1835"/>
      </w:r>
      <w:r>
        <w:rPr>
          <w:rFonts w:ascii="Amiri" w:hAnsi="Amiri" w:eastAsia="Amiri" w:cs="Amiri"/>
          <w:color w:val="111111"/>
          <w:sz w:val="28"/>
          <w:sz w:val="28"/>
          <w:szCs w:val="28"/>
          <w:rtl w:val="true"/>
          <w:lang w:bidi="ar-SA"/>
        </w:rPr>
        <w:t xml:space="preserve">هو النجاسة من حيث كونها عيبا المتفرع عليها ثبوت الردّ والأرش </w:t>
      </w:r>
      <w:r>
        <w:rPr>
          <w:rStyle w:val="FootnoteAnchor"/>
          <w:rtl w:val="true"/>
        </w:rPr>
        <w:footnoteReference w:id="1836"/>
      </w:r>
      <w:r>
        <w:rPr>
          <w:rFonts w:ascii="Amiri" w:hAnsi="Amiri" w:eastAsia="Amiri" w:cs="Amiri"/>
          <w:color w:val="111111"/>
          <w:sz w:val="28"/>
          <w:sz w:val="28"/>
          <w:szCs w:val="28"/>
          <w:rtl w:val="true"/>
          <w:lang w:bidi="ar-SA"/>
        </w:rPr>
        <w:t>، وأما النجاسة من حيث هي المتفرع عليها وجوب الاجتناب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الأمرين ؛ إذ التفكيك </w:t>
      </w:r>
      <w:r>
        <w:rPr>
          <w:rStyle w:val="FootnoteAnchor"/>
          <w:rtl w:val="true"/>
        </w:rPr>
        <w:footnoteReference w:id="1837"/>
      </w:r>
      <w:r>
        <w:rPr>
          <w:rFonts w:ascii="Amiri" w:hAnsi="Amiri" w:eastAsia="Amiri" w:cs="Amiri"/>
          <w:color w:val="111111"/>
          <w:sz w:val="28"/>
          <w:sz w:val="28"/>
          <w:szCs w:val="28"/>
          <w:rtl w:val="true"/>
          <w:lang w:bidi="ar-SA"/>
        </w:rPr>
        <w:t>بين الملازمين في الأحكام الظاهرية غير عزيز في الشرع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 ولو أقرّ المالك بعد تسليمه إلى المشتري بنجاسته قبل البيع يثبت التخيير بين الرد والأرش مع عدم ثبوت النجاسة بذلك على مقتضى كلماتهم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ضعف ما ادّعاه في الحدائق </w:t>
      </w:r>
      <w:r>
        <w:rPr>
          <w:rStyle w:val="FootnoteAnchor"/>
          <w:rtl w:val="true"/>
        </w:rPr>
        <w:footnoteReference w:id="1838"/>
      </w:r>
      <w:r>
        <w:rPr>
          <w:rFonts w:ascii="Amiri" w:hAnsi="Amiri" w:eastAsia="Amiri" w:cs="Amiri"/>
          <w:color w:val="111111"/>
          <w:sz w:val="28"/>
          <w:sz w:val="28"/>
          <w:szCs w:val="28"/>
          <w:rtl w:val="true"/>
          <w:lang w:bidi="ar-SA"/>
        </w:rPr>
        <w:t>من القطع بالملازمة بين الأمرين ، وأنه بعد ثبوت العيب بسبب النجاسة يتبعه سائر أحكامها من غير فرق ، فالأولى الاستناد إلى أن الظاهر من تتبع موارد الشرع تنزيل شهادة العدلين منزلة العين ؛ لقيامه مقام العين في كلّ مورد يطلب فيه إلى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بعض روايات تدلّ في المقام عليه ، كقول الصادق عليه‌السلام فيما رواه الشيخان في الجبن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يجيئك شاهدان يشهدان عندك أن فيه ميتة </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دلالة على قبول قولهما في النجاسة واحتمال </w:t>
      </w:r>
      <w:r>
        <w:rPr>
          <w:rStyle w:val="FootnoteAnchor"/>
          <w:rtl w:val="true"/>
        </w:rPr>
        <w:footnoteReference w:id="1840"/>
      </w:r>
      <w:r>
        <w:rPr>
          <w:rFonts w:ascii="Amiri" w:hAnsi="Amiri" w:eastAsia="Amiri" w:cs="Amiri"/>
          <w:color w:val="111111"/>
          <w:sz w:val="28"/>
          <w:sz w:val="28"/>
          <w:szCs w:val="28"/>
          <w:rtl w:val="true"/>
          <w:lang w:bidi="ar-SA"/>
        </w:rPr>
        <w:t>أن اختلاف جهة الحرمة لجهة النجاسة مما لا يصغى إليه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حكم الحرمة والنجاسة من باب واحد ، بل الأخبار الواردة هناك أكثر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أيضا بإسنادهما 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وذلك مثل الثوب يكون عليك قد اشتريته وهو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يستبين لك غير ذلك أو يقوم به البينة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إطلاقه يعم الحرمة الحاصلة بسبب كونه ملك الغير أو من جهة النجاسة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ما عرفته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في القبول ذكر السبب؟ قولان ، فظاهر إطلاق جماعة كالشيخ في المبسوط </w:t>
      </w:r>
      <w:r>
        <w:rPr>
          <w:rStyle w:val="FootnoteAnchor"/>
          <w:rtl w:val="true"/>
        </w:rPr>
        <w:footnoteReference w:id="1842"/>
      </w:r>
      <w:bookmarkStart w:id="408" w:name="pg15839_361029"/>
    </w:p>
    <w:p>
      <w:pPr>
        <w:pStyle w:val="BookText"/>
        <w:rPr/>
      </w:pPr>
      <w:bookmarkEnd w:id="408"/>
      <w:r>
        <w:rPr>
          <w:rFonts w:ascii="Amiri" w:hAnsi="Amiri" w:eastAsia="Amiri" w:cs="Amiri"/>
          <w:color w:val="111111"/>
          <w:sz w:val="28"/>
          <w:sz w:val="28"/>
          <w:szCs w:val="28"/>
          <w:rtl w:val="true"/>
          <w:lang w:bidi="ar-SA"/>
        </w:rPr>
        <w:t xml:space="preserve">والفاضلان في المعتبر </w:t>
      </w:r>
      <w:r>
        <w:rPr>
          <w:rStyle w:val="FootnoteAnchor"/>
          <w:rtl w:val="true"/>
        </w:rPr>
        <w:footnoteReference w:id="1843"/>
      </w:r>
      <w:r>
        <w:rPr>
          <w:rFonts w:ascii="IRNazanin" w:hAnsi="IRNazanin" w:eastAsia="IRNazanin"/>
          <w:color w:val="111111"/>
          <w:sz w:val="28"/>
          <w:sz w:val="28"/>
          <w:szCs w:val="28"/>
          <w:rtl w:val="true"/>
          <w:lang w:bidi="fa-IR"/>
        </w:rPr>
        <w:t xml:space="preserve">والمختلف </w:t>
      </w:r>
      <w:r>
        <w:rPr>
          <w:rStyle w:val="FootnoteAnchor"/>
          <w:rtl w:val="true"/>
        </w:rPr>
        <w:footnoteReference w:id="1844"/>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في التذكرة ، وتبعه جماعة منهم ابن فهد والصيمري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845"/>
      </w:r>
      <w:r>
        <w:rPr>
          <w:rFonts w:ascii="IRNazanin" w:hAnsi="IRNazanin" w:eastAsia="IRNazanin"/>
          <w:color w:val="111111"/>
          <w:sz w:val="28"/>
          <w:sz w:val="28"/>
          <w:szCs w:val="28"/>
          <w:rtl w:val="true"/>
          <w:lang w:bidi="fa-IR"/>
        </w:rPr>
        <w:t xml:space="preserve">الخلاف </w:t>
      </w:r>
      <w:r>
        <w:rPr>
          <w:rStyle w:val="FootnoteAnchor"/>
          <w:rtl w:val="true"/>
        </w:rPr>
        <w:footnoteReference w:id="1846"/>
      </w:r>
      <w:r>
        <w:rPr>
          <w:rFonts w:ascii="IRNazanin" w:hAnsi="IRNazanin" w:eastAsia="IRNazanin"/>
          <w:color w:val="111111"/>
          <w:sz w:val="28"/>
          <w:sz w:val="28"/>
          <w:szCs w:val="28"/>
          <w:rtl w:val="true"/>
          <w:lang w:bidi="fa-IR"/>
        </w:rPr>
        <w:t xml:space="preserve">هنا اخر الخلاف </w:t>
      </w:r>
      <w:r>
        <w:rPr>
          <w:rStyle w:val="FootnoteAnchor"/>
          <w:rtl w:val="true"/>
        </w:rPr>
        <w:footnoteReference w:id="1847"/>
      </w:r>
      <w:r>
        <w:rPr>
          <w:rFonts w:ascii="Amiri" w:hAnsi="Amiri" w:eastAsia="Amiri" w:cs="Amiri"/>
          <w:color w:val="111111"/>
          <w:sz w:val="28"/>
          <w:sz w:val="28"/>
          <w:szCs w:val="28"/>
          <w:rtl w:val="true"/>
          <w:lang w:bidi="ar-SA"/>
        </w:rPr>
        <w:t xml:space="preserve">؟ أو الأرش ، وأما بالنسبة إلى وجوب الاجتناب فوجهان مما تقدّم ذكره عن الحدائق ومن إمكان التفكيك ، وهو </w:t>
      </w:r>
      <w:r>
        <w:rPr>
          <w:rStyle w:val="FootnoteAnchor"/>
          <w:rtl w:val="true"/>
        </w:rPr>
        <w:footnoteReference w:id="1848"/>
      </w:r>
      <w:r>
        <w:rPr>
          <w:rFonts w:ascii="Amiri" w:hAnsi="Amiri" w:eastAsia="Amiri" w:cs="Amiri"/>
          <w:color w:val="111111"/>
          <w:sz w:val="28"/>
          <w:sz w:val="28"/>
          <w:szCs w:val="28"/>
          <w:rtl w:val="true"/>
          <w:lang w:bidi="ar-SA"/>
        </w:rPr>
        <w:t>الأظهر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ثبوت العيب باليمين المردودة قطعا مع عدم ثبوت النجاسة بمجردها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مضعّف آخر لما ذكره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4338597_2142443653"/>
      <w:bookmarkStart w:id="410" w:name="_Toc151"/>
      <w:bookmarkEnd w:id="409"/>
      <w:r>
        <w:rPr>
          <w:rtl w:val="true"/>
        </w:rPr>
        <w:t xml:space="preserve">[ </w:t>
      </w:r>
      <w:r>
        <w:rPr>
          <w:rtl w:val="true"/>
        </w:rPr>
        <w:t xml:space="preserve">تنبيهات </w:t>
      </w:r>
      <w:r>
        <w:rPr>
          <w:rtl w:val="true"/>
        </w:rPr>
        <w:t>]</w:t>
      </w:r>
      <w:bookmarkEnd w:id="410"/>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الاجتناب عمّا يظن نجاسته في خصوص المقام لرجحان الاحتياط ، ولفحوى ما دلّ على رجحان الاجتناب من سؤر الحائض المتّهمة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ألحقوا به من لا يتوقّى النجاسة كما مرت الإشارة إليه ، وما دلّ من الأخبار على النهي عن نقض اليقين بالشك المراد به في المقام ما يعمّ الظن كما دلّ عليه بعض تلك الأخبار من عدم نقضه إلا باليقين ، إنما يراد به النهي عن الحكم بالنجاسة كما هو الظاهر من سياقها دون الغسل على سبيل الاحتياط لتحصيل الواقع عند ظنّ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فهذا هو الأصل الثابت رجحانه بملاحظة العقل إلا أن يعارضه شي‌ء من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يظهر دليل في المقام على خلافه فالظاهر البناء عليه ، مضافا إلى ما عرفت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العدلان بنجاسة شي‌ء فهل يجب عليهما إخبار الجاهل المستعمل له فيما </w:t>
      </w:r>
    </w:p>
    <w:p>
      <w:pPr>
        <w:pStyle w:val="BookText"/>
        <w:rPr/>
      </w:pPr>
      <w:r>
        <w:rPr>
          <w:rFonts w:ascii="Amiri" w:hAnsi="Amiri" w:eastAsia="Amiri" w:cs="Amiri"/>
          <w:color w:val="111111"/>
          <w:sz w:val="28"/>
          <w:sz w:val="28"/>
          <w:szCs w:val="28"/>
          <w:rtl w:val="true"/>
          <w:lang w:bidi="ar-SA"/>
        </w:rPr>
        <w:t>يشترط بالطهارة أو لا؟ وجهان ، والمحكي عن العلامة في المدنيّات وبعض الأفاضل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في المقام ، والحدائق </w:t>
      </w:r>
      <w:r>
        <w:rPr>
          <w:rStyle w:val="FootnoteAnchor"/>
          <w:rtl w:val="true"/>
        </w:rPr>
        <w:footnoteReference w:id="1849"/>
      </w:r>
      <w:r>
        <w:rPr>
          <w:rFonts w:ascii="Amiri" w:hAnsi="Amiri" w:eastAsia="Amiri" w:cs="Amiri"/>
          <w:color w:val="111111"/>
          <w:sz w:val="28"/>
          <w:sz w:val="28"/>
          <w:szCs w:val="28"/>
          <w:rtl w:val="true"/>
          <w:lang w:bidi="ar-SA"/>
        </w:rPr>
        <w:t>على عدم الوجوب ، بل ربّما يميل كلام الحدائق إلى الكراهة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العلامة عليه بوجوب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لا منكر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المعالم عن بعض الأصحاب احتمال الوجوب ؛ نظرا إلى وجوب التجنب عن النجس المتوقف على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ووهنه ظاهر ؛ إذ وجوب الاجتناب فرع العلم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إن سلّم الوجوب فعلى غير المخبر ، فكيف مقدمته على غير من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وجوبه عليه فرع العلم </w:t>
      </w:r>
      <w:r>
        <w:rPr>
          <w:rStyle w:val="FootnoteAnchor"/>
          <w:rtl w:val="true"/>
        </w:rPr>
        <w:footnoteReference w:id="1850"/>
      </w:r>
      <w:r>
        <w:rPr>
          <w:rFonts w:ascii="Amiri" w:hAnsi="Amiri" w:eastAsia="Amiri" w:cs="Amiri"/>
          <w:color w:val="111111"/>
          <w:sz w:val="28"/>
          <w:sz w:val="28"/>
          <w:szCs w:val="28"/>
          <w:rtl w:val="true"/>
          <w:lang w:bidi="ar-SA"/>
        </w:rPr>
        <w:t xml:space="preserve">، فكيف يتفرع وجوب </w:t>
      </w:r>
      <w:r>
        <w:rPr>
          <w:rStyle w:val="FootnoteAnchor"/>
          <w:rtl w:val="true"/>
        </w:rPr>
        <w:footnoteReference w:id="1851"/>
      </w:r>
      <w:r>
        <w:rPr>
          <w:rFonts w:ascii="Amiri" w:hAnsi="Amiri" w:eastAsia="Amiri" w:cs="Amiri"/>
          <w:color w:val="111111"/>
          <w:sz w:val="28"/>
          <w:sz w:val="28"/>
          <w:szCs w:val="28"/>
          <w:rtl w:val="true"/>
          <w:lang w:bidi="ar-SA"/>
        </w:rPr>
        <w:t>الإعلام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ينهض دليل على الوجوب فلا بدّ من البناء على مقتضى الأصل إلا أن يبيّن دليل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دلالة غير واحد من الأخبار على عدمه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في ثوب أخيه دما وهو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يؤذنه حتى ينصرف </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رواية عبد اللّه بن </w:t>
      </w:r>
      <w:r>
        <w:rPr>
          <w:rStyle w:val="FootnoteAnchor"/>
          <w:rtl w:val="true"/>
        </w:rPr>
        <w:footnoteReference w:id="1853"/>
      </w: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أعار رجلا ثوبا لا يصلي فيه ، وإذا جاز الدفع من غير إعلام فعدم وجوب الشهادة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دلالته على ما ذكر تأمّلا كما سيأتي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الباقر عليه‌السلام اغتسل وبقيت لمعة من جسده لم يصبه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عليك لو سكتّ؟</w:t>
      </w:r>
      <w:r>
        <w:rPr>
          <w:rFonts w:eastAsia="Amiri" w:cs="Amiri" w:ascii="Amiri" w:hAnsi="Amiri"/>
          <w:color w:val="111111"/>
          <w:sz w:val="28"/>
          <w:szCs w:val="28"/>
          <w:rtl w:val="true"/>
          <w:lang w:bidi="ar-SA"/>
        </w:rPr>
        <w:t xml:space="preserve">! »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في الخبر ما يدلّ على غفلة الإمام عليه‌السلام ليقضي بوهن الخبر ؛ لكونه بانيا على الحال به بعد ذلك فاستعجل السائل ، أو كان التأخير لبيان الحكم المذكور ، فإذا لم يجب الإعلام في الغسل ففي غيره أولى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كونه من الأغسال المسنونة مدفوع بأن ذكره على سبيل الإطلاق في مقام البيان يومي إلى 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الجهل بالموضوع باعثا على ارتفاع الحكم عن المكلّف بحسب الواقع كما في الجهل بنجاسة الثوب أو البدن بالنسبة إلى الصلاة ؛ لما عرفت من عدم ثبوت مانعيّتها عن الصلاة على سبيل الإطلاق ، فحينئذ فلا تأمل في عدم وجوب الإعلام ؛ إذ لا منع من الصلاة معها لا في الواقع ولا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باعثا على اختلاف الحكم الأول </w:t>
      </w:r>
      <w:r>
        <w:rPr>
          <w:rStyle w:val="FootnoteAnchor"/>
          <w:rtl w:val="true"/>
        </w:rPr>
        <w:footnoteReference w:id="1856"/>
      </w:r>
      <w:r>
        <w:rPr>
          <w:rFonts w:ascii="Amiri" w:hAnsi="Amiri" w:eastAsia="Amiri" w:cs="Amiri"/>
          <w:color w:val="111111"/>
          <w:sz w:val="28"/>
          <w:sz w:val="28"/>
          <w:szCs w:val="28"/>
          <w:rtl w:val="true"/>
          <w:lang w:bidi="ar-SA"/>
        </w:rPr>
        <w:t>لكن لا يقضي وقوع محرّم في المقام إلا من جهة الإبداع كما في أداء الصلاة إذا كان مع الجهل بالحدث ، والظاهر أنه كالسابق ؛ لعدم تحقق مفهوم البدعة مع الجهل المحض ، فلا محرّم بالنسبة إلى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يثبت معه التحريم أيضا إلا أنه يكون الجهل به عذرا للمكلف ، وحينئذ ينبغي التفصيل بين المحرّمات التي لا يرضى الشارع بوقوعها في الخارج على حسب الإمكان ، وما لم يعرف من الشرع كونه بتلك المثابة فإنّ ما كان من الأول يجب الإعلام به كما إذا اعتقد الأجنبية زوجه إما لحصول جهة محرّمة لا يعلم بها أو لفساد في عقدها أو لالتباس </w:t>
      </w:r>
      <w:r>
        <w:rPr>
          <w:rStyle w:val="FootnoteAnchor"/>
          <w:rtl w:val="true"/>
        </w:rPr>
        <w:footnoteReference w:id="1857"/>
      </w:r>
      <w:r>
        <w:rPr>
          <w:rFonts w:ascii="Amiri" w:hAnsi="Amiri" w:eastAsia="Amiri" w:cs="Amiri"/>
          <w:color w:val="111111"/>
          <w:sz w:val="28"/>
          <w:sz w:val="28"/>
          <w:szCs w:val="28"/>
          <w:rtl w:val="true"/>
          <w:lang w:bidi="ar-SA"/>
        </w:rPr>
        <w:t xml:space="preserve">شخصها وعلم الشاهدان بالحال ، فإنّ وجوب الإعلام في مثله مما لا ينبغي أن يستراب فيه ، وكذا الحال في شرب الخمر إذا التبس </w:t>
      </w:r>
      <w:r>
        <w:rPr>
          <w:rStyle w:val="FootnoteAnchor"/>
          <w:rtl w:val="true"/>
        </w:rPr>
        <w:footnoteReference w:id="1858"/>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كان من الثاني فلا دليل فيه على 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بما فصّلناه من الكلام </w:t>
      </w:r>
    </w:p>
    <w:p>
      <w:pPr>
        <w:pStyle w:val="BookText"/>
        <w:rPr/>
      </w:pPr>
      <w:r>
        <w:rPr>
          <w:rFonts w:ascii="Amiri" w:hAnsi="Amiri" w:eastAsia="Amiri" w:cs="Amiri"/>
          <w:color w:val="111111"/>
          <w:sz w:val="28"/>
          <w:sz w:val="28"/>
          <w:szCs w:val="28"/>
          <w:rtl w:val="true"/>
          <w:lang w:bidi="ar-SA"/>
        </w:rPr>
        <w:t>ما يرد على إطلاق ما ذكروه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دفع النجس إلى الجاهل من غير إعلامه بالحال لصرفه فيما يشترط الطهارة؟ فيه وجهان معلومان مما تقدّم إلا أن القول بجوازه في المقام ضعيف كما دلّت عليه السيرة المستمرّة المقطوعة من الامتناع عن صرف المتنجسات الغير القابلة للتطهير إلا فيما لا يشترط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كالأدهان المتنجسة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دفعها إلى الجاهل ليصرفها في المصارف المشترطة بالطهارة لما حصروا </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لما مرّ </w:t>
      </w:r>
      <w:r>
        <w:rPr>
          <w:rStyle w:val="FootnoteAnchor"/>
          <w:rtl w:val="true"/>
        </w:rPr>
        <w:footnoteReference w:id="1861"/>
      </w:r>
      <w:r>
        <w:rPr>
          <w:rFonts w:ascii="Amiri" w:hAnsi="Amiri" w:eastAsia="Amiri" w:cs="Amiri"/>
          <w:color w:val="111111"/>
          <w:sz w:val="28"/>
          <w:sz w:val="28"/>
          <w:szCs w:val="28"/>
          <w:rtl w:val="true"/>
          <w:lang w:bidi="ar-SA"/>
        </w:rPr>
        <w:t>، والأمر في تلك المصارف النادرة الخالية في الغالب عن المنافع المطلوبة مع جواز صرفه في مؤنة الاضياف والعيال أو إعطائه لسائر الناس ، بل جاز دفعه مطلقا إلى الأطفال لارتفاع التكليف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إضافة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المستفاد من عدّة من الأخبار ثبوت المنع في المقام مثل ما دلّ على لزوم الإعلام في بيع الزيت أو السمن والعسل إذا مات فيه الجرد ، وما دلّ على عدم جواز بيع النجس من غير مستحلّي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صاحب الحدائق </w:t>
      </w:r>
      <w:r>
        <w:rPr>
          <w:rStyle w:val="FootnoteAnchor"/>
          <w:rtl w:val="true"/>
        </w:rPr>
        <w:footnoteReference w:id="1862"/>
      </w:r>
      <w:r>
        <w:rPr>
          <w:rFonts w:ascii="Amiri" w:hAnsi="Amiri" w:eastAsia="Amiri" w:cs="Amiri"/>
          <w:color w:val="111111"/>
          <w:sz w:val="28"/>
          <w:sz w:val="28"/>
          <w:szCs w:val="28"/>
          <w:rtl w:val="true"/>
          <w:lang w:bidi="ar-SA"/>
        </w:rPr>
        <w:t>في المقام من جهة الأخبار المذكورة ، وملاحظة ما يستفاد من غيرها من الجواز ، مثل ما دلّ على عدم وجوب الإعلام في دفع الثوب الذي لا يصلّى فيه بل اشتمل على النهي من الإعلام ، وأقل مراتبه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وفحوى صحيحة العيص ، عن الصادق عليه‌السلام ، عن رجل صلّى في ثوب رجل أياما ، ثم إن صاحب الثوب أخبره بأنه لا يصلّى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شيئا من صلاته </w:t>
      </w:r>
      <w:r>
        <w:rPr>
          <w:rFonts w:eastAsia="Amiri" w:cs="Amiri" w:ascii="Amiri" w:hAnsi="Amiri"/>
          <w:color w:val="111111"/>
          <w:sz w:val="28"/>
          <w:szCs w:val="28"/>
          <w:rtl w:val="true"/>
          <w:lang w:bidi="ar-SA"/>
        </w:rPr>
        <w:t xml:space="preserve">»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سكوته عن منع </w:t>
      </w:r>
      <w:r>
        <w:rPr>
          <w:rStyle w:val="FootnoteAnchor"/>
          <w:rtl w:val="true"/>
        </w:rPr>
        <w:footnoteReference w:id="1864"/>
      </w:r>
      <w:r>
        <w:rPr>
          <w:rFonts w:ascii="Amiri" w:hAnsi="Amiri" w:eastAsia="Amiri" w:cs="Amiri"/>
          <w:color w:val="111111"/>
          <w:sz w:val="28"/>
          <w:sz w:val="28"/>
          <w:szCs w:val="28"/>
          <w:rtl w:val="true"/>
          <w:lang w:bidi="ar-SA"/>
        </w:rPr>
        <w:t>الإعادة من دون الإعلام تقرير منه عليه‌السلام عليه ، فيشير إلى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يذهب عليك ضعف ما ذكره ؛ إذ لا دلالة ظاهرة في شي‌ء من الخبرين على ما ذكره ، أما الأول </w:t>
      </w:r>
      <w:r>
        <w:rPr>
          <w:rStyle w:val="FootnoteAnchor"/>
          <w:rtl w:val="true"/>
        </w:rPr>
        <w:footnoteReference w:id="1865"/>
      </w:r>
      <w:r>
        <w:rPr>
          <w:rFonts w:ascii="Amiri" w:hAnsi="Amiri" w:eastAsia="Amiri" w:cs="Amiri"/>
          <w:color w:val="111111"/>
          <w:sz w:val="28"/>
          <w:sz w:val="28"/>
          <w:szCs w:val="28"/>
          <w:rtl w:val="true"/>
          <w:lang w:bidi="ar-SA"/>
        </w:rPr>
        <w:t>فلاحتمال إرادة الاستفهام سواء قرئ على صيغة المجرد أو المزيد ، بل هو المتعيّن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فيها على عدم وجوب الإعلام ، ولا دلالة فيها ولا في الثانية من جهة التقرير ؛ إذ ليس السؤال مسوقا من تلك الجهة ، وإنما فرض السؤال عن شي‌ء آخر على فرض مخصوص ، فسكوت الإمام عن جواز وقوع ذلك الفرض بحسب الشرع وعدمه لا يومي إلى جوازه بوجه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غاية ما يدلّان عليه هو الجواز بالنسبة إلى الصلاة ، وليس فيها إغراء بالحرام الأصلي كما في أكل النجس أو شرب الخمر ونحوهما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الفرق بين المقامين ، فعلى فرض تسليم دلالتهما إنما يثبتان الأول دون الأخير ، فتأمل في المقام ؛ فإنه من مزالّ الإقدام</w:t>
      </w:r>
      <w:r>
        <w:rPr>
          <w:rFonts w:eastAsia="Amiri" w:cs="Amiri" w:ascii="Amiri" w:hAnsi="Amiri"/>
          <w:color w:val="111111"/>
          <w:sz w:val="28"/>
          <w:szCs w:val="28"/>
          <w:rtl w:val="true"/>
          <w:lang w:bidi="ar-SA"/>
        </w:rPr>
        <w:t xml:space="preserve">. </w:t>
      </w:r>
      <w:bookmarkStart w:id="411" w:name="pg15839_361034"/>
    </w:p>
    <w:p>
      <w:pPr>
        <w:pStyle w:val="Heading3"/>
        <w:numPr>
          <w:ilvl w:val="2"/>
          <w:numId w:val="1"/>
        </w:numPr>
        <w:rPr/>
      </w:pPr>
      <w:bookmarkStart w:id="412" w:name="__RefHeading___Toc14338599_2142443653"/>
      <w:bookmarkStart w:id="413" w:name="_Toc152"/>
      <w:bookmarkEnd w:id="411"/>
      <w:bookmarkEnd w:id="412"/>
      <w:r>
        <w:rPr>
          <w:rtl w:val="true"/>
        </w:rPr>
        <w:t>الفصل</w:t>
      </w:r>
      <w:r>
        <w:rPr>
          <w:rtl w:val="true"/>
        </w:rPr>
        <w:t xml:space="preserve">: </w:t>
      </w:r>
      <w:r>
        <w:rPr>
          <w:rtl w:val="true"/>
        </w:rPr>
        <w:t>في بيان المطهّرات</w:t>
      </w:r>
      <w:bookmarkEnd w:id="413"/>
    </w:p>
    <w:p>
      <w:pPr>
        <w:pStyle w:val="Heading4"/>
        <w:numPr>
          <w:ilvl w:val="3"/>
          <w:numId w:val="1"/>
        </w:numPr>
        <w:rPr/>
      </w:pPr>
      <w:bookmarkStart w:id="414" w:name="__RefHeading___Toc14338601_2142443653"/>
      <w:bookmarkStart w:id="415" w:name="_Toc153"/>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 xml:space="preserve">الفصل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في بيان المطهّرات</w:t>
      </w:r>
    </w:p>
    <w:p>
      <w:pPr>
        <w:pStyle w:val="BookText"/>
        <w:rPr/>
      </w:pPr>
      <w:r>
        <w:rPr>
          <w:rFonts w:ascii="Amiri" w:hAnsi="Amiri" w:eastAsia="Amiri" w:cs="Amiri"/>
          <w:color w:val="111111"/>
          <w:sz w:val="28"/>
          <w:sz w:val="28"/>
          <w:szCs w:val="28"/>
          <w:rtl w:val="true"/>
          <w:lang w:bidi="ar-SA"/>
        </w:rPr>
        <w:t>وهي أمور ، والعمدة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طهوريّته وكونه مزيلا للأحداث والأخباث ، وإنما الكلام في المقام في كيفية التطهير به وشرائطه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4338603_2142443653"/>
      <w:bookmarkStart w:id="417" w:name="_Toc154"/>
      <w:bookmarkEnd w:id="416"/>
      <w:r>
        <w:rPr>
          <w:rtl w:val="true"/>
        </w:rPr>
        <w:t>تبصرة</w:t>
      </w:r>
      <w:r>
        <w:rPr>
          <w:rtl w:val="true"/>
        </w:rPr>
        <w:t xml:space="preserve">: [ </w:t>
      </w:r>
      <w:r>
        <w:rPr>
          <w:rtl w:val="true"/>
        </w:rPr>
        <w:t xml:space="preserve">في الاكتفاء بالمرة في غسل الأشياء </w:t>
      </w:r>
      <w:r>
        <w:rPr>
          <w:rtl w:val="true"/>
        </w:rPr>
        <w:t>]</w:t>
      </w:r>
      <w:bookmarkEnd w:id="417"/>
    </w:p>
    <w:p>
      <w:pPr>
        <w:pStyle w:val="Heading5"/>
        <w:numPr>
          <w:ilvl w:val="4"/>
          <w:numId w:val="1"/>
        </w:numPr>
        <w:rPr/>
      </w:pPr>
      <w:bookmarkStart w:id="418" w:name="__RefHeading___Toc14338605_2142443653"/>
      <w:bookmarkStart w:id="419" w:name="_Toc155"/>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الأكثر على الاكتفاء في غسل النجاسات على المرة المزيلة للعين إلا بالنسبة إلى البول وغسل الأواني على ما سيجي‌ء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الشهرة عليه في الحدائق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بذلك جماعة منهم الشيخ في المبسوط </w:t>
      </w:r>
      <w:r>
        <w:rPr>
          <w:rStyle w:val="FootnoteAnchor"/>
          <w:rtl w:val="true"/>
        </w:rPr>
        <w:footnoteReference w:id="1868"/>
      </w:r>
      <w:r>
        <w:rPr>
          <w:rFonts w:ascii="Amiri" w:hAnsi="Amiri" w:eastAsia="Amiri" w:cs="Amiri"/>
          <w:color w:val="111111"/>
          <w:sz w:val="28"/>
          <w:sz w:val="28"/>
          <w:szCs w:val="28"/>
          <w:rtl w:val="true"/>
          <w:lang w:bidi="ar-SA"/>
        </w:rPr>
        <w:t xml:space="preserve">، ومنهم المحقق والشهيد الثاني في المسالك </w:t>
      </w:r>
      <w:r>
        <w:rPr>
          <w:rStyle w:val="FootnoteAnchor"/>
          <w:rtl w:val="true"/>
        </w:rPr>
        <w:footnoteReference w:id="1869"/>
      </w:r>
      <w:r>
        <w:rPr>
          <w:rFonts w:ascii="Amiri" w:hAnsi="Amiri" w:eastAsia="Amiri" w:cs="Amiri"/>
          <w:color w:val="111111"/>
          <w:sz w:val="28"/>
          <w:sz w:val="28"/>
          <w:szCs w:val="28"/>
          <w:rtl w:val="true"/>
          <w:lang w:bidi="ar-SA"/>
        </w:rPr>
        <w:t xml:space="preserve">والروضة </w:t>
      </w:r>
      <w:r>
        <w:rPr>
          <w:rStyle w:val="FootnoteAnchor"/>
          <w:rtl w:val="true"/>
        </w:rPr>
        <w:footnoteReference w:id="1870"/>
      </w:r>
      <w:r>
        <w:rPr>
          <w:rFonts w:ascii="IRNazanin" w:hAnsi="IRNazanin" w:eastAsia="IRNazanin"/>
          <w:color w:val="111111"/>
          <w:sz w:val="28"/>
          <w:sz w:val="28"/>
          <w:szCs w:val="28"/>
          <w:rtl w:val="true"/>
          <w:lang w:bidi="fa-IR"/>
        </w:rPr>
        <w:t xml:space="preserve">، وابن فهد </w:t>
      </w:r>
      <w:r>
        <w:rPr>
          <w:rStyle w:val="FootnoteAnchor"/>
          <w:rtl w:val="true"/>
        </w:rPr>
        <w:footnoteReference w:id="1871"/>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1872"/>
      </w:r>
      <w:r>
        <w:rPr>
          <w:rFonts w:ascii="Amiri" w:hAnsi="Amiri" w:eastAsia="Amiri" w:cs="Amiri"/>
          <w:color w:val="111111"/>
          <w:sz w:val="28"/>
          <w:sz w:val="28"/>
          <w:szCs w:val="28"/>
          <w:rtl w:val="true"/>
          <w:lang w:bidi="ar-SA"/>
        </w:rPr>
        <w:t xml:space="preserve">والذخيرة </w:t>
      </w:r>
      <w:r>
        <w:rPr>
          <w:rStyle w:val="FootnoteAnchor"/>
          <w:rtl w:val="true"/>
        </w:rPr>
        <w:footnoteReference w:id="187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أطلق الغسل في الإرشاد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نحوه عن جمل العلم والنهاية </w:t>
      </w:r>
      <w:r>
        <w:rPr>
          <w:rStyle w:val="FootnoteAnchor"/>
          <w:rtl w:val="true"/>
        </w:rPr>
        <w:footnoteReference w:id="1875"/>
      </w:r>
      <w:r>
        <w:rPr>
          <w:rFonts w:ascii="IRNazanin" w:hAnsi="IRNazanin" w:eastAsia="IRNazanin"/>
          <w:color w:val="111111"/>
          <w:sz w:val="28"/>
          <w:sz w:val="28"/>
          <w:szCs w:val="28"/>
          <w:rtl w:val="true"/>
          <w:lang w:bidi="fa-IR"/>
        </w:rPr>
        <w:t xml:space="preserve">والخلاف </w:t>
      </w:r>
      <w:r>
        <w:rPr>
          <w:rStyle w:val="FootnoteAnchor"/>
          <w:rtl w:val="true"/>
        </w:rPr>
        <w:footnoteReference w:id="1876"/>
      </w:r>
      <w:r>
        <w:rPr>
          <w:rFonts w:ascii="IRNazanin" w:hAnsi="IRNazanin" w:eastAsia="IRNazanin"/>
          <w:color w:val="111111"/>
          <w:sz w:val="28"/>
          <w:sz w:val="28"/>
          <w:szCs w:val="28"/>
          <w:rtl w:val="true"/>
          <w:lang w:bidi="fa-IR"/>
        </w:rPr>
        <w:t xml:space="preserve">والسرائر </w:t>
      </w:r>
      <w:r>
        <w:rPr>
          <w:rStyle w:val="FootnoteAnchor"/>
          <w:rtl w:val="true"/>
        </w:rPr>
        <w:footnoteReference w:id="1877"/>
      </w:r>
      <w:r>
        <w:rPr>
          <w:rFonts w:ascii="IRNazanin" w:hAnsi="IRNazanin" w:eastAsia="IRNazanin"/>
          <w:color w:val="111111"/>
          <w:sz w:val="28"/>
          <w:sz w:val="28"/>
          <w:szCs w:val="28"/>
          <w:rtl w:val="true"/>
          <w:lang w:bidi="fa-IR"/>
        </w:rPr>
        <w:t xml:space="preserve">، وظاهر الانتصار </w:t>
      </w:r>
      <w:r>
        <w:rPr>
          <w:rStyle w:val="FootnoteAnchor"/>
          <w:rtl w:val="true"/>
        </w:rPr>
        <w:footnoteReference w:id="1878"/>
      </w:r>
      <w:r>
        <w:rPr>
          <w:rFonts w:ascii="Amiri" w:hAnsi="Amiri" w:eastAsia="Amiri" w:cs="Amiri"/>
          <w:color w:val="111111"/>
          <w:sz w:val="28"/>
          <w:sz w:val="28"/>
          <w:szCs w:val="28"/>
          <w:rtl w:val="true"/>
          <w:lang w:bidi="ar-SA"/>
        </w:rPr>
        <w:t>والكشف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طهورية الماء وإطلاق الغسل الوارد في كثير منها الصادق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1879"/>
      </w:r>
      <w:r>
        <w:rPr>
          <w:rFonts w:ascii="Amiri" w:hAnsi="Amiri" w:eastAsia="Amiri" w:cs="Amiri"/>
          <w:color w:val="111111"/>
          <w:sz w:val="28"/>
          <w:sz w:val="28"/>
          <w:szCs w:val="28"/>
          <w:rtl w:val="true"/>
          <w:lang w:bidi="ar-SA"/>
        </w:rPr>
        <w:t>اعتبار المرّة بعد إزالة العين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أنّه بعد زوال العين يكون المحلّ قابلا للطهارة فيعتبر جري الماء عليه مرّة حتى يعيد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التكرير ؛ للإطلاق ولظاهر الخبر الآتي ، على ما ذكره في المعتبر </w:t>
      </w:r>
      <w:r>
        <w:rPr>
          <w:rStyle w:val="FootnoteAnchor"/>
          <w:rtl w:val="true"/>
        </w:rPr>
        <w:footnoteReference w:id="1880"/>
      </w:r>
      <w:r>
        <w:rPr>
          <w:rFonts w:ascii="Amiri" w:hAnsi="Amiri" w:eastAsia="Amiri" w:cs="Amiri"/>
          <w:color w:val="111111"/>
          <w:sz w:val="28"/>
          <w:sz w:val="28"/>
          <w:szCs w:val="28"/>
          <w:rtl w:val="true"/>
          <w:lang w:bidi="ar-SA"/>
        </w:rPr>
        <w:t>كما سيأتي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المطلوب إزالة العين بالماء ، فإذا حصل فبأيّ وجه حاجة إلى الغسل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ضعيف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اللمعة </w:t>
      </w:r>
      <w:r>
        <w:rPr>
          <w:rStyle w:val="FootnoteAnchor"/>
          <w:rtl w:val="true"/>
        </w:rPr>
        <w:footnoteReference w:id="1881"/>
      </w:r>
      <w:r>
        <w:rPr>
          <w:rFonts w:ascii="Amiri" w:hAnsi="Amiri" w:eastAsia="Amiri" w:cs="Amiri"/>
          <w:color w:val="111111"/>
          <w:sz w:val="28"/>
          <w:sz w:val="28"/>
          <w:szCs w:val="28"/>
          <w:rtl w:val="true"/>
          <w:lang w:bidi="ar-SA"/>
        </w:rPr>
        <w:t xml:space="preserve">والألفية </w:t>
      </w:r>
      <w:r>
        <w:rPr>
          <w:rStyle w:val="FootnoteAnchor"/>
          <w:rtl w:val="true"/>
        </w:rPr>
        <w:footnoteReference w:id="188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883"/>
      </w:r>
      <w:r>
        <w:rPr>
          <w:rFonts w:ascii="Amiri" w:hAnsi="Amiri" w:eastAsia="Amiri" w:cs="Amiri"/>
          <w:color w:val="111111"/>
          <w:sz w:val="28"/>
          <w:sz w:val="28"/>
          <w:szCs w:val="28"/>
          <w:rtl w:val="true"/>
          <w:lang w:bidi="ar-SA"/>
        </w:rPr>
        <w:t>أنّ حال باقي النجاسات حال البول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العلامة في التحرير </w:t>
      </w:r>
      <w:r>
        <w:rPr>
          <w:rStyle w:val="FootnoteAnchor"/>
          <w:rtl w:val="true"/>
        </w:rPr>
        <w:footnoteReference w:id="1884"/>
      </w:r>
      <w:r>
        <w:rPr>
          <w:rFonts w:ascii="Amiri" w:hAnsi="Amiri" w:eastAsia="Amiri" w:cs="Amiri"/>
          <w:color w:val="111111"/>
          <w:sz w:val="28"/>
          <w:sz w:val="28"/>
          <w:szCs w:val="28"/>
          <w:rtl w:val="true"/>
          <w:lang w:bidi="ar-SA"/>
        </w:rPr>
        <w:t xml:space="preserve">التفصيل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جرم وقوام كالمني ونحوه وما ليس كذلك ، فيعتبر التعدد في الأول دون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جرم وثخن كالمني ونحوه أولى بالمتعدد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الحكم في الذكرى </w:t>
      </w:r>
      <w:r>
        <w:rPr>
          <w:rStyle w:val="FootnoteAnchor"/>
          <w:rtl w:val="true"/>
        </w:rPr>
        <w:footnoteReference w:id="1886"/>
      </w:r>
      <w:r>
        <w:rPr>
          <w:rFonts w:ascii="Amiri" w:hAnsi="Amiri" w:eastAsia="Amiri" w:cs="Amiri"/>
          <w:color w:val="111111"/>
          <w:sz w:val="28"/>
          <w:sz w:val="28"/>
          <w:szCs w:val="28"/>
          <w:rtl w:val="true"/>
          <w:lang w:bidi="ar-SA"/>
        </w:rPr>
        <w:t>بأن نجاسة غير البول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لما ورد في بعض الأخبار أنه بمنزلة الماء فيفيد تسهيل الأمر فيه بخلاف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الأصل 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ويضعّفه منع الأشدّية مطلقا لعدم الدليل عليه مع أن الدم يعفى عن قليله بخلاف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الاستنجاء أنه هل له 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ينقى ماثله </w:t>
      </w:r>
      <w:r>
        <w:rPr>
          <w:rFonts w:eastAsia="Amiri" w:cs="Amiri" w:ascii="Amiri" w:hAnsi="Amiri"/>
          <w:color w:val="111111"/>
          <w:sz w:val="28"/>
          <w:szCs w:val="28"/>
          <w:rtl w:val="true"/>
          <w:lang w:bidi="ar-SA"/>
        </w:rPr>
        <w:t xml:space="preserve">»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أن العبرة بمطلق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هو بمنزلة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مسوق لبيان عدم الحاجة إلى الدلك نظرا إلى أنه لا قوام له ليحتاج معه إلى ذلك ، وكذا الحال في جعل المني أشد من البول لما فيه من غلظ القوام المفتقر في الإزالة إلى الدلك والفرك ، فلا إشارة في غيرهما إلى فروع التعدد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الوجه في ضعف تفصيل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قوّاه بعض المتأخرين أولا ثم 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البول فالمعروف فيه اعتبار التعدد بالنسبة إلى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المعتبر </w:t>
      </w:r>
      <w:r>
        <w:rPr>
          <w:rStyle w:val="FootnoteAnchor"/>
          <w:rtl w:val="true"/>
        </w:rPr>
        <w:footnoteReference w:id="1888"/>
      </w:r>
      <w:r>
        <w:rPr>
          <w:rFonts w:ascii="Amiri" w:hAnsi="Amiri" w:eastAsia="Amiri" w:cs="Amiri"/>
          <w:color w:val="111111"/>
          <w:sz w:val="28"/>
          <w:sz w:val="28"/>
          <w:szCs w:val="28"/>
          <w:rtl w:val="true"/>
          <w:lang w:bidi="ar-SA"/>
        </w:rPr>
        <w:t>إلى علمائنا مؤذنا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1889"/>
      </w:r>
      <w:r>
        <w:rPr>
          <w:rFonts w:ascii="Amiri" w:hAnsi="Amiri" w:eastAsia="Amiri" w:cs="Amiri"/>
          <w:color w:val="111111"/>
          <w:sz w:val="28"/>
          <w:sz w:val="28"/>
          <w:szCs w:val="28"/>
          <w:rtl w:val="true"/>
          <w:lang w:bidi="ar-SA"/>
        </w:rPr>
        <w:t>بأنّ عليه عمل الطائفة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890"/>
      </w:r>
      <w:r>
        <w:rPr>
          <w:rFonts w:ascii="Amiri" w:hAnsi="Amiri" w:eastAsia="Amiri" w:cs="Amiri"/>
          <w:color w:val="111111"/>
          <w:sz w:val="28"/>
          <w:sz w:val="28"/>
          <w:szCs w:val="28"/>
          <w:rtl w:val="true"/>
          <w:lang w:bidi="ar-SA"/>
        </w:rPr>
        <w:t xml:space="preserve">والكفاية </w:t>
      </w:r>
      <w:r>
        <w:rPr>
          <w:rStyle w:val="FootnoteAnchor"/>
          <w:rtl w:val="true"/>
        </w:rPr>
        <w:footnoteReference w:id="1891"/>
      </w:r>
      <w:r>
        <w:rPr>
          <w:rFonts w:ascii="IRNazanin" w:hAnsi="IRNazanin" w:eastAsia="IRNazanin"/>
          <w:color w:val="111111"/>
          <w:sz w:val="28"/>
          <w:sz w:val="28"/>
          <w:szCs w:val="28"/>
          <w:rtl w:val="true"/>
          <w:lang w:bidi="fa-IR"/>
        </w:rPr>
        <w:t xml:space="preserve">والبحار والحدائق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وحكي القول به عن الفاضلين </w:t>
      </w:r>
      <w:r>
        <w:rPr>
          <w:rStyle w:val="FootnoteAnchor"/>
          <w:rtl w:val="true"/>
        </w:rPr>
        <w:footnoteReference w:id="1892"/>
      </w:r>
      <w:r>
        <w:rPr>
          <w:rFonts w:ascii="Amiri" w:hAnsi="Amiri" w:eastAsia="Amiri" w:cs="Amiri"/>
          <w:color w:val="111111"/>
          <w:sz w:val="28"/>
          <w:sz w:val="28"/>
          <w:szCs w:val="28"/>
          <w:rtl w:val="true"/>
          <w:lang w:bidi="ar-SA"/>
        </w:rPr>
        <w:t xml:space="preserve">والشهيدين </w:t>
      </w:r>
      <w:r>
        <w:rPr>
          <w:rStyle w:val="FootnoteAnchor"/>
          <w:rtl w:val="true"/>
        </w:rPr>
        <w:footnoteReference w:id="1893"/>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894"/>
      </w:r>
      <w:r>
        <w:rPr>
          <w:rFonts w:ascii="IRNazanin" w:hAnsi="IRNazanin" w:eastAsia="IRNazanin"/>
          <w:color w:val="111111"/>
          <w:sz w:val="28"/>
          <w:sz w:val="28"/>
          <w:szCs w:val="28"/>
          <w:rtl w:val="true"/>
          <w:lang w:bidi="fa-IR"/>
        </w:rPr>
        <w:t xml:space="preserve">وابن فهد </w:t>
      </w:r>
      <w:r>
        <w:rPr>
          <w:rStyle w:val="FootnoteAnchor"/>
          <w:rtl w:val="true"/>
        </w:rPr>
        <w:footnoteReference w:id="189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1896"/>
      </w:r>
      <w:r>
        <w:rPr>
          <w:rFonts w:ascii="Amiri" w:hAnsi="Amiri" w:eastAsia="Amiri" w:cs="Amiri"/>
          <w:color w:val="111111"/>
          <w:sz w:val="28"/>
          <w:sz w:val="28"/>
          <w:szCs w:val="28"/>
          <w:rtl w:val="true"/>
          <w:lang w:bidi="ar-SA"/>
        </w:rPr>
        <w:t>أنه لا يراعى العدد في شي‌ء من النجاسات إلا في الولوغ فيفيد الاكتفاء بالمرة في البول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المحكي عن الشهيد في البيان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قضية ما أطلق فيه الغسل من الكتب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المنتهى </w:t>
      </w:r>
      <w:r>
        <w:rPr>
          <w:rStyle w:val="FootnoteAnchor"/>
          <w:rtl w:val="true"/>
        </w:rPr>
        <w:footnoteReference w:id="1898"/>
      </w:r>
      <w:r>
        <w:rPr>
          <w:rFonts w:ascii="Amiri" w:hAnsi="Amiri" w:eastAsia="Amiri" w:cs="Amiri"/>
          <w:color w:val="111111"/>
          <w:sz w:val="28"/>
          <w:sz w:val="28"/>
          <w:szCs w:val="28"/>
          <w:rtl w:val="true"/>
          <w:lang w:bidi="ar-SA"/>
        </w:rPr>
        <w:t>أنه أوجب أولا غسل الثوب مرتين ، ثم استقرب الاكتفاء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في التذكرة </w:t>
      </w:r>
      <w:r>
        <w:rPr>
          <w:rStyle w:val="FootnoteAnchor"/>
          <w:rtl w:val="true"/>
        </w:rPr>
        <w:footnoteReference w:id="1899"/>
      </w:r>
      <w:r>
        <w:rPr>
          <w:rFonts w:ascii="Amiri" w:hAnsi="Amiri" w:eastAsia="Amiri" w:cs="Amiri"/>
          <w:color w:val="111111"/>
          <w:sz w:val="28"/>
          <w:sz w:val="28"/>
          <w:szCs w:val="28"/>
          <w:rtl w:val="true"/>
          <w:lang w:bidi="ar-SA"/>
        </w:rPr>
        <w:t>على اعتبار التعدد في البول إذا جفّ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في المدارك </w:t>
      </w:r>
      <w:r>
        <w:rPr>
          <w:rStyle w:val="FootnoteAnchor"/>
          <w:rtl w:val="true"/>
        </w:rPr>
        <w:footnoteReference w:id="19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الثوب وغيره ، فاعتبر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البحار </w:t>
      </w:r>
      <w:r>
        <w:rPr>
          <w:rStyle w:val="FootnoteAnchor"/>
          <w:rtl w:val="true"/>
        </w:rPr>
        <w:footnoteReference w:id="1901"/>
      </w:r>
      <w:r>
        <w:rPr>
          <w:rFonts w:ascii="Amiri" w:hAnsi="Amiri" w:eastAsia="Amiri" w:cs="Amiri"/>
          <w:color w:val="111111"/>
          <w:sz w:val="28"/>
          <w:sz w:val="28"/>
          <w:szCs w:val="28"/>
          <w:rtl w:val="true"/>
          <w:lang w:bidi="ar-SA"/>
        </w:rPr>
        <w:t>أن الأكثر على عدم الفرق بين الثوب والبدن في لزوم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المرتين في الثوب والبدن مما لم يظهر فيه خلاف بين الأصحاب إلا من صاحب المدارك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عدم الفرق بين الأمرين ، وإلا فالقول بالاكتفاء بالمرة فيهما موجود في الأصحاب كما عرفت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فالأقوى هو الأول للمعتبرة المستفيضة المعتضدة بالعمل والأصل </w:t>
      </w:r>
    </w:p>
    <w:p>
      <w:pPr>
        <w:pStyle w:val="BookText"/>
        <w:rPr/>
      </w:pPr>
      <w:r>
        <w:rPr>
          <w:rFonts w:ascii="IRNazanin" w:hAnsi="IRNazanin" w:eastAsia="IRNazanin"/>
          <w:color w:val="111111"/>
          <w:sz w:val="28"/>
          <w:sz w:val="28"/>
          <w:szCs w:val="28"/>
          <w:rtl w:val="true"/>
          <w:lang w:bidi="fa-IR"/>
        </w:rPr>
        <w:t xml:space="preserve">والاستصحاب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الصحيحان عن البول مصيب الثوب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ابن أبي العلاء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يصيب الجسد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فإنّما هو ماء وسألته عن الثوب يصيبه البول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ما رواه في مستطرفات السرائر </w:t>
      </w:r>
      <w:r>
        <w:rPr>
          <w:rStyle w:val="FootnoteAnchor"/>
          <w:rtl w:val="true"/>
        </w:rPr>
        <w:footnoteReference w:id="1905"/>
      </w:r>
      <w:r>
        <w:rPr>
          <w:rFonts w:ascii="Amiri" w:hAnsi="Amiri" w:eastAsia="Amiri" w:cs="Amiri"/>
          <w:color w:val="111111"/>
          <w:sz w:val="28"/>
          <w:sz w:val="28"/>
          <w:szCs w:val="28"/>
          <w:rtl w:val="true"/>
          <w:lang w:bidi="ar-SA"/>
        </w:rPr>
        <w:t xml:space="preserve">عن كتاب الجامع لابن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الخبر لأخذه عن نفس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سألت الصادق عليه‌السلام عن الثوب يصيبه البول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في المركن مرتين فإن غسلته في ماء جار فمرة واحدة </w:t>
      </w:r>
      <w:r>
        <w:rPr>
          <w:rFonts w:eastAsia="Amiri" w:cs="Amiri" w:ascii="Amiri" w:hAnsi="Amiri"/>
          <w:color w:val="111111"/>
          <w:sz w:val="28"/>
          <w:szCs w:val="28"/>
          <w:rtl w:val="true"/>
          <w:lang w:bidi="ar-SA"/>
        </w:rPr>
        <w:t xml:space="preserve">»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أبي إسحاق النحوي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البول يصيب الجسد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 عليه الماء مرتين </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أصابك بول في ثوبك فاغسله من ماء جار مرة ومن ماء راكد مرتين ثم اعصره </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ومناقشة صاحبي المدارك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ما دلّ على التعدد غير متجه في نفسه لاعتبار أسانيدها بل وفي صحتها في وجه قوي ، مضافا إلى اعتضادها بالعمل وبذلك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الوجه فيما ذكراه من التفضيل وضعفه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العلامة </w:t>
      </w:r>
      <w:r>
        <w:rPr>
          <w:rStyle w:val="FootnoteAnchor"/>
          <w:rtl w:val="true"/>
        </w:rPr>
        <w:footnoteReference w:id="1909"/>
      </w:r>
      <w:r>
        <w:rPr>
          <w:rFonts w:ascii="Amiri" w:hAnsi="Amiri" w:eastAsia="Amiri" w:cs="Amiri"/>
          <w:color w:val="111111"/>
          <w:sz w:val="28"/>
          <w:sz w:val="28"/>
          <w:szCs w:val="28"/>
          <w:rtl w:val="true"/>
          <w:lang w:bidi="ar-SA"/>
        </w:rPr>
        <w:t xml:space="preserve">للاكتفاء بالمرة مع الجفاف بأنّ معنى طهورية الماء هو إزالة النجاسة عن </w:t>
      </w:r>
      <w:bookmarkStart w:id="420" w:name="pg15839_361039"/>
    </w:p>
    <w:p>
      <w:pPr>
        <w:pStyle w:val="BookText"/>
        <w:rPr/>
      </w:pPr>
      <w:bookmarkEnd w:id="420"/>
      <w:r>
        <w:rPr>
          <w:rFonts w:ascii="Amiri" w:hAnsi="Amiri" w:eastAsia="Amiri" w:cs="Amiri"/>
          <w:color w:val="111111"/>
          <w:sz w:val="28"/>
          <w:sz w:val="28"/>
          <w:szCs w:val="28"/>
          <w:rtl w:val="true"/>
          <w:lang w:bidi="ar-SA"/>
        </w:rPr>
        <w:t>ملاقيه ، فإذا صادف محلا قابلا للطهارة لخلوّه عن عين النجاسة أفاد التطهير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استناد إلى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وبأنّ المطلوب من الغسل إزالة العين والأثر ، فإذا كان الأول حاصلا قبل الغسل كفت المرّة </w:t>
      </w:r>
      <w:r>
        <w:rPr>
          <w:rStyle w:val="FootnoteAnchor"/>
          <w:rtl w:val="true"/>
        </w:rPr>
        <w:footnoteReference w:id="1910"/>
      </w: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إليه ما رواه في المعتبر </w:t>
      </w:r>
      <w:r>
        <w:rPr>
          <w:rStyle w:val="FootnoteAnchor"/>
          <w:rtl w:val="true"/>
        </w:rPr>
        <w:footnoteReference w:id="1911"/>
      </w:r>
      <w:r>
        <w:rPr>
          <w:rFonts w:ascii="Amiri" w:hAnsi="Amiri" w:eastAsia="Amiri" w:cs="Amiri"/>
          <w:color w:val="111111"/>
          <w:sz w:val="28"/>
          <w:sz w:val="28"/>
          <w:szCs w:val="28"/>
          <w:rtl w:val="true"/>
          <w:lang w:bidi="ar-SA"/>
        </w:rPr>
        <w:t>زيادة في حصة الحسين بن أبي العلاء بعد قوله عن الثوب يصيبه البول قال اغسله مرتين الأول للإزالة والثاني للإنقاء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الصادق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الأول استناد إلى الإطلاق وهو لا يقاوم النصوص المذكورة والثاني استنباط محض لا دليل عليه </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الزيادة غير موجود في شي‌ء من كتب الحديث كما اعترف به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من كلام المحقق ، فظنّ من تأخر عنه أنه من الرواية ، ولا أقلّ من الاحتمال الذي يسقط معه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بعض الصحاح وغيرها من إطلاق الأمر بغسل البول محمول على ذلك ؛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مستند من اكتفى بالمرّة ، مضافا إلى سائر الإطلاقات ، وأن المقصود إزالة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الجميع</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4338607_2142443653"/>
      <w:bookmarkStart w:id="422" w:name="_Toc156"/>
      <w:bookmarkEnd w:id="421"/>
      <w:r>
        <w:rPr>
          <w:rtl w:val="true"/>
        </w:rPr>
        <w:t xml:space="preserve">[ </w:t>
      </w:r>
      <w:r>
        <w:rPr>
          <w:rtl w:val="true"/>
        </w:rPr>
        <w:t xml:space="preserve">تنبيهات </w:t>
      </w:r>
      <w:r>
        <w:rPr>
          <w:rtl w:val="true"/>
        </w:rPr>
        <w:t>]</w:t>
      </w:r>
      <w:bookmarkEnd w:id="422"/>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ما اعتبرناه من التعدد من حصول الفصل حسّا بين الغسلتين أو يكتفى فيه بالتقدير بأن يكون مقدار جريان الماء عليه على قدر حصول الغسلتين أو يعتبر </w:t>
      </w:r>
    </w:p>
    <w:p>
      <w:pPr>
        <w:pStyle w:val="BookText"/>
        <w:rPr/>
      </w:pPr>
      <w:r>
        <w:rPr>
          <w:rFonts w:ascii="IRNazanin" w:hAnsi="IRNazanin" w:eastAsia="IRNazanin"/>
          <w:color w:val="111111"/>
          <w:sz w:val="28"/>
          <w:sz w:val="28"/>
          <w:szCs w:val="28"/>
          <w:rtl w:val="true"/>
          <w:lang w:bidi="fa-IR"/>
        </w:rPr>
        <w:t xml:space="preserve">معه </w:t>
      </w:r>
      <w:r>
        <w:rPr>
          <w:rStyle w:val="FootnoteAnchor"/>
          <w:rtl w:val="true"/>
        </w:rPr>
        <w:footnoteReference w:id="1913"/>
      </w:r>
      <w:r>
        <w:rPr>
          <w:rFonts w:ascii="Amiri" w:hAnsi="Amiri" w:eastAsia="Amiri" w:cs="Amiri"/>
          <w:color w:val="111111"/>
          <w:sz w:val="28"/>
          <w:sz w:val="28"/>
          <w:szCs w:val="28"/>
          <w:rtl w:val="true"/>
          <w:lang w:bidi="ar-SA"/>
        </w:rPr>
        <w:t xml:space="preserve">أيضا مقدار الفصل بينهما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كثير من الأصحاب ، وقد صرّح به جماعة منهم كالشهيد الثاني </w:t>
      </w:r>
      <w:r>
        <w:rPr>
          <w:rStyle w:val="FootnoteAnchor"/>
          <w:rtl w:val="true"/>
        </w:rPr>
        <w:footnoteReference w:id="1914"/>
      </w:r>
      <w:r>
        <w:rPr>
          <w:rFonts w:ascii="IRNazanin" w:hAnsi="IRNazanin" w:eastAsia="IRNazanin"/>
          <w:color w:val="111111"/>
          <w:sz w:val="28"/>
          <w:sz w:val="28"/>
          <w:szCs w:val="28"/>
          <w:rtl w:val="true"/>
          <w:lang w:bidi="fa-IR"/>
        </w:rPr>
        <w:t xml:space="preserve">وصاحب الحدائق </w:t>
      </w:r>
      <w:r>
        <w:rPr>
          <w:rStyle w:val="FootnoteAnchor"/>
          <w:rtl w:val="true"/>
        </w:rPr>
        <w:footnoteReference w:id="1915"/>
      </w:r>
      <w:r>
        <w:rPr>
          <w:rFonts w:ascii="Amiri" w:hAnsi="Amiri" w:eastAsia="Amiri" w:cs="Amiri"/>
          <w:color w:val="111111"/>
          <w:sz w:val="28"/>
          <w:sz w:val="28"/>
          <w:szCs w:val="28"/>
          <w:rtl w:val="true"/>
          <w:lang w:bidi="ar-SA"/>
        </w:rPr>
        <w:t xml:space="preserve">وغيرهما ، والثاني مختار الشهيد في الذكرى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الثالث يميل ظاهر كلام السيد في المدارك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المعالم ، عن جماعة من الأصحاب إلى </w:t>
      </w:r>
      <w:r>
        <w:rPr>
          <w:rStyle w:val="FootnoteAnchor"/>
          <w:rtl w:val="true"/>
        </w:rPr>
        <w:footnoteReference w:id="1918"/>
      </w:r>
      <w:r>
        <w:rPr>
          <w:rFonts w:ascii="Amiri" w:hAnsi="Amiri" w:eastAsia="Amiri" w:cs="Amiri"/>
          <w:color w:val="111111"/>
          <w:sz w:val="28"/>
          <w:sz w:val="28"/>
          <w:szCs w:val="28"/>
          <w:rtl w:val="true"/>
          <w:lang w:bidi="ar-SA"/>
        </w:rPr>
        <w:t>الاكتفاء في المرتين بالتقدير ، فلو اتصل الصبّ على وجه لو انفصل لصدق العدد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يشير إلى إجزاء الوجه الثاني ، والأظهر الأول ؛ أخذا بظاهر الأدلة ، لعدم صدق التعدد عرفا من دونه ، وإن </w:t>
      </w:r>
      <w:r>
        <w:rPr>
          <w:rStyle w:val="FootnoteAnchor"/>
          <w:rtl w:val="true"/>
        </w:rPr>
        <w:footnoteReference w:id="1919"/>
      </w:r>
      <w:r>
        <w:rPr>
          <w:rFonts w:ascii="Amiri" w:hAnsi="Amiri" w:eastAsia="Amiri" w:cs="Amiri"/>
          <w:color w:val="111111"/>
          <w:sz w:val="28"/>
          <w:sz w:val="28"/>
          <w:szCs w:val="28"/>
          <w:rtl w:val="true"/>
          <w:lang w:bidi="ar-SA"/>
        </w:rPr>
        <w:t>طالت مدة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الأولوية فيه ممنوعة ، والقول بأنّ فوات الغسل في زمان الانقطاع إن لم يوجب نقصا فلا يوجب زيادة في تأثير الطهارة استبعاد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صحة الاستناد إليه فالأظهر هو القول الثاني ، دون الثالث ؛ إذ لا دخل لمراعاة زمان القطع بعد العلم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زيادة المعتبر </w:t>
      </w:r>
      <w:r>
        <w:rPr>
          <w:rStyle w:val="FootnoteAnchor"/>
          <w:rtl w:val="true"/>
        </w:rPr>
        <w:footnoteReference w:id="1920"/>
      </w:r>
      <w:r>
        <w:rPr>
          <w:rFonts w:ascii="Amiri" w:hAnsi="Amiri" w:eastAsia="Amiri" w:cs="Amiri"/>
          <w:color w:val="111111"/>
          <w:sz w:val="28"/>
          <w:sz w:val="28"/>
          <w:szCs w:val="28"/>
          <w:rtl w:val="true"/>
          <w:lang w:bidi="ar-SA"/>
        </w:rPr>
        <w:t xml:space="preserve">في حسنة أبي العلاء إشارة إليه إلا أنك قد عرفت أن كونه من كلام الإمام عليه‌السلام غير معلوم ، فالأقوى ما </w:t>
      </w:r>
      <w:r>
        <w:rPr>
          <w:rStyle w:val="FootnoteAnchor"/>
          <w:rtl w:val="true"/>
        </w:rPr>
        <w:footnoteReference w:id="1921"/>
      </w:r>
      <w:r>
        <w:rPr>
          <w:rFonts w:ascii="IRNazanin" w:hAnsi="IRNazanin" w:eastAsia="IRNazanin"/>
          <w:color w:val="111111"/>
          <w:sz w:val="28"/>
          <w:sz w:val="28"/>
          <w:szCs w:val="28"/>
          <w:rtl w:val="true"/>
          <w:lang w:bidi="fa-IR"/>
        </w:rPr>
        <w:t>استظهرناه ؛ عملا بالأصل السالم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قرّرناه الوجه الثالث وضعفه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وضع عليه حائل عن وصول الماء إليه فالظاهر الاكتفاء به في حصول التعدد وإن لم ينقطع جرى الماء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يعتبر فيه تساقط الماء المنصبّ أوّلا ليتبعه الثاني أو يكتفى بمجرد صدق الصبّين؟ وجهان ، أحوطهما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حكم التعدد في البول بالنسبة إلى غير الثوب والبدن قولان ، أظهرهما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المحكي عن جماعة من الأصحاب ؛ أخذا بفحوى الأخبار المذكورة المؤيّدة بالأصل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خصوصهما في الأخبار من جهة اختصاص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لكونه الغالب ؛ إذ وقع السؤال عنها على سبيل التمثيل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صاحب الحدائق </w:t>
      </w:r>
      <w:r>
        <w:rPr>
          <w:rStyle w:val="FootnoteAnchor"/>
          <w:rtl w:val="true"/>
        </w:rPr>
        <w:footnoteReference w:id="1922"/>
      </w:r>
      <w:r>
        <w:rPr>
          <w:rFonts w:ascii="Amiri" w:hAnsi="Amiri" w:eastAsia="Amiri" w:cs="Amiri"/>
          <w:color w:val="111111"/>
          <w:sz w:val="28"/>
          <w:sz w:val="28"/>
          <w:szCs w:val="28"/>
          <w:rtl w:val="true"/>
          <w:lang w:bidi="ar-SA"/>
        </w:rPr>
        <w:t>الاكتفاء بالمرة المزيلة لخروجه عن مدلول الأخبار الدالّة على اعتبار التعدد ، فيبنى فيه على 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ما عرفت من اتحاد المناط ، وعدم ظهور خصوصية لمورد السؤال ، فيستظهر منها أن ذلك هو طريقة تطهير البول كما فهمه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اعتضاده بما عرفت من الأصل والاستصحاب وطريقة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أن يكون أحد الغسلتين بعد زوال العين سواء رفضا </w:t>
      </w:r>
      <w:r>
        <w:rPr>
          <w:rStyle w:val="FootnoteAnchor"/>
          <w:rtl w:val="true"/>
        </w:rPr>
        <w:footnoteReference w:id="1923"/>
      </w:r>
      <w:r>
        <w:rPr>
          <w:rFonts w:ascii="Amiri" w:hAnsi="Amiri" w:eastAsia="Amiri" w:cs="Amiri"/>
          <w:color w:val="111111"/>
          <w:sz w:val="28"/>
          <w:sz w:val="28"/>
          <w:szCs w:val="28"/>
          <w:rtl w:val="true"/>
          <w:lang w:bidi="ar-SA"/>
        </w:rPr>
        <w:t xml:space="preserve">معا بعده كما إذا زالت العين بغير الماء أو حصلت الإزالة بواحد منهما أو ببعضه ثم تعطيه </w:t>
      </w:r>
      <w:r>
        <w:rPr>
          <w:rStyle w:val="FootnoteAnchor"/>
          <w:rtl w:val="true"/>
        </w:rPr>
        <w:footnoteReference w:id="1924"/>
      </w:r>
      <w:r>
        <w:rPr>
          <w:rFonts w:ascii="Amiri" w:hAnsi="Amiri" w:eastAsia="Amiri" w:cs="Amiri"/>
          <w:color w:val="111111"/>
          <w:sz w:val="28"/>
          <w:sz w:val="28"/>
          <w:szCs w:val="28"/>
          <w:rtl w:val="true"/>
          <w:lang w:bidi="ar-SA"/>
        </w:rPr>
        <w:t>الآخر أو يكتفى بحصول الإزالة بالغسلتين سواء لم يكن هناك تمكّن أصلا أو كانت وأزيلت ببعض الغسلة الأولى أو بتمامه ، ولو مع بعض من الغسلة التامة أو بتمامها؟ وجهان ، أظهرهما الأول ؛ للأصل ، والاستصحاب ، وظاهر الأخبار المذكورة ؛ إذ الظاهر منها زوال العين بالصبّة الأولى ، ولبقاء العين القاضية باعتبار التعدد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اعتبار المرتين إنما هو في غير مخرج البول بالنسبة إلى البول الخارج </w:t>
      </w:r>
    </w:p>
    <w:p>
      <w:pPr>
        <w:pStyle w:val="BookText"/>
        <w:rPr/>
      </w:pPr>
      <w:r>
        <w:rPr>
          <w:rFonts w:ascii="Amiri" w:hAnsi="Amiri" w:eastAsia="Amiri" w:cs="Amiri"/>
          <w:color w:val="111111"/>
          <w:sz w:val="28"/>
          <w:sz w:val="28"/>
          <w:szCs w:val="28"/>
          <w:rtl w:val="true"/>
          <w:lang w:bidi="ar-SA"/>
        </w:rPr>
        <w:t>منه وأما بالنسبة إليه فالأظهر فيه الاكتفاء بالمرة ؛ وفاقا لجماعة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حكم البول بالنسبة إلى المتنجس به أو يجري فيه حكم سائر النجاسات؟ وجهان ، أحوطهما ذلك جريا فيه حكم أصله كالمتنجس بغيره ، وعدم ظهور إطلاق واضح يقضي بالاكتفاء فيه بالمرة ، مضافا إلى استصحاب الحالة السابقة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أصابه نجاسة وشكّ في كونه بولا أو غيره ، ففي لزوم التعدد أخذا باستصحاب النجاسة أو الاكتفاء بالمرة لأصالة عدم لزوم الزائد وجهان أوجههما الأول ؛ إذ لزوم الغسل من باب المقدمة ، والمطلوب هو الطهارة ، فمع الشكّ في حصولها يبنى على عدمها</w:t>
      </w:r>
      <w:r>
        <w:rPr>
          <w:rFonts w:eastAsia="Amiri" w:cs="Amiri" w:ascii="Amiri" w:hAnsi="Amiri"/>
          <w:color w:val="111111"/>
          <w:sz w:val="28"/>
          <w:szCs w:val="28"/>
          <w:rtl w:val="true"/>
          <w:lang w:bidi="ar-SA"/>
        </w:rPr>
        <w:t xml:space="preserve">. </w:t>
      </w:r>
      <w:bookmarkStart w:id="423" w:name="pg15839_361043"/>
    </w:p>
    <w:p>
      <w:pPr>
        <w:pStyle w:val="Heading4"/>
        <w:numPr>
          <w:ilvl w:val="3"/>
          <w:numId w:val="1"/>
        </w:numPr>
        <w:rPr/>
      </w:pPr>
      <w:bookmarkStart w:id="424" w:name="__RefHeading___Toc14338609_2142443653"/>
      <w:bookmarkStart w:id="425" w:name="_Toc157"/>
      <w:bookmarkEnd w:id="423"/>
      <w:bookmarkEnd w:id="424"/>
      <w:r>
        <w:rPr>
          <w:rtl w:val="true"/>
        </w:rPr>
        <w:t>تبصرة</w:t>
      </w:r>
      <w:r>
        <w:rPr>
          <w:rtl w:val="true"/>
        </w:rPr>
        <w:t xml:space="preserve">: [ </w:t>
      </w:r>
      <w:r>
        <w:rPr>
          <w:rtl w:val="true"/>
        </w:rPr>
        <w:t xml:space="preserve">في اعتبار العصر </w:t>
      </w:r>
      <w:r>
        <w:rPr>
          <w:rtl w:val="true"/>
        </w:rPr>
        <w:t>]</w:t>
      </w:r>
      <w:bookmarkEnd w:id="425"/>
    </w:p>
    <w:p>
      <w:pPr>
        <w:pStyle w:val="BookText"/>
        <w:rPr/>
      </w:pPr>
      <w:r>
        <w:rPr>
          <w:rFonts w:ascii="Amiri" w:hAnsi="Amiri" w:eastAsia="Amiri" w:cs="Amiri"/>
          <w:color w:val="111111"/>
          <w:sz w:val="28"/>
          <w:sz w:val="28"/>
          <w:szCs w:val="28"/>
          <w:rtl w:val="true"/>
          <w:lang w:bidi="ar-SA"/>
        </w:rPr>
        <w:t>المعروف بين الأصحاب اعتبار العصر فيما ينفذ فيه الغسالة من الثياب ونحوها ، فلو لم يعصره حتى جفّ بالشمس أو الهواء بقي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ذلك عن الصدوق والحلي والفاضلين </w:t>
      </w:r>
      <w:r>
        <w:rPr>
          <w:rStyle w:val="FootnoteAnchor"/>
          <w:rtl w:val="true"/>
        </w:rPr>
        <w:footnoteReference w:id="1927"/>
      </w:r>
      <w:r>
        <w:rPr>
          <w:rFonts w:ascii="Amiri" w:hAnsi="Amiri" w:eastAsia="Amiri" w:cs="Amiri"/>
          <w:color w:val="111111"/>
          <w:sz w:val="28"/>
          <w:sz w:val="28"/>
          <w:szCs w:val="28"/>
          <w:rtl w:val="true"/>
          <w:lang w:bidi="ar-SA"/>
        </w:rPr>
        <w:t xml:space="preserve">والشهيدين </w:t>
      </w:r>
      <w:r>
        <w:rPr>
          <w:rStyle w:val="FootnoteAnchor"/>
          <w:rtl w:val="true"/>
        </w:rPr>
        <w:footnoteReference w:id="192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 واحد من المتأخرين كصاحب الذخيرة </w:t>
      </w:r>
      <w:r>
        <w:rPr>
          <w:rStyle w:val="FootnoteAnchor"/>
          <w:rtl w:val="true"/>
        </w:rPr>
        <w:footnoteReference w:id="1929"/>
      </w:r>
      <w:r>
        <w:rPr>
          <w:rFonts w:ascii="IRNazanin" w:hAnsi="IRNazanin" w:eastAsia="IRNazanin"/>
          <w:color w:val="111111"/>
          <w:sz w:val="28"/>
          <w:sz w:val="28"/>
          <w:szCs w:val="28"/>
          <w:rtl w:val="true"/>
          <w:lang w:bidi="fa-IR"/>
        </w:rPr>
        <w:t xml:space="preserve">والبحار </w:t>
      </w:r>
      <w:r>
        <w:rPr>
          <w:rStyle w:val="FootnoteAnchor"/>
          <w:rtl w:val="true"/>
        </w:rPr>
        <w:footnoteReference w:id="1930"/>
      </w:r>
      <w:r>
        <w:rPr>
          <w:rFonts w:ascii="Amiri" w:hAnsi="Amiri" w:eastAsia="Amiri" w:cs="Amiri"/>
          <w:color w:val="111111"/>
          <w:sz w:val="28"/>
          <w:sz w:val="28"/>
          <w:szCs w:val="28"/>
          <w:rtl w:val="true"/>
          <w:lang w:bidi="ar-SA"/>
        </w:rPr>
        <w:t>حكاية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931"/>
      </w:r>
      <w:r>
        <w:rPr>
          <w:rFonts w:ascii="Amiri" w:hAnsi="Amiri" w:eastAsia="Amiri" w:cs="Amiri"/>
          <w:color w:val="111111"/>
          <w:sz w:val="28"/>
          <w:sz w:val="28"/>
          <w:szCs w:val="28"/>
          <w:rtl w:val="true"/>
          <w:lang w:bidi="ar-SA"/>
        </w:rPr>
        <w:t>قطع به المصنف وأكثر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الغسل من غير تعرّض للعصر في عدة من كتب الشيخ</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في الخلاف </w:t>
      </w:r>
      <w:r>
        <w:rPr>
          <w:rStyle w:val="FootnoteAnchor"/>
          <w:rtl w:val="true"/>
        </w:rPr>
        <w:footnoteReference w:id="1932"/>
      </w:r>
      <w:r>
        <w:rPr>
          <w:rFonts w:ascii="Amiri" w:hAnsi="Amiri" w:eastAsia="Amiri" w:cs="Amiri"/>
          <w:color w:val="111111"/>
          <w:sz w:val="28"/>
          <w:sz w:val="28"/>
          <w:szCs w:val="28"/>
          <w:rtl w:val="true"/>
          <w:lang w:bidi="ar-SA"/>
        </w:rPr>
        <w:t>على أن الصبّ على الشي‌ء إغماره بالماء ، والغسل صبّ الماء ينزل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الحدائق </w:t>
      </w:r>
      <w:r>
        <w:rPr>
          <w:rStyle w:val="FootnoteAnchor"/>
          <w:rtl w:val="true"/>
        </w:rPr>
        <w:footnoteReference w:id="1933"/>
      </w:r>
      <w:r>
        <w:rPr>
          <w:rFonts w:ascii="IRNazanin" w:hAnsi="IRNazanin" w:eastAsia="IRNazanin"/>
          <w:color w:val="111111"/>
          <w:sz w:val="28"/>
          <w:sz w:val="28"/>
          <w:szCs w:val="28"/>
          <w:rtl w:val="true"/>
          <w:lang w:bidi="fa-IR"/>
        </w:rPr>
        <w:t xml:space="preserve">والسرائر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الغسل إجراء الماء على المحل المغسول ، ولا منافاة في شي‌ء من ذلك لاعتبار العصر إلا أن عدم ذكره بالخصوص شاهد على عدم اعتباره سيّما في الأخيرين ؛ لتفسير الغسل بما ذكر من غير أخذ العصر فيه إلا أن ينزّل ذلك بالنسبة إلى غير ما ينفذ فيه الغسالة من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الأردبيلي </w:t>
      </w:r>
      <w:r>
        <w:rPr>
          <w:rStyle w:val="FootnoteAnchor"/>
          <w:rtl w:val="true"/>
        </w:rPr>
        <w:footnoteReference w:id="1935"/>
      </w:r>
      <w:r>
        <w:rPr>
          <w:rFonts w:ascii="Amiri" w:hAnsi="Amiri" w:eastAsia="Amiri" w:cs="Amiri"/>
          <w:color w:val="111111"/>
          <w:sz w:val="28"/>
          <w:sz w:val="28"/>
          <w:szCs w:val="28"/>
          <w:rtl w:val="true"/>
          <w:lang w:bidi="ar-SA"/>
        </w:rPr>
        <w:t>القول بعدم وجوب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تلميذه في المدارك </w:t>
      </w:r>
      <w:r>
        <w:rPr>
          <w:rStyle w:val="FootnoteAnchor"/>
          <w:rtl w:val="true"/>
        </w:rPr>
        <w:footnoteReference w:id="1936"/>
      </w:r>
      <w:r>
        <w:rPr>
          <w:rFonts w:ascii="Amiri" w:hAnsi="Amiri" w:eastAsia="Amiri" w:cs="Amiri"/>
          <w:color w:val="111111"/>
          <w:sz w:val="28"/>
          <w:sz w:val="28"/>
          <w:szCs w:val="28"/>
          <w:rtl w:val="true"/>
          <w:lang w:bidi="ar-SA"/>
        </w:rPr>
        <w:t>إلا إذا توقّف عليه إخراج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اعتبار العصر فيما يغسل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القليل يتنجّس بملاقاة النجس </w:t>
      </w:r>
      <w:r>
        <w:rPr>
          <w:rStyle w:val="FootnoteAnchor"/>
          <w:rtl w:val="true"/>
        </w:rPr>
        <w:footnoteReference w:id="1937"/>
      </w:r>
      <w:r>
        <w:rPr>
          <w:rFonts w:ascii="Amiri" w:hAnsi="Amiri" w:eastAsia="Amiri" w:cs="Amiri"/>
          <w:color w:val="111111"/>
          <w:sz w:val="28"/>
          <w:sz w:val="28"/>
          <w:szCs w:val="28"/>
          <w:rtl w:val="true"/>
          <w:lang w:bidi="ar-SA"/>
        </w:rPr>
        <w:t>، وغاية ما دلّ الدليل على طهر المحل به وطهر ما يتخلف منه فيه إنما هو فيما إذا أخرج بالعصر ، وأما إذا بقي فيه فالأصل بقاؤه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نجاسة الغسالة ضعيفة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 العصر لا يعتبر فيه إخراج </w:t>
      </w:r>
      <w:r>
        <w:rPr>
          <w:rStyle w:val="FootnoteAnchor"/>
          <w:rtl w:val="true"/>
        </w:rPr>
        <w:footnoteReference w:id="1938"/>
      </w:r>
      <w:r>
        <w:rPr>
          <w:rFonts w:ascii="Amiri" w:hAnsi="Amiri" w:eastAsia="Amiri" w:cs="Amiri"/>
          <w:color w:val="111111"/>
          <w:sz w:val="28"/>
          <w:sz w:val="28"/>
          <w:szCs w:val="28"/>
          <w:rtl w:val="true"/>
          <w:lang w:bidi="ar-SA"/>
        </w:rPr>
        <w:t xml:space="preserve">حينئذ </w:t>
      </w:r>
      <w:r>
        <w:rPr>
          <w:rStyle w:val="FootnoteAnchor"/>
          <w:rtl w:val="true"/>
        </w:rPr>
        <w:footnoteReference w:id="1939"/>
      </w:r>
      <w:r>
        <w:rPr>
          <w:rFonts w:ascii="Amiri" w:hAnsi="Amiri" w:eastAsia="Amiri" w:cs="Amiri"/>
          <w:color w:val="111111"/>
          <w:sz w:val="28"/>
          <w:sz w:val="28"/>
          <w:szCs w:val="28"/>
          <w:rtl w:val="true"/>
          <w:lang w:bidi="ar-SA"/>
        </w:rPr>
        <w:t xml:space="preserve">جميع الرطوبة التي في الثوب ، وقد اعترف الأصحاب بطهارة المتخلف وإن أمكن إخراجه بعصر أشدّ فهو لا يومي إلى طهارة الغسالة أصلا ، ولا يقضي بسقوط اعتبار العصر رأسا ، فذكر 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يعقل فيه فائدة لبيان المرام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بقضاء الإطلاقات بطهارة المحل بعد الغسل ، وهي تستلزم طهارة المتخلف منها عنه وإن خلا عن العصر مدفوع بأن شمول الإطلاقات لذلك غير واضح ؛ نظرا إلى أن الطريقة المعتادة في غسل الثياب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القذارات الغير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مع العصر ، </w:t>
      </w:r>
    </w:p>
    <w:p>
      <w:pPr>
        <w:pStyle w:val="BookText"/>
        <w:rPr/>
      </w:pPr>
      <w:r>
        <w:rPr>
          <w:rFonts w:ascii="Amiri" w:hAnsi="Amiri" w:eastAsia="Amiri" w:cs="Amiri"/>
          <w:color w:val="111111"/>
          <w:sz w:val="28"/>
          <w:sz w:val="28"/>
          <w:szCs w:val="28"/>
          <w:rtl w:val="true"/>
          <w:lang w:bidi="ar-SA"/>
        </w:rPr>
        <w:t xml:space="preserve">فلا يبعد انصراف الإطلاقات </w:t>
      </w:r>
      <w:r>
        <w:rPr>
          <w:rStyle w:val="FootnoteAnchor"/>
          <w:rtl w:val="true"/>
        </w:rPr>
        <w:footnoteReference w:id="1940"/>
      </w:r>
      <w:r>
        <w:rPr>
          <w:rFonts w:ascii="Amiri" w:hAnsi="Amiri" w:eastAsia="Amiri" w:cs="Amiri"/>
          <w:color w:val="111111"/>
          <w:sz w:val="28"/>
          <w:sz w:val="28"/>
          <w:szCs w:val="28"/>
          <w:rtl w:val="true"/>
          <w:lang w:bidi="ar-SA"/>
        </w:rPr>
        <w:t>إليه ولا أقل من الشكّ ، فلا يبقى وثوق بالإطلاق ليحكم من جهته بطهارة المحل وطهارة الماء الملاقي للنجاسة ، مع قيام الدليل على تنجسه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انحصار طريق الإخراج في العصر لحصوله أيضا بالجفاف فاسد ؛ إذ المتيقّن من الأدلة حصول الطهارة مع إخراجه بالعصر ، مضافا إلى ما في الجفاف من طول بقاء المتنجس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يتأمّل في الحكم فيما إذا لم يعصر الثوب إلا بعد زمان طويل ، فإن طهره مع عصره حينئذ </w:t>
      </w:r>
      <w:r>
        <w:rPr>
          <w:rStyle w:val="FootnoteAnchor"/>
          <w:rtl w:val="true"/>
        </w:rPr>
        <w:footnoteReference w:id="1941"/>
      </w:r>
      <w:r>
        <w:rPr>
          <w:rFonts w:ascii="Amiri" w:hAnsi="Amiri" w:eastAsia="Amiri" w:cs="Amiri"/>
          <w:color w:val="111111"/>
          <w:sz w:val="28"/>
          <w:sz w:val="28"/>
          <w:szCs w:val="28"/>
          <w:rtl w:val="true"/>
          <w:lang w:bidi="ar-SA"/>
        </w:rPr>
        <w:t>مشكل ؛ لخروجه عن المعتاد وقضاء الأصل بالنجاسة ، ولو فرض جفافه في زمان أقل من العصر أو مساو له فلا ، فالظاهر أنه غير مجد فيه ؛ لما عرفت من خروجه عن المعتاد ، ولزوم الاقتصار على القدر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ومع انعدام الماء بالجفاف لا يعدّ ذلك في العرف من التطهير بالماء ؛ إذ المفروض عدم حصول الطهارة بمجرّد صبّ الماء وبعده ليستند التطهير إلى الجفاف دون الماء ؛ لخروج الماء به عن المائية ، وانقلابه إلى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العصر كما لا يخفى بعد ملاحظة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مسمّى الغسل في مثل ذلك أو بدونه إنما يعدّ صبّا لا غسلا كما نصّ عليه في المعتبر </w:t>
      </w:r>
      <w:r>
        <w:rPr>
          <w:rStyle w:val="FootnoteAnchor"/>
          <w:rtl w:val="true"/>
        </w:rPr>
        <w:footnoteReference w:id="1942"/>
      </w:r>
      <w:r>
        <w:rPr>
          <w:rFonts w:ascii="IRNazanin" w:hAnsi="IRNazanin" w:eastAsia="IRNazanin"/>
          <w:color w:val="111111"/>
          <w:sz w:val="28"/>
          <w:sz w:val="28"/>
          <w:szCs w:val="28"/>
          <w:rtl w:val="true"/>
          <w:lang w:bidi="fa-IR"/>
        </w:rPr>
        <w:t xml:space="preserve">ومنتهى المطلب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إليه مقابلته إليه </w:t>
      </w:r>
      <w:r>
        <w:rPr>
          <w:rStyle w:val="FootnoteAnchor"/>
          <w:rtl w:val="true"/>
        </w:rPr>
        <w:footnoteReference w:id="1944"/>
      </w:r>
      <w:r>
        <w:rPr>
          <w:rFonts w:ascii="Amiri" w:hAnsi="Amiri" w:eastAsia="Amiri" w:cs="Amiri"/>
          <w:color w:val="111111"/>
          <w:sz w:val="28"/>
          <w:sz w:val="28"/>
          <w:szCs w:val="28"/>
          <w:rtl w:val="true"/>
          <w:lang w:bidi="ar-SA"/>
        </w:rPr>
        <w:t>في عدة من الأخبار كصحيحة الحسين بى أبي العلاء أو حسنته ، فإن التعبير عنه بالصبّ بالنسبة إلى الجسد والغسل بالنسبة إلى الثوب يومي إلى مغايرة الغسل في الثوب للصبّ المذكور في 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ويشكل بأن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الألفاظ المتشرعة كسائر الألفاظ مما يرجع في معناه إلى العرف ، وقد انتقل معناه في كثير من كتب اللغة إلى العرف لوضوحه وعدم خروجه في العرف عن معناه الأصلي ، وبعد الرجوع إليه لا يعرف وجه لاعتبار العصر فيه ،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اعتبار تجاوز الماء عنه في الجملة كما مرّ في تحديد الشيخ والحلي ، وهو أعمّ من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يفرق بينه وبين مطلق الصبّ ، بل قد يتأمل أيضا في ذلك لعدم اعتباره شرعا وعرفا في الغسل بالكثير ، بل مجرد إدخاله فيه واستيلائه عليه يعدّ غسلا إلا أن يقال بحضور التجاوز مع الكثرة وإن لم يحسن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لازم ، بل يقطع </w:t>
      </w:r>
      <w:r>
        <w:rPr>
          <w:rStyle w:val="FootnoteAnchor"/>
          <w:rtl w:val="true"/>
        </w:rPr>
        <w:footnoteReference w:id="1945"/>
      </w:r>
      <w:r>
        <w:rPr>
          <w:rFonts w:ascii="Amiri" w:hAnsi="Amiri" w:eastAsia="Amiri" w:cs="Amiri"/>
          <w:color w:val="111111"/>
          <w:sz w:val="28"/>
          <w:sz w:val="28"/>
          <w:szCs w:val="28"/>
          <w:rtl w:val="true"/>
          <w:lang w:bidi="ar-SA"/>
        </w:rPr>
        <w:t>بخلافه كما إذا وضع الثوب المتنجس في الكثير ورفع من حينه أو وضع كرّ من ماء على ثياب كثيرة بحيث يجري الماء فيها من دون زيادة ، فإنّ الظاهر حصول الطهارة بذلك إذا خلّي المحل عن غير النجاسة ، والقول بعدم الملازمة بينه وبين حصول الغسل بعيد جدا ، بل ولا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يقال بأن المتعارف في غسل الثياب ونحوها من القذارات أو النجاسات هو ما كان مع العصر ، فينصرف إليه الإطلاقات ، ولا أقل من الشكّ في ذلك الباعث على لزوم مراعاة الاحتياط فيه ؛ لأصالة بقاء النجاسة إلا فيما ثبت عدم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غير واحد من الأخبار كالحسنة المذكورة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946"/>
      </w:r>
      <w:r>
        <w:rPr>
          <w:rFonts w:ascii="Amiri" w:hAnsi="Amiri" w:eastAsia="Amiri" w:cs="Amiri"/>
          <w:color w:val="111111"/>
          <w:sz w:val="28"/>
          <w:sz w:val="28"/>
          <w:szCs w:val="28"/>
          <w:rtl w:val="true"/>
          <w:lang w:bidi="ar-SA"/>
        </w:rPr>
        <w:t xml:space="preserve">الصبي يبول على الثوب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عليه ثم يعصره </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بمتروكيّته لعدم وجوب العصر في بول الصبي يدفعه أنها محمولة على الصبي المتغذي بالطعام ، والاكتفاء بالصبّ إنما هو في المتغذي به ، فيحمل المطلق على المقيّد ، وهو لا </w:t>
      </w:r>
      <w:bookmarkStart w:id="426" w:name="pg15839_361047"/>
    </w:p>
    <w:p>
      <w:pPr>
        <w:pStyle w:val="BookText"/>
        <w:rPr/>
      </w:pPr>
      <w:bookmarkEnd w:id="426"/>
      <w:r>
        <w:rPr>
          <w:rFonts w:ascii="Amiri" w:hAnsi="Amiri" w:eastAsia="Amiri" w:cs="Amiri"/>
          <w:color w:val="111111"/>
          <w:sz w:val="28"/>
          <w:sz w:val="28"/>
          <w:szCs w:val="28"/>
          <w:rtl w:val="true"/>
          <w:lang w:bidi="ar-SA"/>
        </w:rPr>
        <w:t>يقضي بمتروكية الرواية ، وإلا لم يصحّ الاستناد إلى شي‌ء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المنسوب إلى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أصابك بول في ثوبك فاغسله في ماء جار مرة ومن ماء راكد مرتين ثم اعصره </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بأن ظاهر وجوب العصر في الكرّ وليس العمل عليه مدفوع بإمكان حمله على القليل ؛ إذ هو الغالب في التطهير بالمياه الراكدة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يذهب عليك أن الوجوه المذكورة وإن لم يخل كل </w:t>
      </w:r>
      <w:r>
        <w:rPr>
          <w:rStyle w:val="FootnoteAnchor"/>
          <w:rtl w:val="true"/>
        </w:rPr>
        <w:footnoteReference w:id="1949"/>
      </w:r>
      <w:r>
        <w:rPr>
          <w:rFonts w:ascii="Amiri" w:hAnsi="Amiri" w:eastAsia="Amiri" w:cs="Amiri"/>
          <w:color w:val="111111"/>
          <w:sz w:val="28"/>
          <w:sz w:val="28"/>
          <w:szCs w:val="28"/>
          <w:rtl w:val="true"/>
          <w:lang w:bidi="ar-SA"/>
        </w:rPr>
        <w:t xml:space="preserve">منها من مناقشة إلا أنه بعد انضمام بعضها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الاعتضاد بالأصل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وظاهر الإجماع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الحكم ، وبه يظهر ضعف القول الآخر المستند إلى مجرد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بتوقف إزالة عين النجاسة على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 إذ لا تأمل إذن في اعتباره ، ومحل البحث فيما إذا حصلت الإزالة من دونه أو كان المحل خاليا عن عين النجاسة ، وهو ظاهر</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4338611_2142443653"/>
      <w:bookmarkStart w:id="428" w:name="_Toc158"/>
      <w:bookmarkEnd w:id="427"/>
      <w:r>
        <w:rPr>
          <w:rtl w:val="true"/>
        </w:rPr>
        <w:t xml:space="preserve">[ </w:t>
      </w:r>
      <w:r>
        <w:rPr>
          <w:rtl w:val="true"/>
        </w:rPr>
        <w:t xml:space="preserve">تنبيهات </w:t>
      </w:r>
      <w:r>
        <w:rPr>
          <w:rtl w:val="true"/>
        </w:rPr>
        <w:t>]</w:t>
      </w:r>
      <w:bookmarkEnd w:id="428"/>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تعدّد العصر فيما يتعدد فيه الغسل أو يكتفى فيه بعصر واحد بين الغسلتين أو بعدهما؟ وجوه بل أقوال ، فالأول محكي عن الحلي والمحقق </w:t>
      </w:r>
      <w:r>
        <w:rPr>
          <w:rFonts w:eastAsia="Amiri" w:cs="Amiri" w:ascii="Amiri" w:hAnsi="Amiri"/>
          <w:color w:val="111111"/>
          <w:sz w:val="28"/>
          <w:szCs w:val="28"/>
          <w:rtl w:val="true"/>
          <w:lang w:bidi="ar-SA"/>
        </w:rPr>
        <w:t xml:space="preserve">[ .... ] </w:t>
      </w:r>
      <w:r>
        <w:rPr>
          <w:rStyle w:val="FootnoteAnchor"/>
          <w:rtl w:val="true"/>
        </w:rPr>
        <w:footnoteReference w:id="195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5839_361049"/>
      <w:bookmarkStart w:id="430" w:name="pg15839_361049"/>
      <w:bookmarkEnd w:id="430"/>
    </w:p>
    <w:p>
      <w:pPr>
        <w:pStyle w:val="Heading2"/>
        <w:numPr>
          <w:ilvl w:val="1"/>
          <w:numId w:val="1"/>
        </w:numPr>
        <w:rPr/>
      </w:pPr>
      <w:bookmarkStart w:id="431" w:name="pg15839_361049"/>
      <w:bookmarkStart w:id="432" w:name="__RefHeading___Toc14338613_2142443653"/>
      <w:bookmarkStart w:id="433" w:name="_Toc159"/>
      <w:bookmarkEnd w:id="431"/>
      <w:bookmarkEnd w:id="432"/>
      <w:r>
        <w:rPr>
          <w:rtl w:val="true"/>
        </w:rPr>
        <w:t>كتاب الصّلاة</w:t>
      </w:r>
      <w:bookmarkEnd w:id="43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14338615_2142443653"/>
      <w:bookmarkStart w:id="435" w:name="_Toc160"/>
      <w:bookmarkEnd w:id="434"/>
      <w:r>
        <w:rPr>
          <w:rtl w:val="true"/>
        </w:rPr>
        <w:t>اشارة</w:t>
      </w:r>
      <w:bookmarkEnd w:id="43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وهي العبادة المعروفة المشترط صحتها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لوضوحها غنيّة عن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ووضعها لهذا المعنى إما في اللغة حيث ذكرها بعضهم في عداد المعاني اللغوية أو في هذه الشريعة الطاهرة أو في الشرائع القديمة ، وإنما طرياها الاختلاف في الكيفية القاضي باختلاف المصداق دون نفس الحقيقة كاختلاف أنواعها في هذه الشريعة بحسب اختلاف الحالات الطارية حتى أنها تصدق على التكبيرات الأربعة في صلاة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 يتعلق بذلك غرض </w:t>
      </w:r>
      <w:r>
        <w:rPr>
          <w:rStyle w:val="FootnoteAnchor"/>
          <w:rtl w:val="true"/>
        </w:rPr>
        <w:footnoteReference w:id="1951"/>
      </w:r>
      <w:r>
        <w:rPr>
          <w:rFonts w:ascii="Amiri" w:hAnsi="Amiri" w:eastAsia="Amiri" w:cs="Amiri"/>
          <w:color w:val="111111"/>
          <w:sz w:val="28"/>
          <w:sz w:val="28"/>
          <w:szCs w:val="28"/>
          <w:rtl w:val="true"/>
          <w:lang w:bidi="ar-SA"/>
        </w:rPr>
        <w:t>يعتد به فلا جدوى للتعرض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شمولها لصلاة الأموات كما هو ظاهر من الرجوع إلى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ظواهر الروايات ، ويومي ذلك إلى كونه مجازا فيها إلا أن التزام المجازية فيها بعيد جدا ، كيف وهذا المعنى أيضا من المعاني الجديدة المخترعة من صاحب الشريعة التي بها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ويستند إليها الحاجة كسائر العبادات المتداولة ، وقد استعملها الشارع فيه ، وشاع استعمالها فيه عند المتشرعة ، فإما أن يقال بحصول الوضع بالنسبة إليها حال التقييد كما يقال ذلك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المياه المضافة أو ثبوت الوضع لها حال الإطلاق أيضا لتكون مشتركا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أظهر في الأولى من جهة الغلبة وشيوع الاستعمال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بوضعها للأعم من المعنيين كما يظهر عن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الإطلاق ينصرف إلى الأول ، ولا يراد به الثاني إلا بعد قيام الدليل عليه ، فلا يترتب على الكلام فيه ثمرة مهمة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الصلاة من أعظم أركان الشريعة ، وهي في نفسها أفضل الطاعات بعد المعارف الإيمانية ، وإن ترجّح عليها غيرها لبعض الجهات الخارجية ، والأخبار في فضلها </w:t>
      </w:r>
      <w:r>
        <w:rPr>
          <w:rStyle w:val="FootnoteAnchor"/>
          <w:rtl w:val="true"/>
        </w:rPr>
        <w:footnoteReference w:id="1952"/>
      </w:r>
      <w:r>
        <w:rPr>
          <w:rFonts w:ascii="IRNazanin" w:hAnsi="IRNazanin" w:eastAsia="IRNazanin"/>
          <w:color w:val="111111"/>
          <w:sz w:val="28"/>
          <w:sz w:val="28"/>
          <w:szCs w:val="28"/>
          <w:rtl w:val="true"/>
          <w:lang w:bidi="fa-IR"/>
        </w:rPr>
        <w:t xml:space="preserve">وعقاب </w:t>
      </w:r>
      <w:r>
        <w:rPr>
          <w:rStyle w:val="FootnoteAnchor"/>
          <w:rtl w:val="true"/>
        </w:rPr>
        <w:footnoteReference w:id="1953"/>
      </w:r>
      <w:r>
        <w:rPr>
          <w:rFonts w:ascii="Amiri" w:hAnsi="Amiri" w:eastAsia="Amiri" w:cs="Amiri"/>
          <w:color w:val="111111"/>
          <w:sz w:val="28"/>
          <w:sz w:val="28"/>
          <w:szCs w:val="28"/>
          <w:rtl w:val="true"/>
          <w:lang w:bidi="ar-SA"/>
        </w:rPr>
        <w:t>تاركها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واجبة ومندوبة ، والواجبة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والجمعة والعيديّة والآئيّة والطوافية والالتزامية بنذر وشبهه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فهاهنا أبواب </w:t>
      </w:r>
      <w:r>
        <w:rPr>
          <w:rFonts w:eastAsia="IRNazanin" w:cs="IRNazanin"/>
          <w:color w:val="111111"/>
          <w:sz w:val="28"/>
          <w:szCs w:val="28"/>
          <w:rtl w:val="true"/>
          <w:lang w:bidi="fa-IR"/>
        </w:rPr>
        <w:t xml:space="preserve">: </w:t>
      </w:r>
      <w:bookmarkStart w:id="436" w:name="pg15839_361053"/>
    </w:p>
    <w:p>
      <w:pPr>
        <w:pStyle w:val="Heading3"/>
        <w:numPr>
          <w:ilvl w:val="2"/>
          <w:numId w:val="1"/>
        </w:numPr>
        <w:rPr/>
      </w:pPr>
      <w:bookmarkStart w:id="437" w:name="__RefHeading___Toc14338617_2142443653"/>
      <w:bookmarkStart w:id="438" w:name="_Toc161"/>
      <w:bookmarkEnd w:id="436"/>
      <w:bookmarkEnd w:id="437"/>
      <w:r>
        <w:rPr>
          <w:rtl w:val="true"/>
        </w:rPr>
        <w:t>الباب الأول</w:t>
      </w:r>
      <w:r>
        <w:rPr>
          <w:rtl w:val="true"/>
        </w:rPr>
        <w:t xml:space="preserve">: </w:t>
      </w:r>
      <w:r>
        <w:rPr>
          <w:rtl w:val="true"/>
        </w:rPr>
        <w:t>في اليومية</w:t>
      </w:r>
      <w:bookmarkEnd w:id="438"/>
    </w:p>
    <w:p>
      <w:pPr>
        <w:pStyle w:val="Heading4"/>
        <w:numPr>
          <w:ilvl w:val="3"/>
          <w:numId w:val="1"/>
        </w:numPr>
        <w:rPr/>
      </w:pPr>
      <w:bookmarkStart w:id="439" w:name="__RefHeading___Toc14338619_2142443653"/>
      <w:bookmarkStart w:id="440" w:name="_Toc162"/>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ويندرج فيها الأدائية والقضائية ، عن نفسه أو غيره كالأب فيما يتحمّله عنه ، أو ما يوقعه عن الميت على جهة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ويتبعها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ووجوبها وأعدادها وأعداد ركعاتها مما قام عليه ضرورة الدين ، فلا جدوى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فيها مورد في فصول </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338621_2142443653"/>
      <w:bookmarkStart w:id="442" w:name="_Toc163"/>
      <w:bookmarkEnd w:id="441"/>
      <w:r>
        <w:rPr>
          <w:rtl w:val="true"/>
        </w:rPr>
        <w:t xml:space="preserve">الفصل الأول </w:t>
      </w:r>
      <w:r>
        <w:rPr>
          <w:rtl w:val="true"/>
        </w:rPr>
        <w:t xml:space="preserve">: </w:t>
      </w:r>
      <w:r>
        <w:rPr>
          <w:rtl w:val="true"/>
        </w:rPr>
        <w:t>في المقدمات</w:t>
      </w:r>
      <w:bookmarkEnd w:id="442"/>
    </w:p>
    <w:p>
      <w:pPr>
        <w:pStyle w:val="Heading5"/>
        <w:numPr>
          <w:ilvl w:val="4"/>
          <w:numId w:val="1"/>
        </w:numPr>
        <w:rPr/>
      </w:pPr>
      <w:bookmarkStart w:id="443" w:name="__RefHeading___Toc14338623_2142443653"/>
      <w:bookmarkStart w:id="444" w:name="_Toc164"/>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وقد تقدّم شطر منها في كتاب الطهارة ، والتي نذكر منها هنا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والمكان واللباس والقبلة والأذان والإقامة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4338625_2142443653"/>
      <w:bookmarkStart w:id="446" w:name="_Toc165"/>
      <w:bookmarkEnd w:id="445"/>
      <w:r>
        <w:rPr>
          <w:rtl w:val="true"/>
        </w:rPr>
        <w:t xml:space="preserve">القول </w:t>
      </w:r>
      <w:r>
        <w:rPr>
          <w:rtl w:val="true"/>
        </w:rPr>
        <w:t xml:space="preserve">: </w:t>
      </w:r>
      <w:r>
        <w:rPr>
          <w:rtl w:val="true"/>
        </w:rPr>
        <w:t>في الوقت</w:t>
      </w:r>
      <w:bookmarkEnd w:id="44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واعتباره أداء في كل من اليومية موسعة مما قام عليه إجماع المسلمين ، بل هو في الجملة من ضروريات الدين</w:t>
      </w:r>
      <w:r>
        <w:rPr>
          <w:rFonts w:eastAsia="Amiri" w:cs="Amiri" w:ascii="Amiri" w:hAnsi="Amiri"/>
          <w:color w:val="111111"/>
          <w:sz w:val="28"/>
          <w:szCs w:val="28"/>
          <w:rtl w:val="true"/>
          <w:lang w:bidi="ar-SA"/>
        </w:rPr>
        <w:t xml:space="preserve">. </w:t>
      </w:r>
      <w:bookmarkStart w:id="447" w:name="pg15839_361054"/>
    </w:p>
    <w:p>
      <w:pPr>
        <w:pStyle w:val="Heading5"/>
        <w:numPr>
          <w:ilvl w:val="4"/>
          <w:numId w:val="1"/>
        </w:numPr>
        <w:rPr/>
      </w:pPr>
      <w:bookmarkStart w:id="448" w:name="__RefHeading___Toc14338627_2142443653"/>
      <w:bookmarkStart w:id="449" w:name="_Toc166"/>
      <w:bookmarkEnd w:id="447"/>
      <w:bookmarkEnd w:id="448"/>
      <w:r>
        <w:rPr>
          <w:rtl w:val="true"/>
        </w:rPr>
        <w:t>تبصرة</w:t>
      </w:r>
      <w:r>
        <w:rPr>
          <w:rtl w:val="true"/>
        </w:rPr>
        <w:t xml:space="preserve">: [ </w:t>
      </w:r>
      <w:r>
        <w:rPr>
          <w:rtl w:val="true"/>
        </w:rPr>
        <w:t xml:space="preserve">في وقت الفرائض اليومية </w:t>
      </w:r>
      <w:r>
        <w:rPr>
          <w:rtl w:val="true"/>
        </w:rPr>
        <w:t>]</w:t>
      </w:r>
      <w:bookmarkEnd w:id="449"/>
    </w:p>
    <w:p>
      <w:pPr>
        <w:pStyle w:val="BookText"/>
        <w:rPr/>
      </w:pPr>
      <w:r>
        <w:rPr>
          <w:rFonts w:ascii="Amiri" w:hAnsi="Amiri" w:eastAsia="Amiri" w:cs="Amiri"/>
          <w:color w:val="111111"/>
          <w:sz w:val="28"/>
          <w:sz w:val="28"/>
          <w:szCs w:val="28"/>
          <w:rtl w:val="true"/>
          <w:lang w:bidi="ar-SA"/>
        </w:rPr>
        <w:t>أوقات الفرائض اليومية موسّعة على المعروف من المذهب ، بل لا خلاف فيه سوى ما يعزى إلى ظاهر المفيد من القول بلزوم التعجيل في أول الوقت ، فإن أخّرها وأدّاها عفي عنه وإلّا كان مضيّقا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w:t>
      </w:r>
      <w:r>
        <w:rPr>
          <w:rStyle w:val="FootnoteAnchor"/>
          <w:rtl w:val="true"/>
        </w:rPr>
        <w:footnoteReference w:id="1954"/>
      </w:r>
      <w:r>
        <w:rPr>
          <w:rFonts w:ascii="Amiri" w:hAnsi="Amiri" w:eastAsia="Amiri" w:cs="Amiri"/>
          <w:color w:val="111111"/>
          <w:sz w:val="28"/>
          <w:sz w:val="28"/>
          <w:szCs w:val="28"/>
          <w:rtl w:val="true"/>
          <w:lang w:bidi="ar-SA"/>
        </w:rPr>
        <w:t xml:space="preserve">أن 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أول الوقت وجوبا مضيّقا إلا أنّه متى لم يفعله لم يؤاخذ به عفوا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كونه خلافا في أصل التوقيت لا دليل عليه ، بل مخالف للأخبار المتظافرة المطابقة لفتوى الأصحاب ، بل الإجماع لانعقاد اتفاق الفرقة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ظواهر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بعد تسليم دلالتها على ذلك محمولة على المبالغة في تأكّد استحباب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مستنده في ذلك الشبهة المعروفة في الواجب الموسع ، فخصّ الأول بالتوقيت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وانطباق عبارته عليه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تلك الشبهة في غاية من الركاكة يجلّ ذلك الجليل عن الركون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يبعد حمل كلامه على إرادة اختصاص الوقت الثاني بالمعذور ، فلا يجوز لغير التأخير إليه كما سيأتي الكلام فيه إن شاء اللّه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صلاة منها وقتان بلا خلاف يظهر ، سوى ما حكاه بعضهم </w:t>
      </w:r>
      <w:r>
        <w:rPr>
          <w:rStyle w:val="FootnoteAnchor"/>
          <w:rtl w:val="true"/>
        </w:rPr>
        <w:footnoteReference w:id="1955"/>
      </w:r>
      <w:r>
        <w:rPr>
          <w:rFonts w:ascii="Amiri" w:hAnsi="Amiri" w:eastAsia="Amiri" w:cs="Amiri"/>
          <w:color w:val="111111"/>
          <w:sz w:val="28"/>
          <w:sz w:val="28"/>
          <w:szCs w:val="28"/>
          <w:rtl w:val="true"/>
          <w:lang w:bidi="ar-SA"/>
        </w:rPr>
        <w:t xml:space="preserve">قولا من أن للمغرب وقتا واحدا ، وهي محمولة على المبالغة ؛ للإجماع والأخبار المتكاثرة بل المتواترة الدالّة على </w:t>
      </w:r>
    </w:p>
    <w:p>
      <w:pPr>
        <w:pStyle w:val="BookText"/>
        <w:rPr/>
      </w:pPr>
      <w:r>
        <w:rPr>
          <w:rFonts w:ascii="Amiri" w:hAnsi="Amiri" w:eastAsia="Amiri" w:cs="Amiri"/>
          <w:color w:val="111111"/>
          <w:sz w:val="28"/>
          <w:sz w:val="28"/>
          <w:szCs w:val="28"/>
          <w:rtl w:val="true"/>
          <w:lang w:bidi="ar-SA"/>
        </w:rPr>
        <w:t xml:space="preserve">خلافه ، وما في المستفيضة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حين غيبوبة الشمس </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لا دلالة فيها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الأول منها للفضيلة والثاني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معظم الأصحاب ، بل الظاهر إطباق المتأخرين عليه عدا شذوذ من متأخريهم ؛ إذ هو الذي يظهر من ملاحظة مجموع الأخبار ، بل لا ينبغي التأمل فيه بعد إمعان النظر فيها وملاحظتها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دلّت عليه من الأخبار ما دلّ على أفضلية الوقت الأول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صلاة وقتين وأول الوقت أفضلهما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أخرى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الوقتين أفضلهما </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فإن الحكم بالأفضلية قاض بجواز اختيار الآخر من القول بأنه أعم من ذلك لصحة الحكم بأفضلية فعل المختار من فعل المضطرّ </w:t>
      </w:r>
      <w:r>
        <w:rPr>
          <w:rStyle w:val="FootnoteAnchor"/>
          <w:rtl w:val="true"/>
        </w:rPr>
        <w:footnoteReference w:id="1958"/>
      </w:r>
      <w:r>
        <w:rPr>
          <w:rFonts w:ascii="Amiri" w:hAnsi="Amiri" w:eastAsia="Amiri" w:cs="Amiri"/>
          <w:color w:val="111111"/>
          <w:sz w:val="28"/>
          <w:sz w:val="28"/>
          <w:szCs w:val="28"/>
          <w:rtl w:val="true"/>
          <w:lang w:bidi="ar-SA"/>
        </w:rPr>
        <w:t>مدفوع بأنه مخالف لظاهر الإطلاق كما ينادي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يأبى ذلك عن التصريح بخلافه كما هو الشأن في سائر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بيان الوقت ، فيدلّ بظاهره على استمرار الوقت مطلقا إلى الوقت الأخير كرواية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الظهر والعصر جميعا إلا أن هذه قبل هذه ، 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روايته الأخرى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افترض أربع صلوات أول وقتها زوال الشمس إلى انتصاف الليل منها صلاتان أول وقتهما من أول زوال الشمس إلى غروب الشمس إلا أن هذه قبل هذه </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نحوه بالنسبة إلى المغرب والعشاء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مضى ذلك فقد دخل وقت الظهر والعصر حتى يبقى من الشمس مقدار ما يصلّى أربع ركعات </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في العشاءين بالنسبة إلى انتصاف الليل كما سيجي‌ء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قضية التوقيت كذلك جواز التأخير إلى آخر الوقت ، والقول بأنه أعم من ذلك كما ذكره البعض بين الوهن ؛ إذ هو مخالف للإطلاق المذكور ، وقابلية الإطلاق للتصريح بما ذكر لا ينافي ظهوره فيما قلنا دفع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منها في الدلالة القويّ </w:t>
      </w:r>
      <w:r>
        <w:rPr>
          <w:rStyle w:val="FootnoteAnchor"/>
          <w:rtl w:val="true"/>
        </w:rPr>
        <w:footnoteReference w:id="19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الوقت إلى اللّه عزوجل أوله حين يدخل وقت الصلاة فصلّ </w:t>
      </w:r>
      <w:r>
        <w:rPr>
          <w:rStyle w:val="FootnoteAnchor"/>
          <w:rtl w:val="true"/>
        </w:rPr>
        <w:footnoteReference w:id="1965"/>
      </w:r>
      <w:r>
        <w:rPr>
          <w:rFonts w:ascii="Amiri" w:hAnsi="Amiri" w:eastAsia="Amiri" w:cs="Amiri"/>
          <w:color w:val="111111"/>
          <w:sz w:val="28"/>
          <w:sz w:val="28"/>
          <w:szCs w:val="28"/>
          <w:rtl w:val="true"/>
          <w:lang w:bidi="ar-SA"/>
        </w:rPr>
        <w:t xml:space="preserve">الفريضة ، فإن لم تفعل فإنك في وقت منها حتى تغيب الشمس </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سياقه كالصريح في جواز التأخير إلى آخر </w:t>
      </w:r>
      <w:r>
        <w:rPr>
          <w:rStyle w:val="FootnoteAnchor"/>
          <w:rtl w:val="true"/>
        </w:rPr>
        <w:footnoteReference w:id="1967"/>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الأشياء أشياء موسعة وأشياء مضيّقة ، فالصلاة مما وسّع فيها تقدم مرة وتأخر أخرى والجمعة مما ضيق فيها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في طول النهار للرجل أن يصلي الظهر والعصر؟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وما أحب أن يفعل ذلك في كل يوم </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في الصحيح وغيره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كِتاباً </w:t>
      </w:r>
    </w:p>
    <w:p>
      <w:pPr>
        <w:pStyle w:val="BookText"/>
        <w:rPr/>
      </w:pPr>
      <w:r>
        <w:rPr>
          <w:rFonts w:ascii="Amiri" w:hAnsi="Amiri" w:eastAsia="Amiri" w:cs="Amiri"/>
          <w:color w:val="111111"/>
          <w:sz w:val="28"/>
          <w:sz w:val="28"/>
          <w:szCs w:val="28"/>
          <w:rtl w:val="true"/>
          <w:lang w:bidi="ar-SA"/>
        </w:rPr>
        <w:t xml:space="preserve">مَوْقُوتاً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 ، إنما يعني بذلك وجوبها على المؤمنين لو كان كما يقولون لهلك سليمان بن داود حتى توارت بالحجاب لأنه لو صلّاها قبل أن تغيب لكان وقتا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لنقدم ونؤخر وليس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 وقت الصلاة فقد هلك ، وإنما الرخصة للناسي والمريض والمدنف والمسافر والنائم في تأخيرها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من 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 وقت الصلاة فقد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هاتين الروايتين إشارة إلى التوسعة في أمر الصلاة وأن التضيق إنما هو من أقوال أهل الخلاف ، فيتمّه احتمال التقية في الأخبار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اسماعيل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عليه‌السلام وكنّا عنده لم يصلّ المغرب حتى ظهرت النجوم ، ثم قام يصلّي بنا عند باب دار أبي محمود </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الصرمي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الثالث عليه‌السلام يوما فجلس يحدّث حتى غابت الشمس ثم دعا بشمع وهو جالس يتحدّث ، فلما خرجت من البيت نظرت وقد غاب الشفق قبل أن يصلي المغرب ، ثم دعا بالماء فتوضأ وصلّى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التأخير لأجل الحاجة الضرورية خلاف ظاهر الرواية ، وكأنه لأجل بيان الحكم أو لجهة أخرى مرجّحة ، فلا يلزم صدور ترك الأولى منه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يقف عليه المتتبع في الأخبار ، مضافا إلى ظاهر الكتاب سيّما بعد تفسيره في الأخبار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يعارضها ما دلّ بظاهره على عدم جواز التأخير لغير المعذور كصحيحة </w:t>
      </w:r>
      <w:r>
        <w:rPr>
          <w:rStyle w:val="FootnoteAnchor"/>
          <w:rtl w:val="true"/>
        </w:rPr>
        <w:footnoteReference w:id="1975"/>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 xml:space="preserve">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لأحد أن يجعل </w:t>
      </w:r>
      <w:r>
        <w:rPr>
          <w:rStyle w:val="FootnoteAnchor"/>
          <w:rtl w:val="true"/>
        </w:rPr>
        <w:footnoteReference w:id="1976"/>
      </w:r>
      <w:r>
        <w:rPr>
          <w:rFonts w:ascii="Amiri" w:hAnsi="Amiri" w:eastAsia="Amiri" w:cs="Amiri"/>
          <w:color w:val="111111"/>
          <w:sz w:val="28"/>
          <w:sz w:val="28"/>
          <w:szCs w:val="28"/>
          <w:rtl w:val="true"/>
          <w:lang w:bidi="ar-SA"/>
        </w:rPr>
        <w:t xml:space="preserve">آخر الوقتين وقتا إلا من عذر من غير علة </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عنه باختلاف في اللفظ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لأحد أن يجعل آخر الوقتين وقتا إلا من عذر أو علة </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صلّى الظهر بعد ما يمضي من زوال الشمس أربعة أقدام كان عندك غير مؤدّ لها؟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فعل ذلك ليخالف السنة والوقت لم يقبل منه كما لو أن رجلا أخّر العصر إلى قرب أن تغرب الشمس مثلا من غير علة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وقّت الصلوات المفروضات أوقاتا وحدّ لها حدودا في سنّة للناس ، فمن رغب عن سنّة الموجبات كان كمن رغب عن فرائض اللّه تعالى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المروي في تفسير القمي عن الصادق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الصلاة عن أول وقتها لغير عذر </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رضوان اللّه وآخره عفو اللّه ، والعفو لا يمكن إلّا عن ذنب </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يروي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صلاة ثلاثة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ووسط وآخر ، فأول الوقت رضوان اللّه تعالى ووسطه عفو اللّه وآخره غفران اللّه ، وأول الوقت أفضله ، وليس لأحد أن يتّخذ آخر الوقتين وقتا ، إنّما جعل آخر الوقت للمريض والمقبل والمسافر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 أو هي في مقام الجمع محمولة على شدة استحباب المواظبة على الوقت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الرواتب اليومية وغيرها من المندوبات نظير ذلك ، بل ما هو أعظم منه في مقام التأكيد في الحنث كما لا يخفى على المتتبّع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قيام بعض الشواهد فيها على ذلك كتقييد التأخير بقصد مخالفة السنّة والوقت كما في بعض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 بن يزيد ، عن الصادق عليه‌السلام أنه سأله عن وقت المغرب؟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أرفق بك وأمكن لك في صلاتك وكنت في حوائجك فلك أن تؤخرها إلى ربع الليل </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سياق الرواية صريح في أن مبنى الأمر في ذلك على الندب حتى أنّه بمجرد ذلك يرتفع الوجوبان أو تأكده مع ما ورد من التأكيد في أمر المغرب ، فثبت ذلك في غيرها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أكون مع هؤلاء وأنصرف من عندهم عند المغرب فآمر بالمساجد فأقيمت الصلاة ، فإن أنا نزلت أصلي معهم لم أستمكن من الأذان والإقامة وافتتاح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منزلك وانزع ثيابك إن أردت أن تتوضأ فتوضأ وصلّ فإنك في وقت إلى ربع الليل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على ما ذكر كما لسابقه ، بل هي أوضح منها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التأكيدات الواردة في المواظبة على الوقت الأول إشارة إلى ذلك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الصلوات المفروضات في أول وقتها إذا أقيم حدودها أطيب ريحا من قضيب الآس حين يؤخذ من شجرة في طيبه وريحه وطراوته ، فعليكم بالوقت الأول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أول الوقت أبدا أفضل فعجّل الخير ما استطعت </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لفضل الوقت الأول على الآخر خير للرجل من ولده وماله </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الوقت على الآخر كفضل الدنيا على الآخرة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سلام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يؤخر العصر متعمدا؟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يوم القيامة موتورا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أهل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منزلته في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موتور أهله وماله يتضيف أهلها ليس له فيها منزل </w:t>
      </w:r>
      <w:r>
        <w:rPr>
          <w:rFonts w:eastAsia="Amiri" w:cs="Amiri" w:ascii="Amiri" w:hAnsi="Amiri"/>
          <w:color w:val="111111"/>
          <w:sz w:val="28"/>
          <w:szCs w:val="28"/>
          <w:rtl w:val="true"/>
          <w:lang w:bidi="ar-SA"/>
        </w:rPr>
        <w:t xml:space="preserve">»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أبو بصير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صلى صلاة العصر فأخّرها حتى تصعر الشمس وتغيب ليس له أهل ولا مال في الجنة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عن الباقر عليه‌السلام عن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سياق هذه الأخبار ظاهر في الاستحباب سيما الأخبار الأخيرة ، فإن ذكر كونه باعثا على نقص بعض النعم في الجنة في مقام الحث عليه كالصريح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فهم الأصحاب وموافقتها لظاهر الكتاب كما مرّ ومخالفتها لمعظم العامة وموافقة المنع لمذاهبهم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 إذ ليس نزاع النازع إلّا في المنع لا في اشتراط العمل لما عرفت من الاتفاق على الأدائية إلّا من ظاهر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مدفوع بصراحة النصوص في خلافه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الأعذار المجوّزة للتأخير من السفر والمطر والمرض وشغل يضرّ تركه بدينه أو دنياه ، كما ذكره في المبسوط </w:t>
      </w:r>
      <w:r>
        <w:rPr>
          <w:rStyle w:val="FootnoteAnchor"/>
          <w:rtl w:val="true"/>
        </w:rPr>
        <w:footnoteReference w:id="1992"/>
      </w:r>
      <w:r>
        <w:rPr>
          <w:rFonts w:ascii="Amiri" w:hAnsi="Amiri" w:eastAsia="Amiri" w:cs="Amiri"/>
          <w:color w:val="111111"/>
          <w:sz w:val="28"/>
          <w:sz w:val="28"/>
          <w:szCs w:val="28"/>
          <w:rtl w:val="true"/>
          <w:lang w:bidi="ar-SA"/>
        </w:rPr>
        <w:t xml:space="preserve">، ويقتضيه إطلاق العذر الوارد في الأخبار ، بل مقتضاه أعمّ من ذلك إشارة إلى ما ذكرناه ؛ إذ لو كان الأمر مبنيّا على الوجوب لما اكتفى في تركه بأدنى شي‌ء من </w:t>
      </w:r>
    </w:p>
    <w:p>
      <w:pPr>
        <w:pStyle w:val="BookText"/>
        <w:rPr/>
      </w:pPr>
      <w:r>
        <w:rPr>
          <w:rFonts w:ascii="Amiri" w:hAnsi="Amiri" w:eastAsia="Amiri" w:cs="Amiri"/>
          <w:color w:val="111111"/>
          <w:sz w:val="28"/>
          <w:sz w:val="28"/>
          <w:szCs w:val="28"/>
          <w:rtl w:val="true"/>
          <w:lang w:bidi="ar-SA"/>
        </w:rPr>
        <w:t xml:space="preserve">الأعذار مضافا إلى الشهرة العظيمة بين الأصحاب وفهمهم ذلك من روايات الباب ، بل حكى عليه في الغنية </w:t>
      </w:r>
      <w:r>
        <w:rPr>
          <w:rStyle w:val="FootnoteAnchor"/>
          <w:rtl w:val="true"/>
        </w:rPr>
        <w:footnoteReference w:id="1993"/>
      </w:r>
      <w:r>
        <w:rPr>
          <w:rFonts w:ascii="IRNazanin" w:hAnsi="IRNazanin" w:eastAsia="IRNazanin"/>
          <w:color w:val="111111"/>
          <w:sz w:val="28"/>
          <w:sz w:val="28"/>
          <w:szCs w:val="28"/>
          <w:rtl w:val="true"/>
          <w:lang w:bidi="fa-IR"/>
        </w:rPr>
        <w:t xml:space="preserve">والسرائر </w:t>
      </w:r>
      <w:r>
        <w:rPr>
          <w:rStyle w:val="FootnoteAnchor"/>
          <w:rtl w:val="true"/>
        </w:rPr>
        <w:footnoteReference w:id="1994"/>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عزي القول به إلى الإسكافي والسيد </w:t>
      </w:r>
      <w:r>
        <w:rPr>
          <w:rStyle w:val="FootnoteAnchor"/>
          <w:rtl w:val="true"/>
        </w:rPr>
        <w:footnoteReference w:id="1995"/>
      </w:r>
      <w:r>
        <w:rPr>
          <w:rFonts w:ascii="Amiri" w:hAnsi="Amiri" w:eastAsia="Amiri" w:cs="Amiri"/>
          <w:color w:val="111111"/>
          <w:sz w:val="28"/>
          <w:sz w:val="28"/>
          <w:szCs w:val="28"/>
          <w:rtl w:val="true"/>
          <w:lang w:bidi="ar-SA"/>
        </w:rPr>
        <w:t xml:space="preserve">والديلمي وابن زهرة </w:t>
      </w:r>
      <w:r>
        <w:rPr>
          <w:rStyle w:val="FootnoteAnchor"/>
          <w:rtl w:val="true"/>
        </w:rPr>
        <w:footnoteReference w:id="1996"/>
      </w:r>
      <w:r>
        <w:rPr>
          <w:rFonts w:ascii="Amiri" w:hAnsi="Amiri" w:eastAsia="Amiri" w:cs="Amiri"/>
          <w:color w:val="111111"/>
          <w:sz w:val="28"/>
          <w:sz w:val="28"/>
          <w:szCs w:val="28"/>
          <w:rtl w:val="true"/>
          <w:lang w:bidi="ar-SA"/>
        </w:rPr>
        <w:t xml:space="preserve">والحلي </w:t>
      </w:r>
      <w:r>
        <w:rPr>
          <w:rStyle w:val="FootnoteAnchor"/>
          <w:rtl w:val="true"/>
        </w:rPr>
        <w:footnoteReference w:id="1997"/>
      </w:r>
      <w:r>
        <w:rPr>
          <w:rFonts w:ascii="Amiri" w:hAnsi="Amiri" w:eastAsia="Amiri" w:cs="Amiri"/>
          <w:color w:val="111111"/>
          <w:sz w:val="28"/>
          <w:sz w:val="28"/>
          <w:szCs w:val="28"/>
          <w:rtl w:val="true"/>
          <w:lang w:bidi="ar-SA"/>
        </w:rPr>
        <w:t xml:space="preserve">والفاضلين </w:t>
      </w:r>
      <w:r>
        <w:rPr>
          <w:rStyle w:val="FootnoteAnchor"/>
          <w:rtl w:val="true"/>
        </w:rPr>
        <w:footnoteReference w:id="1998"/>
      </w:r>
      <w:r>
        <w:rPr>
          <w:rFonts w:ascii="Amiri" w:hAnsi="Amiri" w:eastAsia="Amiri" w:cs="Amiri"/>
          <w:color w:val="111111"/>
          <w:sz w:val="28"/>
          <w:sz w:val="28"/>
          <w:szCs w:val="28"/>
          <w:rtl w:val="true"/>
          <w:lang w:bidi="ar-SA"/>
        </w:rPr>
        <w:t>والآبي وقوم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عامة المتأخرين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قرّرناه ضعف القول بكون أحد الوقتين للمختار والآخر للمعذور والمضطرّ ، كما عن جماعة من القدماء منهم الشيخان </w:t>
      </w:r>
      <w:r>
        <w:rPr>
          <w:rStyle w:val="FootnoteAnchor"/>
          <w:rtl w:val="true"/>
        </w:rPr>
        <w:footnoteReference w:id="1999"/>
      </w:r>
      <w:r>
        <w:rPr>
          <w:rFonts w:ascii="Amiri" w:hAnsi="Amiri" w:eastAsia="Amiri" w:cs="Amiri"/>
          <w:color w:val="111111"/>
          <w:sz w:val="28"/>
          <w:sz w:val="28"/>
          <w:szCs w:val="28"/>
          <w:rtl w:val="true"/>
          <w:lang w:bidi="ar-SA"/>
        </w:rPr>
        <w:t xml:space="preserve">والقاضي </w:t>
      </w:r>
      <w:r>
        <w:rPr>
          <w:rStyle w:val="FootnoteAnchor"/>
          <w:rtl w:val="true"/>
        </w:rPr>
        <w:footnoteReference w:id="2000"/>
      </w:r>
      <w:r>
        <w:rPr>
          <w:rFonts w:ascii="Amiri" w:hAnsi="Amiri" w:eastAsia="Amiri" w:cs="Amiri"/>
          <w:color w:val="111111"/>
          <w:sz w:val="28"/>
          <w:sz w:val="28"/>
          <w:szCs w:val="28"/>
          <w:rtl w:val="true"/>
          <w:lang w:bidi="ar-SA"/>
        </w:rPr>
        <w:t xml:space="preserve">والحلبي </w:t>
      </w:r>
      <w:r>
        <w:rPr>
          <w:rStyle w:val="FootnoteAnchor"/>
          <w:rtl w:val="true"/>
        </w:rPr>
        <w:footnoteReference w:id="2001"/>
      </w:r>
      <w:r>
        <w:rPr>
          <w:rFonts w:ascii="Amiri" w:hAnsi="Amiri" w:eastAsia="Amiri" w:cs="Amiri"/>
          <w:color w:val="111111"/>
          <w:sz w:val="28"/>
          <w:sz w:val="28"/>
          <w:szCs w:val="28"/>
          <w:rtl w:val="true"/>
          <w:lang w:bidi="ar-SA"/>
        </w:rPr>
        <w:t xml:space="preserve">والطوسي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من المتأخرين صاحب المفاتيح ، واختاره صاحب الحدائق </w:t>
      </w:r>
      <w:r>
        <w:rPr>
          <w:rStyle w:val="FootnoteAnchor"/>
          <w:rtl w:val="true"/>
        </w:rPr>
        <w:footnoteReference w:id="2003"/>
      </w:r>
      <w:r>
        <w:rPr>
          <w:rFonts w:ascii="Amiri" w:hAnsi="Amiri" w:eastAsia="Amiri" w:cs="Amiri"/>
          <w:color w:val="111111"/>
          <w:sz w:val="28"/>
          <w:sz w:val="28"/>
          <w:szCs w:val="28"/>
          <w:rtl w:val="true"/>
          <w:lang w:bidi="ar-SA"/>
        </w:rPr>
        <w:t>؛ أخذا بظواهر الأخبار الأخيرة وما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كلام جماعة من هؤلاء على ما يوافق المشهور ، فقد نصّ الشيخ في المبسوط </w:t>
      </w:r>
      <w:r>
        <w:rPr>
          <w:rStyle w:val="FootnoteAnchor"/>
          <w:rtl w:val="true"/>
        </w:rPr>
        <w:footnoteReference w:id="2004"/>
      </w:r>
      <w:r>
        <w:rPr>
          <w:rFonts w:ascii="Amiri" w:hAnsi="Amiri" w:eastAsia="Amiri" w:cs="Amiri"/>
          <w:color w:val="111111"/>
          <w:sz w:val="28"/>
          <w:sz w:val="28"/>
          <w:szCs w:val="28"/>
          <w:rtl w:val="true"/>
          <w:lang w:bidi="ar-SA"/>
        </w:rPr>
        <w:t>بأن الوقت الأول أفضل من الأوسط والأخير ، غير أنه لا يستحق عقابا ولا ذما وإن كان تاركا فضلا إذا كان لغير عذر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في محل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يصلي آخر الوقت إلا عند الضرورة لأن </w:t>
      </w:r>
    </w:p>
    <w:p>
      <w:pPr>
        <w:pStyle w:val="BookText"/>
        <w:rPr/>
      </w:pPr>
      <w:r>
        <w:rPr>
          <w:rFonts w:ascii="Amiri" w:hAnsi="Amiri" w:eastAsia="Amiri" w:cs="Amiri"/>
          <w:color w:val="111111"/>
          <w:sz w:val="28"/>
          <w:sz w:val="28"/>
          <w:szCs w:val="28"/>
          <w:rtl w:val="true"/>
          <w:lang w:bidi="ar-SA"/>
        </w:rPr>
        <w:t>الوقت الأول أفضل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احتمل بعض المتأخرين ارتفاع الخلاف من البين ، وهو وإن أمكن بالنسبة إلى جملة من عبائرهم إلا أنه لا يتمّ بالنسبة إلى بعضها كعبارة الخلاف حيث نصّ بمخالفة السيد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حكي عن الاسكافي والحلبي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Style w:val="FootnoteAnchor"/>
          <w:rtl w:val="true"/>
        </w:rPr>
        <w:footnoteReference w:id="2005"/>
      </w:r>
      <w:r>
        <w:rPr>
          <w:rFonts w:ascii="Amiri" w:hAnsi="Amiri" w:eastAsia="Amiri" w:cs="Amiri"/>
          <w:color w:val="111111"/>
          <w:sz w:val="28"/>
          <w:sz w:val="28"/>
          <w:szCs w:val="28"/>
          <w:rtl w:val="true"/>
          <w:lang w:bidi="ar-SA"/>
        </w:rPr>
        <w:t>لو أخّر المختار إلى آخر الوقت الأخير فالظاهر الاتفاق على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الاتفاق عليه في كشف اللثام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 نصوص كثيرة </w:t>
      </w:r>
      <w:r>
        <w:rPr>
          <w:rStyle w:val="FootnoteAnchor"/>
          <w:rtl w:val="true"/>
        </w:rPr>
        <w:footnoteReference w:id="2007"/>
      </w:r>
      <w:r>
        <w:rPr>
          <w:rFonts w:ascii="Amiri" w:hAnsi="Amiri" w:eastAsia="Amiri" w:cs="Amiri"/>
          <w:color w:val="111111"/>
          <w:sz w:val="28"/>
          <w:sz w:val="28"/>
          <w:szCs w:val="28"/>
          <w:rtl w:val="true"/>
          <w:lang w:bidi="ar-SA"/>
        </w:rPr>
        <w:t xml:space="preserve">على بقاء الوقت ، فغاية الأمر الجمع بحصول العصيان مع تعمّد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العماني </w:t>
      </w:r>
      <w:r>
        <w:rPr>
          <w:rStyle w:val="FootnoteAnchor"/>
          <w:rtl w:val="true"/>
        </w:rPr>
        <w:footnoteReference w:id="2008"/>
      </w:r>
      <w:r>
        <w:rPr>
          <w:rFonts w:ascii="Amiri" w:hAnsi="Amiri" w:eastAsia="Amiri" w:cs="Amiri"/>
          <w:color w:val="111111"/>
          <w:sz w:val="28"/>
          <w:sz w:val="28"/>
          <w:szCs w:val="28"/>
          <w:rtl w:val="true"/>
          <w:lang w:bidi="ar-SA"/>
        </w:rPr>
        <w:t xml:space="preserve">أنه بعد ما بين وقت المختار والوقت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 المختار الصلاة من غير عذر إلى آخر الوقت فقد ضيّع صلاته وبطل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Style w:val="FootnoteAnchor"/>
          <w:rtl w:val="true"/>
        </w:rPr>
        <w:footnoteReference w:id="2009"/>
      </w:r>
      <w:r>
        <w:rPr>
          <w:rFonts w:ascii="Amiri" w:hAnsi="Amiri" w:eastAsia="Amiri" w:cs="Amiri"/>
          <w:color w:val="111111"/>
          <w:sz w:val="28"/>
          <w:sz w:val="28"/>
          <w:szCs w:val="28"/>
          <w:rtl w:val="true"/>
          <w:lang w:bidi="ar-SA"/>
        </w:rPr>
        <w:t>عند آل محمد صلوات اللّه عليهم أجمعين إذا صلّاها في آخر وقتها قاضيا لأمور في الفرض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خروج الوقت بالنسبة إلى المختار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ذلك من الحلبي أيضا حيث حكي عنه القول بإجزائه عن أصحاب الأعذار خاصّة ، فإن حمل كلام هذين على ظاهره فهو بمكان من الوهن كما لا يخفى</w:t>
      </w:r>
      <w:r>
        <w:rPr>
          <w:rFonts w:eastAsia="Amiri" w:cs="Amiri" w:ascii="Amiri" w:hAnsi="Amiri"/>
          <w:color w:val="111111"/>
          <w:sz w:val="28"/>
          <w:szCs w:val="28"/>
          <w:rtl w:val="true"/>
          <w:lang w:bidi="ar-SA"/>
        </w:rPr>
        <w:t xml:space="preserve">. </w:t>
      </w:r>
      <w:bookmarkStart w:id="450" w:name="pg15839_361063"/>
    </w:p>
    <w:p>
      <w:pPr>
        <w:pStyle w:val="Heading5"/>
        <w:numPr>
          <w:ilvl w:val="4"/>
          <w:numId w:val="1"/>
        </w:numPr>
        <w:rPr/>
      </w:pPr>
      <w:bookmarkStart w:id="451" w:name="__RefHeading___Toc14338629_2142443653"/>
      <w:bookmarkStart w:id="452" w:name="_Toc167"/>
      <w:bookmarkEnd w:id="450"/>
      <w:bookmarkEnd w:id="451"/>
      <w:r>
        <w:rPr>
          <w:rtl w:val="true"/>
        </w:rPr>
        <w:t>تبصرة</w:t>
      </w:r>
      <w:r>
        <w:rPr>
          <w:rtl w:val="true"/>
        </w:rPr>
        <w:t xml:space="preserve">: [ </w:t>
      </w:r>
      <w:r>
        <w:rPr>
          <w:rtl w:val="true"/>
        </w:rPr>
        <w:t xml:space="preserve">في وقت الظهر </w:t>
      </w:r>
      <w:r>
        <w:rPr>
          <w:rtl w:val="true"/>
        </w:rPr>
        <w:t>]</w:t>
      </w:r>
      <w:bookmarkEnd w:id="452"/>
    </w:p>
    <w:p>
      <w:pPr>
        <w:pStyle w:val="BookText"/>
        <w:rPr/>
      </w:pPr>
      <w:r>
        <w:rPr>
          <w:rFonts w:ascii="Amiri" w:hAnsi="Amiri" w:eastAsia="Amiri" w:cs="Amiri"/>
          <w:color w:val="111111"/>
          <w:sz w:val="28"/>
          <w:sz w:val="28"/>
          <w:szCs w:val="28"/>
          <w:rtl w:val="true"/>
          <w:lang w:bidi="ar-SA"/>
        </w:rPr>
        <w:t xml:space="preserve">أول وقت الظهر زوال الشمس بالإجماع المعلوم والمنقول من جماعة منهم السيد </w:t>
      </w:r>
      <w:r>
        <w:rPr>
          <w:rStyle w:val="FootnoteAnchor"/>
          <w:rtl w:val="true"/>
        </w:rPr>
        <w:footnoteReference w:id="2010"/>
      </w:r>
      <w:r>
        <w:rPr>
          <w:rFonts w:ascii="Amiri" w:hAnsi="Amiri" w:eastAsia="Amiri" w:cs="Amiri"/>
          <w:color w:val="111111"/>
          <w:sz w:val="28"/>
          <w:sz w:val="28"/>
          <w:szCs w:val="28"/>
          <w:rtl w:val="true"/>
          <w:lang w:bidi="ar-SA"/>
        </w:rPr>
        <w:t xml:space="preserve">والشيخ </w:t>
      </w:r>
      <w:r>
        <w:rPr>
          <w:rStyle w:val="FootnoteAnchor"/>
          <w:rtl w:val="true"/>
        </w:rPr>
        <w:footnoteReference w:id="2011"/>
      </w:r>
      <w:r>
        <w:rPr>
          <w:rFonts w:ascii="IRNazanin" w:hAnsi="IRNazanin" w:eastAsia="IRNazanin"/>
          <w:color w:val="111111"/>
          <w:sz w:val="28"/>
          <w:sz w:val="28"/>
          <w:szCs w:val="28"/>
          <w:rtl w:val="true"/>
          <w:lang w:bidi="fa-IR"/>
        </w:rPr>
        <w:t xml:space="preserve">والفاضلان </w:t>
      </w:r>
      <w:r>
        <w:rPr>
          <w:rStyle w:val="FootnoteAnchor"/>
          <w:rtl w:val="true"/>
        </w:rPr>
        <w:footnoteReference w:id="2012"/>
      </w:r>
      <w:r>
        <w:rPr>
          <w:rFonts w:ascii="Amiri" w:hAnsi="Amiri" w:eastAsia="Amiri" w:cs="Amiri"/>
          <w:color w:val="111111"/>
          <w:sz w:val="28"/>
          <w:sz w:val="28"/>
          <w:szCs w:val="28"/>
          <w:rtl w:val="true"/>
          <w:lang w:bidi="ar-SA"/>
        </w:rPr>
        <w:t>وغيرهم ، بل ربما يدّعى كونه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ذلك الآية الشريفة ؛ إذ الدلوك هو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في الخبر المفسّر له والأخبار المستفيضة بل المتواترة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الوقتان الظهر والعصر </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ابن عباس </w:t>
      </w:r>
      <w:r>
        <w:rPr>
          <w:rStyle w:val="FootnoteAnchor"/>
          <w:rtl w:val="true"/>
        </w:rPr>
        <w:footnoteReference w:id="2014"/>
      </w:r>
      <w:r>
        <w:rPr>
          <w:rFonts w:ascii="Amiri" w:hAnsi="Amiri" w:eastAsia="Amiri" w:cs="Amiri"/>
          <w:color w:val="111111"/>
          <w:sz w:val="28"/>
          <w:sz w:val="28"/>
          <w:szCs w:val="28"/>
          <w:rtl w:val="true"/>
          <w:lang w:bidi="ar-SA"/>
        </w:rPr>
        <w:t xml:space="preserve">وغير واحد من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مسافر صلّى قبل الزوال أنه يجزيه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لاتفاق الأصحاب ، بل نصّ الفاضلان على أن الخلاف بين العامة قد انقرض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كثير من أخبارنا تحديد أول وقت الظهر بما بعد الزوال ، ففي بعضها اعتبار مضيّ </w:t>
      </w:r>
      <w:r>
        <w:rPr>
          <w:rStyle w:val="FootnoteAnchor"/>
          <w:rtl w:val="true"/>
        </w:rPr>
        <w:footnoteReference w:id="2015"/>
      </w:r>
      <w:r>
        <w:rPr>
          <w:rFonts w:ascii="Amiri" w:hAnsi="Amiri" w:eastAsia="Amiri" w:cs="Amiri"/>
          <w:color w:val="111111"/>
          <w:sz w:val="28"/>
          <w:sz w:val="28"/>
          <w:szCs w:val="28"/>
          <w:rtl w:val="true"/>
          <w:lang w:bidi="ar-SA"/>
        </w:rPr>
        <w:t>القدم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مضيّ </w:t>
      </w:r>
      <w:r>
        <w:rPr>
          <w:rStyle w:val="FootnoteAnchor"/>
          <w:rtl w:val="true"/>
        </w:rPr>
        <w:footnoteReference w:id="2016"/>
      </w:r>
      <w:r>
        <w:rPr>
          <w:rFonts w:ascii="Amiri" w:hAnsi="Amiri" w:eastAsia="Amiri" w:cs="Amiri"/>
          <w:color w:val="111111"/>
          <w:sz w:val="28"/>
          <w:sz w:val="28"/>
          <w:szCs w:val="28"/>
          <w:rtl w:val="true"/>
          <w:lang w:bidi="ar-SA"/>
        </w:rPr>
        <w:t>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الذراع وغيرها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محمولة على الفضل من جهة حال المتنفّل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لم جعل الذراع والذراعان؟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لمكان النافلة </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أنبئك بأبين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وقع وقت الظهر إلا أنّ بين يديها سبحة وذلك إليك ، فإن أنت خفت فحين تفرغ من سبحتك وإن طولت فحين تفرغ من سبحتك </w:t>
      </w:r>
      <w:r>
        <w:rPr>
          <w:rFonts w:eastAsia="Amiri" w:cs="Amiri" w:ascii="Amiri" w:hAnsi="Amiri"/>
          <w:color w:val="111111"/>
          <w:sz w:val="28"/>
          <w:szCs w:val="28"/>
          <w:rtl w:val="true"/>
          <w:lang w:bidi="ar-SA"/>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أخبار أخر في إسماعيل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 الذراع والذراعان لئلّا يكون تطوع في وقت فريضة </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يوهم ذلك عدم دخول وقت الفريضة قبله </w:t>
      </w:r>
      <w:r>
        <w:rPr>
          <w:rStyle w:val="FootnoteAnchor"/>
          <w:rtl w:val="true"/>
        </w:rPr>
        <w:footnoteReference w:id="2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على إرادة الفضيلة أي الأفضل في حقّ المتنفّل الاشتغال بها وتأخير </w:t>
      </w:r>
      <w:r>
        <w:rPr>
          <w:rStyle w:val="FootnoteAnchor"/>
          <w:rtl w:val="true"/>
        </w:rPr>
        <w:footnoteReference w:id="2021"/>
      </w:r>
      <w:r>
        <w:rPr>
          <w:rFonts w:ascii="Amiri" w:hAnsi="Amiri" w:eastAsia="Amiri" w:cs="Amiri"/>
          <w:color w:val="111111"/>
          <w:sz w:val="28"/>
          <w:sz w:val="28"/>
          <w:szCs w:val="28"/>
          <w:rtl w:val="true"/>
          <w:lang w:bidi="ar-SA"/>
        </w:rPr>
        <w:t>الفريضة إلى ذلك ، فجعل بعض من وقت الفريضة للنافلة لئلا تقع في الوقت المعدّ لخصوص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يحمل ما في الهداية </w:t>
      </w:r>
      <w:r>
        <w:rPr>
          <w:rStyle w:val="FootnoteAnchor"/>
          <w:rtl w:val="true"/>
        </w:rPr>
        <w:footnoteReference w:id="2022"/>
      </w:r>
      <w:r>
        <w:rPr>
          <w:rFonts w:ascii="Amiri" w:hAnsi="Amiri" w:eastAsia="Amiri" w:cs="Amiri"/>
          <w:color w:val="111111"/>
          <w:sz w:val="28"/>
          <w:sz w:val="28"/>
          <w:szCs w:val="28"/>
          <w:rtl w:val="true"/>
          <w:lang w:bidi="ar-SA"/>
        </w:rPr>
        <w:t>من أن وقت الظهر بعد الزوال قد مال على أحد وجهيه ، فليس ذلك خلافا في المسألة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مكاتبة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عنهما يعني الصادقين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وقت الظهر على قدمين من الزوال ووقت العصر على أربعة أقدام </w:t>
      </w:r>
      <w:r>
        <w:rPr>
          <w:rFonts w:eastAsia="Amiri" w:cs="Amiri" w:ascii="Amiri" w:hAnsi="Amiri"/>
          <w:color w:val="111111"/>
          <w:sz w:val="28"/>
          <w:szCs w:val="28"/>
          <w:rtl w:val="true"/>
          <w:lang w:bidi="ar-SA"/>
        </w:rPr>
        <w:t xml:space="preserve">» </w:t>
      </w:r>
      <w:r>
        <w:rPr>
          <w:rStyle w:val="FootnoteAnchor"/>
          <w:rtl w:val="true"/>
        </w:rPr>
        <w:footnoteReference w:id="2023"/>
      </w:r>
      <w:r>
        <w:rPr>
          <w:rFonts w:ascii="IRNazanin" w:hAnsi="IRNazanin" w:eastAsia="IRNazanin"/>
          <w:color w:val="111111"/>
          <w:sz w:val="28"/>
          <w:sz w:val="28"/>
          <w:szCs w:val="28"/>
          <w:rtl w:val="true"/>
          <w:lang w:bidi="fa-IR"/>
        </w:rPr>
        <w:t xml:space="preserve">إلى آخره </w:t>
      </w:r>
      <w:r>
        <w:rPr>
          <w:rStyle w:val="FootnoteAnchor"/>
          <w:rtl w:val="true"/>
        </w:rPr>
        <w:footnoteReference w:id="2024"/>
      </w:r>
      <w:r>
        <w:rPr>
          <w:rFonts w:ascii="Amiri" w:hAnsi="Amiri" w:eastAsia="Amiri" w:cs="Amiri"/>
          <w:color w:val="111111"/>
          <w:sz w:val="28"/>
          <w:sz w:val="28"/>
          <w:szCs w:val="28"/>
          <w:rtl w:val="true"/>
          <w:lang w:bidi="ar-SA"/>
        </w:rPr>
        <w:t xml:space="preserve">، ففيها دلالة على وقوع الخلاف فيه بين الأصحاب في ذلك الزمان ، وذهاب البعض إلى دخول وقت الظهر </w:t>
      </w:r>
    </w:p>
    <w:p>
      <w:pPr>
        <w:pStyle w:val="BookText"/>
        <w:rPr/>
      </w:pPr>
      <w:r>
        <w:rPr>
          <w:rFonts w:ascii="Amiri" w:hAnsi="Amiri" w:eastAsia="Amiri" w:cs="Amiri"/>
          <w:color w:val="111111"/>
          <w:sz w:val="28"/>
          <w:sz w:val="28"/>
          <w:szCs w:val="28"/>
          <w:rtl w:val="true"/>
          <w:lang w:bidi="ar-SA"/>
        </w:rPr>
        <w:t>بعد مضي القدمين إلا أنه لا يعرف كون القائل به من أرباب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بذلك شهادة على جموده على ظواهر الأخبار من غير ملاحظة للكتاب وسائر ما ورد عن العترة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فخلافه ساقط من بعض الأخبار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وأما آخر وقته الأول فقد اختلف فيه الأخبار وكلام علمائنا الأبرار ، ولهم في ذلك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من تحديده بصيرورة ظلّ كل شي‌ء مثله ، وعزي القول به إلى جماعة من المتقدمين وسائر المتأخرين ، بل حكى في المسالك </w:t>
      </w:r>
      <w:r>
        <w:rPr>
          <w:rStyle w:val="FootnoteAnchor"/>
          <w:rtl w:val="true"/>
        </w:rPr>
        <w:footnoteReference w:id="2026"/>
      </w:r>
      <w:r>
        <w:rPr>
          <w:rFonts w:ascii="Amiri" w:hAnsi="Amiri" w:eastAsia="Amiri" w:cs="Amiri"/>
          <w:color w:val="111111"/>
          <w:sz w:val="28"/>
          <w:sz w:val="28"/>
          <w:szCs w:val="28"/>
          <w:rtl w:val="true"/>
          <w:lang w:bidi="ar-SA"/>
        </w:rPr>
        <w:t>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السيد في المصباح والشيخ في النهاية </w:t>
      </w:r>
      <w:r>
        <w:rPr>
          <w:rStyle w:val="FootnoteAnchor"/>
          <w:rtl w:val="true"/>
        </w:rPr>
        <w:footnoteReference w:id="2027"/>
      </w:r>
      <w:r>
        <w:rPr>
          <w:rFonts w:ascii="Amiri" w:hAnsi="Amiri" w:eastAsia="Amiri" w:cs="Amiri"/>
          <w:color w:val="111111"/>
          <w:sz w:val="28"/>
          <w:sz w:val="28"/>
          <w:szCs w:val="28"/>
          <w:rtl w:val="true"/>
          <w:lang w:bidi="ar-SA"/>
        </w:rPr>
        <w:t xml:space="preserve">وغيره من أن آخر وقت الظهر لمن لا عذر </w:t>
      </w:r>
      <w:r>
        <w:rPr>
          <w:rStyle w:val="FootnoteAnchor"/>
          <w:rtl w:val="true"/>
        </w:rPr>
        <w:footnoteReference w:id="2028"/>
      </w:r>
      <w:r>
        <w:rPr>
          <w:rFonts w:ascii="Amiri" w:hAnsi="Amiri" w:eastAsia="Amiri" w:cs="Amiri"/>
          <w:color w:val="111111"/>
          <w:sz w:val="28"/>
          <w:sz w:val="28"/>
          <w:szCs w:val="28"/>
          <w:rtl w:val="true"/>
          <w:lang w:bidi="ar-SA"/>
        </w:rPr>
        <w:t>له أربعة أقدام ، وهي أربعة أسباع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w:t>
      </w:r>
      <w:r>
        <w:rPr>
          <w:rStyle w:val="FootnoteAnchor"/>
          <w:rtl w:val="true"/>
        </w:rPr>
        <w:footnoteReference w:id="2029"/>
      </w:r>
      <w:r>
        <w:rPr>
          <w:rFonts w:ascii="Amiri" w:hAnsi="Amiri" w:eastAsia="Amiri" w:cs="Amiri"/>
          <w:color w:val="111111"/>
          <w:sz w:val="28"/>
          <w:sz w:val="28"/>
          <w:szCs w:val="28"/>
          <w:rtl w:val="true"/>
          <w:lang w:bidi="ar-SA"/>
        </w:rPr>
        <w:t xml:space="preserve">الشيخ في المصباح </w:t>
      </w:r>
      <w:r>
        <w:rPr>
          <w:rStyle w:val="FootnoteAnchor"/>
          <w:rtl w:val="true"/>
        </w:rPr>
        <w:footnoteReference w:id="2030"/>
      </w:r>
      <w:r>
        <w:rPr>
          <w:rFonts w:ascii="IRNazanin" w:hAnsi="IRNazanin" w:eastAsia="IRNazanin"/>
          <w:color w:val="111111"/>
          <w:sz w:val="28"/>
          <w:sz w:val="28"/>
          <w:szCs w:val="28"/>
          <w:rtl w:val="true"/>
          <w:lang w:bidi="fa-IR"/>
        </w:rPr>
        <w:t xml:space="preserve">والاقتصاد </w:t>
      </w:r>
      <w:r>
        <w:rPr>
          <w:rStyle w:val="FootnoteAnchor"/>
          <w:rtl w:val="true"/>
        </w:rPr>
        <w:footnoteReference w:id="2031"/>
      </w:r>
      <w:r>
        <w:rPr>
          <w:rStyle w:val="FootnoteAnchor"/>
          <w:rtl w:val="true"/>
        </w:rPr>
        <w:footnoteReference w:id="2032"/>
      </w:r>
      <w:r>
        <w:rPr>
          <w:rFonts w:ascii="Amiri" w:hAnsi="Amiri" w:eastAsia="Amiri" w:cs="Amiri"/>
          <w:color w:val="111111"/>
          <w:sz w:val="28"/>
          <w:sz w:val="28"/>
          <w:szCs w:val="28"/>
          <w:rtl w:val="true"/>
          <w:lang w:bidi="ar-SA"/>
        </w:rPr>
        <w:t>بينه وبين صيرورة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 حمل على التخيير رجع إلى الأول ، وإلّا كان وقفا بين القولين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إلى هذا القول ما حكي عن الحلبي </w:t>
      </w:r>
      <w:r>
        <w:rPr>
          <w:rStyle w:val="FootnoteAnchor"/>
          <w:rtl w:val="true"/>
        </w:rPr>
        <w:footnoteReference w:id="2033"/>
      </w:r>
      <w:r>
        <w:rPr>
          <w:rStyle w:val="FootnoteAnchor"/>
          <w:rtl w:val="true"/>
        </w:rPr>
        <w:footnoteReference w:id="2034"/>
      </w:r>
      <w:r>
        <w:rPr>
          <w:rFonts w:ascii="Amiri" w:hAnsi="Amiri" w:eastAsia="Amiri" w:cs="Amiri"/>
          <w:color w:val="111111"/>
          <w:sz w:val="28"/>
          <w:sz w:val="28"/>
          <w:szCs w:val="28"/>
          <w:rtl w:val="true"/>
          <w:lang w:bidi="ar-SA"/>
        </w:rPr>
        <w:t>من أن آخر وقت المختار الأفضل أن يبلغ الظلّ سبعي القائم ، وآخر وقت الإجزاء أن يبلغ الظلّ أربعة أسباعه ، وآخر وقت المضطر أن يصير الظلّ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المفيد </w:t>
      </w:r>
      <w:r>
        <w:rPr>
          <w:rStyle w:val="FootnoteAnchor"/>
          <w:rtl w:val="true"/>
        </w:rPr>
        <w:footnoteReference w:id="2035"/>
      </w:r>
      <w:r>
        <w:rPr>
          <w:rFonts w:ascii="Amiri" w:hAnsi="Amiri" w:eastAsia="Amiri" w:cs="Amiri"/>
          <w:color w:val="111111"/>
          <w:sz w:val="28"/>
          <w:sz w:val="28"/>
          <w:szCs w:val="28"/>
          <w:rtl w:val="true"/>
          <w:lang w:bidi="ar-SA"/>
        </w:rPr>
        <w:t>من أن وقت الظهر بعد الزوال إلى أن يرجع الفي‌ء سبعي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حكي عن العماني </w:t>
      </w:r>
      <w:r>
        <w:rPr>
          <w:rStyle w:val="FootnoteAnchor"/>
          <w:rtl w:val="true"/>
        </w:rPr>
        <w:footnoteReference w:id="2036"/>
      </w:r>
      <w:r>
        <w:rPr>
          <w:rFonts w:ascii="Amiri" w:hAnsi="Amiri" w:eastAsia="Amiri" w:cs="Amiri"/>
          <w:color w:val="111111"/>
          <w:sz w:val="28"/>
          <w:sz w:val="28"/>
          <w:szCs w:val="28"/>
          <w:rtl w:val="true"/>
          <w:lang w:bidi="ar-SA"/>
        </w:rPr>
        <w:t>من أن آخر وقت الظهر زوال الشمس إلى أن ينتهي الظلّ ذراعا واحدا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 المقدارين ، وإنما الاختلاف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 ذلك فإن دخل الوقت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الروايات المستفيضة المعتضدة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بإسنادهما ، عن يزيد بن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لا يكذب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صلاة افترضها اللّه على نبيّه صلى‌اللّه‌عليه‌وآله الظهر ، وهو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w:t>
      </w:r>
      <w:r>
        <w:rPr>
          <w:rFonts w:eastAsia="Amiri" w:cs="Amiri" w:ascii="Amiri" w:hAnsi="Amiri"/>
          <w:color w:val="111111"/>
          <w:sz w:val="28"/>
          <w:szCs w:val="28"/>
          <w:rtl w:val="true"/>
          <w:lang w:bidi="ar-SA"/>
        </w:rPr>
        <w:t xml:space="preserve">.. ) </w:t>
      </w:r>
      <w:r>
        <w:rPr>
          <w:rStyle w:val="FootnoteAnchor"/>
          <w:rtl w:val="true"/>
        </w:rPr>
        <w:footnoteReference w:id="2037"/>
      </w:r>
      <w:r>
        <w:rPr>
          <w:rFonts w:ascii="Amiri" w:hAnsi="Amiri" w:eastAsia="Amiri" w:cs="Amiri"/>
          <w:color w:val="111111"/>
          <w:sz w:val="28"/>
          <w:sz w:val="28"/>
          <w:szCs w:val="28"/>
          <w:rtl w:val="true"/>
          <w:lang w:bidi="ar-SA"/>
        </w:rPr>
        <w:t xml:space="preserve">، فإذا زالت الشمس لم يمنعك إلا سبحتك ثم لا تزال في وقت إلى أن يصير الظلّ قامة وهو آخر الوقت ، فإذا صار الظلّ قامة دخل وقت العصر فلم تزل في وقت العصر حتى يصير الظلّ قامتين بذلك </w:t>
      </w:r>
      <w:r>
        <w:rPr>
          <w:rStyle w:val="FootnoteAnchor"/>
          <w:rtl w:val="true"/>
        </w:rPr>
        <w:footnoteReference w:id="2038"/>
      </w:r>
      <w:r>
        <w:rPr>
          <w:rFonts w:ascii="IRNazanin" w:hAnsi="IRNazanin" w:eastAsia="IRNazanin"/>
          <w:color w:val="111111"/>
          <w:sz w:val="28"/>
          <w:sz w:val="28"/>
          <w:szCs w:val="28"/>
          <w:rtl w:val="true"/>
          <w:lang w:bidi="fa-IR"/>
        </w:rPr>
        <w:t>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 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الظهر إذا زاغت الشمس إلى أن يذهب الظلّ قامة ووقت العصر قامة ونصف إلى قامتين </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سألته عن وقت صلاة الظهر أو العصر؟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قامة للظهر وقامة للعصر </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 بحملها على كون مجموع القامة وقتا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العبد الصالح عليه‌السلام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وقت الظهر زوال الشمس وآخر وقتها قامة من الزوال ، وهو أول وقت العصر قامة وآخر وقتها قامتان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والشتاء </w:t>
      </w:r>
      <w:r>
        <w:rPr>
          <w:rStyle w:val="FootnoteAnchor"/>
          <w:rtl w:val="true"/>
        </w:rPr>
        <w:footnoteReference w:id="2042"/>
      </w:r>
      <w:r>
        <w:rPr>
          <w:rFonts w:ascii="Amiri" w:hAnsi="Amiri" w:eastAsia="Amiri" w:cs="Amiri"/>
          <w:color w:val="111111"/>
          <w:sz w:val="28"/>
          <w:sz w:val="28"/>
          <w:szCs w:val="28"/>
          <w:rtl w:val="true"/>
          <w:lang w:bidi="ar-SA"/>
        </w:rPr>
        <w:t xml:space="preserve">والصيف سواء؟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معاوية بن وهب ، عن الصادق عليه‌السلام في حكاية إتيان جبرئيل عليه‌السلام بالأوقات تصريح به حيث 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حين زالت الشمس فأمره </w:t>
      </w:r>
      <w:r>
        <w:rPr>
          <w:rStyle w:val="FootnoteAnchor"/>
          <w:rtl w:val="true"/>
        </w:rPr>
        <w:footnoteReference w:id="2044"/>
      </w:r>
      <w:r>
        <w:rPr>
          <w:rFonts w:ascii="Amiri" w:hAnsi="Amiri" w:eastAsia="Amiri" w:cs="Amiri"/>
          <w:color w:val="111111"/>
          <w:sz w:val="28"/>
          <w:sz w:val="28"/>
          <w:szCs w:val="28"/>
          <w:rtl w:val="true"/>
          <w:lang w:bidi="ar-SA"/>
        </w:rPr>
        <w:t xml:space="preserve">فصلّى ، ثم أتاه من الغد حين زاد في الظلّ قامة فأمره فصلّى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ذلك بالنسبة إلى سائر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وقت </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معظم الأخبار التي ذكر فيه القدم والقدمان والذراع والذراعان ونحوها معارضة لذلك ؛ إذ ليس فيها تحديد لآخر الوقت ، وإنما ذكر ذلك تحديدا لوقت النوافل وبيانا لعدم تأخير الفرائض لأداء النوافل بما يزيد على ذلك ، وليس فيها دلالة على تحديد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وقد ذكر فيها أداء الفريضة بعد مضيّ ذلك المقدار ، ولا ينطبق على شي‌ء من الأقوال المذكورة ، فالأمر في جملة منها بفعل الفريضة بعد مضيّ ذلك ليس محمولا على التعيّن ، ويشهد له ملاحظة ما ذكرناه من الأخبار وغيرها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رواية ابراهيم الكرخي ، عن أبي الحسن موسى عليه‌السلام أنه سأل </w:t>
      </w:r>
      <w:r>
        <w:rPr>
          <w:rStyle w:val="FootnoteAnchor"/>
          <w:rtl w:val="true"/>
        </w:rPr>
        <w:footnoteReference w:id="2046"/>
      </w:r>
      <w:r>
        <w:rPr>
          <w:rFonts w:ascii="Amiri" w:hAnsi="Amiri" w:eastAsia="Amiri" w:cs="Amiri"/>
          <w:color w:val="111111"/>
          <w:sz w:val="28"/>
          <w:sz w:val="28"/>
          <w:szCs w:val="28"/>
          <w:rtl w:val="true"/>
          <w:lang w:bidi="ar-SA"/>
        </w:rPr>
        <w:t xml:space="preserve">عن وقت الظهر؟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وقتها؟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بعد ما يمضي من أولها أربعة أقدام ، إن وقت الظهر ضيّق ليس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صلّى الظهر بعد ما يمضي من زوال الشمس أربعة أقدام كان </w:t>
      </w:r>
      <w:r>
        <w:rPr>
          <w:rStyle w:val="FootnoteAnchor"/>
          <w:rtl w:val="true"/>
        </w:rPr>
        <w:footnoteReference w:id="2047"/>
      </w:r>
      <w:r>
        <w:rPr>
          <w:rFonts w:ascii="Amiri" w:hAnsi="Amiri" w:eastAsia="Amiri" w:cs="Amiri"/>
          <w:color w:val="111111"/>
          <w:sz w:val="28"/>
          <w:sz w:val="28"/>
          <w:szCs w:val="28"/>
          <w:rtl w:val="true"/>
          <w:lang w:bidi="ar-SA"/>
        </w:rPr>
        <w:t xml:space="preserve">عندك غير مؤدّ لها؟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تعمّد ذلك </w:t>
      </w:r>
    </w:p>
    <w:p>
      <w:pPr>
        <w:pStyle w:val="BookText"/>
        <w:rPr/>
      </w:pPr>
      <w:r>
        <w:rPr>
          <w:rFonts w:ascii="Amiri" w:hAnsi="Amiri" w:eastAsia="Amiri" w:cs="Amiri"/>
          <w:color w:val="111111"/>
          <w:sz w:val="28"/>
          <w:sz w:val="28"/>
          <w:szCs w:val="28"/>
          <w:rtl w:val="true"/>
          <w:lang w:bidi="ar-SA"/>
        </w:rPr>
        <w:t xml:space="preserve">ليخالف السنّة والوقت ، لم يقبل منه </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الفضل بن يونس ، عن أبي الحسن عليه‌السلام في المرأة ترى الطهر قبل الغروب كيف تصنع بالصلاة؟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الطهر بعد ما يمضي من زوال الشمس أربعة أقدام لا تصلّي إلا العصر ؛ لأن وقت الظهر دخل عليها وهي في الدم ، وخرج عنها الوقت وهي في الدم </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مستندا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مع ضعف إسنادها لا يقاوم ما ذكر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حملها على مزيد الفضيلة بالنسبة إلى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ذريح المحاربي أنه قال بعض القوم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نصلّي الأولى إذا كانت على قدمين والعصر على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من </w:t>
      </w:r>
      <w:r>
        <w:rPr>
          <w:rStyle w:val="FootnoteAnchor"/>
          <w:rtl w:val="true"/>
        </w:rPr>
        <w:footnoteReference w:id="2050"/>
      </w:r>
      <w:r>
        <w:rPr>
          <w:rFonts w:ascii="Amiri" w:hAnsi="Amiri" w:eastAsia="Amiri" w:cs="Amiri"/>
          <w:color w:val="111111"/>
          <w:sz w:val="28"/>
          <w:sz w:val="28"/>
          <w:szCs w:val="28"/>
          <w:rtl w:val="true"/>
          <w:lang w:bidi="ar-SA"/>
        </w:rPr>
        <w:t xml:space="preserve">ذلك أحب إليّ </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 فدلّ على أفضليّة القدم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الحال في الأربعة أقدام بعد حملها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فمع الطعن في إسنادها لاشتماله على الفضل بن يونس بأنها مع معارضتها للأخبار المذكورة وعدم مقاومتها لها ، معارضة للروايات الكثيرة الدالّة على بقاء الوقت في الجملة إلى الغروب أو مقدار أربع ركعات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فلم نقف له على حجة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مكاتبة محمد 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فصلّ سبحتك ، وأحبّ أن يكون فراغك من الفريضة والشمس على قدمين </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مع عدم انطباقها على المدّعى لا تدلّ على انتهاء الوقت الأول به ، سيّما على القول بكون الوقت الأول للمختار كما هو المعزى إلى القائل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يستدلّ عليه بأخبار الذراع والقدمين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أنها لا تدلّ على ذلك بوجه ؛ إذ لا دلالة فيها على بيان الغاية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النافلة والبدأة بالفريضة شاهد على تضيّق وقت الفريضة </w:t>
      </w:r>
      <w:r>
        <w:rPr>
          <w:rStyle w:val="FootnoteAnchor"/>
          <w:rtl w:val="true"/>
        </w:rPr>
        <w:footnoteReference w:id="2053"/>
      </w:r>
      <w:r>
        <w:rPr>
          <w:rFonts w:ascii="Amiri" w:hAnsi="Amiri" w:eastAsia="Amiri" w:cs="Amiri"/>
          <w:color w:val="111111"/>
          <w:sz w:val="28"/>
          <w:sz w:val="28"/>
          <w:szCs w:val="28"/>
          <w:rtl w:val="true"/>
          <w:lang w:bidi="ar-SA"/>
        </w:rPr>
        <w:t>أو السعة حتى يسقط رجحان النافلة ، ويتعيّن الإتيان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انطباقه على المقصود ليس في تلك الرواية </w:t>
      </w:r>
      <w:r>
        <w:rPr>
          <w:rStyle w:val="FootnoteAnchor"/>
          <w:rtl w:val="true"/>
        </w:rPr>
        <w:footnoteReference w:id="2054"/>
      </w:r>
      <w:r>
        <w:rPr>
          <w:rFonts w:ascii="Amiri" w:hAnsi="Amiri" w:eastAsia="Amiri" w:cs="Amiri"/>
          <w:color w:val="111111"/>
          <w:sz w:val="28"/>
          <w:sz w:val="28"/>
          <w:szCs w:val="28"/>
          <w:rtl w:val="true"/>
          <w:lang w:bidi="ar-SA"/>
        </w:rPr>
        <w:t>إشارة إلى ذلك ، وإنما هو استنباط محض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بالقامة هو قامة الشاخص وفاقا للأكثر ، وقد حكى الشهرة عليه جماعة منهم فخر الإسلام </w:t>
      </w:r>
      <w:r>
        <w:rPr>
          <w:rStyle w:val="FootnoteAnchor"/>
          <w:rtl w:val="true"/>
        </w:rPr>
        <w:footnoteReference w:id="2055"/>
      </w:r>
      <w:r>
        <w:rPr>
          <w:rFonts w:ascii="Amiri" w:hAnsi="Amiri" w:eastAsia="Amiri" w:cs="Amiri"/>
          <w:color w:val="111111"/>
          <w:sz w:val="28"/>
          <w:sz w:val="28"/>
          <w:szCs w:val="28"/>
          <w:rtl w:val="true"/>
          <w:lang w:bidi="ar-SA"/>
        </w:rPr>
        <w:t xml:space="preserve">والشهيد </w:t>
      </w:r>
      <w:r>
        <w:rPr>
          <w:rStyle w:val="FootnoteAnchor"/>
          <w:rtl w:val="true"/>
        </w:rPr>
        <w:footnoteReference w:id="2056"/>
      </w:r>
      <w:r>
        <w:rPr>
          <w:rFonts w:ascii="Amiri" w:hAnsi="Amiri" w:eastAsia="Amiri" w:cs="Amiri"/>
          <w:color w:val="111111"/>
          <w:sz w:val="28"/>
          <w:sz w:val="28"/>
          <w:szCs w:val="28"/>
          <w:rtl w:val="true"/>
          <w:lang w:bidi="ar-SA"/>
        </w:rPr>
        <w:t>وبعض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الفاضلين </w:t>
      </w:r>
      <w:r>
        <w:rPr>
          <w:rStyle w:val="FootnoteAnchor"/>
          <w:rtl w:val="true"/>
        </w:rPr>
        <w:footnoteReference w:id="2057"/>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058"/>
      </w:r>
      <w:r>
        <w:rPr>
          <w:rFonts w:ascii="Amiri" w:hAnsi="Amiri" w:eastAsia="Amiri" w:cs="Amiri"/>
          <w:color w:val="111111"/>
          <w:sz w:val="28"/>
          <w:sz w:val="28"/>
          <w:szCs w:val="28"/>
          <w:rtl w:val="true"/>
          <w:lang w:bidi="ar-SA"/>
        </w:rPr>
        <w:t>وغيرهم إسناده إلى الأكثر ؛ إذ هو الظاهر من لفظ القامة المذكورة في الروايات المتقدّمة ، وحمل القامة فيها على مقدار ما بقي من الظلّ بعيد عنها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ذلك كأنه كان اصطلاحا معهودا مما لا شاهد له أصلا ، بل الظاهر من الأخبار خلافه ، مثل ما ورد في المستفيضة من أن اعتبار النبيّ صلى‌اللّه‌عليه‌وآله كان من المسجد ، وكان ارتفاعه حينئذ بمقدار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يعتبر بمضيّ </w:t>
      </w:r>
      <w:r>
        <w:rPr>
          <w:rStyle w:val="FootnoteAnchor"/>
          <w:rtl w:val="true"/>
        </w:rPr>
        <w:footnoteReference w:id="2059"/>
      </w:r>
      <w:r>
        <w:rPr>
          <w:rFonts w:ascii="Amiri" w:hAnsi="Amiri" w:eastAsia="Amiri" w:cs="Amiri"/>
          <w:color w:val="111111"/>
          <w:sz w:val="28"/>
          <w:sz w:val="28"/>
          <w:szCs w:val="28"/>
          <w:rtl w:val="true"/>
          <w:lang w:bidi="ar-SA"/>
        </w:rPr>
        <w:t xml:space="preserve">الذراع والذراعين ، مضافا إلى أنه قد ورد في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ظلّك مثلك فصلّ الظهر </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محلّ السؤال خصوص الصيف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ابن بكير أنه عليه‌السلام قال لأبي بصير أن يقول </w:t>
      </w:r>
      <w:r>
        <w:rPr>
          <w:rStyle w:val="FootnoteAnchor"/>
          <w:rtl w:val="true"/>
        </w:rPr>
        <w:footnoteReference w:id="2061"/>
      </w:r>
      <w:r>
        <w:rPr>
          <w:rFonts w:ascii="Amiri" w:hAnsi="Amiri" w:eastAsia="Amiri" w:cs="Amiri"/>
          <w:color w:val="111111"/>
          <w:sz w:val="28"/>
          <w:sz w:val="28"/>
          <w:szCs w:val="28"/>
          <w:rtl w:val="true"/>
          <w:lang w:bidi="ar-SA"/>
        </w:rPr>
        <w:t xml:space="preserve">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الظهر في الصيف إذا كان ظلّك مثلك </w:t>
      </w:r>
      <w:r>
        <w:rPr>
          <w:rFonts w:eastAsia="Amiri" w:cs="Amiri" w:ascii="Amiri" w:hAnsi="Amiri"/>
          <w:color w:val="111111"/>
          <w:sz w:val="28"/>
          <w:szCs w:val="28"/>
          <w:rtl w:val="true"/>
          <w:lang w:bidi="ar-SA"/>
        </w:rPr>
        <w:t xml:space="preserve">»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ففيهما تأييدا للاعتبار بالشاخص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غير واحد من الروايات من تفسير القامة بالذراع كما في رواية علي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القامة والقامتان الذراع والذراعان في كتاب </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 xml:space="preserve">، ورواية علي بن حمزة المروية </w:t>
      </w:r>
      <w:r>
        <w:rPr>
          <w:rStyle w:val="FootnoteAnchor"/>
          <w:rtl w:val="true"/>
        </w:rPr>
        <w:footnoteReference w:id="2064"/>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القامة هي الذراع </w:t>
      </w:r>
      <w:r>
        <w:rPr>
          <w:rFonts w:eastAsia="Amiri" w:cs="Amiri" w:ascii="Amiri" w:hAnsi="Amiri"/>
          <w:color w:val="111111"/>
          <w:sz w:val="28"/>
          <w:szCs w:val="28"/>
          <w:rtl w:val="true"/>
          <w:lang w:bidi="ar-SA"/>
        </w:rPr>
        <w:t xml:space="preserve">» </w:t>
      </w:r>
      <w:r>
        <w:rPr>
          <w:rStyle w:val="FootnoteAnchor"/>
          <w:rtl w:val="true"/>
        </w:rPr>
        <w:footnoteReference w:id="2065"/>
      </w:r>
      <w:r>
        <w:rPr>
          <w:rFonts w:ascii="Amiri" w:hAnsi="Amiri" w:eastAsia="Amiri" w:cs="Amiri"/>
          <w:color w:val="111111"/>
          <w:sz w:val="28"/>
          <w:sz w:val="28"/>
          <w:szCs w:val="28"/>
          <w:rtl w:val="true"/>
          <w:lang w:bidi="ar-SA"/>
        </w:rPr>
        <w:t xml:space="preserve">، فلا ينافي ما ذكرناه ؛ لإمكان فرض الشاخص ذراعا كما يشهد له رواية ابن أبي حمزة عن الصادق عليه‌السلام أنه قال 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 ، إنّ قامة رجل رسول اللّه صلى‌اللّه‌عليه‌وآله كانت ذراعا </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 وحمل القامة على الذراع بنفسها مما لا يساعد عليه العرف ولا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التهذيب </w:t>
      </w:r>
      <w:r>
        <w:rPr>
          <w:rStyle w:val="FootnoteAnchor"/>
          <w:rtl w:val="true"/>
        </w:rPr>
        <w:footnoteReference w:id="2067"/>
      </w:r>
      <w:r>
        <w:rPr>
          <w:rFonts w:ascii="Amiri" w:hAnsi="Amiri" w:eastAsia="Amiri" w:cs="Amiri"/>
          <w:color w:val="111111"/>
          <w:sz w:val="28"/>
          <w:sz w:val="28"/>
          <w:szCs w:val="28"/>
          <w:rtl w:val="true"/>
          <w:lang w:bidi="ar-SA"/>
        </w:rPr>
        <w:t xml:space="preserve">والمهذّب </w:t>
      </w:r>
      <w:r>
        <w:rPr>
          <w:rStyle w:val="FootnoteAnchor"/>
          <w:rtl w:val="true"/>
        </w:rPr>
        <w:footnoteReference w:id="2068"/>
      </w:r>
      <w:r>
        <w:rPr>
          <w:rFonts w:ascii="IRNazanin" w:hAnsi="IRNazanin" w:eastAsia="IRNazanin"/>
          <w:color w:val="111111"/>
          <w:sz w:val="28"/>
          <w:sz w:val="28"/>
          <w:szCs w:val="28"/>
          <w:rtl w:val="true"/>
          <w:lang w:bidi="fa-IR"/>
        </w:rPr>
        <w:t xml:space="preserve">والشرائع </w:t>
      </w:r>
      <w:r>
        <w:rPr>
          <w:rStyle w:val="FootnoteAnchor"/>
          <w:rtl w:val="true"/>
        </w:rPr>
        <w:footnoteReference w:id="2069"/>
      </w:r>
      <w:r>
        <w:rPr>
          <w:rFonts w:ascii="Amiri" w:hAnsi="Amiri" w:eastAsia="Amiri" w:cs="Amiri"/>
          <w:color w:val="111111"/>
          <w:sz w:val="28"/>
          <w:sz w:val="28"/>
          <w:szCs w:val="28"/>
          <w:rtl w:val="true"/>
          <w:lang w:bidi="ar-SA"/>
        </w:rPr>
        <w:t xml:space="preserve">والإيضاح </w:t>
      </w:r>
      <w:r>
        <w:rPr>
          <w:rStyle w:val="FootnoteAnchor"/>
          <w:rtl w:val="true"/>
        </w:rPr>
        <w:footnoteReference w:id="2070"/>
      </w:r>
      <w:r>
        <w:rPr>
          <w:rFonts w:ascii="Amiri" w:hAnsi="Amiri" w:eastAsia="Amiri" w:cs="Amiri"/>
          <w:color w:val="111111"/>
          <w:sz w:val="28"/>
          <w:sz w:val="28"/>
          <w:szCs w:val="28"/>
          <w:rtl w:val="true"/>
          <w:lang w:bidi="ar-SA"/>
        </w:rPr>
        <w:t>أن العبرة بمماثلة الباقي من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في الأخير إلى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مرسلة يونس ، عن الصادق عليه‌السلام ، وهي مع ضعف إسنادها لا يخلو متنها عن إجمال بل ظاهرها لا يخلو من اختلال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توجيهها على بعض الوجوه ، ومع ذلك فلا يوافق القول المذكور ، ومع الغضّ عن ذلك كلّه فلا تقاوم ما ذكرناه من ظواهر الأخبار المؤيّدة بالشهرة والاعتبار لما هو واضح من </w:t>
      </w:r>
    </w:p>
    <w:p>
      <w:pPr>
        <w:pStyle w:val="BookText"/>
        <w:rPr/>
      </w:pPr>
      <w:r>
        <w:rPr>
          <w:rFonts w:ascii="Amiri" w:hAnsi="Amiri" w:eastAsia="Amiri" w:cs="Amiri"/>
          <w:color w:val="111111"/>
          <w:sz w:val="28"/>
          <w:sz w:val="28"/>
          <w:szCs w:val="28"/>
          <w:rtl w:val="true"/>
          <w:lang w:bidi="ar-SA"/>
        </w:rPr>
        <w:t xml:space="preserve">حصول الاختلاف الشديد على التقدير الآخر قد يبقى مسمّى الظلّ مما لا يكاد يسع الصلاة ، وقد يبقى أزيد من مقدار الشاخص ، وبطء زيادة الظلّ في الأول لا يعادل لزيادة مقدار الظلّ في الثاني بل لا نسبة له ، فتوهّم ارتفاع الفارق </w:t>
      </w:r>
      <w:r>
        <w:rPr>
          <w:rStyle w:val="FootnoteAnchor"/>
          <w:rtl w:val="true"/>
        </w:rPr>
        <w:footnoteReference w:id="2071"/>
      </w:r>
      <w:r>
        <w:rPr>
          <w:rFonts w:ascii="Amiri" w:hAnsi="Amiri" w:eastAsia="Amiri" w:cs="Amiri"/>
          <w:color w:val="111111"/>
          <w:sz w:val="28"/>
          <w:sz w:val="28"/>
          <w:szCs w:val="28"/>
          <w:rtl w:val="true"/>
          <w:lang w:bidi="ar-SA"/>
        </w:rPr>
        <w:t>البيّن بين الأمرين بذلك كما زعمه بعض الأفاضل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لا يبقى من الظلّ مقدار يسع الصلاة بل قد ينتفي بالمرّة ، فلا يبقى محلّ للتقدير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العبرة بوصول الظلّ الزائد إلى ما يماثل الشاخص لا بمجموع الظلّين كما قد يستظهر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مع ذلك الروايتين الأخيرتين </w:t>
      </w:r>
      <w:r>
        <w:rPr>
          <w:rStyle w:val="FootnoteAnchor"/>
          <w:rtl w:val="true"/>
        </w:rPr>
        <w:footnoteReference w:id="2072"/>
      </w:r>
      <w:r>
        <w:rPr>
          <w:rFonts w:ascii="Amiri" w:hAnsi="Amiri" w:eastAsia="Amiri" w:cs="Amiri"/>
          <w:color w:val="111111"/>
          <w:sz w:val="28"/>
          <w:sz w:val="28"/>
          <w:szCs w:val="28"/>
          <w:rtl w:val="true"/>
          <w:lang w:bidi="ar-SA"/>
        </w:rPr>
        <w:t xml:space="preserve">من الأخبار المذكورة في اعتبار القامة مضافا إلى ما في الثاني من الاختلاف الفاحش ، وأنه قد يكون الباقي من القامة ما لا يسع مقدار الصلاة أو يكون الباقي بمقدارها </w:t>
      </w:r>
      <w:r>
        <w:rPr>
          <w:rStyle w:val="FootnoteAnchor"/>
          <w:rtl w:val="true"/>
        </w:rPr>
        <w:footnoteReference w:id="2073"/>
      </w:r>
      <w:r>
        <w:rPr>
          <w:rFonts w:ascii="Amiri" w:hAnsi="Amiri" w:eastAsia="Amiri" w:cs="Amiri"/>
          <w:color w:val="111111"/>
          <w:sz w:val="28"/>
          <w:sz w:val="28"/>
          <w:szCs w:val="28"/>
          <w:rtl w:val="true"/>
          <w:lang w:bidi="ar-SA"/>
        </w:rPr>
        <w:t>أو زائدا عليها فلا يقبل للتقدير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وأوّل وقته الثاني بعد انقضاء وقته الأول </w:t>
      </w:r>
      <w:r>
        <w:rPr>
          <w:rStyle w:val="FootnoteAnchor"/>
          <w:rtl w:val="true"/>
        </w:rPr>
        <w:footnoteReference w:id="2074"/>
      </w:r>
      <w:r>
        <w:rPr>
          <w:rFonts w:ascii="Amiri" w:hAnsi="Amiri" w:eastAsia="Amiri" w:cs="Amiri"/>
          <w:color w:val="111111"/>
          <w:sz w:val="28"/>
          <w:sz w:val="28"/>
          <w:szCs w:val="28"/>
          <w:rtl w:val="true"/>
          <w:lang w:bidi="ar-SA"/>
        </w:rPr>
        <w:t>إلى أن يبقى الغروب مقدار أداء العصر على المعروف من مذهب الأصحاب ، بل لا يعرف فيه مخالف سوى ما مرّ حكايته عن الحلبي من تحديده آخر وقت المضطرّ بصيرورة الظلّ مثل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حمل على ظاهره فضعيف جدا مخالف للنصوص المستفيضة الكثيرة المتلقّاة بالقبول عند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منهما رواية عبيد بن زرارة ، فلا بدّ من تقييدهما </w:t>
      </w:r>
      <w:r>
        <w:rPr>
          <w:rStyle w:val="FootnoteAnchor"/>
          <w:rtl w:val="true"/>
        </w:rPr>
        <w:footnoteReference w:id="2076"/>
      </w:r>
      <w:r>
        <w:rPr>
          <w:rFonts w:ascii="Amiri" w:hAnsi="Amiri" w:eastAsia="Amiri" w:cs="Amiri"/>
          <w:color w:val="111111"/>
          <w:sz w:val="28"/>
          <w:sz w:val="28"/>
          <w:szCs w:val="28"/>
          <w:rtl w:val="true"/>
          <w:lang w:bidi="ar-SA"/>
        </w:rPr>
        <w:t xml:space="preserve">على اختصاص العصر بمقدار أدائها كمرسلة داود بن فرقد في بيان آخر وقت الظهر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يبقى من الشمس مقدار ما يصلي </w:t>
      </w:r>
    </w:p>
    <w:p>
      <w:pPr>
        <w:pStyle w:val="BookText"/>
        <w:rPr/>
      </w:pPr>
      <w:r>
        <w:rPr>
          <w:rFonts w:ascii="Amiri" w:hAnsi="Amiri" w:eastAsia="Amiri" w:cs="Amiri"/>
          <w:color w:val="111111"/>
          <w:sz w:val="28"/>
          <w:sz w:val="28"/>
          <w:szCs w:val="28"/>
          <w:rtl w:val="true"/>
          <w:lang w:bidi="ar-SA"/>
        </w:rPr>
        <w:t xml:space="preserve">أربع ركعات ، فإذا بقي مقدار ذلك فقد خرج وقت الظهر وبقي وقت العصر </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وقوية الحلبي بل صحيحته على الأصح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هو خاف أن يفوته يعني الظهر فليبدأ بالعصر ولا يؤخّرها فتفوته ، فتكون قد فاتتاه جميعا ، ولكن يصلّى العصر فيما قد بقى من وقتها ثم ليصلّ الأولى بعد ذلك على أثرها </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الشهرة العظيمة بل لا يعرف قائل منهم هنا بالاشتراك ، وإن ظهر من الصدوق قوله به في الأول ، فقد صرح في المقام بخلافه فما نسب إليه القول بالاشتراك بالنسبة إلى الآخر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يذكر في بعض العبارات التحديد ببقاء الأربع وفي بعضها ببقاء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الحقيقة لاعتبار الغاية في الأول وملاحظة البداية في الثاني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ظاهر</w:t>
      </w:r>
      <w:r>
        <w:rPr>
          <w:rFonts w:eastAsia="IRNazanin" w:cs="IRNazanin"/>
          <w:color w:val="111111"/>
          <w:sz w:val="28"/>
          <w:szCs w:val="28"/>
          <w:rtl w:val="true"/>
          <w:lang w:bidi="fa-IR"/>
        </w:rPr>
        <w:t xml:space="preserve">. </w:t>
      </w:r>
      <w:bookmarkStart w:id="453" w:name="pg15839_361073"/>
    </w:p>
    <w:p>
      <w:pPr>
        <w:pStyle w:val="Heading5"/>
        <w:numPr>
          <w:ilvl w:val="4"/>
          <w:numId w:val="1"/>
        </w:numPr>
        <w:rPr/>
      </w:pPr>
      <w:bookmarkStart w:id="454" w:name="__RefHeading___Toc14338631_2142443653"/>
      <w:bookmarkStart w:id="455" w:name="_Toc168"/>
      <w:bookmarkEnd w:id="453"/>
      <w:bookmarkEnd w:id="454"/>
      <w:r>
        <w:rPr>
          <w:rtl w:val="true"/>
        </w:rPr>
        <w:t>تبصرة</w:t>
      </w:r>
      <w:r>
        <w:rPr>
          <w:rtl w:val="true"/>
        </w:rPr>
        <w:t xml:space="preserve">: [ </w:t>
      </w:r>
      <w:r>
        <w:rPr>
          <w:rtl w:val="true"/>
        </w:rPr>
        <w:t xml:space="preserve">في وقت العصر </w:t>
      </w:r>
      <w:r>
        <w:rPr>
          <w:rtl w:val="true"/>
        </w:rPr>
        <w:t>]</w:t>
      </w:r>
      <w:bookmarkEnd w:id="455"/>
    </w:p>
    <w:p>
      <w:pPr>
        <w:pStyle w:val="BookText"/>
        <w:rPr/>
      </w:pPr>
      <w:r>
        <w:rPr>
          <w:rFonts w:ascii="Amiri" w:hAnsi="Amiri" w:eastAsia="Amiri" w:cs="Amiri"/>
          <w:color w:val="111111"/>
          <w:sz w:val="28"/>
          <w:sz w:val="28"/>
          <w:szCs w:val="28"/>
          <w:rtl w:val="true"/>
          <w:lang w:bidi="ar-SA"/>
        </w:rPr>
        <w:t xml:space="preserve">المعروف بين الأصحاب أن أول وقت العصر بعد مضي مقدار أداء أربع ركعات عن الزوال ، وآخر وقته الأول صيرورة ظلّ كل شي‌ء مثليه ، وآخر وقته </w:t>
      </w:r>
      <w:r>
        <w:rPr>
          <w:rStyle w:val="FootnoteAnchor"/>
          <w:rtl w:val="true"/>
        </w:rPr>
        <w:footnoteReference w:id="2079"/>
      </w:r>
      <w:r>
        <w:rPr>
          <w:rFonts w:ascii="Amiri" w:hAnsi="Amiri" w:eastAsia="Amiri" w:cs="Amiri"/>
          <w:color w:val="111111"/>
          <w:sz w:val="28"/>
          <w:sz w:val="28"/>
          <w:szCs w:val="28"/>
          <w:rtl w:val="true"/>
          <w:lang w:bidi="ar-SA"/>
        </w:rPr>
        <w:t xml:space="preserve">الآخر إلى الغروب ، فالكلام هنا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الصدوق في الفقيه اشتراك وقت الصلاتين من 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والده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 السيد في الناصريات </w:t>
      </w:r>
      <w:r>
        <w:rPr>
          <w:rStyle w:val="FootnoteAnchor"/>
          <w:rtl w:val="true"/>
        </w:rPr>
        <w:footnoteReference w:id="2080"/>
      </w:r>
      <w:r>
        <w:rPr>
          <w:rFonts w:ascii="Amiri" w:hAnsi="Amiri" w:eastAsia="Amiri" w:cs="Amiri"/>
          <w:color w:val="111111"/>
          <w:sz w:val="28"/>
          <w:sz w:val="28"/>
          <w:szCs w:val="28"/>
          <w:rtl w:val="true"/>
          <w:lang w:bidi="ar-SA"/>
        </w:rPr>
        <w:t xml:space="preserve">إلى أصحابنا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زالت الشمس ودخل وقت الظهر والعصر إلا أن الظهر قبل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حقّق المقام باختصاص الظهر بالأربع ما بعد الزوال ، ثم يشترك الوقتان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حمل كلام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Style w:val="FootnoteAnchor"/>
          <w:rtl w:val="true"/>
        </w:rPr>
        <w:footnoteReference w:id="2081"/>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يزول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فكلام الصدوق في الفقيه ليس صريحا فيما عزي إليه ؛ إذ لم يذكر فيه سوى الرواية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بظاهره دالّة على الاشتراك في الأول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في مقام آخر على اختصاص مقدار الأربع الأخيرة بالعصر فقد يقول بمثله في الأول مع أن تلك الصحيحة ليست صريحة في ذلك ، فيحتمل أن تكون محمولة عنده على نحو آخر الوقت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فخلافه في المسألة غير معلوم وإن قضى به ظاهر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يستظهر منها ذلك مستفيضة بل كادت أن تكون متواترة كصحيحة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الوقتان الظهر والعصر </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عبيد بن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مالك الجهني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الصلاتين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w:t>
      </w:r>
      <w:r>
        <w:rPr>
          <w:rStyle w:val="FootnoteAnchor"/>
          <w:rtl w:val="true"/>
        </w:rPr>
        <w:footnoteReference w:id="2084"/>
      </w:r>
      <w:r>
        <w:rPr>
          <w:rFonts w:ascii="Amiri" w:hAnsi="Amiri" w:eastAsia="Amiri" w:cs="Amiri"/>
          <w:color w:val="111111"/>
          <w:sz w:val="28"/>
          <w:sz w:val="28"/>
          <w:szCs w:val="28"/>
          <w:rtl w:val="true"/>
          <w:lang w:bidi="ar-SA"/>
        </w:rPr>
        <w:t xml:space="preserve">رواية منصور بن يونس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إلا أنها كما عرفت غير صريحة في ذلك ، وحملها على المشهور غير بعيد ، سيّما مع فهم الأصحاب منها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قد صرّح في كثير منها بأن هذه قبل هذه ، فإن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أحدهما على الآخر قد يفيد اختصاص الأول بالأول حيث يتعيّن إيقاعه فيه بمقتضى الحكم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 xml:space="preserve">بالتقدّم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ذلك بالنسبة إلى سائر الأوقات لإمكان وقوع الظهر قبله ، فيكون ذلك الوقت قابلا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التوقيت وإن لم يجز الاتيان بالظهر </w:t>
      </w:r>
      <w:r>
        <w:rPr>
          <w:rStyle w:val="FootnoteAnchor"/>
          <w:rtl w:val="true"/>
        </w:rPr>
        <w:footnoteReference w:id="2088"/>
      </w:r>
      <w:r>
        <w:rPr>
          <w:rFonts w:ascii="Amiri" w:hAnsi="Amiri" w:eastAsia="Amiri" w:cs="Amiri"/>
          <w:color w:val="111111"/>
          <w:sz w:val="28"/>
          <w:sz w:val="28"/>
          <w:szCs w:val="28"/>
          <w:rtl w:val="true"/>
          <w:lang w:bidi="ar-SA"/>
        </w:rPr>
        <w:t>من جهة الترتيب ؛ إذ ذلك المنع لا يقضي بانتفاء التوقيت كما أنه لا يجوز الإتيان بالصلاة بعد دخول الوقت قبل أن يتطهر ؛ فإن المنع من التلبّس بها في تلك الحال لا يقضي بخروجه عن الوقت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ذلك لا يقضي اختصاص الأولى بالأول ، وإنما يفيد الحكم بالترتيب المحض على ما ذكره بعض الأفاضل كما ترى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يحتمل أن يكون المراد به تقدم الأول على الآخر في الوقت ، فالمقصود أنه إذا زالت الشمس دخل الوقتان </w:t>
      </w:r>
      <w:r>
        <w:rPr>
          <w:rStyle w:val="FootnoteAnchor"/>
          <w:rtl w:val="true"/>
        </w:rPr>
        <w:footnoteReference w:id="2089"/>
      </w:r>
      <w:r>
        <w:rPr>
          <w:rFonts w:ascii="Amiri" w:hAnsi="Amiri" w:eastAsia="Amiri" w:cs="Amiri"/>
          <w:color w:val="111111"/>
          <w:sz w:val="28"/>
          <w:sz w:val="28"/>
          <w:szCs w:val="28"/>
          <w:rtl w:val="true"/>
          <w:lang w:bidi="ar-SA"/>
        </w:rPr>
        <w:t xml:space="preserve">إلا أن الظهر يتقدم وقتها على العصر ، فيفيد اختصاص الأول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 ففي مرسلة داود بن فرقد المتلقّاة بالقبول عند الأصحاب تنصيص بذلك ، وهي كافية في إثبات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الظهر حتى يمضي مقدار ما يصلّي المصلّي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مضى ذلك فقد دخل وقت الظهر والعصر حتى يبقى من غروب الشمس مقدار ما يصلي أربع ركعات </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فيقيّد بها إطلاق تلك الروايات كما هو قضية مقابلة المطلق بالمقيد والنصّ بالظاهر ، مع ما عرفت من عدم وضوح دلالتها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بعد انجبار ضعفها بعمل الأصحاب وحكاية الإجماع عليه من الغنية </w:t>
      </w:r>
      <w:r>
        <w:rPr>
          <w:rStyle w:val="FootnoteAnchor"/>
          <w:rtl w:val="true"/>
        </w:rPr>
        <w:footnoteReference w:id="2091"/>
      </w:r>
      <w:r>
        <w:rPr>
          <w:rFonts w:ascii="IRNazanin" w:hAnsi="IRNazanin" w:eastAsia="IRNazanin"/>
          <w:color w:val="111111"/>
          <w:sz w:val="28"/>
          <w:sz w:val="28"/>
          <w:szCs w:val="28"/>
          <w:rtl w:val="true"/>
          <w:lang w:bidi="fa-IR"/>
        </w:rPr>
        <w:t xml:space="preserve">والسرائر </w:t>
      </w:r>
      <w:r>
        <w:rPr>
          <w:rStyle w:val="FootnoteAnchor"/>
          <w:rtl w:val="true"/>
        </w:rPr>
        <w:footnoteReference w:id="2092"/>
      </w:r>
      <w:r>
        <w:rPr>
          <w:rFonts w:ascii="IRNazanin" w:hAnsi="IRNazanin" w:eastAsia="IRNazanin"/>
          <w:color w:val="111111"/>
          <w:sz w:val="28"/>
          <w:sz w:val="28"/>
          <w:szCs w:val="28"/>
          <w:rtl w:val="true"/>
          <w:lang w:bidi="fa-IR"/>
        </w:rPr>
        <w:t xml:space="preserve">والمعتبر </w:t>
      </w:r>
      <w:r>
        <w:rPr>
          <w:rStyle w:val="FootnoteAnchor"/>
          <w:rtl w:val="true"/>
        </w:rPr>
        <w:footnoteReference w:id="2093"/>
      </w:r>
      <w:r>
        <w:rPr>
          <w:rFonts w:ascii="IRNazanin" w:hAnsi="IRNazanin" w:eastAsia="IRNazanin"/>
          <w:color w:val="111111"/>
          <w:sz w:val="28"/>
          <w:sz w:val="28"/>
          <w:szCs w:val="28"/>
          <w:rtl w:val="true"/>
          <w:lang w:bidi="fa-IR"/>
        </w:rPr>
        <w:t xml:space="preserve">والمنتهى </w:t>
      </w:r>
      <w:r>
        <w:rPr>
          <w:rStyle w:val="FootnoteAnchor"/>
          <w:rtl w:val="true"/>
        </w:rPr>
        <w:footnoteReference w:id="2094"/>
      </w:r>
      <w:r>
        <w:rPr>
          <w:rFonts w:ascii="Amiri" w:hAnsi="Amiri" w:eastAsia="Amiri" w:cs="Amiri"/>
          <w:color w:val="111111"/>
          <w:sz w:val="28"/>
          <w:sz w:val="28"/>
          <w:szCs w:val="28"/>
          <w:rtl w:val="true"/>
          <w:lang w:bidi="ar-SA"/>
        </w:rPr>
        <w:t xml:space="preserve">وكشف اللثام </w:t>
      </w:r>
      <w:r>
        <w:rPr>
          <w:rStyle w:val="FootnoteAnchor"/>
          <w:rtl w:val="true"/>
        </w:rPr>
        <w:footnoteReference w:id="2095"/>
      </w:r>
      <w:r>
        <w:rPr>
          <w:rFonts w:ascii="Amiri" w:hAnsi="Amiri" w:eastAsia="Amiri" w:cs="Amiri"/>
          <w:color w:val="111111"/>
          <w:sz w:val="28"/>
          <w:sz w:val="28"/>
          <w:szCs w:val="28"/>
          <w:rtl w:val="true"/>
          <w:lang w:bidi="ar-SA"/>
        </w:rPr>
        <w:t>لا يقصر عن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فمؤاخذة الأصحاب 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البعض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المتأخرين من حمله على بيان الوقت المختص بالظهر عند التذكر لا مطلقا ؛ نظرا إلى أن الاضافة لا يقتضي أكثر من ذلك بمكان من الوهن ؛ إذ لا اختصاص لذلك بأول الوقت لجريانه بعينه في بقية الوقت ، فلا وجه لجعل البقية </w:t>
      </w:r>
      <w:r>
        <w:rPr>
          <w:rStyle w:val="FootnoteAnchor"/>
          <w:rtl w:val="true"/>
        </w:rPr>
        <w:footnoteReference w:id="2096"/>
      </w:r>
      <w:r>
        <w:rPr>
          <w:rFonts w:ascii="Amiri" w:hAnsi="Amiri" w:eastAsia="Amiri" w:cs="Amiri"/>
          <w:color w:val="111111"/>
          <w:sz w:val="28"/>
          <w:sz w:val="28"/>
          <w:szCs w:val="28"/>
          <w:rtl w:val="true"/>
          <w:lang w:bidi="ar-SA"/>
        </w:rPr>
        <w:t>مشتركا بين الفرضين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أنه قال بجريان ذلك بالنسبة إلى العصر ، ومن الواضح أنه مع اشتراك الوقتين إلى الآخر يلزم الإتيان حينئذ بالظهر ؛ إذ هو المقدّم في التكليف ، وقد صرّح في الخبر بخلافه ، فكيف يمكن إجراء التوجيه المذكور فيه؟ </w:t>
      </w:r>
    </w:p>
    <w:p>
      <w:pPr>
        <w:pStyle w:val="BookText"/>
        <w:rPr/>
      </w:pPr>
      <w:r>
        <w:rPr>
          <w:rFonts w:ascii="IRNazanin" w:hAnsi="IRNazanin" w:eastAsia="IRNazanin"/>
          <w:color w:val="111111"/>
          <w:sz w:val="28"/>
          <w:sz w:val="28"/>
          <w:szCs w:val="28"/>
          <w:rtl w:val="true"/>
          <w:lang w:bidi="fa-IR"/>
        </w:rPr>
        <w:t xml:space="preserve">وأعجب </w:t>
      </w:r>
      <w:r>
        <w:rPr>
          <w:rStyle w:val="FootnoteAnchor"/>
          <w:rtl w:val="true"/>
        </w:rPr>
        <w:footnoteReference w:id="2097"/>
      </w:r>
      <w:r>
        <w:rPr>
          <w:rFonts w:ascii="Amiri" w:hAnsi="Amiri" w:eastAsia="Amiri" w:cs="Amiri"/>
          <w:color w:val="111111"/>
          <w:sz w:val="28"/>
          <w:sz w:val="28"/>
          <w:szCs w:val="28"/>
          <w:rtl w:val="true"/>
          <w:lang w:bidi="ar-SA"/>
        </w:rPr>
        <w:t xml:space="preserve">من ذلك ما ذكره في الحدائق </w:t>
      </w:r>
      <w:r>
        <w:rPr>
          <w:rStyle w:val="FootnoteAnchor"/>
          <w:rtl w:val="true"/>
        </w:rPr>
        <w:footnoteReference w:id="2098"/>
      </w:r>
      <w:r>
        <w:rPr>
          <w:rFonts w:ascii="Amiri" w:hAnsi="Amiri" w:eastAsia="Amiri" w:cs="Amiri"/>
          <w:color w:val="111111"/>
          <w:sz w:val="28"/>
          <w:sz w:val="28"/>
          <w:szCs w:val="28"/>
          <w:rtl w:val="true"/>
          <w:lang w:bidi="ar-SA"/>
        </w:rPr>
        <w:t>من أن الحمل المذكور أقرب إلى هذا الخبر مما أوّلوا به الأخبار الدالّة على القول الآخر ، مع أن ما عرفت من الحمل ليس خروجا مبنيّا على ظواهر تلك الأخبار ، بل قد يقال بظهور جملة منها فيه حسب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وعبارة الهداية دخول وقت العصر بعد مضيّ قدمين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محمول على الاستحباب بناء على استحباب تأخير العصر عن وقت فضيلة الظهر ، وقد حكم فيه بأن وقت الظهر من الزوال إلى مقدار القدمين ، وإلا فلا يظهر قائل بمضمونه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المقام </w:t>
      </w:r>
      <w:r>
        <w:rPr>
          <w:rStyle w:val="FootnoteAnchor"/>
          <w:rtl w:val="true"/>
        </w:rPr>
        <w:footnoteReference w:id="2099"/>
      </w:r>
      <w:r>
        <w:rPr>
          <w:rFonts w:ascii="Amiri" w:hAnsi="Amiri" w:eastAsia="Amiri" w:cs="Amiri"/>
          <w:color w:val="111111"/>
          <w:sz w:val="28"/>
          <w:sz w:val="28"/>
          <w:szCs w:val="28"/>
          <w:rtl w:val="true"/>
          <w:lang w:bidi="ar-SA"/>
        </w:rPr>
        <w:t xml:space="preserve">الثاني فالمعروف بين الأصحاب هو ما قدّمناه ، وعن العماني </w:t>
      </w:r>
      <w:r>
        <w:rPr>
          <w:rStyle w:val="FootnoteAnchor"/>
          <w:rtl w:val="true"/>
        </w:rPr>
        <w:footnoteReference w:id="2100"/>
      </w:r>
      <w:r>
        <w:rPr>
          <w:rFonts w:ascii="Amiri" w:hAnsi="Amiri" w:eastAsia="Amiri" w:cs="Amiri"/>
          <w:color w:val="111111"/>
          <w:sz w:val="28"/>
          <w:sz w:val="28"/>
          <w:szCs w:val="28"/>
          <w:rtl w:val="true"/>
          <w:lang w:bidi="ar-SA"/>
        </w:rPr>
        <w:t>أنه يمتد إلى أن ينتهي الظلّ ذراعين ، فإذا جاوز ذلك فقد دخل الوقت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المقنعة </w:t>
      </w:r>
      <w:r>
        <w:rPr>
          <w:rStyle w:val="FootnoteAnchor"/>
          <w:rtl w:val="true"/>
        </w:rPr>
        <w:footnoteReference w:id="2101"/>
      </w:r>
      <w:r>
        <w:rPr>
          <w:rFonts w:ascii="Amiri" w:hAnsi="Amiri" w:eastAsia="Amiri" w:cs="Amiri"/>
          <w:color w:val="111111"/>
          <w:sz w:val="28"/>
          <w:sz w:val="28"/>
          <w:szCs w:val="28"/>
          <w:rtl w:val="true"/>
          <w:lang w:bidi="ar-SA"/>
        </w:rPr>
        <w:t>أنه يمتد وقتها إلى أن يتغير لون الشمس باصفرارها للغروب للمختار ، وجعل وقت المضطر والناسي إلى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102"/>
      </w:r>
      <w:r>
        <w:rPr>
          <w:rFonts w:ascii="Amiri" w:hAnsi="Amiri" w:eastAsia="Amiri" w:cs="Amiri"/>
          <w:color w:val="111111"/>
          <w:sz w:val="28"/>
          <w:sz w:val="28"/>
          <w:szCs w:val="28"/>
          <w:rtl w:val="true"/>
          <w:lang w:bidi="ar-SA"/>
        </w:rPr>
        <w:t>أنّه يمتدّ حتى يصير الظلّ بعد الزيادة ستّة أقدام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 بعد اشتهاره بين الأصحاب والإجماع المحكي عليه من الغنية عدة من الروايات المشتملة على اعتبار القامتين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جملة منها ، ومنها حديث إتيان جبرئيل بالأوقات</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اليوم الأول حين زاد الظلّ قامة فأمره فصلى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الغد </w:t>
      </w:r>
      <w:r>
        <w:rPr>
          <w:rFonts w:eastAsia="Amiri" w:cs="Amiri" w:ascii="Amiri" w:hAnsi="Amiri"/>
          <w:color w:val="111111"/>
          <w:sz w:val="28"/>
          <w:szCs w:val="28"/>
          <w:rtl w:val="true"/>
          <w:lang w:bidi="ar-SA"/>
        </w:rPr>
        <w:t xml:space="preserve">] </w:t>
      </w:r>
      <w:r>
        <w:rPr>
          <w:rStyle w:val="FootnoteAnchor"/>
          <w:rtl w:val="true"/>
        </w:rPr>
        <w:footnoteReference w:id="2103"/>
      </w:r>
      <w:r>
        <w:rPr>
          <w:rFonts w:ascii="Amiri" w:hAnsi="Amiri" w:eastAsia="Amiri" w:cs="Amiri"/>
          <w:color w:val="111111"/>
          <w:sz w:val="28"/>
          <w:sz w:val="28"/>
          <w:szCs w:val="28"/>
          <w:rtl w:val="true"/>
          <w:lang w:bidi="ar-SA"/>
        </w:rPr>
        <w:t>حين زاد في الظلّ قامتان فأمره فصلى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قال </w:t>
      </w:r>
      <w:r>
        <w:rPr>
          <w:rStyle w:val="FootnoteAnchor"/>
          <w:rtl w:val="true"/>
        </w:rPr>
        <w:footnoteReference w:id="2104"/>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w:t>
      </w:r>
    </w:p>
    <w:p>
      <w:pPr>
        <w:pStyle w:val="BookText"/>
        <w:rPr/>
      </w:pPr>
      <w:r>
        <w:rPr>
          <w:rFonts w:ascii="Amiri" w:hAnsi="Amiri" w:eastAsia="Amiri" w:cs="Amiri"/>
          <w:color w:val="111111"/>
          <w:sz w:val="28"/>
          <w:sz w:val="28"/>
          <w:szCs w:val="28"/>
          <w:rtl w:val="true"/>
          <w:lang w:bidi="ar-SA"/>
        </w:rPr>
        <w:t xml:space="preserve">الوقتين وقت </w:t>
      </w:r>
      <w:r>
        <w:rPr>
          <w:rFonts w:eastAsia="Amiri" w:cs="Amiri" w:ascii="Amiri" w:hAnsi="Amiri"/>
          <w:color w:val="111111"/>
          <w:sz w:val="28"/>
          <w:szCs w:val="28"/>
          <w:rtl w:val="true"/>
          <w:lang w:bidi="ar-SA"/>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يستفاد منها من عدم دخول وقت فضيلة العصر إلا بعد خروج وقت فضيلة العصر لا ينافي الاحتجاج بها في المقام أنه لو لم يمكن </w:t>
      </w:r>
      <w:r>
        <w:rPr>
          <w:rStyle w:val="FootnoteAnchor"/>
          <w:rtl w:val="true"/>
        </w:rPr>
        <w:footnoteReference w:id="2106"/>
      </w:r>
      <w:r>
        <w:rPr>
          <w:rFonts w:ascii="Amiri" w:hAnsi="Amiri" w:eastAsia="Amiri" w:cs="Amiri"/>
          <w:color w:val="111111"/>
          <w:sz w:val="28"/>
          <w:sz w:val="28"/>
          <w:szCs w:val="28"/>
          <w:rtl w:val="true"/>
          <w:lang w:bidi="ar-SA"/>
        </w:rPr>
        <w:t>إرجاعها في ذلك إلى سائر الأخبار فحملها على التقية في ذلك لا يقضي بحملها عليها في غيره ، مع عدم حصول داع إليه ؛ لما عرفت من عدم دلالة سائر الأخبار على ما يخالفه ؛ لما أشرنا إليه من عدم دلالة أخبار الذراعين والقدمين والأقدام الأربعة على بيان آخر الوقت إلا أنّ في بعض منها دلالة على خلافه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قائل بمضمونه إلا من شذوذ من الأصحاب ، وهي في نفسه لا تقاوم ما ذكرناه فضلا عن اعتضاده بالعمل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حملها على الأفضليّة ، وهي لا ينافي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ضعف ما استشكله بعضهم في الاحتجاج بما ذكرناه من الأخبار من موافقتها لمذاهب العامة ، فينبغي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مختار العماني مكاتبة محمد بن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w:t>
      </w:r>
      <w:r>
        <w:rPr>
          <w:rStyle w:val="FootnoteAnchor"/>
          <w:rtl w:val="true"/>
        </w:rPr>
        <w:footnoteReference w:id="2107"/>
      </w:r>
      <w:r>
        <w:rPr>
          <w:rFonts w:ascii="Amiri" w:hAnsi="Amiri" w:eastAsia="Amiri" w:cs="Amiri"/>
          <w:color w:val="111111"/>
          <w:sz w:val="28"/>
          <w:sz w:val="28"/>
          <w:szCs w:val="28"/>
          <w:rtl w:val="true"/>
          <w:lang w:bidi="ar-SA"/>
        </w:rPr>
        <w:t xml:space="preserve">أن يكون فراغك من العصر والشمس على أربعة أقدام بعد كلّ قدمين ذراعا </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فيها دلالة ظاهرة على المقصود ؛ إذ غايته إفادة الفضيلة ، وهي لا يقتضي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نحوه في القدمين كما مرّ في ذريح المحاربي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أخبار الذراعين دلالة على عدم فوت </w:t>
      </w:r>
      <w:r>
        <w:rPr>
          <w:rStyle w:val="FootnoteAnchor"/>
          <w:rtl w:val="true"/>
        </w:rPr>
        <w:footnoteReference w:id="2110"/>
      </w:r>
      <w:r>
        <w:rPr>
          <w:rFonts w:ascii="Amiri" w:hAnsi="Amiri" w:eastAsia="Amiri" w:cs="Amiri"/>
          <w:color w:val="111111"/>
          <w:sz w:val="28"/>
          <w:sz w:val="28"/>
          <w:szCs w:val="28"/>
          <w:rtl w:val="true"/>
          <w:lang w:bidi="ar-SA"/>
        </w:rPr>
        <w:t>الفضيلة بتأخيرها إلى مضيّ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 له منصور بن حازم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العصر على أربعة أقدام </w:t>
      </w:r>
      <w:r>
        <w:rPr>
          <w:rFonts w:eastAsia="Amiri" w:cs="Amiri" w:ascii="Amiri" w:hAnsi="Amiri"/>
          <w:color w:val="111111"/>
          <w:sz w:val="28"/>
          <w:szCs w:val="28"/>
          <w:rtl w:val="true"/>
          <w:lang w:bidi="ar-SA"/>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على ذراعين فمن تركها حتى تصير إلى ستة أقدام فذلك التضييع </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على حجّة المفيد ، وفي الأخبار دلالة بيّنة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مختار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سليمان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العصر ستّة أقدام ونصف </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 xml:space="preserve">، وفي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العصر يوم الجمعة على ستة أقدام </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 وشي‌ء منهما لا يطابق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الثالث فالذي ذكرناه هو الذي استقر عليه المذهب ، بل لا يعرف فيه مخالف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الشيخ في الخلاف في الاستدلال على أن آخر وقته الأول المثلان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دليلنا على ما اعتبرناه أنّه مجمع عليه بين الفرقة أنّه من الوقت ، وما زاد عليه مختلف في كونه وقتا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الجمل والخلاف </w:t>
      </w:r>
      <w:r>
        <w:rPr>
          <w:rStyle w:val="FootnoteAnchor"/>
          <w:rtl w:val="true"/>
        </w:rPr>
        <w:footnoteReference w:id="2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2116"/>
      </w:r>
      <w:r>
        <w:rPr>
          <w:rFonts w:ascii="Amiri" w:hAnsi="Amiri" w:eastAsia="Amiri" w:cs="Amiri"/>
          <w:color w:val="111111"/>
          <w:sz w:val="28"/>
          <w:sz w:val="28"/>
          <w:szCs w:val="28"/>
          <w:rtl w:val="true"/>
          <w:lang w:bidi="ar-SA"/>
        </w:rPr>
        <w:t>آخر وقت العصر المثلان من غير نصّ إلى أن ذلك للمختار ، فقد يقيّد ذلك خروج الوقت بذلك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الأولى حملها على بيان آخر وقت الفضيلة ، وإلا لم يثبت للعصر وقتان ، فالظاهر إذن عدم خلاف في امتداد وقته الثاني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 النصوص المستفيضة المعتضدة بالعمل</w:t>
      </w:r>
      <w:r>
        <w:rPr>
          <w:rFonts w:eastAsia="Amiri" w:cs="Amiri" w:ascii="Amiri" w:hAnsi="Amiri"/>
          <w:color w:val="111111"/>
          <w:sz w:val="28"/>
          <w:szCs w:val="28"/>
          <w:rtl w:val="true"/>
          <w:lang w:bidi="ar-SA"/>
        </w:rPr>
        <w:t xml:space="preserve">. </w:t>
      </w:r>
      <w:bookmarkStart w:id="456" w:name="pg15839_361079"/>
    </w:p>
    <w:p>
      <w:pPr>
        <w:pStyle w:val="Heading5"/>
        <w:numPr>
          <w:ilvl w:val="4"/>
          <w:numId w:val="1"/>
        </w:numPr>
        <w:rPr/>
      </w:pPr>
      <w:bookmarkStart w:id="457" w:name="__RefHeading___Toc14338633_2142443653"/>
      <w:bookmarkStart w:id="458" w:name="_Toc169"/>
      <w:bookmarkEnd w:id="456"/>
      <w:bookmarkEnd w:id="457"/>
      <w:r>
        <w:rPr>
          <w:rtl w:val="true"/>
        </w:rPr>
        <w:t>تبصرة</w:t>
      </w:r>
      <w:r>
        <w:rPr>
          <w:rtl w:val="true"/>
        </w:rPr>
        <w:t xml:space="preserve">: [ </w:t>
      </w:r>
      <w:r>
        <w:rPr>
          <w:rtl w:val="true"/>
        </w:rPr>
        <w:t xml:space="preserve">في وقت المغرب </w:t>
      </w:r>
      <w:r>
        <w:rPr>
          <w:rtl w:val="true"/>
        </w:rPr>
        <w:t>]</w:t>
      </w:r>
      <w:bookmarkEnd w:id="458"/>
    </w:p>
    <w:p>
      <w:pPr>
        <w:pStyle w:val="BookText"/>
        <w:rPr/>
      </w:pPr>
      <w:r>
        <w:rPr>
          <w:rFonts w:ascii="Amiri" w:hAnsi="Amiri" w:eastAsia="Amiri" w:cs="Amiri"/>
          <w:color w:val="111111"/>
          <w:sz w:val="28"/>
          <w:sz w:val="28"/>
          <w:szCs w:val="28"/>
          <w:rtl w:val="true"/>
          <w:lang w:bidi="ar-SA"/>
        </w:rPr>
        <w:t xml:space="preserve">لا خلاف بين الأصحاب في أن </w:t>
      </w:r>
      <w:r>
        <w:rPr>
          <w:rStyle w:val="FootnoteAnchor"/>
          <w:rtl w:val="true"/>
        </w:rPr>
        <w:footnoteReference w:id="2117"/>
      </w:r>
      <w:r>
        <w:rPr>
          <w:rFonts w:ascii="Amiri" w:hAnsi="Amiri" w:eastAsia="Amiri" w:cs="Amiri"/>
          <w:color w:val="111111"/>
          <w:sz w:val="28"/>
          <w:sz w:val="28"/>
          <w:szCs w:val="28"/>
          <w:rtl w:val="true"/>
          <w:lang w:bidi="ar-SA"/>
        </w:rPr>
        <w:t>أول وقت المغرب غروب الشمس ، واختلفوا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أنه يمتدّ إلى أن يبقى لانتصاف الليل مقدار أربع ركعات يعني مقدار أداء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الغنية </w:t>
      </w:r>
      <w:r>
        <w:rPr>
          <w:rStyle w:val="FootnoteAnchor"/>
          <w:rtl w:val="true"/>
        </w:rPr>
        <w:footnoteReference w:id="2118"/>
      </w:r>
      <w:r>
        <w:rPr>
          <w:rFonts w:ascii="IRNazanin" w:hAnsi="IRNazanin" w:eastAsia="IRNazanin"/>
          <w:color w:val="111111"/>
          <w:sz w:val="28"/>
          <w:sz w:val="28"/>
          <w:szCs w:val="28"/>
          <w:rtl w:val="true"/>
          <w:lang w:bidi="fa-IR"/>
        </w:rPr>
        <w:t xml:space="preserve">والسرائر </w:t>
      </w:r>
      <w:r>
        <w:rPr>
          <w:rStyle w:val="FootnoteAnchor"/>
          <w:rtl w:val="true"/>
        </w:rPr>
        <w:footnoteReference w:id="2119"/>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2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باشتراك الوقت بعد الزوال بمقدار أداء الظهر بينها وبين العصر قبل الغيبوبة بمقدار أداء العصر ، قال باشتراك الوقت بين المغرب والعشاء بعد مضيّ وقت المغرب إلى ما قبل انتصاف الليل بمقدار أداء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خرق الإجماع</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القول به عن السيد </w:t>
      </w:r>
      <w:r>
        <w:rPr>
          <w:rStyle w:val="FootnoteAnchor"/>
          <w:rtl w:val="true"/>
        </w:rPr>
        <w:footnoteReference w:id="2121"/>
      </w:r>
      <w:r>
        <w:rPr>
          <w:rStyle w:val="FootnoteAnchor"/>
          <w:rtl w:val="true"/>
        </w:rPr>
        <w:footnoteReference w:id="2122"/>
      </w:r>
      <w:r>
        <w:rPr>
          <w:rFonts w:ascii="Amiri" w:hAnsi="Amiri" w:eastAsia="Amiri" w:cs="Amiri"/>
          <w:color w:val="111111"/>
          <w:sz w:val="28"/>
          <w:sz w:val="28"/>
          <w:szCs w:val="28"/>
          <w:rtl w:val="true"/>
          <w:lang w:bidi="ar-SA"/>
        </w:rPr>
        <w:t xml:space="preserve">وابن ادريس </w:t>
      </w:r>
      <w:r>
        <w:rPr>
          <w:rStyle w:val="FootnoteAnchor"/>
          <w:rtl w:val="true"/>
        </w:rPr>
        <w:footnoteReference w:id="2123"/>
      </w:r>
      <w:r>
        <w:rPr>
          <w:rFonts w:ascii="Amiri" w:hAnsi="Amiri" w:eastAsia="Amiri" w:cs="Amiri"/>
          <w:color w:val="111111"/>
          <w:sz w:val="28"/>
          <w:sz w:val="28"/>
          <w:szCs w:val="28"/>
          <w:rtl w:val="true"/>
          <w:lang w:bidi="ar-SA"/>
        </w:rPr>
        <w:t xml:space="preserve">والفاضلين </w:t>
      </w:r>
      <w:r>
        <w:rPr>
          <w:rStyle w:val="FootnoteAnchor"/>
          <w:rtl w:val="true"/>
        </w:rPr>
        <w:footnoteReference w:id="2124"/>
      </w:r>
      <w:r>
        <w:rPr>
          <w:rFonts w:ascii="Amiri" w:hAnsi="Amiri" w:eastAsia="Amiri" w:cs="Amiri"/>
          <w:color w:val="111111"/>
          <w:sz w:val="28"/>
          <w:sz w:val="28"/>
          <w:szCs w:val="28"/>
          <w:rtl w:val="true"/>
          <w:lang w:bidi="ar-SA"/>
        </w:rPr>
        <w:t xml:space="preserve">وسائر المتأخرين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الكليني والشيخ في عدة من كتبه والطوسي </w:t>
      </w:r>
      <w:r>
        <w:rPr>
          <w:rStyle w:val="FootnoteAnchor"/>
          <w:rtl w:val="true"/>
        </w:rPr>
        <w:footnoteReference w:id="2126"/>
      </w:r>
      <w:r>
        <w:rPr>
          <w:rFonts w:ascii="Amiri" w:hAnsi="Amiri" w:eastAsia="Amiri" w:cs="Amiri"/>
          <w:color w:val="111111"/>
          <w:sz w:val="28"/>
          <w:sz w:val="28"/>
          <w:szCs w:val="28"/>
          <w:rtl w:val="true"/>
          <w:lang w:bidi="ar-SA"/>
        </w:rPr>
        <w:t xml:space="preserve">أن وقت المختار إلى غيبوبة الشفق ووقت </w:t>
      </w:r>
    </w:p>
    <w:p>
      <w:pPr>
        <w:pStyle w:val="BookText"/>
        <w:rPr/>
      </w:pPr>
      <w:r>
        <w:rPr>
          <w:rFonts w:ascii="Amiri" w:hAnsi="Amiri" w:eastAsia="Amiri" w:cs="Amiri"/>
          <w:color w:val="111111"/>
          <w:sz w:val="28"/>
          <w:sz w:val="28"/>
          <w:szCs w:val="28"/>
          <w:rtl w:val="true"/>
          <w:lang w:bidi="ar-SA"/>
        </w:rPr>
        <w:t xml:space="preserve">المضطر إلى ربع الليل إلا أنه </w:t>
      </w:r>
      <w:r>
        <w:rPr>
          <w:rStyle w:val="FootnoteAnchor"/>
          <w:rtl w:val="true"/>
        </w:rPr>
        <w:footnoteReference w:id="2127"/>
      </w:r>
      <w:r>
        <w:rPr>
          <w:rFonts w:ascii="Amiri" w:hAnsi="Amiri" w:eastAsia="Amiri" w:cs="Amiri"/>
          <w:color w:val="111111"/>
          <w:sz w:val="28"/>
          <w:sz w:val="28"/>
          <w:szCs w:val="28"/>
          <w:rtl w:val="true"/>
          <w:lang w:bidi="ar-SA"/>
        </w:rPr>
        <w:t xml:space="preserve">ذكر الكليني أنه روي أيضا امتداد وقته إلى نصف الليل </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الشيخين في المقنعة </w:t>
      </w:r>
      <w:r>
        <w:rPr>
          <w:rStyle w:val="FootnoteAnchor"/>
          <w:rtl w:val="true"/>
        </w:rPr>
        <w:footnoteReference w:id="2129"/>
      </w:r>
      <w:r>
        <w:rPr>
          <w:rFonts w:ascii="Amiri" w:hAnsi="Amiri" w:eastAsia="Amiri" w:cs="Amiri"/>
          <w:color w:val="111111"/>
          <w:sz w:val="28"/>
          <w:sz w:val="28"/>
          <w:szCs w:val="28"/>
          <w:rtl w:val="true"/>
          <w:lang w:bidi="ar-SA"/>
        </w:rPr>
        <w:t xml:space="preserve">والنهاية </w:t>
      </w:r>
      <w:r>
        <w:rPr>
          <w:rStyle w:val="FootnoteAnchor"/>
          <w:rtl w:val="true"/>
        </w:rPr>
        <w:footnoteReference w:id="2130"/>
      </w:r>
      <w:r>
        <w:rPr>
          <w:rFonts w:ascii="Amiri" w:hAnsi="Amiri" w:eastAsia="Amiri" w:cs="Amiri"/>
          <w:color w:val="111111"/>
          <w:sz w:val="28"/>
          <w:sz w:val="28"/>
          <w:szCs w:val="28"/>
          <w:rtl w:val="true"/>
          <w:lang w:bidi="ar-SA"/>
        </w:rPr>
        <w:t>أنه رخّص التأخير للمسافر إلى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الديلمي </w:t>
      </w:r>
      <w:r>
        <w:rPr>
          <w:rStyle w:val="FootnoteAnchor"/>
          <w:rtl w:val="true"/>
        </w:rPr>
        <w:footnoteReference w:id="2131"/>
      </w:r>
      <w:r>
        <w:rPr>
          <w:rFonts w:ascii="Amiri" w:hAnsi="Amiri" w:eastAsia="Amiri" w:cs="Amiri"/>
          <w:color w:val="111111"/>
          <w:sz w:val="28"/>
          <w:sz w:val="28"/>
          <w:szCs w:val="28"/>
          <w:rtl w:val="true"/>
          <w:lang w:bidi="ar-SA"/>
        </w:rPr>
        <w:t>أنه قد روي جواز تأخير المغرب للمسافر إذا جد به السير إلى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القول في ذلك أن ذهاب الشفق هو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الأول أعني وقت الفضيلة على ما اخترناه في أول الوقتين ، وعلى القول الآخر يكون ذلك آخر </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وقت المختار ، فلا يجوز له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القول المذكور ، وآخر وقته الثاني إذا بقي لانتصاف الليل مقدار أداء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فيه الجماعة المذكورون ، فبنوا على تحديده بربع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هنا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الفضيلة بذهاب الحمرة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أن ثبوت الخصوصية لذلك ورجحان إيقاع الفعل فيه في الجملة مما لا خلاف فيه ، وإنما الخلاف في خروج وقت </w:t>
      </w:r>
      <w:r>
        <w:rPr>
          <w:rStyle w:val="FootnoteAnchor"/>
          <w:rtl w:val="true"/>
        </w:rPr>
        <w:footnoteReference w:id="2133"/>
      </w:r>
      <w:r>
        <w:rPr>
          <w:rFonts w:ascii="Amiri" w:hAnsi="Amiri" w:eastAsia="Amiri" w:cs="Amiri"/>
          <w:color w:val="111111"/>
          <w:sz w:val="28"/>
          <w:sz w:val="28"/>
          <w:szCs w:val="28"/>
          <w:rtl w:val="true"/>
          <w:lang w:bidi="ar-SA"/>
        </w:rPr>
        <w:t>المختار به ، فكونه وقتا لأحد الأمرين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كونه للفضيلة ما دلّ على جواز تأخيرها عن ذلك حسبما مرّ القول فيه ، مع ما عرفت من المؤيّدات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عدّة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فوتها سقوط </w:t>
      </w:r>
    </w:p>
    <w:p>
      <w:pPr>
        <w:pStyle w:val="BookText"/>
        <w:rPr/>
      </w:pPr>
      <w:r>
        <w:rPr>
          <w:rFonts w:ascii="IRNazanin" w:hAnsi="IRNazanin" w:eastAsia="IRNazanin"/>
          <w:color w:val="111111"/>
          <w:sz w:val="28"/>
          <w:sz w:val="28"/>
          <w:szCs w:val="28"/>
          <w:rtl w:val="true"/>
          <w:lang w:bidi="fa-IR"/>
        </w:rPr>
        <w:t xml:space="preserve">الشفق </w:t>
      </w:r>
      <w:r>
        <w:rPr>
          <w:rFonts w:eastAsia="IRNazanin" w:cs="IRNazanin"/>
          <w:color w:val="111111"/>
          <w:sz w:val="28"/>
          <w:szCs w:val="28"/>
          <w:rtl w:val="true"/>
          <w:lang w:bidi="fa-IR"/>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w:t>
      </w:r>
      <w:r>
        <w:rPr>
          <w:rStyle w:val="FootnoteAnchor"/>
          <w:rtl w:val="true"/>
        </w:rPr>
        <w:footnoteReference w:id="2135"/>
      </w:r>
      <w:r>
        <w:rPr>
          <w:rFonts w:ascii="IRNazanin" w:hAnsi="IRNazanin" w:eastAsia="IRNazanin"/>
          <w:color w:val="111111"/>
          <w:sz w:val="28"/>
          <w:sz w:val="28"/>
          <w:szCs w:val="28"/>
          <w:rtl w:val="true"/>
          <w:lang w:bidi="fa-IR"/>
        </w:rPr>
        <w:t xml:space="preserve">وقتها سقوط الشفق </w:t>
      </w:r>
      <w:r>
        <w:rPr>
          <w:rFonts w:eastAsia="IRNazanin" w:cs="IRNazanin"/>
          <w:color w:val="111111"/>
          <w:sz w:val="28"/>
          <w:szCs w:val="28"/>
          <w:rtl w:val="true"/>
          <w:lang w:bidi="fa-IR"/>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اسماعيل بن مهران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وقتها ذهاب الحمرة ومصيرها إلى البياض في أفق المغرب </w:t>
      </w:r>
      <w:r>
        <w:rPr>
          <w:rFonts w:eastAsia="Amiri" w:cs="Amiri" w:ascii="Amiri" w:hAnsi="Amiri"/>
          <w:color w:val="111111"/>
          <w:sz w:val="28"/>
          <w:szCs w:val="28"/>
          <w:rtl w:val="true"/>
          <w:lang w:bidi="ar-SA"/>
        </w:rPr>
        <w:t xml:space="preserve">»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أخّر المغرب حتى تشبّك </w:t>
      </w:r>
      <w:r>
        <w:rPr>
          <w:rStyle w:val="FootnoteAnchor"/>
          <w:rtl w:val="true"/>
        </w:rPr>
        <w:footnoteReference w:id="2138"/>
      </w:r>
      <w:r>
        <w:rPr>
          <w:rFonts w:ascii="Amiri" w:hAnsi="Amiri" w:eastAsia="Amiri" w:cs="Amiri"/>
          <w:color w:val="111111"/>
          <w:sz w:val="28"/>
          <w:sz w:val="28"/>
          <w:szCs w:val="28"/>
          <w:rtl w:val="true"/>
          <w:lang w:bidi="ar-SA"/>
        </w:rPr>
        <w:t xml:space="preserve">النجوم من غير علّة فإنا إلى اللّه منه بري‌ء </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حين تغيّب الشمس إلى أن تشبّك </w:t>
      </w:r>
      <w:r>
        <w:rPr>
          <w:rStyle w:val="FootnoteAnchor"/>
          <w:rtl w:val="true"/>
        </w:rPr>
        <w:footnoteReference w:id="2140"/>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عليه‌السلام أتى النبي صلى‌اللّه‌عليه‌وآله في الوقت الثاني في المغرب قبل سقوط الشفق </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الخطاب أفسد </w:t>
      </w:r>
      <w:r>
        <w:rPr>
          <w:rStyle w:val="FootnoteAnchor"/>
          <w:rtl w:val="true"/>
        </w:rPr>
        <w:footnoteReference w:id="2143"/>
      </w:r>
      <w:r>
        <w:rPr>
          <w:rFonts w:ascii="Amiri" w:hAnsi="Amiri" w:eastAsia="Amiri" w:cs="Amiri"/>
          <w:color w:val="111111"/>
          <w:sz w:val="28"/>
          <w:sz w:val="28"/>
          <w:szCs w:val="28"/>
          <w:rtl w:val="true"/>
          <w:lang w:bidi="ar-SA"/>
        </w:rPr>
        <w:t xml:space="preserve">أهل الكوفة فصاروا لا يصلّون المغرب حتى يغيب الشفق ، ولم يكن ذلك إنما ذلك للمسافر وصاحب العلة </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محمولة على الفضل والاستحباب لما عرفت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غربت </w:t>
      </w:r>
      <w:r>
        <w:rPr>
          <w:rStyle w:val="FootnoteAnchor"/>
          <w:rtl w:val="true"/>
        </w:rPr>
        <w:footnoteReference w:id="2145"/>
      </w:r>
      <w:r>
        <w:rPr>
          <w:rFonts w:ascii="Amiri" w:hAnsi="Amiri" w:eastAsia="Amiri" w:cs="Amiri"/>
          <w:color w:val="111111"/>
          <w:sz w:val="28"/>
          <w:sz w:val="28"/>
          <w:szCs w:val="28"/>
          <w:rtl w:val="true"/>
          <w:lang w:bidi="ar-SA"/>
        </w:rPr>
        <w:t xml:space="preserve">الشمس دخل وقت الصلاتين إلى نصف الليل إلا أن </w:t>
      </w:r>
    </w:p>
    <w:p>
      <w:pPr>
        <w:pStyle w:val="BookText"/>
        <w:rPr/>
      </w:pPr>
      <w:r>
        <w:rPr>
          <w:rFonts w:ascii="IRNazanin" w:hAnsi="IRNazanin" w:eastAsia="IRNazanin"/>
          <w:color w:val="111111"/>
          <w:sz w:val="28"/>
          <w:sz w:val="28"/>
          <w:szCs w:val="28"/>
          <w:rtl w:val="true"/>
          <w:lang w:bidi="fa-IR"/>
        </w:rPr>
        <w:t xml:space="preserve">هذه قبل هذه </w:t>
      </w:r>
      <w:r>
        <w:rPr>
          <w:rFonts w:eastAsia="IRNazanin" w:cs="IRNazanin"/>
          <w:color w:val="111111"/>
          <w:sz w:val="28"/>
          <w:szCs w:val="28"/>
          <w:rtl w:val="true"/>
          <w:lang w:bidi="fa-IR"/>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داود بن فرقد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فقد دخل الوقت المغرب حتى يمضي مقدار ما يصلى المصلي ثلاث ركعات ، فإذا مضى ذلك فقد دخل وقت المغرب والعشاء الآخرة حتّى يبقى من انتصاف الليل مقدار ما يصلّي المصلّي أربع ركعات ، وإذا بقي مقدار ذلك فقد خرج وقت المغرب </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ثبت القول به كذلك ففي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وقت الثاني إلى مقدار أداء العشاء من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ومركبا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بملاحظة تفسيره في الصحيح في غير واحد من الروايات ، ففي صحيحة عبيد بن زرارة في تفسير الآية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صلاتان أول وقتهما من غروب الشمس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2149"/>
      </w:r>
      <w:r>
        <w:rPr>
          <w:rFonts w:ascii="Amiri" w:hAnsi="Amiri" w:eastAsia="Amiri" w:cs="Amiri"/>
          <w:color w:val="111111"/>
          <w:sz w:val="28"/>
          <w:sz w:val="28"/>
          <w:szCs w:val="28"/>
          <w:rtl w:val="true"/>
          <w:lang w:bidi="ar-SA"/>
        </w:rPr>
        <w:t>روايته الأخرى ومرسلة 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الكافي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أن وقت المغرب في السفر إلى نصف الليل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تأيّده بالشهرة ، وإطلاق ما دلّ على جواز التأخير عن الشفق لعلة فإنه يعمّ ما بعد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القائل بانتهائه إلى ربع الليل قوله عليه‌السلام 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في وقت إلى ربع الليل </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 بحملها على المعذور كما قد يستفاد من صدرها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ربع الليل </w:t>
      </w:r>
      <w:r>
        <w:rPr>
          <w:rFonts w:eastAsia="Amiri" w:cs="Amiri" w:ascii="Amiri" w:hAnsi="Amiri"/>
          <w:color w:val="111111"/>
          <w:sz w:val="28"/>
          <w:szCs w:val="28"/>
          <w:rtl w:val="true"/>
          <w:lang w:bidi="ar-SA"/>
        </w:rPr>
        <w:t xml:space="preserve">»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أرفق بك وأمكن لك في صلاتك وكنت في حوائجك فلك أن تؤخرها إلى ربع الليل </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لا يقاوم ما ذكرناه من الأخبار المؤيّدة بعمل الأصحاب ، فهي محمولة على شدّة مرجوحية التأخير بعد ذلك ، ومع ذلك فهي معارضة بأخبار أخر ، ففي صحيحة أخرى لعمر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في السفر إلى ثلث الليل </w:t>
      </w:r>
      <w:r>
        <w:rPr>
          <w:rFonts w:eastAsia="Amiri" w:cs="Amiri" w:ascii="Amiri" w:hAnsi="Amiri"/>
          <w:color w:val="111111"/>
          <w:sz w:val="28"/>
          <w:szCs w:val="28"/>
          <w:rtl w:val="true"/>
          <w:lang w:bidi="ar-SA"/>
        </w:rPr>
        <w:t xml:space="preserve">»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جعفر </w:t>
      </w:r>
      <w:r>
        <w:rPr>
          <w:rStyle w:val="FootnoteAnchor"/>
          <w:rtl w:val="true"/>
        </w:rPr>
        <w:footnoteReference w:id="21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 وقت من المغرب في السفر إلى خمسة أميال من بعد غروب الشمس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رواية اخرى الرخصة في تأخيره إلى ستة أميال ، وذلك قد يزيد في بعض الأحيان على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على تأكّد المرجوحية في التأخير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باختلاف الحال في ذلك مع اختلاف الأعذار والأحوال ، فيندرج مراتب المرجوحيّة بملاحظتها</w:t>
      </w:r>
      <w:r>
        <w:rPr>
          <w:rFonts w:eastAsia="Amiri" w:cs="Amiri" w:ascii="Amiri" w:hAnsi="Amiri"/>
          <w:color w:val="111111"/>
          <w:sz w:val="28"/>
          <w:szCs w:val="28"/>
          <w:rtl w:val="true"/>
          <w:lang w:bidi="ar-SA"/>
        </w:rPr>
        <w:t xml:space="preserve">. </w:t>
      </w:r>
      <w:bookmarkStart w:id="459" w:name="pg15839_361084"/>
    </w:p>
    <w:p>
      <w:pPr>
        <w:pStyle w:val="Heading5"/>
        <w:numPr>
          <w:ilvl w:val="4"/>
          <w:numId w:val="1"/>
        </w:numPr>
        <w:rPr/>
      </w:pPr>
      <w:bookmarkStart w:id="460" w:name="__RefHeading___Toc14338635_2142443653"/>
      <w:bookmarkStart w:id="461" w:name="_Toc170"/>
      <w:bookmarkEnd w:id="459"/>
      <w:bookmarkEnd w:id="460"/>
      <w:r>
        <w:rPr>
          <w:rtl w:val="true"/>
        </w:rPr>
        <w:t>تبصرة</w:t>
      </w:r>
      <w:r>
        <w:rPr>
          <w:rtl w:val="true"/>
        </w:rPr>
        <w:t xml:space="preserve">: [ </w:t>
      </w:r>
      <w:r>
        <w:rPr>
          <w:rtl w:val="true"/>
        </w:rPr>
        <w:t xml:space="preserve">في وقت العشاء </w:t>
      </w:r>
      <w:r>
        <w:rPr>
          <w:rtl w:val="true"/>
        </w:rPr>
        <w:t>]</w:t>
      </w:r>
      <w:bookmarkEnd w:id="461"/>
    </w:p>
    <w:p>
      <w:pPr>
        <w:pStyle w:val="BookText"/>
        <w:rPr/>
      </w:pPr>
      <w:r>
        <w:rPr>
          <w:rFonts w:ascii="Amiri" w:hAnsi="Amiri" w:eastAsia="Amiri" w:cs="Amiri"/>
          <w:color w:val="111111"/>
          <w:sz w:val="28"/>
          <w:sz w:val="28"/>
          <w:szCs w:val="28"/>
          <w:rtl w:val="true"/>
          <w:lang w:bidi="ar-SA"/>
        </w:rPr>
        <w:t xml:space="preserve">أول وقت العشاء بعد مضي مقدار أداء المغرب بعد الغروب ، على المشهور بين الأصحاب كما هو المعلوم من ملاحظة فتاويهم ، والمحكي في كلام جماعة من محقّقيهم كالمحقق الكركي </w:t>
      </w:r>
      <w:r>
        <w:rPr>
          <w:rStyle w:val="FootnoteAnchor"/>
          <w:rtl w:val="true"/>
        </w:rPr>
        <w:footnoteReference w:id="2157"/>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الإجماع عليه في الغنية </w:t>
      </w:r>
      <w:r>
        <w:rPr>
          <w:rStyle w:val="FootnoteAnchor"/>
          <w:rtl w:val="true"/>
        </w:rPr>
        <w:footnoteReference w:id="2159"/>
      </w:r>
      <w:r>
        <w:rPr>
          <w:rFonts w:ascii="IRNazanin" w:hAnsi="IRNazanin" w:eastAsia="IRNazanin"/>
          <w:color w:val="111111"/>
          <w:sz w:val="28"/>
          <w:sz w:val="28"/>
          <w:szCs w:val="28"/>
          <w:rtl w:val="true"/>
          <w:lang w:bidi="fa-IR"/>
        </w:rPr>
        <w:t xml:space="preserve">والسرائر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2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فارق بين الظهرين والعشاءين ، فمن قال بالاشتراك عند الفراغ من الظهر قال به عند الفراغ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غاية المرام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162"/>
      </w:r>
      <w:r>
        <w:rPr>
          <w:rFonts w:ascii="Amiri" w:hAnsi="Amiri" w:eastAsia="Amiri" w:cs="Amiri"/>
          <w:color w:val="111111"/>
          <w:sz w:val="28"/>
          <w:sz w:val="28"/>
          <w:szCs w:val="28"/>
          <w:rtl w:val="true"/>
          <w:lang w:bidi="ar-SA"/>
        </w:rPr>
        <w:t>إلى سائر المتأخرين موذنا باتفاقهم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عزي القول به إلى الإسكافي والسيدين </w:t>
      </w:r>
      <w:r>
        <w:rPr>
          <w:rStyle w:val="FootnoteAnchor"/>
          <w:rtl w:val="true"/>
        </w:rPr>
        <w:footnoteReference w:id="2163"/>
      </w:r>
      <w:r>
        <w:rPr>
          <w:rFonts w:ascii="Amiri" w:hAnsi="Amiri" w:eastAsia="Amiri" w:cs="Amiri"/>
          <w:color w:val="111111"/>
          <w:sz w:val="28"/>
          <w:sz w:val="28"/>
          <w:szCs w:val="28"/>
          <w:rtl w:val="true"/>
          <w:lang w:bidi="ar-SA"/>
        </w:rPr>
        <w:t xml:space="preserve">والقاضي </w:t>
      </w:r>
      <w:r>
        <w:rPr>
          <w:rStyle w:val="FootnoteAnchor"/>
          <w:rtl w:val="true"/>
        </w:rPr>
        <w:footnoteReference w:id="2164"/>
      </w:r>
      <w:r>
        <w:rPr>
          <w:rFonts w:ascii="Amiri" w:hAnsi="Amiri" w:eastAsia="Amiri" w:cs="Amiri"/>
          <w:color w:val="111111"/>
          <w:sz w:val="28"/>
          <w:sz w:val="28"/>
          <w:szCs w:val="28"/>
          <w:rtl w:val="true"/>
          <w:lang w:bidi="ar-SA"/>
        </w:rPr>
        <w:t xml:space="preserve">والحلبي </w:t>
      </w:r>
      <w:r>
        <w:rPr>
          <w:rStyle w:val="FootnoteAnchor"/>
          <w:rtl w:val="true"/>
        </w:rPr>
        <w:footnoteReference w:id="2165"/>
      </w:r>
      <w:r>
        <w:rPr>
          <w:rFonts w:ascii="Amiri" w:hAnsi="Amiri" w:eastAsia="Amiri" w:cs="Amiri"/>
          <w:color w:val="111111"/>
          <w:sz w:val="28"/>
          <w:sz w:val="28"/>
          <w:szCs w:val="28"/>
          <w:rtl w:val="true"/>
          <w:lang w:bidi="ar-SA"/>
        </w:rPr>
        <w:t xml:space="preserve">والطوسي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والحلي </w:t>
      </w:r>
      <w:r>
        <w:rPr>
          <w:rStyle w:val="FootnoteAnchor"/>
          <w:rtl w:val="true"/>
        </w:rPr>
        <w:footnoteReference w:id="2167"/>
      </w:r>
      <w:r>
        <w:rPr>
          <w:rFonts w:ascii="Amiri" w:hAnsi="Amiri" w:eastAsia="Amiri" w:cs="Amiri"/>
          <w:color w:val="111111"/>
          <w:sz w:val="28"/>
          <w:sz w:val="28"/>
          <w:szCs w:val="28"/>
          <w:rtl w:val="true"/>
          <w:lang w:bidi="ar-SA"/>
        </w:rPr>
        <w:t xml:space="preserve">والفاضلين </w:t>
      </w:r>
      <w:r>
        <w:rPr>
          <w:rStyle w:val="FootnoteAnchor"/>
          <w:rtl w:val="true"/>
        </w:rPr>
        <w:footnoteReference w:id="2168"/>
      </w:r>
      <w:r>
        <w:rPr>
          <w:rFonts w:ascii="Amiri" w:hAnsi="Amiri" w:eastAsia="Amiri" w:cs="Amiri"/>
          <w:color w:val="111111"/>
          <w:sz w:val="28"/>
          <w:sz w:val="28"/>
          <w:szCs w:val="28"/>
          <w:rtl w:val="true"/>
          <w:lang w:bidi="ar-SA"/>
        </w:rPr>
        <w:t xml:space="preserve">والشيخين </w:t>
      </w:r>
      <w:r>
        <w:rPr>
          <w:rStyle w:val="FootnoteAnchor"/>
          <w:rtl w:val="true"/>
        </w:rPr>
        <w:footnoteReference w:id="2169"/>
      </w:r>
      <w:r>
        <w:rPr>
          <w:rFonts w:ascii="Amiri" w:hAnsi="Amiri" w:eastAsia="Amiri" w:cs="Amiri"/>
          <w:color w:val="111111"/>
          <w:sz w:val="28"/>
          <w:sz w:val="28"/>
          <w:szCs w:val="28"/>
          <w:rtl w:val="true"/>
          <w:lang w:bidi="ar-SA"/>
        </w:rPr>
        <w:t xml:space="preserve">والشهيدين </w:t>
      </w:r>
      <w:r>
        <w:rPr>
          <w:rStyle w:val="FootnoteAnchor"/>
          <w:rtl w:val="true"/>
        </w:rPr>
        <w:footnoteReference w:id="2170"/>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17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الهداية </w:t>
      </w:r>
      <w:r>
        <w:rPr>
          <w:rStyle w:val="FootnoteAnchor"/>
          <w:rtl w:val="true"/>
        </w:rPr>
        <w:footnoteReference w:id="2172"/>
      </w:r>
      <w:r>
        <w:rPr>
          <w:rFonts w:ascii="Amiri" w:hAnsi="Amiri" w:eastAsia="Amiri" w:cs="Amiri"/>
          <w:color w:val="111111"/>
          <w:sz w:val="28"/>
          <w:sz w:val="28"/>
          <w:szCs w:val="28"/>
          <w:rtl w:val="true"/>
          <w:lang w:bidi="ar-SA"/>
        </w:rPr>
        <w:t xml:space="preserve">والمفيد في المقنعة </w:t>
      </w:r>
      <w:r>
        <w:rPr>
          <w:rStyle w:val="FootnoteAnchor"/>
          <w:rtl w:val="true"/>
        </w:rPr>
        <w:footnoteReference w:id="2173"/>
      </w:r>
      <w:r>
        <w:rPr>
          <w:rFonts w:ascii="Amiri" w:hAnsi="Amiri" w:eastAsia="Amiri" w:cs="Amiri"/>
          <w:color w:val="111111"/>
          <w:sz w:val="28"/>
          <w:sz w:val="28"/>
          <w:szCs w:val="28"/>
          <w:rtl w:val="true"/>
          <w:lang w:bidi="ar-SA"/>
        </w:rPr>
        <w:t xml:space="preserve">والشيخ </w:t>
      </w:r>
      <w:r>
        <w:rPr>
          <w:rStyle w:val="FootnoteAnchor"/>
          <w:rtl w:val="true"/>
        </w:rPr>
        <w:footnoteReference w:id="2174"/>
      </w:r>
      <w:r>
        <w:rPr>
          <w:rFonts w:ascii="Amiri" w:hAnsi="Amiri" w:eastAsia="Amiri" w:cs="Amiri"/>
          <w:color w:val="111111"/>
          <w:sz w:val="28"/>
          <w:sz w:val="28"/>
          <w:szCs w:val="28"/>
          <w:rtl w:val="true"/>
          <w:lang w:bidi="ar-SA"/>
        </w:rPr>
        <w:t>في عدة من كتبه والديلمي أن أوله سقوط الشفق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بعضهم أحد قولي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في المختلف </w:t>
      </w:r>
      <w:r>
        <w:rPr>
          <w:rStyle w:val="FootnoteAnchor"/>
          <w:rtl w:val="true"/>
        </w:rPr>
        <w:footnoteReference w:id="2175"/>
      </w:r>
      <w:r>
        <w:rPr>
          <w:rFonts w:ascii="Amiri" w:hAnsi="Amiri" w:eastAsia="Amiri" w:cs="Amiri"/>
          <w:color w:val="111111"/>
          <w:sz w:val="28"/>
          <w:sz w:val="28"/>
          <w:szCs w:val="28"/>
          <w:rtl w:val="true"/>
          <w:lang w:bidi="ar-SA"/>
        </w:rPr>
        <w:t xml:space="preserve">عن العماني إلا أنّه حكى عنه في المنتهى </w:t>
      </w:r>
      <w:r>
        <w:rPr>
          <w:rStyle w:val="FootnoteAnchor"/>
          <w:rtl w:val="true"/>
        </w:rPr>
        <w:footnoteReference w:id="2176"/>
      </w:r>
      <w:r>
        <w:rPr>
          <w:rFonts w:ascii="IRNazanin" w:hAnsi="IRNazanin" w:eastAsia="IRNazanin"/>
          <w:color w:val="111111"/>
          <w:sz w:val="28"/>
          <w:sz w:val="28"/>
          <w:szCs w:val="28"/>
          <w:rtl w:val="true"/>
          <w:lang w:bidi="fa-IR"/>
        </w:rPr>
        <w:t>القول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ذلك عدم دخول الوقت إلا بذلك ، فيكون تقديمه عليه كتقديم الظهر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استدلّ في المدارك </w:t>
      </w:r>
      <w:r>
        <w:rPr>
          <w:rStyle w:val="FootnoteAnchor"/>
          <w:rtl w:val="true"/>
        </w:rPr>
        <w:footnoteReference w:id="2177"/>
      </w:r>
      <w:r>
        <w:rPr>
          <w:rFonts w:ascii="Amiri" w:hAnsi="Amiri" w:eastAsia="Amiri" w:cs="Amiri"/>
          <w:color w:val="111111"/>
          <w:sz w:val="28"/>
          <w:sz w:val="28"/>
          <w:szCs w:val="28"/>
          <w:rtl w:val="true"/>
          <w:lang w:bidi="ar-SA"/>
        </w:rPr>
        <w:t>على بطلانه ببعض ما دلّ على جواز التقديم لبعض الأعذار إلا أن المصرّح به في المقنعة جواز التقديم للمعذور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في النهاية </w:t>
      </w:r>
      <w:r>
        <w:rPr>
          <w:rStyle w:val="FootnoteAnchor"/>
          <w:rtl w:val="true"/>
        </w:rPr>
        <w:footnoteReference w:id="2178"/>
      </w:r>
      <w:r>
        <w:rPr>
          <w:rFonts w:ascii="Amiri" w:hAnsi="Amiri" w:eastAsia="Amiri" w:cs="Amiri"/>
          <w:color w:val="111111"/>
          <w:sz w:val="28"/>
          <w:sz w:val="28"/>
          <w:szCs w:val="28"/>
          <w:rtl w:val="true"/>
          <w:lang w:bidi="ar-SA"/>
        </w:rPr>
        <w:t>بجواز تقديم العشاء قبل سقوط الشفق في السفر وعند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في تهذيب الأحكام </w:t>
      </w:r>
      <w:r>
        <w:rPr>
          <w:rStyle w:val="FootnoteAnchor"/>
          <w:rtl w:val="true"/>
        </w:rPr>
        <w:footnoteReference w:id="2179"/>
      </w:r>
      <w:r>
        <w:rPr>
          <w:rFonts w:ascii="Amiri" w:hAnsi="Amiri" w:eastAsia="Amiri" w:cs="Amiri"/>
          <w:color w:val="111111"/>
          <w:sz w:val="28"/>
          <w:sz w:val="28"/>
          <w:szCs w:val="28"/>
          <w:rtl w:val="true"/>
          <w:lang w:bidi="ar-SA"/>
        </w:rPr>
        <w:t>تقديمها إذا علم أو ظنّ أنه إن لم يصلّ في ذلك الوقت لم يتمكن منه بعده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في المراسم </w:t>
      </w:r>
      <w:r>
        <w:rPr>
          <w:rStyle w:val="FootnoteAnchor"/>
          <w:rtl w:val="true"/>
        </w:rPr>
        <w:footnoteReference w:id="2180"/>
      </w:r>
      <w:r>
        <w:rPr>
          <w:rFonts w:ascii="Amiri" w:hAnsi="Amiri" w:eastAsia="Amiri" w:cs="Amiri"/>
          <w:color w:val="111111"/>
          <w:sz w:val="28"/>
          <w:sz w:val="28"/>
          <w:szCs w:val="28"/>
          <w:rtl w:val="true"/>
          <w:lang w:bidi="ar-SA"/>
        </w:rPr>
        <w:t>جواز التقديم للمعذور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ذلك حينئذ دخول وقت </w:t>
      </w:r>
    </w:p>
    <w:p>
      <w:pPr>
        <w:pStyle w:val="BookText"/>
        <w:rPr/>
      </w:pPr>
      <w:r>
        <w:rPr>
          <w:rFonts w:ascii="Amiri" w:hAnsi="Amiri" w:eastAsia="Amiri" w:cs="Amiri"/>
          <w:color w:val="111111"/>
          <w:sz w:val="28"/>
          <w:sz w:val="28"/>
          <w:szCs w:val="28"/>
          <w:rtl w:val="true"/>
          <w:lang w:bidi="ar-SA"/>
        </w:rPr>
        <w:t xml:space="preserve">الاختيار بسقوط الشفق دون </w:t>
      </w:r>
      <w:r>
        <w:rPr>
          <w:rStyle w:val="FootnoteAnchor"/>
          <w:rtl w:val="true"/>
        </w:rPr>
        <w:footnoteReference w:id="2181"/>
      </w:r>
      <w:r>
        <w:rPr>
          <w:rFonts w:ascii="Amiri" w:hAnsi="Amiri" w:eastAsia="Amiri" w:cs="Amiri"/>
          <w:color w:val="111111"/>
          <w:sz w:val="28"/>
          <w:sz w:val="28"/>
          <w:szCs w:val="28"/>
          <w:rtl w:val="true"/>
          <w:lang w:bidi="ar-SA"/>
        </w:rPr>
        <w:t>وقت المعذور ، فيدخل وقته بعد أداء المغرب ، فيكون إذن للمعذور عندهم 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الخلاف </w:t>
      </w:r>
      <w:r>
        <w:rPr>
          <w:rStyle w:val="FootnoteAnchor"/>
          <w:rtl w:val="true"/>
        </w:rPr>
        <w:footnoteReference w:id="2182"/>
      </w:r>
      <w:r>
        <w:rPr>
          <w:rFonts w:ascii="Amiri" w:hAnsi="Amiri" w:eastAsia="Amiri" w:cs="Amiri"/>
          <w:color w:val="111111"/>
          <w:sz w:val="28"/>
          <w:sz w:val="28"/>
          <w:szCs w:val="28"/>
          <w:rtl w:val="true"/>
          <w:lang w:bidi="ar-SA"/>
        </w:rPr>
        <w:t>عن بعض الأصحاب قولا ثالثا في المقام ، وهو الحكم باشتراك وقت الصلاتين بغروب الشمس ، نظير ما مرّ حكايته عن الصدوق في الظهرين ، وقد دلّ عليه في المقام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مرّ محمولة على بيان الاشتراك فيما بعد وقت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بعضها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 يعرف القائل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كلامه على ما يرجع إلى المشهور ، فيرتفع الخلاف على نحو ما مرّ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القولان الأولان ، والأظهر منهما الأول للنصوص المستفيضة المتكثرة الدالّة عليه بالإطلاق والتنصيص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إليه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رسول اللّه صلى‌اللّه‌عليه‌وآله بالناس الظهر والعصر حين زالت الشمس في جماعة من غير علة ، وصلّى بهم المغرب والعشاء الآخرة قبل سقوط الشفق من غير علة في جماعة ، وإنما فعل ذلك النبي صلى‌اللّه‌عليه‌وآله ليتّسع الوقت على امته </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 المغرب والعشاء الآخرة قبل أن يغيب الشفق من غير علة؟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زرارة ، عن الباقرين عليهما‌السلام ، عن الرجل يصلي العشاء الآخرة قبل سقوط الشفق؟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كنا نختصم في الطريق في الصلاة صلاة العشاء الآخرة قبل سقوط الشفق </w:t>
      </w:r>
    </w:p>
    <w:p>
      <w:pPr>
        <w:pStyle w:val="BookText"/>
        <w:rPr/>
      </w:pPr>
      <w:r>
        <w:rPr>
          <w:rFonts w:ascii="Amiri" w:hAnsi="Amiri" w:eastAsia="Amiri" w:cs="Amiri"/>
          <w:color w:val="111111"/>
          <w:sz w:val="28"/>
          <w:sz w:val="28"/>
          <w:szCs w:val="28"/>
          <w:rtl w:val="true"/>
          <w:lang w:bidi="ar-SA"/>
        </w:rPr>
        <w:t xml:space="preserve">وكان منا من يضيق لذلك صدره </w:t>
      </w:r>
      <w:r>
        <w:rPr>
          <w:rStyle w:val="FootnoteAnchor"/>
          <w:rtl w:val="true"/>
        </w:rPr>
        <w:footnoteReference w:id="2185"/>
      </w:r>
      <w:r>
        <w:rPr>
          <w:rFonts w:ascii="Amiri" w:hAnsi="Amiri" w:eastAsia="Amiri" w:cs="Amiri"/>
          <w:color w:val="111111"/>
          <w:sz w:val="28"/>
          <w:sz w:val="28"/>
          <w:szCs w:val="28"/>
          <w:rtl w:val="true"/>
          <w:lang w:bidi="ar-SA"/>
        </w:rPr>
        <w:t xml:space="preserve">، فدخلنا على أبي عبد اللّه عليه‌السلام ، فسألناه عن صلاة العشاء الآخرة قبل سقوط الشفق؟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الشفق؟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المغرب فقد دخل وقت العشاء الآخرة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الآخر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المتفق من الوقت ما كان بعد ذهاب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بكر </w:t>
      </w:r>
      <w:r>
        <w:rPr>
          <w:rStyle w:val="FootnoteAnchor"/>
          <w:rtl w:val="true"/>
        </w:rPr>
        <w:footnoteReference w:id="2188"/>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وقت العشاء ذهاب الحمرة </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متى </w:t>
      </w:r>
      <w:r>
        <w:rPr>
          <w:rStyle w:val="FootnoteAnchor"/>
          <w:rtl w:val="true"/>
        </w:rPr>
        <w:footnoteReference w:id="2190"/>
      </w:r>
      <w:r>
        <w:rPr>
          <w:rFonts w:ascii="Amiri" w:hAnsi="Amiri" w:eastAsia="Amiri" w:cs="Amiri"/>
          <w:color w:val="111111"/>
          <w:sz w:val="28"/>
          <w:sz w:val="28"/>
          <w:szCs w:val="28"/>
          <w:rtl w:val="true"/>
          <w:lang w:bidi="ar-SA"/>
        </w:rPr>
        <w:t xml:space="preserve">تجب العتمة؟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الشفق ، والشفق الحمرة </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اشتمل عليه عدة من الأخبار من الحكم بجواز التأخير مقيّدا لعلّة أو سفر كموثّقة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يصلي العشاء الآخرة قبل أن يسقط الشفق؟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لعلّة لا بأس </w:t>
      </w:r>
      <w:r>
        <w:rPr>
          <w:rFonts w:eastAsia="Amiri" w:cs="Amiri" w:ascii="Amiri" w:hAnsi="Amiri"/>
          <w:color w:val="111111"/>
          <w:sz w:val="28"/>
          <w:szCs w:val="28"/>
          <w:rtl w:val="true"/>
          <w:lang w:bidi="ar-SA"/>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بأنه </w:t>
      </w:r>
      <w:r>
        <w:rPr>
          <w:rStyle w:val="FootnoteAnchor"/>
          <w:rtl w:val="true"/>
        </w:rPr>
        <w:footnoteReference w:id="2193"/>
      </w:r>
      <w:r>
        <w:rPr>
          <w:rFonts w:ascii="Amiri" w:hAnsi="Amiri" w:eastAsia="Amiri" w:cs="Amiri"/>
          <w:color w:val="111111"/>
          <w:sz w:val="28"/>
          <w:sz w:val="28"/>
          <w:szCs w:val="28"/>
          <w:rtl w:val="true"/>
          <w:lang w:bidi="ar-SA"/>
        </w:rPr>
        <w:t>يستفاد منها المنع مع انتفاء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يقيّد الإطلاقات المتقدمات </w:t>
      </w:r>
      <w:r>
        <w:rPr>
          <w:rStyle w:val="FootnoteAnchor"/>
          <w:rtl w:val="true"/>
        </w:rPr>
        <w:footnoteReference w:id="2194"/>
      </w:r>
      <w:r>
        <w:rPr>
          <w:rFonts w:ascii="Amiri" w:hAnsi="Amiri" w:eastAsia="Amiri" w:cs="Amiri"/>
          <w:color w:val="111111"/>
          <w:sz w:val="28"/>
          <w:sz w:val="28"/>
          <w:szCs w:val="28"/>
          <w:rtl w:val="true"/>
          <w:lang w:bidi="ar-SA"/>
        </w:rPr>
        <w:t>، بل يجعل ذلك جامعا بين أخبار الباب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صراحة لهذه الروايات في عدم دخول الوقت قبل سقوط الشفق ، فلا تقاوم النصوص المتقدمة ، والظواهر البيّنة المتقوّية مع كثرتها وشهرتها واعتضاد بعضها بالبعض بعمل الطائفة ، سيّما مع ملاحظة مخالفتها للعامة ، وموافقة هذه لمذهبهم ، بل وما اتفقوا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الصحيحين المذكورين على التقيّة من أقرب المحامل ، ولا يبعد حملها على إرادة بيان الفضيلة كما يستفاد مما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يمتدّ وقته إلى انتصاف الليل على المعروف بين الأصحاب ، و </w:t>
      </w:r>
      <w:r>
        <w:rPr>
          <w:rStyle w:val="FootnoteAnchor"/>
          <w:rtl w:val="true"/>
        </w:rPr>
        <w:footnoteReference w:id="2195"/>
      </w:r>
      <w:r>
        <w:rPr>
          <w:rFonts w:ascii="Amiri" w:hAnsi="Amiri" w:eastAsia="Amiri" w:cs="Amiri"/>
          <w:color w:val="111111"/>
          <w:sz w:val="28"/>
          <w:sz w:val="28"/>
          <w:szCs w:val="28"/>
          <w:rtl w:val="true"/>
          <w:lang w:bidi="ar-SA"/>
        </w:rPr>
        <w:t xml:space="preserve">عن الغنية </w:t>
      </w:r>
      <w:r>
        <w:rPr>
          <w:rStyle w:val="FootnoteAnchor"/>
          <w:rtl w:val="true"/>
        </w:rPr>
        <w:footnoteReference w:id="2196"/>
      </w:r>
      <w:r>
        <w:rPr>
          <w:rFonts w:ascii="IRNazanin" w:hAnsi="IRNazanin" w:eastAsia="IRNazanin"/>
          <w:color w:val="111111"/>
          <w:sz w:val="28"/>
          <w:sz w:val="28"/>
          <w:szCs w:val="28"/>
          <w:rtl w:val="true"/>
          <w:lang w:bidi="fa-IR"/>
        </w:rPr>
        <w:t xml:space="preserve">والسرائر </w:t>
      </w:r>
      <w:r>
        <w:rPr>
          <w:rStyle w:val="FootnoteAnchor"/>
          <w:rtl w:val="true"/>
        </w:rPr>
        <w:footnoteReference w:id="2197"/>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الشهرة عليه جماعة من الأصحاب منهم الشهيدان في الذكرى </w:t>
      </w:r>
      <w:r>
        <w:rPr>
          <w:rStyle w:val="FootnoteAnchor"/>
          <w:rtl w:val="true"/>
        </w:rPr>
        <w:footnoteReference w:id="2198"/>
      </w:r>
      <w:r>
        <w:rPr>
          <w:rFonts w:ascii="Amiri" w:hAnsi="Amiri" w:eastAsia="Amiri" w:cs="Amiri"/>
          <w:color w:val="111111"/>
          <w:sz w:val="28"/>
          <w:sz w:val="28"/>
          <w:szCs w:val="28"/>
          <w:rtl w:val="true"/>
          <w:lang w:bidi="ar-SA"/>
        </w:rPr>
        <w:t xml:space="preserve">والمسالك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السيد والديلمي والفاضلان </w:t>
      </w:r>
      <w:r>
        <w:rPr>
          <w:rStyle w:val="FootnoteAnchor"/>
          <w:rtl w:val="true"/>
        </w:rPr>
        <w:footnoteReference w:id="2200"/>
      </w:r>
      <w:r>
        <w:rPr>
          <w:rFonts w:ascii="Amiri" w:hAnsi="Amiri" w:eastAsia="Amiri" w:cs="Amiri"/>
          <w:color w:val="111111"/>
          <w:sz w:val="28"/>
          <w:sz w:val="28"/>
          <w:szCs w:val="28"/>
          <w:rtl w:val="true"/>
          <w:lang w:bidi="ar-SA"/>
        </w:rPr>
        <w:t xml:space="preserve">والشهيدان </w:t>
      </w:r>
      <w:r>
        <w:rPr>
          <w:rStyle w:val="FootnoteAnchor"/>
          <w:rtl w:val="true"/>
        </w:rPr>
        <w:footnoteReference w:id="2201"/>
      </w:r>
      <w:r>
        <w:rPr>
          <w:rFonts w:ascii="IRNazanin" w:hAnsi="IRNazanin" w:eastAsia="IRNazanin"/>
          <w:color w:val="111111"/>
          <w:sz w:val="28"/>
          <w:sz w:val="28"/>
          <w:szCs w:val="28"/>
          <w:rtl w:val="true"/>
          <w:lang w:bidi="fa-IR"/>
        </w:rPr>
        <w:t xml:space="preserve">وابن فهد </w:t>
      </w:r>
      <w:r>
        <w:rPr>
          <w:rStyle w:val="FootnoteAnchor"/>
          <w:rtl w:val="true"/>
        </w:rPr>
        <w:footnoteReference w:id="2202"/>
      </w:r>
      <w:r>
        <w:rPr>
          <w:rFonts w:ascii="Amiri" w:hAnsi="Amiri" w:eastAsia="Amiri" w:cs="Amiri"/>
          <w:color w:val="111111"/>
          <w:sz w:val="28"/>
          <w:sz w:val="28"/>
          <w:szCs w:val="28"/>
          <w:rtl w:val="true"/>
          <w:lang w:bidi="ar-SA"/>
        </w:rPr>
        <w:t xml:space="preserve">والصيمري والمحقق الكركي </w:t>
      </w:r>
      <w:r>
        <w:rPr>
          <w:rStyle w:val="FootnoteAnchor"/>
          <w:rtl w:val="true"/>
        </w:rPr>
        <w:footnoteReference w:id="220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كتاب </w:t>
      </w:r>
      <w:r>
        <w:rPr>
          <w:rStyle w:val="FootnoteAnchor"/>
          <w:rtl w:val="true"/>
        </w:rPr>
        <w:footnoteReference w:id="2204"/>
      </w:r>
      <w:r>
        <w:rPr>
          <w:rFonts w:ascii="Amiri" w:hAnsi="Amiri" w:eastAsia="Amiri" w:cs="Amiri"/>
          <w:color w:val="111111"/>
          <w:sz w:val="28"/>
          <w:sz w:val="28"/>
          <w:szCs w:val="28"/>
          <w:rtl w:val="true"/>
          <w:lang w:bidi="ar-SA"/>
        </w:rPr>
        <w:t xml:space="preserve">الحديث والمبسوط </w:t>
      </w:r>
      <w:r>
        <w:rPr>
          <w:rStyle w:val="FootnoteAnchor"/>
          <w:rtl w:val="true"/>
        </w:rPr>
        <w:footnoteReference w:id="2205"/>
      </w:r>
      <w:r>
        <w:rPr>
          <w:rFonts w:ascii="Amiri" w:hAnsi="Amiri" w:eastAsia="Amiri" w:cs="Amiri"/>
          <w:color w:val="111111"/>
          <w:sz w:val="28"/>
          <w:sz w:val="28"/>
          <w:szCs w:val="28"/>
          <w:rtl w:val="true"/>
          <w:lang w:bidi="ar-SA"/>
        </w:rPr>
        <w:t xml:space="preserve">والطوسي </w:t>
      </w:r>
      <w:r>
        <w:rPr>
          <w:rStyle w:val="FootnoteAnchor"/>
          <w:rtl w:val="true"/>
        </w:rPr>
        <w:footnoteReference w:id="2206"/>
      </w:r>
      <w:r>
        <w:rPr>
          <w:rFonts w:ascii="Amiri" w:hAnsi="Amiri" w:eastAsia="Amiri" w:cs="Amiri"/>
          <w:color w:val="111111"/>
          <w:sz w:val="28"/>
          <w:sz w:val="28"/>
          <w:szCs w:val="28"/>
          <w:rtl w:val="true"/>
          <w:lang w:bidi="ar-SA"/>
        </w:rPr>
        <w:t xml:space="preserve">أن الثلث للمختار والنصف للمضطر ، وعزي </w:t>
      </w:r>
      <w:r>
        <w:rPr>
          <w:rStyle w:val="FootnoteAnchor"/>
          <w:rtl w:val="true"/>
        </w:rPr>
        <w:footnoteReference w:id="2207"/>
      </w:r>
      <w:r>
        <w:rPr>
          <w:rFonts w:ascii="Amiri" w:hAnsi="Amiri" w:eastAsia="Amiri" w:cs="Amiri"/>
          <w:color w:val="111111"/>
          <w:sz w:val="28"/>
          <w:sz w:val="28"/>
          <w:szCs w:val="28"/>
          <w:rtl w:val="true"/>
          <w:lang w:bidi="ar-SA"/>
        </w:rPr>
        <w:t>إلى الكليني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الربع للإجزاء والنصف للمضطر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النهاية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وقت المعذور ثلث الليل ، ثم جعل النصف 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الصدوق في الهداية </w:t>
      </w:r>
      <w:r>
        <w:rPr>
          <w:rStyle w:val="FootnoteAnchor"/>
          <w:rtl w:val="true"/>
        </w:rPr>
        <w:footnoteReference w:id="2209"/>
      </w:r>
      <w:r>
        <w:rPr>
          <w:rFonts w:ascii="Amiri" w:hAnsi="Amiri" w:eastAsia="Amiri" w:cs="Amiri"/>
          <w:color w:val="111111"/>
          <w:sz w:val="28"/>
          <w:sz w:val="28"/>
          <w:szCs w:val="28"/>
          <w:rtl w:val="true"/>
          <w:lang w:bidi="ar-SA"/>
        </w:rPr>
        <w:t xml:space="preserve">والمفيد في المقنعة والشيخ في الخلاف </w:t>
      </w:r>
      <w:r>
        <w:rPr>
          <w:rStyle w:val="FootnoteAnchor"/>
          <w:rtl w:val="true"/>
        </w:rPr>
        <w:footnoteReference w:id="2210"/>
      </w:r>
      <w:r>
        <w:rPr>
          <w:rFonts w:ascii="IRNazanin" w:hAnsi="IRNazanin" w:eastAsia="IRNazanin"/>
          <w:color w:val="111111"/>
          <w:sz w:val="28"/>
          <w:sz w:val="28"/>
          <w:szCs w:val="28"/>
          <w:rtl w:val="true"/>
          <w:lang w:bidi="fa-IR"/>
        </w:rPr>
        <w:t xml:space="preserve">والمصباح </w:t>
      </w:r>
      <w:r>
        <w:rPr>
          <w:rStyle w:val="FootnoteAnchor"/>
          <w:rtl w:val="true"/>
        </w:rPr>
        <w:footnoteReference w:id="2211"/>
      </w:r>
      <w:r>
        <w:rPr>
          <w:rFonts w:ascii="IRNazanin" w:hAnsi="IRNazanin" w:eastAsia="IRNazanin"/>
          <w:color w:val="111111"/>
          <w:sz w:val="28"/>
          <w:sz w:val="28"/>
          <w:szCs w:val="28"/>
          <w:rtl w:val="true"/>
          <w:lang w:bidi="fa-IR"/>
        </w:rPr>
        <w:t xml:space="preserve">والجمل والاقتصاد </w:t>
      </w:r>
      <w:r>
        <w:rPr>
          <w:rStyle w:val="FootnoteAnchor"/>
          <w:rtl w:val="true"/>
        </w:rPr>
        <w:footnoteReference w:id="2212"/>
      </w:r>
      <w:r>
        <w:rPr>
          <w:rFonts w:ascii="Amiri" w:hAnsi="Amiri" w:eastAsia="Amiri" w:cs="Amiri"/>
          <w:color w:val="111111"/>
          <w:sz w:val="28"/>
          <w:sz w:val="28"/>
          <w:szCs w:val="28"/>
          <w:rtl w:val="true"/>
          <w:lang w:bidi="ar-SA"/>
        </w:rPr>
        <w:t xml:space="preserve">وعمل اليوم والليلة والقاضي </w:t>
      </w:r>
      <w:r>
        <w:rPr>
          <w:rStyle w:val="FootnoteAnchor"/>
          <w:rtl w:val="true"/>
        </w:rPr>
        <w:footnoteReference w:id="2213"/>
      </w:r>
      <w:r>
        <w:rPr>
          <w:rFonts w:ascii="Amiri" w:hAnsi="Amiri" w:eastAsia="Amiri" w:cs="Amiri"/>
          <w:color w:val="111111"/>
          <w:sz w:val="28"/>
          <w:sz w:val="28"/>
          <w:szCs w:val="28"/>
          <w:rtl w:val="true"/>
          <w:lang w:bidi="ar-SA"/>
        </w:rPr>
        <w:t xml:space="preserve">إطلاق إن أخّره ثلث الليل إلّا أنّه </w:t>
      </w:r>
      <w:r>
        <w:rPr>
          <w:rStyle w:val="FootnoteAnchor"/>
          <w:rtl w:val="true"/>
        </w:rPr>
        <w:footnoteReference w:id="2214"/>
      </w:r>
      <w:r>
        <w:rPr>
          <w:rFonts w:ascii="Amiri" w:hAnsi="Amiri" w:eastAsia="Amiri" w:cs="Amiri"/>
          <w:color w:val="111111"/>
          <w:sz w:val="28"/>
          <w:sz w:val="28"/>
          <w:szCs w:val="28"/>
          <w:rtl w:val="true"/>
          <w:lang w:bidi="ar-SA"/>
        </w:rPr>
        <w:t xml:space="preserve">في الخلاف والمصباح والجمل والاقتصاد جعل </w:t>
      </w:r>
      <w:r>
        <w:rPr>
          <w:rStyle w:val="FootnoteAnchor"/>
          <w:rtl w:val="true"/>
        </w:rPr>
        <w:footnoteReference w:id="2215"/>
      </w:r>
      <w:r>
        <w:rPr>
          <w:rFonts w:ascii="Amiri" w:hAnsi="Amiri" w:eastAsia="Amiri" w:cs="Amiri"/>
          <w:color w:val="111111"/>
          <w:sz w:val="28"/>
          <w:sz w:val="28"/>
          <w:szCs w:val="28"/>
          <w:rtl w:val="true"/>
          <w:lang w:bidi="ar-SA"/>
        </w:rPr>
        <w:t>النصف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القاضي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Style w:val="FootnoteAnchor"/>
          <w:rtl w:val="true"/>
        </w:rPr>
        <w:footnoteReference w:id="2216"/>
      </w:r>
      <w:r>
        <w:rPr>
          <w:rFonts w:ascii="IRNazanin" w:hAnsi="IRNazanin" w:eastAsia="IRNazanin"/>
          <w:color w:val="111111"/>
          <w:sz w:val="28"/>
          <w:sz w:val="28"/>
          <w:szCs w:val="28"/>
          <w:rtl w:val="true"/>
          <w:lang w:bidi="fa-IR"/>
        </w:rPr>
        <w:t xml:space="preserve">إطلاق </w:t>
      </w:r>
      <w:r>
        <w:rPr>
          <w:rStyle w:val="FootnoteAnchor"/>
          <w:rtl w:val="true"/>
        </w:rPr>
        <w:footnoteReference w:id="2217"/>
      </w:r>
      <w:r>
        <w:rPr>
          <w:rFonts w:ascii="Amiri" w:hAnsi="Amiri" w:eastAsia="Amiri" w:cs="Amiri"/>
          <w:color w:val="111111"/>
          <w:sz w:val="28"/>
          <w:sz w:val="28"/>
          <w:szCs w:val="28"/>
          <w:rtl w:val="true"/>
          <w:lang w:bidi="ar-SA"/>
        </w:rPr>
        <w:t>آخره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أن الكلام هنا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آخر وقته الأول ، فالمعروف أنه ثلث الليل ، وحكي الشهرة عليه في المسالك </w:t>
      </w:r>
      <w:r>
        <w:rPr>
          <w:rStyle w:val="FootnoteAnchor"/>
          <w:rtl w:val="true"/>
        </w:rPr>
        <w:footnoteReference w:id="2218"/>
      </w:r>
      <w:r>
        <w:rPr>
          <w:rFonts w:ascii="Amiri" w:hAnsi="Amiri" w:eastAsia="Amiri" w:cs="Amiri"/>
          <w:color w:val="111111"/>
          <w:sz w:val="28"/>
          <w:sz w:val="28"/>
          <w:szCs w:val="28"/>
          <w:rtl w:val="true"/>
          <w:lang w:bidi="ar-SA"/>
        </w:rPr>
        <w:t xml:space="preserve">وكشف اللثام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الرموز </w:t>
      </w:r>
      <w:r>
        <w:rPr>
          <w:rStyle w:val="FootnoteAnchor"/>
          <w:rtl w:val="true"/>
        </w:rPr>
        <w:footnoteReference w:id="2220"/>
      </w:r>
      <w:r>
        <w:rPr>
          <w:rFonts w:ascii="Amiri" w:hAnsi="Amiri" w:eastAsia="Amiri" w:cs="Amiri"/>
          <w:color w:val="111111"/>
          <w:sz w:val="28"/>
          <w:sz w:val="28"/>
          <w:szCs w:val="28"/>
          <w:rtl w:val="true"/>
          <w:lang w:bidi="ar-SA"/>
        </w:rPr>
        <w:t>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2221"/>
      </w:r>
      <w:r>
        <w:rPr>
          <w:rFonts w:ascii="Amiri" w:hAnsi="Amiri" w:eastAsia="Amiri" w:cs="Amiri"/>
          <w:color w:val="111111"/>
          <w:sz w:val="28"/>
          <w:sz w:val="28"/>
          <w:szCs w:val="28"/>
          <w:rtl w:val="true"/>
          <w:lang w:bidi="ar-SA"/>
        </w:rPr>
        <w:t xml:space="preserve">والشهيد </w:t>
      </w:r>
      <w:r>
        <w:rPr>
          <w:rStyle w:val="FootnoteAnchor"/>
          <w:rtl w:val="true"/>
        </w:rPr>
        <w:footnoteReference w:id="222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223"/>
      </w:r>
      <w:r>
        <w:rPr>
          <w:rFonts w:ascii="Amiri" w:hAnsi="Amiri" w:eastAsia="Amiri" w:cs="Amiri"/>
          <w:color w:val="111111"/>
          <w:sz w:val="28"/>
          <w:sz w:val="28"/>
          <w:szCs w:val="28"/>
          <w:rtl w:val="true"/>
          <w:lang w:bidi="ar-SA"/>
        </w:rPr>
        <w:t>أنّه إلى ربع الليل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مذهب القائل بكون آخره الثلث مطلقا ؛ إذ لا يتعيّن لذلك سواه ، وإن لم يصرّح به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الأول ؛ للروايات المستفيضة الدالّة على أن آخر وقته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عدّة منها دلالة على عدم مرجوحيّة التأخير كالمستفيضة الدالّة على أنّ آخر وقته ، ثلث الليل </w:t>
      </w:r>
      <w:r>
        <w:rPr>
          <w:rFonts w:eastAsia="Amiri" w:cs="Amiri" w:ascii="Amiri" w:hAnsi="Amiri"/>
          <w:color w:val="111111"/>
          <w:sz w:val="28"/>
          <w:szCs w:val="28"/>
          <w:rtl w:val="true"/>
          <w:lang w:bidi="ar-SA"/>
        </w:rPr>
        <w:t xml:space="preserve">) </w:t>
      </w:r>
      <w:r>
        <w:rPr>
          <w:rStyle w:val="FootnoteAnchor"/>
          <w:rtl w:val="true"/>
        </w:rPr>
        <w:footnoteReference w:id="2224"/>
      </w:r>
      <w:r>
        <w:rPr>
          <w:rStyle w:val="FootnoteAnchor"/>
          <w:rtl w:val="true"/>
        </w:rPr>
        <w:footnoteReference w:id="2225"/>
      </w:r>
      <w:r>
        <w:rPr>
          <w:rFonts w:ascii="IRNazanin" w:hAnsi="IRNazanin" w:eastAsia="IRNazanin"/>
          <w:color w:val="111111"/>
          <w:sz w:val="28"/>
          <w:sz w:val="28"/>
          <w:szCs w:val="28"/>
          <w:rtl w:val="true"/>
          <w:lang w:bidi="fa-IR"/>
        </w:rPr>
        <w:t xml:space="preserve">، منها ما رواه </w:t>
      </w:r>
      <w:r>
        <w:rPr>
          <w:rStyle w:val="FootnoteAnchor"/>
          <w:rtl w:val="true"/>
        </w:rPr>
        <w:footnoteReference w:id="2226"/>
      </w:r>
      <w:r>
        <w:rPr>
          <w:rFonts w:ascii="Amiri" w:hAnsi="Amiri" w:eastAsia="Amiri" w:cs="Amiri"/>
          <w:color w:val="111111"/>
          <w:sz w:val="28"/>
          <w:sz w:val="28"/>
          <w:szCs w:val="28"/>
          <w:rtl w:val="true"/>
          <w:lang w:bidi="ar-SA"/>
        </w:rPr>
        <w:t xml:space="preserve">في الصحيح </w:t>
      </w:r>
      <w:r>
        <w:rPr>
          <w:rStyle w:val="FootnoteAnchor"/>
          <w:rtl w:val="true"/>
        </w:rPr>
        <w:footnoteReference w:id="2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مجي‌ء جبرئيل بالأوقات ، وفيها إشارة إلى كونه آخر الفضيلة حيث اشتمل على </w:t>
      </w:r>
      <w:r>
        <w:rPr>
          <w:rStyle w:val="FootnoteAnchor"/>
          <w:rtl w:val="true"/>
        </w:rPr>
        <w:footnoteReference w:id="2228"/>
      </w:r>
      <w:r>
        <w:rPr>
          <w:rFonts w:ascii="Amiri" w:hAnsi="Amiri" w:eastAsia="Amiri" w:cs="Amiri"/>
          <w:color w:val="111111"/>
          <w:sz w:val="28"/>
          <w:sz w:val="28"/>
          <w:szCs w:val="28"/>
          <w:rtl w:val="true"/>
          <w:lang w:bidi="ar-SA"/>
        </w:rPr>
        <w:t xml:space="preserve">آخر وقت غيرها من الصلاة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بآخر وقت الإجزاء بالنسبة إليها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وقت العشاء الآخرة إلى ثلث الليل </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العتمة إلى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 xml:space="preserve">إلى نصف الليل وذلك التضييع </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بجعل ذلك إشارة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العشاء ثلث الليل </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أمير المؤمنين عليه‌السلام إلى أمراء البلاد المروي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وصلاة العشاء الآخرة حتى يتوارى الشفق إلى ثلث الليل </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أشقّ على امتي لأخّرت العتمة إلى ثلث الليل ، وأنت في رخصة إلى نصف الليل ، وهو غسق الليل فإذا مضى الغسق نادى ملكان من رقد عن صلاة المكتوبة بعد نصف الليل ، فلا رقدت عيناه </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اخرى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نوم الصبي وعليه الضعف لأخّرت العتمة إلى ثلث الليل </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من هذه الأخبار كما ترى لا تفيد المنع من التأخير ، بل دلّ غير واحد منها على جوازه إلى نصف الليل كما دلّت عليه أخبار كثيرة يأتي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الجمع أن يحمل هذه على الوقت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دلالة على أنه للفضيلة كالموثقة الأخيرة ، ويشير إليه الموثقة الأولى ، ويقدّم ذلك وغيره شاهدا على الجمع ، مضافا إلى ما عرفت من كون الوقت الأول للفضيلة لا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مرسلة الكافي حيث قال بعد ذكر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إلى قوله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ربع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ووقت عشاء الآخرة الفراغ من المغرب ثم إلى ربع الليل وقد رخّص للعليل والمسافر فيهما إلى انتصاف الليل </w:t>
      </w:r>
      <w:r>
        <w:rPr>
          <w:rFonts w:eastAsia="Amiri" w:cs="Amiri" w:ascii="Amiri" w:hAnsi="Amiri"/>
          <w:color w:val="111111"/>
          <w:sz w:val="28"/>
          <w:szCs w:val="28"/>
          <w:rtl w:val="true"/>
          <w:lang w:bidi="ar-SA"/>
        </w:rPr>
        <w:t xml:space="preserve">»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الأول لا دلالة فيها على انتهاء وقت الفضيلة بذلك ، والثاني مع عدم صراحته في ذلك لا تقاوم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حجة القول بكونه وقت الاختيار إذ لم نجد ذلك فيما سواه من الأخبار ، إلا أن يستند فيه إلى بعض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آخر وقته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الإجماع المحكي عليه في الكتابين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حكاية إجماع المختلف </w:t>
      </w:r>
      <w:r>
        <w:rPr>
          <w:rStyle w:val="FootnoteAnchor"/>
          <w:rtl w:val="true"/>
        </w:rPr>
        <w:footnoteReference w:id="2239"/>
      </w:r>
      <w:r>
        <w:rPr>
          <w:rFonts w:ascii="Amiri" w:hAnsi="Amiri" w:eastAsia="Amiri" w:cs="Amiri"/>
          <w:color w:val="111111"/>
          <w:sz w:val="28"/>
          <w:sz w:val="28"/>
          <w:szCs w:val="28"/>
          <w:rtl w:val="true"/>
          <w:lang w:bidi="ar-SA"/>
        </w:rPr>
        <w:t>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جماعة كما عرفت أن آخره ثلث الليل من غير بيان لآخر وقته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لظاهر جملة من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وهنه بعد صراحة المستفيضة المستكثرة على خلافه كصحيحة زرارة </w:t>
      </w:r>
      <w:r>
        <w:rPr>
          <w:rStyle w:val="FootnoteAnchor"/>
          <w:rtl w:val="true"/>
        </w:rPr>
        <w:footnoteReference w:id="2240"/>
      </w:r>
      <w:r>
        <w:rPr>
          <w:rFonts w:ascii="Amiri" w:hAnsi="Amiri" w:eastAsia="Amiri" w:cs="Amiri"/>
          <w:color w:val="111111"/>
          <w:sz w:val="28"/>
          <w:sz w:val="28"/>
          <w:szCs w:val="28"/>
          <w:rtl w:val="true"/>
          <w:lang w:bidi="ar-SA"/>
        </w:rPr>
        <w:t xml:space="preserve">ورواية ابنه عبيد </w:t>
      </w:r>
      <w:r>
        <w:rPr>
          <w:rStyle w:val="FootnoteAnchor"/>
          <w:rtl w:val="true"/>
        </w:rPr>
        <w:footnoteReference w:id="2241"/>
      </w:r>
      <w:r>
        <w:rPr>
          <w:rFonts w:ascii="Amiri" w:hAnsi="Amiri" w:eastAsia="Amiri" w:cs="Amiri"/>
          <w:color w:val="111111"/>
          <w:sz w:val="28"/>
          <w:sz w:val="28"/>
          <w:szCs w:val="28"/>
          <w:rtl w:val="true"/>
          <w:lang w:bidi="ar-SA"/>
        </w:rPr>
        <w:t xml:space="preserve">الواردتان في تفسير الآية وصحيحة بكر بن محمد </w:t>
      </w:r>
      <w:r>
        <w:rPr>
          <w:rStyle w:val="FootnoteAnchor"/>
          <w:rtl w:val="true"/>
        </w:rPr>
        <w:footnoteReference w:id="2242"/>
      </w:r>
      <w:r>
        <w:rPr>
          <w:rFonts w:ascii="Amiri" w:hAnsi="Amiri" w:eastAsia="Amiri" w:cs="Amiri"/>
          <w:color w:val="111111"/>
          <w:sz w:val="28"/>
          <w:sz w:val="28"/>
          <w:szCs w:val="28"/>
          <w:rtl w:val="true"/>
          <w:lang w:bidi="ar-SA"/>
        </w:rPr>
        <w:t xml:space="preserve">ومرسلة الصدوق </w:t>
      </w:r>
      <w:r>
        <w:rPr>
          <w:rStyle w:val="FootnoteAnchor"/>
          <w:rtl w:val="true"/>
        </w:rPr>
        <w:footnoteReference w:id="2243"/>
      </w:r>
      <w:r>
        <w:rPr>
          <w:rFonts w:ascii="Amiri" w:hAnsi="Amiri" w:eastAsia="Amiri" w:cs="Amiri"/>
          <w:color w:val="111111"/>
          <w:sz w:val="28"/>
          <w:sz w:val="28"/>
          <w:szCs w:val="28"/>
          <w:rtl w:val="true"/>
          <w:lang w:bidi="ar-SA"/>
        </w:rPr>
        <w:t xml:space="preserve">المتقدمتان ورواية المعلى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وقت العتمة إلى نصف الليل </w:t>
      </w:r>
      <w:r>
        <w:rPr>
          <w:rFonts w:eastAsia="Amiri" w:cs="Amiri" w:ascii="Amiri" w:hAnsi="Amiri"/>
          <w:color w:val="111111"/>
          <w:sz w:val="28"/>
          <w:szCs w:val="28"/>
          <w:rtl w:val="true"/>
          <w:lang w:bidi="ar-SA"/>
        </w:rPr>
        <w:t xml:space="preserve">» </w:t>
      </w:r>
      <w:r>
        <w:rPr>
          <w:rStyle w:val="FootnoteAnchor"/>
          <w:rtl w:val="true"/>
        </w:rPr>
        <w:footnoteReference w:id="2244"/>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 أن أشق على أمتي لأخّرت العشاء إلى نصف الليل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وقد مرت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أنه قد ورد في عدة من النصوص المستفيضة المشتملة على غير واحد من المعتبرة بقاء وقت العشاءين إلى الصبح للمضطر كالحائض والنائم والساهي ونحوها إذا زالت أعذارهم قبل الصبح فيختص بالعشاء مقدار أدائها والثاني مشترك بين الصلاتين ، ففي صحيحة عبد اللّه بن سنان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نام رجل أو نسي أو سهى أن يصلي المغرب والعشاء الآخرة فإن استيقظ قبل الفجر قدر ما يصليهما كلتيهما فليصلهما فإن خاف أن تفوته إحداهما فليبدأ بالعشاء </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على غير القبلة فاستبان لك قبل أن تصبح أنك صليت على غير القبلة فأعد صلاتك </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مع استفاضة الأخبار عنهم عليهم‌السلام بعدم وجوب الإعادة بعد خروج الوقت إذا صلّى إلى غير القبلة ثم علم به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ظاهرها عدم وجوب الإعادة لو علم به بعد الصبح ، فحملها على صورة الاستدبار في غاية البعد ، فهي ظاهرة الدلالة على ما ذكرناه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نام الرجل ول يصل صلاة المغرب والعشاء أو نسي فإن </w:t>
      </w:r>
    </w:p>
    <w:p>
      <w:pPr>
        <w:pStyle w:val="BookText"/>
        <w:rPr/>
      </w:pPr>
      <w:r>
        <w:rPr>
          <w:rFonts w:ascii="Amiri" w:hAnsi="Amiri" w:eastAsia="Amiri" w:cs="Amiri"/>
          <w:color w:val="111111"/>
          <w:sz w:val="28"/>
          <w:sz w:val="28"/>
          <w:szCs w:val="28"/>
          <w:rtl w:val="true"/>
          <w:lang w:bidi="ar-SA"/>
        </w:rPr>
        <w:t xml:space="preserve">استيقظ قبل الفجر قدر ما يصليهما كلتيهما فليصلهما وإن خشي أن يفوته أحدهما فليبدأ بالعشاء الآخرة </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تفوت الصلاة من أراد الصلاة ولا تفوت صلاة النهار حتى تغيب الشمس ولا صلاة الليل حتى يطلع الفجر ولا صلاة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2249"/>
      </w:r>
      <w:r>
        <w:rPr>
          <w:rFonts w:ascii="Amiri" w:hAnsi="Amiri" w:eastAsia="Amiri" w:cs="Amiri"/>
          <w:color w:val="111111"/>
          <w:sz w:val="28"/>
          <w:sz w:val="28"/>
          <w:szCs w:val="28"/>
          <w:rtl w:val="true"/>
          <w:lang w:bidi="ar-SA"/>
        </w:rPr>
        <w:t>فإن الظاهر من صلاة الليل بقرينة المقام بلّه هي الصلاة الواجبة وحملها على النوافل كما ذكره الشيخ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داود الزجاجي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حائضا فطهرت قبل غروب الشمس صلت الظهر والعصر وإن طهرت في آخر الليل صلّت المغرب والعشاء </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طهرت المرأة قبل طلوع الفجر صلّت المغرب والعشاء وإن طهرت قبل أن تغيب الشمس صلّت الظهر والعصر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رواية أبي الصباح الكناني </w:t>
      </w:r>
      <w:r>
        <w:rPr>
          <w:rStyle w:val="FootnoteAnchor"/>
          <w:rtl w:val="true"/>
        </w:rPr>
        <w:footnoteReference w:id="2252"/>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بمضمونها صاحب المدارك </w:t>
      </w:r>
      <w:r>
        <w:rPr>
          <w:rStyle w:val="FootnoteAnchor"/>
          <w:rtl w:val="true"/>
        </w:rPr>
        <w:footnoteReference w:id="2253"/>
      </w:r>
      <w:r>
        <w:rPr>
          <w:rFonts w:ascii="Amiri" w:hAnsi="Amiri" w:eastAsia="Amiri" w:cs="Amiri"/>
          <w:color w:val="111111"/>
          <w:sz w:val="28"/>
          <w:sz w:val="28"/>
          <w:szCs w:val="28"/>
          <w:rtl w:val="true"/>
          <w:lang w:bidi="ar-SA"/>
        </w:rPr>
        <w:t xml:space="preserve">واستحسنه صاحب المفاتيح ، وقوّاه في البحار </w:t>
      </w:r>
      <w:r>
        <w:rPr>
          <w:rStyle w:val="FootnoteAnchor"/>
          <w:rtl w:val="true"/>
        </w:rPr>
        <w:footnoteReference w:id="2254"/>
      </w:r>
      <w:r>
        <w:rPr>
          <w:rFonts w:ascii="Amiri" w:hAnsi="Amiri" w:eastAsia="Amiri" w:cs="Amiri"/>
          <w:color w:val="111111"/>
          <w:sz w:val="28"/>
          <w:sz w:val="28"/>
          <w:szCs w:val="28"/>
          <w:rtl w:val="true"/>
          <w:lang w:bidi="ar-SA"/>
        </w:rPr>
        <w:t xml:space="preserve">واختاره الشريف الأستاد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فراديس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ظاهر الشيخ في كتابي الأخبار حيث ذكر بعض الأخبار المتقدمة وحمله على الضرورة ، فعلى هذا يكون للعشاءين أوقات ثلاثة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عليه في الخلاف </w:t>
      </w:r>
      <w:r>
        <w:rPr>
          <w:rStyle w:val="FootnoteAnchor"/>
          <w:rtl w:val="true"/>
        </w:rPr>
        <w:footnoteReference w:id="2255"/>
      </w:r>
      <w:r>
        <w:rPr>
          <w:rFonts w:ascii="Amiri" w:hAnsi="Amiri" w:eastAsia="Amiri" w:cs="Amiri"/>
          <w:color w:val="111111"/>
          <w:sz w:val="28"/>
          <w:sz w:val="28"/>
          <w:szCs w:val="28"/>
          <w:rtl w:val="true"/>
          <w:lang w:bidi="ar-SA"/>
        </w:rPr>
        <w:t xml:space="preserve">بالنسبة إلى صلاة العشاء ، وحكى الإجماع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w:t>
      </w:r>
    </w:p>
    <w:p>
      <w:pPr>
        <w:pStyle w:val="BookText"/>
        <w:rPr/>
      </w:pPr>
      <w:r>
        <w:rPr>
          <w:rFonts w:ascii="Amiri" w:hAnsi="Amiri" w:eastAsia="Amiri" w:cs="Amiri"/>
          <w:color w:val="111111"/>
          <w:sz w:val="28"/>
          <w:sz w:val="28"/>
          <w:szCs w:val="28"/>
          <w:rtl w:val="true"/>
          <w:lang w:bidi="ar-SA"/>
        </w:rPr>
        <w:t>خلاف بين أهل العلم في أن أصحاب الأعذار إذا أدرك أحدهم قبل طلوع الفجر الثاني مقدار ركعة أنه يلزمه العشاء الآخرة ولم يتعرض للمغرب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الحكم بالنسبة إلى العشاء في المعتبر </w:t>
      </w:r>
      <w:r>
        <w:rPr>
          <w:rStyle w:val="FootnoteAnchor"/>
          <w:rtl w:val="true"/>
        </w:rPr>
        <w:footnoteReference w:id="22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وقوّاه </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صاحب المعالم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الذكرى </w:t>
      </w:r>
      <w:r>
        <w:rPr>
          <w:rStyle w:val="FootnoteAnchor"/>
          <w:rtl w:val="true"/>
        </w:rPr>
        <w:footnoteReference w:id="2258"/>
      </w:r>
      <w:r>
        <w:rPr>
          <w:rFonts w:ascii="Amiri" w:hAnsi="Amiri" w:eastAsia="Amiri" w:cs="Amiri"/>
          <w:color w:val="111111"/>
          <w:sz w:val="28"/>
          <w:sz w:val="28"/>
          <w:szCs w:val="28"/>
          <w:rtl w:val="true"/>
          <w:lang w:bidi="ar-SA"/>
        </w:rPr>
        <w:t>أنه يظهر من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جريان الحكم في المغرب ؛ إذ من البعيد توهّم الفرق </w:t>
      </w:r>
      <w:r>
        <w:rPr>
          <w:rStyle w:val="FootnoteAnchor"/>
          <w:rtl w:val="true"/>
        </w:rPr>
        <w:footnoteReference w:id="2259"/>
      </w:r>
      <w:r>
        <w:rPr>
          <w:rFonts w:ascii="Amiri" w:hAnsi="Amiri" w:eastAsia="Amiri" w:cs="Amiri"/>
          <w:color w:val="111111"/>
          <w:sz w:val="28"/>
          <w:sz w:val="28"/>
          <w:szCs w:val="28"/>
          <w:rtl w:val="true"/>
          <w:lang w:bidi="ar-SA"/>
        </w:rPr>
        <w:t>بينهما في ذلك مع ما عرفت من اندراجهما في الأخبار ، وقد اختاره أيضا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القول به عن قوة ؛ لاستفاضة النصوص به ، وصراحتها فيه ، واعتبار أسانيد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في النصوص ما فيه دلالة صريحة على خلافه ؛ إذ لا شكّ في أن الوقت الموظف الذي يجوز التأخير إليه ولو مع عذر يسير إنما هو نصف الليل ، وهو الوقت الذي قرّره الشارع لهما ، ودلّت عليه الآية ، وسائر الروايات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هذا الوقت وهو </w:t>
      </w:r>
      <w:r>
        <w:rPr>
          <w:rStyle w:val="FootnoteAnchor"/>
          <w:rtl w:val="true"/>
        </w:rPr>
        <w:footnoteReference w:id="2260"/>
      </w:r>
      <w:r>
        <w:rPr>
          <w:rFonts w:ascii="Amiri" w:hAnsi="Amiri" w:eastAsia="Amiri" w:cs="Amiri"/>
          <w:color w:val="111111"/>
          <w:sz w:val="28"/>
          <w:sz w:val="28"/>
          <w:szCs w:val="28"/>
          <w:rtl w:val="true"/>
          <w:lang w:bidi="ar-SA"/>
        </w:rPr>
        <w:t>مشارك لخارجه في وقوع العصيان بالتأخير إليه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عدم خروجه عن الوقت المحدود بالمرة ، بمعنى أن الشارع أجراه مجرى ذلك الوقت في لزوم الفعل على إدراكه ، فهو خارج عن وقته المجعول للمختار الذي هو المنظور في </w:t>
      </w:r>
      <w:r>
        <w:rPr>
          <w:rStyle w:val="FootnoteAnchor"/>
          <w:rtl w:val="true"/>
        </w:rPr>
        <w:footnoteReference w:id="2261"/>
      </w:r>
      <w:r>
        <w:rPr>
          <w:rFonts w:ascii="Amiri" w:hAnsi="Amiri" w:eastAsia="Amiri" w:cs="Amiri"/>
          <w:color w:val="111111"/>
          <w:sz w:val="28"/>
          <w:sz w:val="28"/>
          <w:szCs w:val="28"/>
          <w:rtl w:val="true"/>
          <w:lang w:bidi="ar-SA"/>
        </w:rPr>
        <w:t>تلك الأخبار ، فحمل الروايات الدالّة على خروجه عن الوقت على إرادة الوقت المذكور أي الوقت المحدود الذي يجوز التأخير إليه مطلقا أو يأتي في عذر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يأباه ظاهر الآية ولا شي‌ء من تلك الروايات المأثورة كما لا يخفى على المتأمّل فيها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الأمر بقضاء العشاء بعد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بصريح في خلافه ؛ لوضوح إطلاق القضاء على ما يعمّ الأداء ، سيّما مع مشابهته لخارج الوقت في حصول العصيان بالتأخير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أن المنع من تأخير الصلاة عن نصف الليل وأنّ من نام عنه فلا رقدت عيناه ، فهو ممّا لا ظهور له في خلافه أصلا إذا قضى ما يدلّ عليه حصول العصيان بسببه ، وهو مما لا كلام </w:t>
      </w:r>
      <w:r>
        <w:rPr>
          <w:rStyle w:val="FootnoteAnchor"/>
          <w:rtl w:val="true"/>
        </w:rPr>
        <w:footnoteReference w:id="226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وخلو سائر الأخبار عن بيان ذلك لا يدلّ على عدمه ؛ إذ هي مسوقة لبيان وقت الاختيار الذي يجوز التأخير إليه ، ولو مع أدنى الاقدار ، دون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يحكم بالمعارضة بينها وبين صريح هذه الأخبار المروية عن العترة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يشكل الحال فيها من جهة موافقتها لمذاهب العامة ، فقد حكي إطباق فقهائهم الأربعة عليه ، وإن اختلفوا في كونه وقت المختار أو المضطرّ مع مخالفة ظواهر تلك الأخبار لمذاهبهم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موافقة تلك لظواهر الكتاب ومخالفة هذه لها وموافقة تلك لظاهر المشهور بين الأصحاب ومخالفتها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بذلك صاحب الحدائق </w:t>
      </w:r>
      <w:r>
        <w:rPr>
          <w:rStyle w:val="FootnoteAnchor"/>
          <w:rtl w:val="true"/>
        </w:rPr>
        <w:footnoteReference w:id="2263"/>
      </w:r>
      <w:r>
        <w:rPr>
          <w:rFonts w:ascii="Amiri" w:hAnsi="Amiri" w:eastAsia="Amiri" w:cs="Amiri"/>
          <w:color w:val="111111"/>
          <w:sz w:val="28"/>
          <w:sz w:val="28"/>
          <w:szCs w:val="28"/>
          <w:rtl w:val="true"/>
          <w:lang w:bidi="ar-SA"/>
        </w:rPr>
        <w:t>حاملا للأخبار المذكورة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إذ الحمل على التقية إنما يصح مع حصول المعارضة بحيث لا يكون وجه ظاهر للجميع </w:t>
      </w:r>
      <w:r>
        <w:rPr>
          <w:rStyle w:val="FootnoteAnchor"/>
          <w:rtl w:val="true"/>
        </w:rPr>
        <w:footnoteReference w:id="2264"/>
      </w:r>
      <w:r>
        <w:rPr>
          <w:rFonts w:ascii="Amiri" w:hAnsi="Amiri" w:eastAsia="Amiri" w:cs="Amiri"/>
          <w:color w:val="111111"/>
          <w:sz w:val="28"/>
          <w:sz w:val="28"/>
          <w:szCs w:val="28"/>
          <w:rtl w:val="true"/>
          <w:lang w:bidi="ar-SA"/>
        </w:rPr>
        <w:t>سواه ، والمفروض أن المعارضة الحاصلة في المقام إنما هي بين النصّ والظاهر ؛ إذ ليس في تلك الأخبار خصوصية على انتفاء ذلك ، بل ولا ظهور تامّ فيه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فهم العرف من ملاحظة مجموع الأخبار تقييد تلك الإطلاقات بذلك ، والبناء على خروج وقت الاختيار ، وبناء </w:t>
      </w:r>
      <w:r>
        <w:rPr>
          <w:rStyle w:val="FootnoteAnchor"/>
          <w:rtl w:val="true"/>
        </w:rPr>
        <w:footnoteReference w:id="2265"/>
      </w:r>
      <w:r>
        <w:rPr>
          <w:rFonts w:ascii="Amiri" w:hAnsi="Amiri" w:eastAsia="Amiri" w:cs="Amiri"/>
          <w:color w:val="111111"/>
          <w:sz w:val="28"/>
          <w:sz w:val="28"/>
          <w:szCs w:val="28"/>
          <w:rtl w:val="true"/>
          <w:lang w:bidi="ar-SA"/>
        </w:rPr>
        <w:t>وقت الاضطرار ، فمع قضاء العرف بمثل ذلك لا داعي إلى الحمل على التقية ، ولا للتمسك في تركها إلى مخالفة الكتاب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مخالف لما حكي عنهم في المقام ؛ إذ المعزى إليهم وجوب الصلاتين معا بإدراك مقدار ركعة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أخبارهم ما يدلّ عليه ، بل اكتفى بإدراك بعضهم التكبيرة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Style w:val="FootnoteAnchor"/>
          <w:rtl w:val="true"/>
        </w:rPr>
        <w:footnoteReference w:id="2266"/>
      </w:r>
      <w:r>
        <w:rPr>
          <w:rFonts w:ascii="Amiri" w:hAnsi="Amiri" w:eastAsia="Amiri" w:cs="Amiri"/>
          <w:color w:val="111111"/>
          <w:sz w:val="28"/>
          <w:sz w:val="28"/>
          <w:szCs w:val="28"/>
          <w:rtl w:val="true"/>
          <w:lang w:bidi="ar-SA"/>
        </w:rPr>
        <w:t>نصّ في الصحيحة المتقدمة وغيرها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ذلك بحال الاضطرار أو يجري أيضا في حق المختار بحيث لو عصى وتعمّد التأخير بقي الوقت بالنسبة إليه وكان مؤديا؟ وجهان ؛ من خروجه عن منطوق الأخبار ، ومن أن قضية اندراجه في الوقت حال الاضطرار عدم خروجه بالمرة عن الوقت المضروب ، فيجري في شأن المختار ، وإن ترتب عليه العصيان على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ذلك عن قوة ، وقد أفتى به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ما قرّرناه للعشاء أوقات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منها للإجزاء ، وآخران للفضيلة ورابع للاضطرار ، وللمغرب أوقات ثلاثة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ما دلّ من أن لكلّ صلاة وقتين ، كما لا يخفى</w:t>
      </w:r>
      <w:r>
        <w:rPr>
          <w:rFonts w:eastAsia="Amiri" w:cs="Amiri" w:ascii="Amiri" w:hAnsi="Amiri"/>
          <w:color w:val="111111"/>
          <w:sz w:val="28"/>
          <w:szCs w:val="28"/>
          <w:rtl w:val="true"/>
          <w:lang w:bidi="ar-SA"/>
        </w:rPr>
        <w:t xml:space="preserve">. </w:t>
      </w:r>
      <w:bookmarkStart w:id="462" w:name="pg15839_361097"/>
    </w:p>
    <w:p>
      <w:pPr>
        <w:pStyle w:val="Heading5"/>
        <w:numPr>
          <w:ilvl w:val="4"/>
          <w:numId w:val="1"/>
        </w:numPr>
        <w:rPr/>
      </w:pPr>
      <w:bookmarkStart w:id="463" w:name="__RefHeading___Toc14338637_2142443653"/>
      <w:bookmarkStart w:id="464" w:name="_Toc171"/>
      <w:bookmarkEnd w:id="462"/>
      <w:bookmarkEnd w:id="463"/>
      <w:r>
        <w:rPr>
          <w:rtl w:val="true"/>
        </w:rPr>
        <w:t>تبصرة</w:t>
      </w:r>
      <w:r>
        <w:rPr>
          <w:rtl w:val="true"/>
        </w:rPr>
        <w:t xml:space="preserve">: [ </w:t>
      </w:r>
      <w:r>
        <w:rPr>
          <w:rtl w:val="true"/>
        </w:rPr>
        <w:t xml:space="preserve">في وقت الفجر </w:t>
      </w:r>
      <w:r>
        <w:rPr>
          <w:rtl w:val="true"/>
        </w:rPr>
        <w:t>]</w:t>
      </w:r>
      <w:bookmarkEnd w:id="464"/>
    </w:p>
    <w:p>
      <w:pPr>
        <w:pStyle w:val="BookText"/>
        <w:rPr/>
      </w:pPr>
      <w:r>
        <w:rPr>
          <w:rFonts w:ascii="Amiri" w:hAnsi="Amiri" w:eastAsia="Amiri" w:cs="Amiri"/>
          <w:color w:val="111111"/>
          <w:sz w:val="28"/>
          <w:sz w:val="28"/>
          <w:szCs w:val="28"/>
          <w:rtl w:val="true"/>
          <w:lang w:bidi="ar-SA"/>
        </w:rPr>
        <w:t xml:space="preserve">أول وقت صلاة الفجر طلوع الفجر الصادق أي البياض المستطير في الافق ، بالإجماع المعلوم والمنقول في كلام جماعة كما في المعتبر </w:t>
      </w:r>
      <w:r>
        <w:rPr>
          <w:rStyle w:val="FootnoteAnchor"/>
          <w:rtl w:val="true"/>
        </w:rPr>
        <w:footnoteReference w:id="2267"/>
      </w:r>
      <w:r>
        <w:rPr>
          <w:rFonts w:ascii="IRNazanin" w:hAnsi="IRNazanin" w:eastAsia="IRNazanin"/>
          <w:color w:val="111111"/>
          <w:sz w:val="28"/>
          <w:sz w:val="28"/>
          <w:szCs w:val="28"/>
          <w:rtl w:val="true"/>
          <w:lang w:bidi="fa-IR"/>
        </w:rPr>
        <w:t xml:space="preserve">ومنتهى المطلب </w:t>
      </w:r>
      <w:r>
        <w:rPr>
          <w:rStyle w:val="FootnoteAnchor"/>
          <w:rtl w:val="true"/>
        </w:rPr>
        <w:footnoteReference w:id="2268"/>
      </w:r>
      <w:r>
        <w:rPr>
          <w:rFonts w:ascii="Amiri" w:hAnsi="Amiri" w:eastAsia="Amiri" w:cs="Amiri"/>
          <w:color w:val="111111"/>
          <w:sz w:val="28"/>
          <w:sz w:val="28"/>
          <w:szCs w:val="28"/>
          <w:rtl w:val="true"/>
          <w:lang w:bidi="ar-SA"/>
        </w:rPr>
        <w:t xml:space="preserve">والتذكرة </w:t>
      </w:r>
      <w:r>
        <w:rPr>
          <w:rStyle w:val="FootnoteAnchor"/>
          <w:rtl w:val="true"/>
        </w:rPr>
        <w:footnoteReference w:id="2269"/>
      </w:r>
      <w:r>
        <w:rPr>
          <w:rFonts w:ascii="Amiri" w:hAnsi="Amiri" w:eastAsia="Amiri" w:cs="Amiri"/>
          <w:color w:val="111111"/>
          <w:sz w:val="28"/>
          <w:sz w:val="28"/>
          <w:szCs w:val="28"/>
          <w:rtl w:val="true"/>
          <w:lang w:bidi="ar-SA"/>
        </w:rPr>
        <w:t xml:space="preserve">والذكرى </w:t>
      </w:r>
      <w:r>
        <w:rPr>
          <w:rStyle w:val="FootnoteAnchor"/>
          <w:rtl w:val="true"/>
        </w:rPr>
        <w:footnoteReference w:id="2270"/>
      </w:r>
      <w:r>
        <w:rPr>
          <w:rFonts w:ascii="Amiri" w:hAnsi="Amiri" w:eastAsia="Amiri" w:cs="Amiri"/>
          <w:color w:val="111111"/>
          <w:sz w:val="28"/>
          <w:sz w:val="28"/>
          <w:szCs w:val="28"/>
          <w:rtl w:val="true"/>
          <w:lang w:bidi="ar-SA"/>
        </w:rPr>
        <w:t xml:space="preserve">والمدارك </w:t>
      </w:r>
      <w:r>
        <w:rPr>
          <w:rStyle w:val="FootnoteAnchor"/>
          <w:rtl w:val="true"/>
        </w:rPr>
        <w:footnoteReference w:id="227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عنه الخلاف في </w:t>
      </w:r>
      <w:r>
        <w:rPr>
          <w:rStyle w:val="FootnoteAnchor"/>
          <w:rtl w:val="true"/>
        </w:rPr>
        <w:footnoteReference w:id="2272"/>
      </w:r>
      <w:r>
        <w:rPr>
          <w:rFonts w:ascii="IRNazanin" w:hAnsi="IRNazanin" w:eastAsia="IRNazanin"/>
          <w:color w:val="111111"/>
          <w:sz w:val="28"/>
          <w:sz w:val="28"/>
          <w:szCs w:val="28"/>
          <w:rtl w:val="true"/>
          <w:lang w:bidi="fa-IR"/>
        </w:rPr>
        <w:t xml:space="preserve">الخلاف </w:t>
      </w:r>
      <w:r>
        <w:rPr>
          <w:rStyle w:val="FootnoteAnchor"/>
          <w:rtl w:val="true"/>
        </w:rPr>
        <w:footnoteReference w:id="2273"/>
      </w:r>
      <w:r>
        <w:rPr>
          <w:rFonts w:ascii="Amiri" w:hAnsi="Amiri" w:eastAsia="Amiri" w:cs="Amiri"/>
          <w:color w:val="111111"/>
          <w:sz w:val="28"/>
          <w:sz w:val="28"/>
          <w:szCs w:val="28"/>
          <w:rtl w:val="true"/>
          <w:lang w:bidi="ar-SA"/>
        </w:rPr>
        <w:t>وكشف الالتباس وغاية المرام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آخر وقته ، فالمشهور بين الأصحاب أن آخر وقت الإجزاء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القول به عن الإسكافي والمفيد </w:t>
      </w:r>
      <w:r>
        <w:rPr>
          <w:rStyle w:val="FootnoteAnchor"/>
          <w:rtl w:val="true"/>
        </w:rPr>
        <w:footnoteReference w:id="2274"/>
      </w:r>
      <w:r>
        <w:rPr>
          <w:rFonts w:ascii="Amiri" w:hAnsi="Amiri" w:eastAsia="Amiri" w:cs="Amiri"/>
          <w:color w:val="111111"/>
          <w:sz w:val="28"/>
          <w:sz w:val="28"/>
          <w:szCs w:val="28"/>
          <w:rtl w:val="true"/>
          <w:lang w:bidi="ar-SA"/>
        </w:rPr>
        <w:t xml:space="preserve">والسيدين والشيخ في المصباح </w:t>
      </w:r>
      <w:r>
        <w:rPr>
          <w:rStyle w:val="FootnoteAnchor"/>
          <w:rtl w:val="true"/>
        </w:rPr>
        <w:footnoteReference w:id="2275"/>
      </w:r>
      <w:r>
        <w:rPr>
          <w:rFonts w:ascii="Amiri" w:hAnsi="Amiri" w:eastAsia="Amiri" w:cs="Amiri"/>
          <w:color w:val="111111"/>
          <w:sz w:val="28"/>
          <w:sz w:val="28"/>
          <w:szCs w:val="28"/>
          <w:rtl w:val="true"/>
          <w:lang w:bidi="ar-SA"/>
        </w:rPr>
        <w:t xml:space="preserve">والديلمي والقاضي </w:t>
      </w:r>
      <w:r>
        <w:rPr>
          <w:rStyle w:val="FootnoteAnchor"/>
          <w:rtl w:val="true"/>
        </w:rPr>
        <w:footnoteReference w:id="2276"/>
      </w:r>
      <w:r>
        <w:rPr>
          <w:rFonts w:ascii="Amiri" w:hAnsi="Amiri" w:eastAsia="Amiri" w:cs="Amiri"/>
          <w:color w:val="111111"/>
          <w:sz w:val="28"/>
          <w:sz w:val="28"/>
          <w:szCs w:val="28"/>
          <w:rtl w:val="true"/>
          <w:lang w:bidi="ar-SA"/>
        </w:rPr>
        <w:t xml:space="preserve">والحلبي </w:t>
      </w:r>
      <w:r>
        <w:rPr>
          <w:rStyle w:val="FootnoteAnchor"/>
          <w:rtl w:val="true"/>
        </w:rPr>
        <w:footnoteReference w:id="2277"/>
      </w:r>
      <w:r>
        <w:rPr>
          <w:rFonts w:ascii="Amiri" w:hAnsi="Amiri" w:eastAsia="Amiri" w:cs="Amiri"/>
          <w:color w:val="111111"/>
          <w:sz w:val="28"/>
          <w:sz w:val="28"/>
          <w:szCs w:val="28"/>
          <w:rtl w:val="true"/>
          <w:lang w:bidi="ar-SA"/>
        </w:rPr>
        <w:t xml:space="preserve">والحلي </w:t>
      </w:r>
      <w:r>
        <w:rPr>
          <w:rStyle w:val="FootnoteAnchor"/>
          <w:rtl w:val="true"/>
        </w:rPr>
        <w:footnoteReference w:id="2278"/>
      </w:r>
      <w:r>
        <w:rPr>
          <w:rFonts w:ascii="Amiri" w:hAnsi="Amiri" w:eastAsia="Amiri" w:cs="Amiri"/>
          <w:color w:val="111111"/>
          <w:sz w:val="28"/>
          <w:sz w:val="28"/>
          <w:szCs w:val="28"/>
          <w:rtl w:val="true"/>
          <w:lang w:bidi="ar-SA"/>
        </w:rPr>
        <w:t xml:space="preserve">والفاضلين </w:t>
      </w:r>
      <w:r>
        <w:rPr>
          <w:rStyle w:val="FootnoteAnchor"/>
          <w:rtl w:val="true"/>
        </w:rPr>
        <w:footnoteReference w:id="2279"/>
      </w:r>
      <w:r>
        <w:rPr>
          <w:rFonts w:ascii="Amiri" w:hAnsi="Amiri" w:eastAsia="Amiri" w:cs="Amiri"/>
          <w:color w:val="111111"/>
          <w:sz w:val="28"/>
          <w:sz w:val="28"/>
          <w:szCs w:val="28"/>
          <w:rtl w:val="true"/>
          <w:lang w:bidi="ar-SA"/>
        </w:rPr>
        <w:t xml:space="preserve">والشهيدين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والسيوري وابن فهد </w:t>
      </w:r>
      <w:r>
        <w:rPr>
          <w:rStyle w:val="FootnoteAnchor"/>
          <w:rtl w:val="true"/>
        </w:rPr>
        <w:footnoteReference w:id="2281"/>
      </w:r>
      <w:r>
        <w:rPr>
          <w:rFonts w:ascii="Amiri" w:hAnsi="Amiri" w:eastAsia="Amiri" w:cs="Amiri"/>
          <w:color w:val="111111"/>
          <w:sz w:val="28"/>
          <w:sz w:val="28"/>
          <w:szCs w:val="28"/>
          <w:rtl w:val="true"/>
          <w:lang w:bidi="ar-SA"/>
        </w:rPr>
        <w:t xml:space="preserve">والصيمري والمحقق الكركي </w:t>
      </w:r>
      <w:r>
        <w:rPr>
          <w:rStyle w:val="FootnoteAnchor"/>
          <w:rtl w:val="true"/>
        </w:rPr>
        <w:footnoteReference w:id="228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الإجماع عليه في الغنية </w:t>
      </w:r>
      <w:r>
        <w:rPr>
          <w:rStyle w:val="FootnoteAnchor"/>
          <w:rtl w:val="true"/>
        </w:rPr>
        <w:footnoteReference w:id="2283"/>
      </w:r>
      <w:r>
        <w:rPr>
          <w:rFonts w:ascii="IRNazanin" w:hAnsi="IRNazanin" w:eastAsia="IRNazanin"/>
          <w:color w:val="111111"/>
          <w:sz w:val="28"/>
          <w:sz w:val="28"/>
          <w:szCs w:val="28"/>
          <w:rtl w:val="true"/>
          <w:lang w:bidi="fa-IR"/>
        </w:rPr>
        <w:t xml:space="preserve">والسرائر </w:t>
      </w:r>
      <w:r>
        <w:rPr>
          <w:rStyle w:val="FootnoteAnchor"/>
          <w:rtl w:val="true"/>
        </w:rPr>
        <w:footnoteReference w:id="2284"/>
      </w:r>
      <w:r>
        <w:rPr>
          <w:rFonts w:ascii="Amiri" w:hAnsi="Amiri" w:eastAsia="Amiri" w:cs="Amiri"/>
          <w:color w:val="111111"/>
          <w:sz w:val="28"/>
          <w:sz w:val="28"/>
          <w:szCs w:val="28"/>
          <w:rtl w:val="true"/>
          <w:lang w:bidi="ar-SA"/>
        </w:rPr>
        <w:t xml:space="preserve">والشهرة في المسالك </w:t>
      </w:r>
      <w:r>
        <w:rPr>
          <w:rStyle w:val="FootnoteAnchor"/>
          <w:rtl w:val="true"/>
        </w:rPr>
        <w:footnoteReference w:id="2285"/>
      </w:r>
      <w:r>
        <w:rPr>
          <w:rFonts w:ascii="IRNazanin" w:hAnsi="IRNazanin" w:eastAsia="IRNazanin"/>
          <w:color w:val="111111"/>
          <w:sz w:val="28"/>
          <w:sz w:val="28"/>
          <w:szCs w:val="28"/>
          <w:rtl w:val="true"/>
          <w:lang w:bidi="fa-IR"/>
        </w:rPr>
        <w:t xml:space="preserve">ومجمع البرهان </w:t>
      </w:r>
      <w:r>
        <w:rPr>
          <w:rStyle w:val="FootnoteAnchor"/>
          <w:rtl w:val="true"/>
        </w:rPr>
        <w:footnoteReference w:id="2286"/>
      </w:r>
      <w:r>
        <w:rPr>
          <w:rFonts w:ascii="IRNazanin" w:hAnsi="IRNazanin" w:eastAsia="IRNazanin"/>
          <w:color w:val="111111"/>
          <w:sz w:val="28"/>
          <w:sz w:val="28"/>
          <w:szCs w:val="28"/>
          <w:rtl w:val="true"/>
          <w:lang w:bidi="fa-IR"/>
        </w:rPr>
        <w:t xml:space="preserve">والحدائق </w:t>
      </w:r>
      <w:r>
        <w:rPr>
          <w:rStyle w:val="FootnoteAnchor"/>
          <w:rtl w:val="true"/>
        </w:rPr>
        <w:footnoteReference w:id="228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الوقت للمختار ظهور الحمرة المشرقية ، وللمضطر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ذلك عن الشيخ في المبسوط </w:t>
      </w:r>
      <w:r>
        <w:rPr>
          <w:rStyle w:val="FootnoteAnchor"/>
          <w:rtl w:val="true"/>
        </w:rPr>
        <w:footnoteReference w:id="2289"/>
      </w:r>
      <w:r>
        <w:rPr>
          <w:rFonts w:ascii="IRNazanin" w:hAnsi="IRNazanin" w:eastAsia="IRNazanin"/>
          <w:color w:val="111111"/>
          <w:sz w:val="28"/>
          <w:sz w:val="28"/>
          <w:szCs w:val="28"/>
          <w:rtl w:val="true"/>
          <w:lang w:bidi="fa-IR"/>
        </w:rPr>
        <w:t xml:space="preserve">والخلاف </w:t>
      </w:r>
      <w:r>
        <w:rPr>
          <w:rStyle w:val="FootnoteAnchor"/>
          <w:rtl w:val="true"/>
        </w:rPr>
        <w:footnoteReference w:id="2290"/>
      </w:r>
      <w:r>
        <w:rPr>
          <w:rFonts w:ascii="Amiri" w:hAnsi="Amiri" w:eastAsia="Amiri" w:cs="Amiri"/>
          <w:color w:val="111111"/>
          <w:sz w:val="28"/>
          <w:sz w:val="28"/>
          <w:szCs w:val="28"/>
          <w:rtl w:val="true"/>
          <w:lang w:bidi="ar-SA"/>
        </w:rPr>
        <w:t xml:space="preserve">وكتابي </w:t>
      </w:r>
      <w:r>
        <w:rPr>
          <w:rStyle w:val="FootnoteAnchor"/>
          <w:rtl w:val="true"/>
        </w:rPr>
        <w:footnoteReference w:id="2291"/>
      </w:r>
      <w:r>
        <w:rPr>
          <w:rFonts w:ascii="Amiri" w:hAnsi="Amiri" w:eastAsia="Amiri" w:cs="Amiri"/>
          <w:color w:val="111111"/>
          <w:sz w:val="28"/>
          <w:sz w:val="28"/>
          <w:szCs w:val="28"/>
          <w:rtl w:val="true"/>
          <w:lang w:bidi="ar-SA"/>
        </w:rPr>
        <w:t xml:space="preserve">الحديث والطوسي في الوسيلة </w:t>
      </w:r>
      <w:r>
        <w:rPr>
          <w:rStyle w:val="FootnoteAnchor"/>
          <w:rtl w:val="true"/>
        </w:rPr>
        <w:footnoteReference w:id="2292"/>
      </w:r>
      <w:r>
        <w:rPr>
          <w:rFonts w:ascii="Amiri" w:hAnsi="Amiri" w:eastAsia="Amiri" w:cs="Amiri"/>
          <w:color w:val="111111"/>
          <w:sz w:val="28"/>
          <w:sz w:val="28"/>
          <w:szCs w:val="28"/>
          <w:rtl w:val="true"/>
          <w:lang w:bidi="ar-SA"/>
        </w:rPr>
        <w:t>إلا أن الموجود في كلام الشيخ اعتبار الإسفار للمختار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منه جماعة ظهور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يومي عبارة الخلاف </w:t>
      </w:r>
      <w:r>
        <w:rPr>
          <w:rStyle w:val="FootnoteAnchor"/>
          <w:rtl w:val="true"/>
        </w:rPr>
        <w:footnoteReference w:id="2293"/>
      </w:r>
      <w:r>
        <w:rPr>
          <w:rFonts w:ascii="Amiri" w:hAnsi="Amiri" w:eastAsia="Amiri" w:cs="Amiri"/>
          <w:color w:val="111111"/>
          <w:sz w:val="28"/>
          <w:sz w:val="28"/>
          <w:szCs w:val="28"/>
          <w:rtl w:val="true"/>
          <w:lang w:bidi="ar-SA"/>
        </w:rPr>
        <w:t xml:space="preserve">إلى حكاية الإجماع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الإسفار آخر وقت المختار عندنا إلا أنه لم يستند فيه إلا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عدم تحققه للإجماع ، وإلّا صحّ امتداد وقت الإجزاء إلى طلوع الشمس للمختار ، ووقت الفضيلة إلى الإسفار المتحد عندهم مع الحمرة المشرقية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عدّة من الأخبار ، ففي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الغداة ما بين طلوع </w:t>
      </w:r>
    </w:p>
    <w:p>
      <w:pPr>
        <w:pStyle w:val="BookText"/>
        <w:rPr/>
      </w:pPr>
      <w:r>
        <w:rPr>
          <w:rFonts w:ascii="IRNazanin" w:hAnsi="IRNazanin" w:eastAsia="IRNazanin"/>
          <w:color w:val="111111"/>
          <w:sz w:val="28"/>
          <w:sz w:val="28"/>
          <w:szCs w:val="28"/>
          <w:rtl w:val="true"/>
          <w:lang w:bidi="fa-IR"/>
        </w:rPr>
        <w:t xml:space="preserve">الفجر إلى طلوع الشمس </w:t>
      </w:r>
      <w:r>
        <w:rPr>
          <w:rFonts w:eastAsia="IRNazanin" w:cs="IRNazanin"/>
          <w:color w:val="111111"/>
          <w:sz w:val="28"/>
          <w:szCs w:val="28"/>
          <w:rtl w:val="true"/>
          <w:lang w:bidi="fa-IR"/>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عبيد بن زرارة 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صلاة الفجر حتى تطلع الشمس </w:t>
      </w:r>
      <w:r>
        <w:rPr>
          <w:rFonts w:eastAsia="Amiri" w:cs="Amiri" w:ascii="Amiri" w:hAnsi="Amiri"/>
          <w:color w:val="111111"/>
          <w:sz w:val="28"/>
          <w:szCs w:val="28"/>
          <w:rtl w:val="true"/>
          <w:lang w:bidi="ar-SA"/>
        </w:rPr>
        <w:t xml:space="preserve">»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لا يصلي الغداة حتى يسفر وتظهر الحمرة ولم يركع ركعتي الفجر أيركعها </w:t>
      </w:r>
      <w:r>
        <w:rPr>
          <w:rStyle w:val="FootnoteAnchor"/>
          <w:rtl w:val="true"/>
        </w:rPr>
        <w:footnoteReference w:id="2296"/>
      </w:r>
      <w:r>
        <w:rPr>
          <w:rFonts w:ascii="Amiri" w:hAnsi="Amiri" w:eastAsia="Amiri" w:cs="Amiri"/>
          <w:color w:val="111111"/>
          <w:sz w:val="28"/>
          <w:sz w:val="28"/>
          <w:szCs w:val="28"/>
          <w:rtl w:val="true"/>
          <w:lang w:bidi="ar-SA"/>
        </w:rPr>
        <w:t xml:space="preserve">أو يؤخرهما؟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يؤخرهما </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سياقها جواز التأخير إلى ما بعد ظهور الحمرة ، فبعد ظهوره جوازه إلى طلوع الشمس ؛ إذ لا قائل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الأصل ، ولا قائل </w:t>
      </w:r>
      <w:r>
        <w:rPr>
          <w:rStyle w:val="FootnoteAnchor"/>
          <w:rtl w:val="true"/>
        </w:rPr>
        <w:footnoteReference w:id="2298"/>
      </w:r>
      <w:r>
        <w:rPr>
          <w:rFonts w:ascii="Amiri" w:hAnsi="Amiri" w:eastAsia="Amiri" w:cs="Amiri"/>
          <w:color w:val="111111"/>
          <w:sz w:val="28"/>
          <w:sz w:val="28"/>
          <w:szCs w:val="28"/>
          <w:rtl w:val="true"/>
          <w:lang w:bidi="ar-SA"/>
        </w:rPr>
        <w:t>ظاهرا بخروج وقته مع تعمد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عاصيا ، فالأصل عدمه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بعد ملاحظة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فإيراد </w:t>
      </w:r>
      <w:r>
        <w:rPr>
          <w:rStyle w:val="FootnoteAnchor"/>
          <w:rtl w:val="true"/>
        </w:rPr>
        <w:footnoteReference w:id="2299"/>
      </w:r>
      <w:r>
        <w:rPr>
          <w:rFonts w:ascii="Amiri" w:hAnsi="Amiri" w:eastAsia="Amiri" w:cs="Amiri"/>
          <w:color w:val="111111"/>
          <w:sz w:val="28"/>
          <w:sz w:val="28"/>
          <w:szCs w:val="28"/>
          <w:rtl w:val="true"/>
          <w:lang w:bidi="ar-SA"/>
        </w:rPr>
        <w:t xml:space="preserve">بعض المتأخرين </w:t>
      </w:r>
      <w:r>
        <w:rPr>
          <w:rStyle w:val="FootnoteAnchor"/>
          <w:rtl w:val="true"/>
        </w:rPr>
        <w:footnoteReference w:id="2300"/>
      </w:r>
      <w:r>
        <w:rPr>
          <w:rFonts w:ascii="Amiri" w:hAnsi="Amiri" w:eastAsia="Amiri" w:cs="Amiri"/>
          <w:color w:val="111111"/>
          <w:sz w:val="28"/>
          <w:sz w:val="28"/>
          <w:szCs w:val="28"/>
          <w:rtl w:val="true"/>
          <w:lang w:bidi="ar-SA"/>
        </w:rPr>
        <w:t xml:space="preserve">عليه بما حاصله </w:t>
      </w:r>
      <w:r>
        <w:rPr>
          <w:rStyle w:val="FootnoteAnchor"/>
          <w:rtl w:val="true"/>
        </w:rPr>
        <w:footnoteReference w:id="2301"/>
      </w:r>
      <w:r>
        <w:rPr>
          <w:rFonts w:ascii="Amiri" w:hAnsi="Amiri" w:eastAsia="Amiri" w:cs="Amiri"/>
          <w:color w:val="111111"/>
          <w:sz w:val="28"/>
          <w:sz w:val="28"/>
          <w:szCs w:val="28"/>
          <w:rtl w:val="true"/>
          <w:lang w:bidi="ar-SA"/>
        </w:rPr>
        <w:t>أن تحديد الأوقات أمر توقيفي ، فلا معنى للرجوع فيه إلى الأصل ، وإنما يرجع فيه إلى الروايات ، والقدر الثابت منها للمختار الامتداد إلى انتشار الصبح والإسفار ، فلا وجه لهذه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إلا مصادرة؟ بيّن الاندفاع ؛ لما عرفت من عدم خروج الوقت بالنسبة إلى المختار أيضا ، وإن </w:t>
      </w:r>
      <w:r>
        <w:rPr>
          <w:rStyle w:val="FootnoteAnchor"/>
          <w:rtl w:val="true"/>
        </w:rPr>
        <w:footnoteReference w:id="2302"/>
      </w:r>
      <w:r>
        <w:rPr>
          <w:rFonts w:ascii="Amiri" w:hAnsi="Amiri" w:eastAsia="Amiri" w:cs="Amiri"/>
          <w:color w:val="111111"/>
          <w:sz w:val="28"/>
          <w:sz w:val="28"/>
          <w:szCs w:val="28"/>
          <w:rtl w:val="true"/>
          <w:lang w:bidi="ar-SA"/>
        </w:rPr>
        <w:t>عصى بالتأخير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ولو </w:t>
      </w:r>
      <w:r>
        <w:rPr>
          <w:rStyle w:val="FootnoteAnchor"/>
          <w:rtl w:val="true"/>
        </w:rPr>
        <w:footnoteReference w:id="2303"/>
      </w:r>
      <w:r>
        <w:rPr>
          <w:rFonts w:ascii="Amiri" w:hAnsi="Amiri" w:eastAsia="Amiri" w:cs="Amiri"/>
          <w:color w:val="111111"/>
          <w:sz w:val="28"/>
          <w:sz w:val="28"/>
          <w:szCs w:val="28"/>
          <w:rtl w:val="true"/>
          <w:lang w:bidi="ar-SA"/>
        </w:rPr>
        <w:t xml:space="preserve">قيل بخروج الوقت بالنسبة إليه وصيرورته قضاء فيتساوى إتيانه في بقية </w:t>
      </w:r>
    </w:p>
    <w:p>
      <w:pPr>
        <w:pStyle w:val="BookText"/>
        <w:rPr/>
      </w:pPr>
      <w:r>
        <w:rPr>
          <w:rFonts w:ascii="Amiri" w:hAnsi="Amiri" w:eastAsia="Amiri" w:cs="Amiri"/>
          <w:color w:val="111111"/>
          <w:sz w:val="28"/>
          <w:sz w:val="28"/>
          <w:szCs w:val="28"/>
          <w:rtl w:val="true"/>
          <w:lang w:bidi="ar-SA"/>
        </w:rPr>
        <w:t xml:space="preserve">الوقت أو تأخيره إلى غيره تمّ </w:t>
      </w:r>
      <w:r>
        <w:rPr>
          <w:rStyle w:val="FootnoteAnchor"/>
          <w:rtl w:val="true"/>
        </w:rPr>
        <w:footnoteReference w:id="2304"/>
      </w:r>
      <w:r>
        <w:rPr>
          <w:rFonts w:ascii="Amiri" w:hAnsi="Amiri" w:eastAsia="Amiri" w:cs="Amiri"/>
          <w:color w:val="111111"/>
          <w:sz w:val="28"/>
          <w:sz w:val="28"/>
          <w:szCs w:val="28"/>
          <w:rtl w:val="true"/>
          <w:lang w:bidi="ar-SA"/>
        </w:rPr>
        <w:t>ما ذكره إلا أنه مما لا قائل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بعد ذلك الإجماعين المذكورين والشهرة المعلومة بين الأصحاب حتى أن جماعة من القائلين بالفرق بين وقت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والمعذور في غيرها من الصلوات قالوا هنا بعدم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الشيخ ومن وافقه على امتداد وقت المختار </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إلى الإسفار ظواهر عدة من الأخبار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صلاة وقتان وأول الوقتين أفضلهما ، ووقت صلاة الفجر حين ينشق الفجر إلى أن يتجلل الصبح السماء ولا ينبغي تأخير ذلك عمدا ، ولكنه وقت لمن شغل أو نسي أو سها أو نام </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الفجر حين ينشق الفجر إلى أن يتجلل الصبح السماء ، ولا ينبغي تأخير ذلك عمدا لكنه وقت لمن شغل أو نسي أو نام </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الروايات الواردة في بيان إتيان جبرئيل بالأوقات ، ففي غير واحد منها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 اليوم الثاني حين نور الصبح ، فأمره فصلّى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بينهما وقت </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من الغد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 الفجر فاسفر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هذين الوقتين وقت </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أفلنا في </w:t>
      </w:r>
      <w:r>
        <w:rPr>
          <w:rStyle w:val="FootnoteAnchor"/>
          <w:rtl w:val="true"/>
        </w:rPr>
        <w:footnoteReference w:id="2310"/>
      </w:r>
      <w:r>
        <w:rPr>
          <w:rFonts w:ascii="Amiri" w:hAnsi="Amiri" w:eastAsia="Amiri" w:cs="Amiri"/>
          <w:color w:val="111111"/>
          <w:sz w:val="28"/>
          <w:sz w:val="28"/>
          <w:szCs w:val="28"/>
          <w:rtl w:val="true"/>
          <w:lang w:bidi="ar-SA"/>
        </w:rPr>
        <w:t xml:space="preserve">وقت إلى أن تطلع شعاع الشمس؟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وتلك صلاة الصبيان </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عن أبي بصير المكفوف باختلاف ما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في وقت من تلك </w:t>
      </w:r>
    </w:p>
    <w:p>
      <w:pPr>
        <w:pStyle w:val="BookText"/>
        <w:rPr/>
      </w:pPr>
      <w:r>
        <w:rPr>
          <w:rFonts w:ascii="Amiri" w:hAnsi="Amiri" w:eastAsia="Amiri" w:cs="Amiri"/>
          <w:color w:val="111111"/>
          <w:sz w:val="28"/>
          <w:sz w:val="28"/>
          <w:szCs w:val="28"/>
          <w:rtl w:val="true"/>
          <w:lang w:bidi="ar-SA"/>
        </w:rPr>
        <w:t xml:space="preserve">الساعة إلى أن تطلع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تعدها صلاة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يحمد الرجل أن يصلي في المسجد ثم يرجع فينبه أهله وصبيانه </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 الخبرين وإن اشتمل الثاني على زيادة واختلاف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الزهري المنقول في الاحتجاج عن صاحب الزمان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أخّر الغداة إلى أن ينقضي النجوم </w:t>
      </w:r>
      <w:r>
        <w:rPr>
          <w:rFonts w:eastAsia="Amiri" w:cs="Amiri" w:ascii="Amiri" w:hAnsi="Amiri"/>
          <w:color w:val="111111"/>
          <w:sz w:val="28"/>
          <w:szCs w:val="28"/>
          <w:rtl w:val="true"/>
          <w:lang w:bidi="ar-SA"/>
        </w:rPr>
        <w:t xml:space="preserve">»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أمير المؤمنين عليه‌السلام إلى أمراء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وصلاتهم الغداة والرجل يعرف وجه مصاحبه </w:t>
      </w:r>
      <w:r>
        <w:rPr>
          <w:rFonts w:eastAsia="Amiri" w:cs="Amiri" w:ascii="Amiri" w:hAnsi="Amiri"/>
          <w:color w:val="111111"/>
          <w:sz w:val="28"/>
          <w:szCs w:val="28"/>
          <w:rtl w:val="true"/>
          <w:lang w:bidi="ar-SA"/>
        </w:rPr>
        <w:t xml:space="preserve">» </w:t>
      </w:r>
      <w:r>
        <w:rPr>
          <w:rStyle w:val="FootnoteAnchor"/>
          <w:rtl w:val="true"/>
        </w:rPr>
        <w:footnoteReference w:id="2314"/>
      </w:r>
      <w:r>
        <w:rPr>
          <w:rFonts w:ascii="Amiri" w:hAnsi="Amiri" w:eastAsia="Amiri" w:cs="Amiri"/>
          <w:color w:val="111111"/>
          <w:sz w:val="28"/>
          <w:sz w:val="28"/>
          <w:szCs w:val="28"/>
          <w:rtl w:val="true"/>
          <w:lang w:bidi="ar-SA"/>
        </w:rPr>
        <w:t>وكأنه عليه‌السلام أراد به أول ما يعرف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كما ترى ليس صريحة في المنع عن التأخير ، فليحمل على الاستحباب جمعا بينها وبين الأخبار المتقدمة المنجبرة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شواهد على الاستحباب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والاكتفاء بمطلق الشغل ولو كان غير ضروري ، فإن الظاهر عدم مزاحمة مثله </w:t>
      </w:r>
      <w:r>
        <w:rPr>
          <w:rStyle w:val="FootnoteAnchor"/>
          <w:rtl w:val="true"/>
        </w:rPr>
        <w:footnoteReference w:id="2315"/>
      </w:r>
      <w:r>
        <w:rPr>
          <w:rFonts w:ascii="Amiri" w:hAnsi="Amiri" w:eastAsia="Amiri" w:cs="Amiri"/>
          <w:color w:val="111111"/>
          <w:sz w:val="28"/>
          <w:sz w:val="28"/>
          <w:szCs w:val="28"/>
          <w:rtl w:val="true"/>
          <w:lang w:bidi="ar-SA"/>
        </w:rPr>
        <w:t xml:space="preserve">للواجب بخلاف المندوب ، وكذا عدّه من صلاة الصبيان شاهد على كونه من أفعال الناقصين دون العاصين ، على أن في كلام الشيخ في التهذيب </w:t>
      </w:r>
      <w:r>
        <w:rPr>
          <w:rStyle w:val="FootnoteAnchor"/>
          <w:rtl w:val="true"/>
        </w:rPr>
        <w:footnoteReference w:id="2316"/>
      </w:r>
      <w:r>
        <w:rPr>
          <w:rFonts w:ascii="Amiri" w:hAnsi="Amiri" w:eastAsia="Amiri" w:cs="Amiri"/>
          <w:color w:val="111111"/>
          <w:sz w:val="28"/>
          <w:sz w:val="28"/>
          <w:szCs w:val="28"/>
          <w:rtl w:val="true"/>
          <w:lang w:bidi="ar-SA"/>
        </w:rPr>
        <w:t xml:space="preserve">ما يدلّ على </w:t>
      </w:r>
      <w:r>
        <w:rPr>
          <w:rStyle w:val="FootnoteAnchor"/>
          <w:rtl w:val="true"/>
        </w:rPr>
        <w:footnoteReference w:id="2317"/>
      </w:r>
      <w:r>
        <w:rPr>
          <w:rFonts w:ascii="Amiri" w:hAnsi="Amiri" w:eastAsia="Amiri" w:cs="Amiri"/>
          <w:color w:val="111111"/>
          <w:sz w:val="28"/>
          <w:sz w:val="28"/>
          <w:szCs w:val="28"/>
          <w:rtl w:val="true"/>
          <w:lang w:bidi="ar-SA"/>
        </w:rPr>
        <w:t>ارتفاع الخلاف في ذلك حيث قسّم الواجب إلى ما يستحق بتركه العقاب وما يكون الأولى فعله ولا يستحق بالاخلال به العقاب وإن استحق ضربا من اللوم ، وذكر أن المراد بالوجوب هنا ليس المعنى الأول ، فهذا كالصريح في إرادة الاستحباب فإن حمل كلام غيره عليه ارتفع الخلاف ، وقد أشرنا إليه عند بيان حال الوقتين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الأخبار هي الشاهدة على انتهاء وقت الفضيلة بذلك ، والظاهر إطلاق الأصحاب على تحديد وقته الأول فضليّا كان أو اختياريا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هذه الروايات المذكورة مختلفة في التعبير عن الحدّ المذكور ، فإن في بعضها اعتبار أن يتجلل الصبح السماء ، وفي آخر تنوير الصبح ، وفي بعضها الإسفار ، وفي بعضها انقضاء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تقارب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والمعبّر به في كلام جماعة من الأصحاب كالفاضلين </w:t>
      </w:r>
      <w:r>
        <w:rPr>
          <w:rStyle w:val="FootnoteAnchor"/>
          <w:rtl w:val="true"/>
        </w:rPr>
        <w:footnoteReference w:id="2318"/>
      </w:r>
      <w:r>
        <w:rPr>
          <w:rStyle w:val="FootnoteAnchor"/>
          <w:rtl w:val="true"/>
        </w:rPr>
        <w:footnoteReference w:id="2319"/>
      </w:r>
      <w:r>
        <w:rPr>
          <w:rFonts w:ascii="Amiri" w:hAnsi="Amiri" w:eastAsia="Amiri" w:cs="Amiri"/>
          <w:color w:val="111111"/>
          <w:sz w:val="28"/>
          <w:sz w:val="28"/>
          <w:szCs w:val="28"/>
          <w:rtl w:val="true"/>
          <w:lang w:bidi="ar-SA"/>
        </w:rPr>
        <w:t xml:space="preserve">والشهيدين </w:t>
      </w:r>
      <w:r>
        <w:rPr>
          <w:rStyle w:val="FootnoteAnchor"/>
          <w:rtl w:val="true"/>
        </w:rPr>
        <w:footnoteReference w:id="2320"/>
      </w:r>
      <w:r>
        <w:rPr>
          <w:rStyle w:val="FootnoteAnchor"/>
          <w:rtl w:val="true"/>
        </w:rPr>
        <w:footnoteReference w:id="2321"/>
      </w:r>
      <w:r>
        <w:rPr>
          <w:rFonts w:ascii="Amiri" w:hAnsi="Amiri" w:eastAsia="Amiri" w:cs="Amiri"/>
          <w:color w:val="111111"/>
          <w:sz w:val="28"/>
          <w:sz w:val="28"/>
          <w:szCs w:val="28"/>
          <w:rtl w:val="true"/>
          <w:lang w:bidi="ar-SA"/>
        </w:rPr>
        <w:t>وغيرهم التحديد بظهور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أنهم بنوا على المقاربة </w:t>
      </w:r>
      <w:r>
        <w:rPr>
          <w:rStyle w:val="FootnoteAnchor"/>
          <w:rtl w:val="true"/>
        </w:rPr>
        <w:footnoteReference w:id="2322"/>
      </w:r>
      <w:r>
        <w:rPr>
          <w:rFonts w:ascii="Amiri" w:hAnsi="Amiri" w:eastAsia="Amiri" w:cs="Amiri"/>
          <w:color w:val="111111"/>
          <w:sz w:val="28"/>
          <w:sz w:val="28"/>
          <w:szCs w:val="28"/>
          <w:rtl w:val="true"/>
          <w:lang w:bidi="ar-SA"/>
        </w:rPr>
        <w:t xml:space="preserve">بين الامور المذكورة ؛ فعبّروا بالعلامة المبيّنة ، ولا بأس به إلا أنه قد يختلف </w:t>
      </w:r>
      <w:r>
        <w:rPr>
          <w:rStyle w:val="FootnoteAnchor"/>
          <w:rtl w:val="true"/>
        </w:rPr>
        <w:footnoteReference w:id="2323"/>
      </w:r>
      <w:r>
        <w:rPr>
          <w:rFonts w:ascii="Amiri" w:hAnsi="Amiri" w:eastAsia="Amiri" w:cs="Amiri"/>
          <w:color w:val="111111"/>
          <w:sz w:val="28"/>
          <w:sz w:val="28"/>
          <w:szCs w:val="28"/>
          <w:rtl w:val="true"/>
          <w:lang w:bidi="ar-SA"/>
        </w:rPr>
        <w:t xml:space="preserve">الحال في الحمرة بحسب الأوقات ، فربما يتقدم على المذكورات لبعض العوارض السماوية ، فالقول حينئذ بانقضاء وقت الفضيلة مع عدم حصول الاسفار الذي هو المناط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 بل الأظهر خلافه ؛ وقوفا مع ظواهر تلك الروايات وحملا لكلام الأصحاب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إشكالا أورده الفاضل الشيخ محيي الدين ابن تاج الدين علي الشهيد الثاني كما حكاه بعض الأفاضل ، وهو أنّ الأخبار قد دلّت على أنّ بقاء الحمرة المشرقية دليل على عدم غيبوبة الشمس ، فينبغي أن يكون ظهورها دليلا على بروزها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عنه الشهيد بعد إرجاع الأمر إلى النصّ أن </w:t>
      </w:r>
      <w:r>
        <w:rPr>
          <w:rStyle w:val="FootnoteAnchor"/>
          <w:rtl w:val="true"/>
        </w:rPr>
        <w:footnoteReference w:id="2324"/>
      </w:r>
      <w:r>
        <w:rPr>
          <w:rFonts w:ascii="Amiri" w:hAnsi="Amiri" w:eastAsia="Amiri" w:cs="Amiri"/>
          <w:color w:val="111111"/>
          <w:sz w:val="28"/>
          <w:sz w:val="28"/>
          <w:szCs w:val="28"/>
          <w:rtl w:val="true"/>
          <w:lang w:bidi="ar-SA"/>
        </w:rPr>
        <w:t xml:space="preserve">دلالة الحمرة </w:t>
      </w:r>
      <w:r>
        <w:rPr>
          <w:rStyle w:val="FootnoteAnchor"/>
          <w:rtl w:val="true"/>
        </w:rPr>
        <w:footnoteReference w:id="2325"/>
      </w:r>
      <w:r>
        <w:rPr>
          <w:rFonts w:ascii="Amiri" w:hAnsi="Amiri" w:eastAsia="Amiri" w:cs="Amiri"/>
          <w:color w:val="111111"/>
          <w:sz w:val="28"/>
          <w:sz w:val="28"/>
          <w:szCs w:val="28"/>
          <w:rtl w:val="true"/>
          <w:lang w:bidi="ar-SA"/>
        </w:rPr>
        <w:t>المشرقية على بقاء الشمس في الجهة الغربية لا يقضي بدلالتها عليها في الجهة المشرقية ، فهي إذن كالشفق الغربي في عدم دلالته على بقاء الشمس في جهته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الأصوب في تقرير الإيراد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جعل الحمرة المشرقية دليلا على بقاء الشمس في الجهة الغربية فينبغي أن يكون ظهورها في جهة المغرب دليلا على طلوع الشمس في الجهة المشرقية ، فكيف لم يعتبروا هنا سوى ظهور القرص؟ وحينئذ فلا يتّجه في ردّه جواب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 الدعائم مرسلا ،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صلاة الفجر اعتراض الفجر في افق المشرق ، وآخر وقتها أن يحمر افق المغرب </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قبل أن يبدو قرص الشمس في افق المشرق إلا أن الرواية ضعيفة متروكة ، بل الاتفاق منعقد على خلافها ، فلا بدّ من الاقتصار على مورد النصّ ، والبناء هنا على ظهور القرص ، والنصّ هو الفارق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العبرة بظهور أول جزء منه كما هو الظاهر من الإطلاق في المقام دون المركز كما يعتبر أهل النجوم ولا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يقال بأن تعليق الحكم على طلوعها يقضي باعتبار طلوع الجميع ، والعبرة بصدق طلوعها في ذلك المكان ، ولو كان بظهورها في المواضع المرتفعة الحاصلة فيه ، وإن كان خارجا عن المعتاد كالجبال العالية والأبنية المرتفعة جدّا كمنارة الإسكندرية ؛ لصدق الطلوع هناك في ظاهر العرف مع ظهور الشعاع عليها ، ولا يقدر وجود المرتفع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المقامين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المبسوط </w:t>
      </w:r>
      <w:r>
        <w:rPr>
          <w:rStyle w:val="FootnoteAnchor"/>
          <w:rtl w:val="true"/>
        </w:rPr>
        <w:footnoteReference w:id="2327"/>
      </w:r>
      <w:r>
        <w:rPr>
          <w:rFonts w:ascii="Amiri" w:hAnsi="Amiri" w:eastAsia="Amiri" w:cs="Amiri"/>
          <w:color w:val="111111"/>
          <w:sz w:val="28"/>
          <w:sz w:val="28"/>
          <w:szCs w:val="28"/>
          <w:rtl w:val="true"/>
          <w:lang w:bidi="ar-SA"/>
        </w:rPr>
        <w:t>تفريعا على القول باعتبار غيبوبة القرص في الغروب أنه لو رأى ضوءها في جبل عال ونحوه ، فإنه يصلّي المغرب ولا يلزمه حكم الطلوع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عدم حكمه بالطلوع في المقام أيضا إلا أن ظاهره الميل إلى ما قلناه في كتاب الصوم منه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 عن بعض الأصحاب نحو ما حكيناه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الأحوط عندي مراعاة الغيبوبة عن الأبصار في كلّ ما يشاهده</w:t>
      </w:r>
      <w:r>
        <w:rPr>
          <w:rFonts w:eastAsia="Amiri" w:cs="Amiri" w:ascii="Amiri" w:hAnsi="Amiri"/>
          <w:color w:val="111111"/>
          <w:sz w:val="28"/>
          <w:szCs w:val="28"/>
          <w:rtl w:val="true"/>
          <w:lang w:bidi="ar-SA"/>
        </w:rPr>
        <w:t xml:space="preserve">. </w:t>
      </w:r>
      <w:bookmarkStart w:id="465" w:name="pg15839_361104"/>
    </w:p>
    <w:p>
      <w:pPr>
        <w:pStyle w:val="Heading5"/>
        <w:numPr>
          <w:ilvl w:val="4"/>
          <w:numId w:val="1"/>
        </w:numPr>
        <w:rPr/>
      </w:pPr>
      <w:bookmarkStart w:id="466" w:name="__RefHeading___Toc14338639_2142443653"/>
      <w:bookmarkStart w:id="467" w:name="_Toc172"/>
      <w:bookmarkEnd w:id="465"/>
      <w:bookmarkEnd w:id="466"/>
      <w:r>
        <w:rPr>
          <w:rtl w:val="true"/>
        </w:rPr>
        <w:t>تبصرة</w:t>
      </w:r>
      <w:r>
        <w:rPr>
          <w:rtl w:val="true"/>
        </w:rPr>
        <w:t xml:space="preserve">: [ </w:t>
      </w:r>
      <w:r>
        <w:rPr>
          <w:rtl w:val="true"/>
        </w:rPr>
        <w:t xml:space="preserve">في معرفة الزوال </w:t>
      </w:r>
      <w:r>
        <w:rPr>
          <w:rtl w:val="true"/>
        </w:rPr>
        <w:t>]</w:t>
      </w:r>
      <w:bookmarkEnd w:id="467"/>
    </w:p>
    <w:p>
      <w:pPr>
        <w:pStyle w:val="BookText"/>
        <w:rPr/>
      </w:pPr>
      <w:r>
        <w:rPr>
          <w:rFonts w:ascii="Amiri" w:hAnsi="Amiri" w:eastAsia="Amiri" w:cs="Amiri"/>
          <w:color w:val="111111"/>
          <w:sz w:val="28"/>
          <w:sz w:val="28"/>
          <w:szCs w:val="28"/>
          <w:rtl w:val="true"/>
          <w:lang w:bidi="ar-SA"/>
        </w:rPr>
        <w:t xml:space="preserve">يعرف الزوال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الظلّ بعد نقصانه ، كما دلّ عليه عدة من الأخبار </w:t>
      </w:r>
      <w:r>
        <w:rPr>
          <w:rStyle w:val="FootnoteAnchor"/>
          <w:rtl w:val="true"/>
        </w:rPr>
        <w:footnoteReference w:id="2328"/>
      </w:r>
      <w:r>
        <w:rPr>
          <w:rFonts w:ascii="Amiri" w:hAnsi="Amiri" w:eastAsia="Amiri" w:cs="Amiri"/>
          <w:color w:val="111111"/>
          <w:sz w:val="28"/>
          <w:sz w:val="28"/>
          <w:szCs w:val="28"/>
          <w:rtl w:val="true"/>
          <w:lang w:bidi="ar-SA"/>
        </w:rPr>
        <w:t>وهو واضح بحسب الاعتبار أو بحصوله بعد انعدامه كما يتفق في بعض الأحوال في البلاد الجنوبية التي يكون عرضها بقدر الميل الكلي أو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الشمس إلى طرف الحاجب الأيمن لمستقبل قبلة العراق ، كما ذكره جملة منهم الفاضلان </w:t>
      </w:r>
      <w:r>
        <w:rPr>
          <w:rStyle w:val="FootnoteAnchor"/>
          <w:rtl w:val="true"/>
        </w:rPr>
        <w:footnoteReference w:id="2329"/>
      </w:r>
      <w:r>
        <w:rPr>
          <w:rFonts w:ascii="Amiri" w:hAnsi="Amiri" w:eastAsia="Amiri" w:cs="Amiri"/>
          <w:color w:val="111111"/>
          <w:sz w:val="28"/>
          <w:sz w:val="28"/>
          <w:szCs w:val="28"/>
          <w:rtl w:val="true"/>
          <w:lang w:bidi="ar-SA"/>
        </w:rPr>
        <w:t xml:space="preserve">والشهيد في البيان </w:t>
      </w:r>
      <w:r>
        <w:rPr>
          <w:rStyle w:val="FootnoteAnchor"/>
          <w:rtl w:val="true"/>
        </w:rPr>
        <w:footnoteReference w:id="2330"/>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33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جامع المقاصد إلى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المبسوط </w:t>
      </w:r>
      <w:r>
        <w:rPr>
          <w:rStyle w:val="FootnoteAnchor"/>
          <w:rtl w:val="true"/>
        </w:rPr>
        <w:footnoteReference w:id="2332"/>
      </w:r>
      <w:r>
        <w:rPr>
          <w:rFonts w:ascii="Amiri" w:hAnsi="Amiri" w:eastAsia="Amiri" w:cs="Amiri"/>
          <w:color w:val="111111"/>
          <w:sz w:val="28"/>
          <w:sz w:val="28"/>
          <w:szCs w:val="28"/>
          <w:rtl w:val="true"/>
          <w:lang w:bidi="ar-SA"/>
        </w:rPr>
        <w:t>إسناده إلى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الشرائع </w:t>
      </w:r>
      <w:r>
        <w:rPr>
          <w:rStyle w:val="FootnoteAnchor"/>
          <w:rtl w:val="true"/>
        </w:rPr>
        <w:footnoteReference w:id="2333"/>
      </w:r>
      <w:r>
        <w:rPr>
          <w:rFonts w:ascii="Amiri" w:hAnsi="Amiri" w:eastAsia="Amiri" w:cs="Amiri"/>
          <w:color w:val="111111"/>
          <w:sz w:val="28"/>
          <w:sz w:val="28"/>
          <w:szCs w:val="28"/>
          <w:rtl w:val="true"/>
          <w:lang w:bidi="ar-SA"/>
        </w:rPr>
        <w:t xml:space="preserve">والتحرير </w:t>
      </w:r>
      <w:r>
        <w:rPr>
          <w:rStyle w:val="FootnoteAnchor"/>
          <w:rtl w:val="true"/>
        </w:rPr>
        <w:footnoteReference w:id="2334"/>
      </w:r>
      <w:r>
        <w:rPr>
          <w:rFonts w:ascii="IRNazanin" w:hAnsi="IRNazanin" w:eastAsia="IRNazanin"/>
          <w:color w:val="111111"/>
          <w:sz w:val="28"/>
          <w:sz w:val="28"/>
          <w:szCs w:val="28"/>
          <w:rtl w:val="true"/>
          <w:lang w:bidi="fa-IR"/>
        </w:rPr>
        <w:t xml:space="preserve">والإرشاد </w:t>
      </w:r>
      <w:r>
        <w:rPr>
          <w:rStyle w:val="FootnoteAnchor"/>
          <w:rtl w:val="true"/>
        </w:rPr>
        <w:footnoteReference w:id="2335"/>
      </w:r>
      <w:r>
        <w:rPr>
          <w:rFonts w:ascii="Amiri" w:hAnsi="Amiri" w:eastAsia="Amiri" w:cs="Amiri"/>
          <w:color w:val="111111"/>
          <w:sz w:val="28"/>
          <w:sz w:val="28"/>
          <w:szCs w:val="28"/>
          <w:rtl w:val="true"/>
          <w:lang w:bidi="ar-SA"/>
        </w:rPr>
        <w:t>إطلاق استقبال القبلة من غير تقييد بقبلة العراق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هو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وخصّه بعضهم بأطراف العراق الغربية كالموصل وما 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أن هذه الأوساط العراق كالمشهدين الشريفين على مشرفها السلام وبغداد والكوفة والحلة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المقام هو استقبال نقطة الجنوب ، ولمّا كان قبلة الأطراف الغربية من العراق نقطة الجنوب أو ما يقاربها جدّا صحّت العلامة المذكورة بالنسبة إليها ، وأما ما عداها فإنما يعرف به بعدم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هذه العلامة كاشفة عن الزوال إلا بعد مضيّ زمان منه فلا ضير لو توسّع فيها وجعلت علامة لأهل العراق ؛ إذ قبلتهم إما نقطة الجنوب أو منحرفا عنه إلى المغرب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في الثاني كاشفا عن سبق الزوال زيادة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استخراج نقطة الجنوب متعسّرا عند العامة بل الخاصة أيضا في غالب الأحوال بني الأمر على ما هو معلوم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العلامة في المنتهى </w:t>
      </w:r>
      <w:r>
        <w:rPr>
          <w:rStyle w:val="FootnoteAnchor"/>
          <w:rtl w:val="true"/>
        </w:rPr>
        <w:footnoteReference w:id="2336"/>
      </w:r>
      <w:r>
        <w:rPr>
          <w:rFonts w:ascii="Amiri" w:hAnsi="Amiri" w:eastAsia="Amiri" w:cs="Amiri"/>
          <w:color w:val="111111"/>
          <w:sz w:val="28"/>
          <w:sz w:val="28"/>
          <w:szCs w:val="28"/>
          <w:rtl w:val="true"/>
          <w:lang w:bidi="ar-SA"/>
        </w:rPr>
        <w:t xml:space="preserve">والنهاية </w:t>
      </w:r>
      <w:r>
        <w:rPr>
          <w:rStyle w:val="FootnoteAnchor"/>
          <w:rtl w:val="true"/>
        </w:rPr>
        <w:footnoteReference w:id="2337"/>
      </w:r>
      <w:r>
        <w:rPr>
          <w:rFonts w:ascii="Amiri" w:hAnsi="Amiri" w:eastAsia="Amiri" w:cs="Amiri"/>
          <w:color w:val="111111"/>
          <w:sz w:val="28"/>
          <w:sz w:val="28"/>
          <w:szCs w:val="28"/>
          <w:rtl w:val="true"/>
          <w:lang w:bidi="ar-SA"/>
        </w:rPr>
        <w:t>بمن كان بمكّة إذا استقبل الركن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نظر إلى اتّساع الأمر في الجهة بالنسبة إلى سائر البلدان ، فلا ينكشف به الحال بخلاف من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الركن العراقي موضوعا على نقطة الشمال ، وإنما بني فيما بين المشرق والشمال ، فلا ينكشف به الزوال إلا بعد حين كما هو الحال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جبرئيل عليه‌السلام ، فإذا في وقت الظهر حين زالت الشمس فكانت على حاجبه الأيمن </w:t>
      </w:r>
      <w:r>
        <w:rPr>
          <w:rFonts w:eastAsia="Amiri" w:cs="Amiri" w:ascii="Amiri" w:hAnsi="Amiri"/>
          <w:color w:val="111111"/>
          <w:sz w:val="28"/>
          <w:szCs w:val="28"/>
          <w:rtl w:val="true"/>
          <w:lang w:bidi="ar-SA"/>
        </w:rPr>
        <w:t xml:space="preserve">»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الرواية التي أشار إليها في المبسوط </w:t>
      </w:r>
      <w:r>
        <w:rPr>
          <w:rStyle w:val="FootnoteAnchor"/>
          <w:rtl w:val="true"/>
        </w:rPr>
        <w:footnoteReference w:id="2339"/>
      </w:r>
      <w:r>
        <w:rPr>
          <w:rFonts w:ascii="Amiri" w:hAnsi="Amiri" w:eastAsia="Amiri" w:cs="Amiri"/>
          <w:color w:val="111111"/>
          <w:sz w:val="28"/>
          <w:sz w:val="28"/>
          <w:szCs w:val="28"/>
          <w:rtl w:val="true"/>
          <w:lang w:bidi="ar-SA"/>
        </w:rPr>
        <w:t>، وكأنّه كان حينئذ مستقبل نقطة الجنوب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رأس الظلّ عن خطّ نصف النهار إلى جهة المشرق ، ويعرف ذلك بالدائرة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روى الصدوق في الفقيه </w:t>
      </w:r>
      <w:r>
        <w:rPr>
          <w:rStyle w:val="FootnoteAnchor"/>
          <w:rtl w:val="true"/>
        </w:rPr>
        <w:footnoteReference w:id="2340"/>
      </w:r>
      <w:r>
        <w:rPr>
          <w:rFonts w:ascii="IRNazanin" w:hAnsi="IRNazanin" w:eastAsia="IRNazanin"/>
          <w:color w:val="111111"/>
          <w:sz w:val="28"/>
          <w:sz w:val="28"/>
          <w:szCs w:val="28"/>
          <w:rtl w:val="true"/>
          <w:lang w:bidi="fa-IR"/>
        </w:rPr>
        <w:t xml:space="preserve">والخصال </w:t>
      </w:r>
      <w:r>
        <w:rPr>
          <w:rStyle w:val="FootnoteAnchor"/>
          <w:rtl w:val="true"/>
        </w:rPr>
        <w:footnoteReference w:id="2341"/>
      </w:r>
      <w:r>
        <w:rPr>
          <w:rFonts w:ascii="Amiri" w:hAnsi="Amiri" w:eastAsia="Amiri" w:cs="Amiri"/>
          <w:color w:val="111111"/>
          <w:sz w:val="28"/>
          <w:sz w:val="28"/>
          <w:szCs w:val="28"/>
          <w:rtl w:val="true"/>
          <w:lang w:bidi="ar-SA"/>
        </w:rPr>
        <w:t>بإسناده عن عبد اللّه بن سنان تعيين مقدار الظلّ الباقي حال الزوال بحسب أوقات السنة ليعرف الزوال بحسبه ، وهي من المتشابهات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الظلّ الباقي يختلف بحسب البلدان ، وليس في الرواية ما يدلّ على تعيين البلد المفروض فيه ، ومع ذلك فالرواية غير مطابقة لقواعد الهيئة ، فالأولى التوقف فيها وإرجاع الأمر إلى قائله عليه‌السلام إن صحّ النقل</w:t>
      </w:r>
      <w:r>
        <w:rPr>
          <w:rFonts w:eastAsia="Amiri" w:cs="Amiri" w:ascii="Amiri" w:hAnsi="Amiri"/>
          <w:color w:val="111111"/>
          <w:sz w:val="28"/>
          <w:szCs w:val="28"/>
          <w:rtl w:val="true"/>
          <w:lang w:bidi="ar-SA"/>
        </w:rPr>
        <w:t xml:space="preserve">. </w:t>
      </w:r>
      <w:bookmarkStart w:id="468" w:name="pg15839_361107"/>
    </w:p>
    <w:p>
      <w:pPr>
        <w:pStyle w:val="Heading5"/>
        <w:numPr>
          <w:ilvl w:val="4"/>
          <w:numId w:val="1"/>
        </w:numPr>
        <w:rPr/>
      </w:pPr>
      <w:bookmarkStart w:id="469" w:name="__RefHeading___Toc14338641_2142443653"/>
      <w:bookmarkStart w:id="470" w:name="_Toc173"/>
      <w:bookmarkEnd w:id="468"/>
      <w:bookmarkEnd w:id="469"/>
      <w:r>
        <w:rPr>
          <w:rtl w:val="true"/>
        </w:rPr>
        <w:t>تبصرة</w:t>
      </w:r>
      <w:r>
        <w:rPr>
          <w:rtl w:val="true"/>
        </w:rPr>
        <w:t xml:space="preserve">: [ </w:t>
      </w:r>
      <w:r>
        <w:rPr>
          <w:rtl w:val="true"/>
        </w:rPr>
        <w:t xml:space="preserve">في معرفة المغرب </w:t>
      </w:r>
      <w:r>
        <w:rPr>
          <w:rtl w:val="true"/>
        </w:rPr>
        <w:t>]</w:t>
      </w:r>
      <w:bookmarkEnd w:id="470"/>
    </w:p>
    <w:p>
      <w:pPr>
        <w:pStyle w:val="BookText"/>
        <w:rPr/>
      </w:pPr>
      <w:r>
        <w:rPr>
          <w:rFonts w:ascii="Amiri" w:hAnsi="Amiri" w:eastAsia="Amiri" w:cs="Amiri"/>
          <w:color w:val="111111"/>
          <w:sz w:val="28"/>
          <w:sz w:val="28"/>
          <w:szCs w:val="28"/>
          <w:rtl w:val="true"/>
          <w:lang w:bidi="ar-SA"/>
        </w:rPr>
        <w:t>يعرف المغرب بذهاب الحمرة المشرقية ،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العماني </w:t>
      </w:r>
      <w:r>
        <w:rPr>
          <w:rStyle w:val="FootnoteAnchor"/>
          <w:rtl w:val="true"/>
        </w:rPr>
        <w:footnoteReference w:id="2342"/>
      </w:r>
      <w:r>
        <w:rPr>
          <w:rFonts w:ascii="Amiri" w:hAnsi="Amiri" w:eastAsia="Amiri" w:cs="Amiri"/>
          <w:color w:val="111111"/>
          <w:sz w:val="28"/>
          <w:sz w:val="28"/>
          <w:szCs w:val="28"/>
          <w:rtl w:val="true"/>
          <w:lang w:bidi="ar-SA"/>
        </w:rPr>
        <w:t xml:space="preserve">كما هو المستفاد من عبارته المنقولة ، والشيخ </w:t>
      </w:r>
      <w:r>
        <w:rPr>
          <w:rStyle w:val="FootnoteAnchor"/>
          <w:rtl w:val="true"/>
        </w:rPr>
        <w:footnoteReference w:id="2343"/>
      </w:r>
      <w:r>
        <w:rPr>
          <w:rFonts w:ascii="Amiri" w:hAnsi="Amiri" w:eastAsia="Amiri" w:cs="Amiri"/>
          <w:color w:val="111111"/>
          <w:sz w:val="28"/>
          <w:sz w:val="28"/>
          <w:szCs w:val="28"/>
          <w:rtl w:val="true"/>
          <w:lang w:bidi="ar-SA"/>
        </w:rPr>
        <w:t xml:space="preserve">وعلاء الدين الحلبي </w:t>
      </w:r>
      <w:r>
        <w:rPr>
          <w:rStyle w:val="FootnoteAnchor"/>
          <w:rtl w:val="true"/>
        </w:rPr>
        <w:footnoteReference w:id="2344"/>
      </w:r>
      <w:r>
        <w:rPr>
          <w:rFonts w:ascii="Amiri" w:hAnsi="Amiri" w:eastAsia="Amiri" w:cs="Amiri"/>
          <w:color w:val="111111"/>
          <w:sz w:val="28"/>
          <w:sz w:val="28"/>
          <w:szCs w:val="28"/>
          <w:rtl w:val="true"/>
          <w:lang w:bidi="ar-SA"/>
        </w:rPr>
        <w:t xml:space="preserve">والطوسي </w:t>
      </w:r>
      <w:r>
        <w:rPr>
          <w:rStyle w:val="FootnoteAnchor"/>
          <w:rtl w:val="true"/>
        </w:rPr>
        <w:footnoteReference w:id="2345"/>
      </w:r>
      <w:r>
        <w:rPr>
          <w:rFonts w:ascii="Amiri" w:hAnsi="Amiri" w:eastAsia="Amiri" w:cs="Amiri"/>
          <w:color w:val="111111"/>
          <w:sz w:val="28"/>
          <w:sz w:val="28"/>
          <w:szCs w:val="28"/>
          <w:rtl w:val="true"/>
          <w:lang w:bidi="ar-SA"/>
        </w:rPr>
        <w:t xml:space="preserve">والحلي </w:t>
      </w:r>
      <w:r>
        <w:rPr>
          <w:rStyle w:val="FootnoteAnchor"/>
          <w:rtl w:val="true"/>
        </w:rPr>
        <w:footnoteReference w:id="2346"/>
      </w:r>
      <w:r>
        <w:rPr>
          <w:rFonts w:ascii="IRNazanin" w:hAnsi="IRNazanin" w:eastAsia="IRNazanin"/>
          <w:color w:val="111111"/>
          <w:sz w:val="28"/>
          <w:sz w:val="28"/>
          <w:szCs w:val="28"/>
          <w:rtl w:val="true"/>
          <w:lang w:bidi="fa-IR"/>
        </w:rPr>
        <w:t xml:space="preserve">والفاضلان </w:t>
      </w:r>
      <w:r>
        <w:rPr>
          <w:rStyle w:val="FootnoteAnchor"/>
          <w:rtl w:val="true"/>
        </w:rPr>
        <w:footnoteReference w:id="2347"/>
      </w:r>
      <w:r>
        <w:rPr>
          <w:rFonts w:ascii="Amiri" w:hAnsi="Amiri" w:eastAsia="Amiri" w:cs="Amiri"/>
          <w:color w:val="111111"/>
          <w:sz w:val="28"/>
          <w:sz w:val="28"/>
          <w:szCs w:val="28"/>
          <w:rtl w:val="true"/>
          <w:lang w:bidi="ar-SA"/>
        </w:rPr>
        <w:t xml:space="preserve">والشهيدان </w:t>
      </w:r>
      <w:r>
        <w:rPr>
          <w:rStyle w:val="FootnoteAnchor"/>
          <w:rtl w:val="true"/>
        </w:rPr>
        <w:footnoteReference w:id="2348"/>
      </w:r>
      <w:r>
        <w:rPr>
          <w:rFonts w:ascii="Amiri" w:hAnsi="Amiri" w:eastAsia="Amiri" w:cs="Amiri"/>
          <w:color w:val="111111"/>
          <w:sz w:val="28"/>
          <w:sz w:val="28"/>
          <w:szCs w:val="28"/>
          <w:rtl w:val="true"/>
          <w:lang w:bidi="ar-SA"/>
        </w:rPr>
        <w:t xml:space="preserve">والسيوري والمحقق الكركي </w:t>
      </w:r>
      <w:r>
        <w:rPr>
          <w:rStyle w:val="FootnoteAnchor"/>
          <w:rtl w:val="true"/>
        </w:rPr>
        <w:footnoteReference w:id="234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الإجماع عليه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المعتبر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وعليه العمل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وحكاية الشهرة عليه مستفيضة حكاه في المختلف </w:t>
      </w:r>
      <w:r>
        <w:rPr>
          <w:rStyle w:val="FootnoteAnchor"/>
          <w:rtl w:val="true"/>
        </w:rPr>
        <w:footnoteReference w:id="2352"/>
      </w:r>
      <w:r>
        <w:rPr>
          <w:rFonts w:ascii="Amiri" w:hAnsi="Amiri" w:eastAsia="Amiri" w:cs="Amiri"/>
          <w:color w:val="111111"/>
          <w:sz w:val="28"/>
          <w:sz w:val="28"/>
          <w:szCs w:val="28"/>
          <w:rtl w:val="true"/>
          <w:lang w:bidi="ar-SA"/>
        </w:rPr>
        <w:t xml:space="preserve">وكشف الالتباس وغاية المرام وإرشاد الجعفرية والروض </w:t>
      </w:r>
      <w:r>
        <w:rPr>
          <w:rStyle w:val="FootnoteAnchor"/>
          <w:rtl w:val="true"/>
        </w:rPr>
        <w:footnoteReference w:id="2353"/>
      </w:r>
      <w:r>
        <w:rPr>
          <w:rFonts w:ascii="IRNazanin" w:hAnsi="IRNazanin" w:eastAsia="IRNazanin"/>
          <w:color w:val="111111"/>
          <w:sz w:val="28"/>
          <w:sz w:val="28"/>
          <w:szCs w:val="28"/>
          <w:rtl w:val="true"/>
          <w:lang w:bidi="fa-IR"/>
        </w:rPr>
        <w:t xml:space="preserve">ومجمع البرهان </w:t>
      </w:r>
      <w:r>
        <w:rPr>
          <w:rStyle w:val="FootnoteAnchor"/>
          <w:rtl w:val="true"/>
        </w:rPr>
        <w:footnoteReference w:id="2354"/>
      </w:r>
      <w:r>
        <w:rPr>
          <w:rFonts w:ascii="Amiri" w:hAnsi="Amiri" w:eastAsia="Amiri" w:cs="Amiri"/>
          <w:color w:val="111111"/>
          <w:sz w:val="28"/>
          <w:sz w:val="28"/>
          <w:szCs w:val="28"/>
          <w:rtl w:val="true"/>
          <w:lang w:bidi="ar-SA"/>
        </w:rPr>
        <w:t xml:space="preserve">والحبل المتين </w:t>
      </w:r>
      <w:r>
        <w:rPr>
          <w:rStyle w:val="FootnoteAnchor"/>
          <w:rtl w:val="true"/>
        </w:rPr>
        <w:footnoteReference w:id="23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الصدوق في العلل </w:t>
      </w:r>
      <w:r>
        <w:rPr>
          <w:rStyle w:val="FootnoteAnchor"/>
          <w:rtl w:val="true"/>
        </w:rPr>
        <w:footnoteReference w:id="2357"/>
      </w:r>
      <w:r>
        <w:rPr>
          <w:rFonts w:ascii="Amiri" w:hAnsi="Amiri" w:eastAsia="Amiri" w:cs="Amiri"/>
          <w:color w:val="111111"/>
          <w:sz w:val="28"/>
          <w:sz w:val="28"/>
          <w:szCs w:val="28"/>
          <w:rtl w:val="true"/>
          <w:lang w:bidi="ar-SA"/>
        </w:rPr>
        <w:t xml:space="preserve">والإسكافي والشيخ في المبسوط </w:t>
      </w:r>
      <w:r>
        <w:rPr>
          <w:rStyle w:val="FootnoteAnchor"/>
          <w:rtl w:val="true"/>
        </w:rPr>
        <w:footnoteReference w:id="2358"/>
      </w:r>
      <w:r>
        <w:rPr>
          <w:rFonts w:ascii="Amiri" w:hAnsi="Amiri" w:eastAsia="Amiri" w:cs="Amiri"/>
          <w:color w:val="111111"/>
          <w:sz w:val="28"/>
          <w:sz w:val="28"/>
          <w:szCs w:val="28"/>
          <w:rtl w:val="true"/>
          <w:lang w:bidi="ar-SA"/>
        </w:rPr>
        <w:t>أن الاعتبار بغيبوبة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جماعة من المتأخرين منهم صاحب المعالم والكفاية </w:t>
      </w:r>
      <w:r>
        <w:rPr>
          <w:rStyle w:val="FootnoteAnchor"/>
          <w:rtl w:val="true"/>
        </w:rPr>
        <w:footnoteReference w:id="2359"/>
      </w:r>
      <w:r>
        <w:rPr>
          <w:rFonts w:ascii="Amiri" w:hAnsi="Amiri" w:eastAsia="Amiri" w:cs="Amiri"/>
          <w:color w:val="111111"/>
          <w:sz w:val="28"/>
          <w:sz w:val="28"/>
          <w:szCs w:val="28"/>
          <w:rtl w:val="true"/>
          <w:lang w:bidi="ar-SA"/>
        </w:rPr>
        <w:t xml:space="preserve">ومفاتيح الشرائع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الفاضل الأردبيلي </w:t>
      </w:r>
      <w:r>
        <w:rPr>
          <w:rStyle w:val="FootnoteAnchor"/>
          <w:rtl w:val="true"/>
        </w:rPr>
        <w:footnoteReference w:id="2361"/>
      </w:r>
      <w:r>
        <w:rPr>
          <w:rFonts w:ascii="Amiri" w:hAnsi="Amiri" w:eastAsia="Amiri" w:cs="Amiri"/>
          <w:color w:val="111111"/>
          <w:sz w:val="28"/>
          <w:sz w:val="28"/>
          <w:szCs w:val="28"/>
          <w:rtl w:val="true"/>
          <w:lang w:bidi="ar-SA"/>
        </w:rPr>
        <w:t xml:space="preserve">وتلميذه في المدارك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عنه البعد في الحبل المتين </w:t>
      </w:r>
      <w:r>
        <w:rPr>
          <w:rStyle w:val="FootnoteAnchor"/>
          <w:rtl w:val="true"/>
        </w:rPr>
        <w:footnoteReference w:id="2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صاحب الوافي في كلام الصدوق في الهداية </w:t>
      </w:r>
      <w:r>
        <w:rPr>
          <w:rStyle w:val="FootnoteAnchor"/>
          <w:rtl w:val="true"/>
        </w:rPr>
        <w:footnoteReference w:id="2364"/>
      </w:r>
      <w:r>
        <w:rPr>
          <w:rFonts w:ascii="Amiri" w:hAnsi="Amiri" w:eastAsia="Amiri" w:cs="Amiri"/>
          <w:color w:val="111111"/>
          <w:sz w:val="28"/>
          <w:sz w:val="28"/>
          <w:szCs w:val="28"/>
          <w:rtl w:val="true"/>
          <w:lang w:bidi="ar-SA"/>
        </w:rPr>
        <w:t xml:space="preserve">، والسيد في الميافارقيات ، والديلمي والقاضي </w:t>
      </w:r>
      <w:r>
        <w:rPr>
          <w:rStyle w:val="FootnoteAnchor"/>
          <w:rtl w:val="true"/>
        </w:rPr>
        <w:footnoteReference w:id="2365"/>
      </w:r>
      <w:r>
        <w:rPr>
          <w:rFonts w:ascii="IRNazanin" w:hAnsi="IRNazanin" w:eastAsia="IRNazanin"/>
          <w:color w:val="111111"/>
          <w:sz w:val="28"/>
          <w:sz w:val="28"/>
          <w:szCs w:val="28"/>
          <w:rtl w:val="true"/>
          <w:lang w:bidi="fa-IR"/>
        </w:rPr>
        <w:t xml:space="preserve">والمهذب </w:t>
      </w:r>
      <w:r>
        <w:rPr>
          <w:rStyle w:val="FootnoteAnchor"/>
          <w:rtl w:val="true"/>
        </w:rPr>
        <w:footnoteReference w:id="2366"/>
      </w:r>
      <w:r>
        <w:rPr>
          <w:rFonts w:ascii="IRNazanin" w:hAnsi="IRNazanin" w:eastAsia="IRNazanin"/>
          <w:color w:val="111111"/>
          <w:sz w:val="28"/>
          <w:sz w:val="28"/>
          <w:szCs w:val="28"/>
          <w:rtl w:val="true"/>
          <w:lang w:bidi="fa-IR"/>
        </w:rPr>
        <w:t>وشرح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الصدوقين في الرسالة والمقنع </w:t>
      </w:r>
      <w:r>
        <w:rPr>
          <w:rStyle w:val="FootnoteAnchor"/>
          <w:rtl w:val="true"/>
        </w:rPr>
        <w:footnoteReference w:id="2367"/>
      </w:r>
      <w:r>
        <w:rPr>
          <w:rFonts w:ascii="Amiri" w:hAnsi="Amiri" w:eastAsia="Amiri" w:cs="Amiri"/>
          <w:color w:val="111111"/>
          <w:sz w:val="28"/>
          <w:sz w:val="28"/>
          <w:szCs w:val="28"/>
          <w:rtl w:val="true"/>
          <w:lang w:bidi="ar-SA"/>
        </w:rPr>
        <w:t>اعتبار ظهور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لا يوافق شيئا من القولين ، ولا يبعد إرجاعه إلى الأول ؛ إذ الغالب عدم الانفكاك بين الأمرين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المستفيضة المشتملة على غير واحد من الصحاح المعتضدة بعمل الأصحاب ، منها صحيحة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نفضي </w:t>
      </w:r>
      <w:r>
        <w:rPr>
          <w:rStyle w:val="FootnoteAnchor"/>
          <w:rtl w:val="true"/>
        </w:rPr>
        <w:footnoteReference w:id="2368"/>
      </w:r>
      <w:r>
        <w:rPr>
          <w:rFonts w:ascii="Amiri" w:hAnsi="Amiri" w:eastAsia="Amiri" w:cs="Amiri"/>
          <w:color w:val="111111"/>
          <w:sz w:val="28"/>
          <w:sz w:val="28"/>
          <w:szCs w:val="28"/>
          <w:rtl w:val="true"/>
          <w:lang w:bidi="ar-SA"/>
        </w:rPr>
        <w:t xml:space="preserve">من عرفات؟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ذهبت الحمرة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مطلع الشمس </w:t>
      </w:r>
      <w:r>
        <w:rPr>
          <w:rFonts w:eastAsia="Amiri" w:cs="Amiri" w:ascii="Amiri" w:hAnsi="Amiri"/>
          <w:color w:val="111111"/>
          <w:sz w:val="28"/>
          <w:szCs w:val="28"/>
          <w:rtl w:val="true"/>
          <w:lang w:bidi="ar-SA"/>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ما دلّ عليه من الأخبار والإجمال ، على أن الغاية في المكث هو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عمار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أمرت أبا الخطاب أن يصلي المغرب حين زالت الحمرة من مطلع الشمس ، فجعل هو الحمرة التي من قبل المغرب ، وكان يصلي حين يغيب الشفق </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شريح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وقت المغرب؟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تغيرت في الافق وقربت الصفرة وقبل أن تشبك النجوم </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يزيد بن معاوية المروية بطرق 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الحمرة من المشرق فقد غابت الشمس من شرق الأرض وغربها </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أبي عمير القوية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سقوط القرص ووجوب الافطار من الصيام أن تقوم بحذاء القبلة وتتفقده </w:t>
      </w:r>
      <w:r>
        <w:rPr>
          <w:rStyle w:val="FootnoteAnchor"/>
          <w:rtl w:val="true"/>
        </w:rPr>
        <w:footnoteReference w:id="2373"/>
      </w:r>
      <w:r>
        <w:rPr>
          <w:rFonts w:ascii="Amiri" w:hAnsi="Amiri" w:eastAsia="Amiri" w:cs="Amiri"/>
          <w:color w:val="111111"/>
          <w:sz w:val="28"/>
          <w:sz w:val="28"/>
          <w:szCs w:val="28"/>
          <w:rtl w:val="true"/>
          <w:lang w:bidi="ar-SA"/>
        </w:rPr>
        <w:t xml:space="preserve">الحمرة التي ترتفع من المشرق ، فإذا جازت فيه الرأس إلى ناحية المغرب فقد وجب الافطار وسقط القرص </w:t>
      </w:r>
      <w:r>
        <w:rPr>
          <w:rFonts w:eastAsia="Amiri" w:cs="Amiri" w:ascii="Amiri" w:hAnsi="Amiri"/>
          <w:color w:val="111111"/>
          <w:sz w:val="28"/>
          <w:szCs w:val="28"/>
          <w:rtl w:val="true"/>
          <w:lang w:bidi="ar-SA"/>
        </w:rPr>
        <w:t xml:space="preserve">»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هشيم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ذهبت الحمرة من المشرق ، وتدري 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Style w:val="FootnoteAnchor"/>
          <w:rtl w:val="true"/>
        </w:rPr>
        <w:footnoteReference w:id="2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المشرق مطل </w:t>
      </w:r>
      <w:r>
        <w:rPr>
          <w:rStyle w:val="FootnoteAnchor"/>
          <w:rtl w:val="true"/>
        </w:rPr>
        <w:footnoteReference w:id="2376"/>
      </w:r>
      <w:r>
        <w:rPr>
          <w:rFonts w:ascii="Amiri" w:hAnsi="Amiri" w:eastAsia="Amiri" w:cs="Amiri"/>
          <w:color w:val="111111"/>
          <w:sz w:val="28"/>
          <w:sz w:val="28"/>
          <w:szCs w:val="28"/>
          <w:rtl w:val="true"/>
          <w:lang w:bidi="ar-SA"/>
        </w:rPr>
        <w:t xml:space="preserve">على المغرب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عينيه فوق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غابت هاهنا ذهبت الحمرة من هاهنا </w:t>
      </w:r>
      <w:r>
        <w:rPr>
          <w:rFonts w:eastAsia="Amiri" w:cs="Amiri" w:ascii="Amiri" w:hAnsi="Amiri"/>
          <w:color w:val="111111"/>
          <w:sz w:val="28"/>
          <w:szCs w:val="28"/>
          <w:rtl w:val="true"/>
          <w:lang w:bidi="ar-SA"/>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مكاتبة عبد اللّه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الصلاة والإفطار إذا توارى القرص وأقبل الليل ، ثم زاد الليل ارتفاعا وستر الشمس وارتفع فوق الليل حمرته وأذّن المؤذّنون أو أنه ينظر </w:t>
      </w:r>
    </w:p>
    <w:p>
      <w:pPr>
        <w:pStyle w:val="BookText"/>
        <w:rPr/>
      </w:pPr>
      <w:r>
        <w:rPr>
          <w:rFonts w:ascii="Amiri" w:hAnsi="Amiri" w:eastAsia="Amiri" w:cs="Amiri"/>
          <w:color w:val="111111"/>
          <w:sz w:val="28"/>
          <w:sz w:val="28"/>
          <w:szCs w:val="28"/>
          <w:rtl w:val="true"/>
          <w:lang w:bidi="ar-SA"/>
        </w:rPr>
        <w:t xml:space="preserve">ذهاب الحمرة التي فوق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لك أن تنتظر حتى تذهب الحمرة وتأخذ بالحائطة لدينك </w:t>
      </w:r>
      <w:r>
        <w:rPr>
          <w:rFonts w:eastAsia="Amiri" w:cs="Amiri" w:ascii="Amiri" w:hAnsi="Amiri"/>
          <w:color w:val="111111"/>
          <w:sz w:val="28"/>
          <w:szCs w:val="28"/>
          <w:rtl w:val="true"/>
          <w:lang w:bidi="ar-SA"/>
        </w:rPr>
        <w:t xml:space="preserve">»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في رواية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مسوا بالمغرب قليلا ، فإن الشمس تغيب من عندكم قبل أن تغيب من عندنا </w:t>
      </w:r>
      <w:r>
        <w:rPr>
          <w:rFonts w:eastAsia="Amiri" w:cs="Amiri" w:ascii="Amiri" w:hAnsi="Amiri"/>
          <w:color w:val="111111"/>
          <w:sz w:val="28"/>
          <w:szCs w:val="28"/>
          <w:rtl w:val="true"/>
          <w:lang w:bidi="ar-SA"/>
        </w:rPr>
        <w:t xml:space="preserve">»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بكر بن محمد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سائل عن وقت المغرب؟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في كتابه لإبراهيم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 xml:space="preserve">) </w:t>
      </w:r>
      <w:r>
        <w:rPr>
          <w:rStyle w:val="FootnoteAnchor"/>
          <w:rtl w:val="true"/>
        </w:rPr>
        <w:footnoteReference w:id="2380"/>
      </w:r>
      <w:r>
        <w:rPr>
          <w:rFonts w:ascii="IRNazanin" w:hAnsi="IRNazanin" w:eastAsia="IRNazanin"/>
          <w:color w:val="111111"/>
          <w:sz w:val="28"/>
          <w:sz w:val="28"/>
          <w:szCs w:val="28"/>
          <w:rtl w:val="true"/>
          <w:lang w:bidi="fa-IR"/>
        </w:rPr>
        <w:t xml:space="preserve">، فهذا أول الوقت </w:t>
      </w:r>
      <w:r>
        <w:rPr>
          <w:rFonts w:eastAsia="IRNazanin" w:cs="IRNazanin"/>
          <w:color w:val="111111"/>
          <w:sz w:val="28"/>
          <w:szCs w:val="28"/>
          <w:rtl w:val="true"/>
          <w:lang w:bidi="fa-IR"/>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حسنة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احبّ إذا صليت المغرب أن أرى في السماء كوكبا </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فإنه باعتبار رؤية الكوكب بخصوصه لا يظهر قائل به في تحقق الغروب ، فالظاهر حمله على ما يوافق ذهاب الحمرة ، فكأنّ التعبير عنه بذلك لأجل التقية ؛ نظرا إلى الاستيناس للحكم بظاهر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اعتبار التمسّي بالمغرب ؛ إذ مجرد مسمّاه مما لم يعتبره أحد في المقام ، فيكون المناط هو ذهاب الحمرة على ما تضمّنه الأخبار المذكورة ، فهي كاشفة عن المراد من الروايات المذكورة ، فبملاحظة هذه الأخبار المتكثّرة المشتملة على المعتبرة المستفيضة المعتضدة بفتوى الطائفة وعملهم بها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من شعار الشيعة يعرفون به عند فرق العامة كحلية المتعة ومسح الرجلين ونحوهما ، مضافا إلى موافقته غالبا للحائطة ، لا يبقى تأمل في المسألة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اعتبار مثله في الطلوع لانتفاء الدليل عليه هناك ، بل قيامه على خلافه من النصّ </w:t>
      </w:r>
    </w:p>
    <w:p>
      <w:pPr>
        <w:pStyle w:val="BookText"/>
        <w:rPr/>
      </w:pPr>
      <w:r>
        <w:rPr>
          <w:rFonts w:ascii="Amiri" w:hAnsi="Amiri" w:eastAsia="Amiri" w:cs="Amiri"/>
          <w:color w:val="111111"/>
          <w:sz w:val="28"/>
          <w:sz w:val="28"/>
          <w:szCs w:val="28"/>
          <w:rtl w:val="true"/>
          <w:lang w:bidi="ar-SA"/>
        </w:rPr>
        <w:t xml:space="preserve">والإجماع لا يقضي بجريانها </w:t>
      </w:r>
      <w:r>
        <w:rPr>
          <w:rStyle w:val="FootnoteAnchor"/>
          <w:rtl w:val="true"/>
        </w:rPr>
        <w:footnoteReference w:id="2383"/>
      </w:r>
      <w:r>
        <w:rPr>
          <w:rFonts w:ascii="Amiri" w:hAnsi="Amiri" w:eastAsia="Amiri" w:cs="Amiri"/>
          <w:color w:val="111111"/>
          <w:sz w:val="28"/>
          <w:sz w:val="28"/>
          <w:szCs w:val="28"/>
          <w:rtl w:val="true"/>
          <w:lang w:bidi="ar-SA"/>
        </w:rPr>
        <w:t>في المقام مع قيام الدليل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عليه مقايسة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بالإطلاقات المتكثرة الدالّة على دخول وقت المغرب بمجرد غروب الشمس ، وما دلّ على وجوبه عند وجوب القرص وغيبوبة الحاصلة عرفا ولغة بمجرد خفائه تحت الأرض واستتاره عن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يدخل </w:t>
      </w:r>
      <w:r>
        <w:rPr>
          <w:rStyle w:val="FootnoteAnchor"/>
          <w:rtl w:val="true"/>
        </w:rPr>
        <w:footnoteReference w:id="2384"/>
      </w:r>
      <w:r>
        <w:rPr>
          <w:rFonts w:ascii="Amiri" w:hAnsi="Amiri" w:eastAsia="Amiri" w:cs="Amiri"/>
          <w:color w:val="111111"/>
          <w:sz w:val="28"/>
          <w:sz w:val="28"/>
          <w:szCs w:val="28"/>
          <w:rtl w:val="true"/>
          <w:lang w:bidi="ar-SA"/>
        </w:rPr>
        <w:t xml:space="preserve">وقت المغرب؟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كرسيّها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كرسيّها؟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تغيب قرصها؟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نظرت إليه فلم تره </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أبان بن تغلب ، عن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مكة حتى إذا كنّا بوادي الأخضر إذا نحن برجل يصلّي ونحن ننظر إلى شعاع الشمس ، فوجدنا في أنفسنا ، فجعل يصلّي ونحن ندعو عليه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من شباب أهل المدينة ، فلما أتيناه إذا هو أبو عبد اللّه جعفر بن محمد عليه‌السلام ، فنزلنا وصلّينا معه وقد فاتتنا ركعة ، فلما قضينا الصلاة قمنا إليه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الساعة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فقد دخل الوقت </w:t>
      </w:r>
      <w:r>
        <w:rPr>
          <w:rFonts w:eastAsia="Amiri" w:cs="Amiri" w:ascii="Amiri" w:hAnsi="Amiri"/>
          <w:color w:val="111111"/>
          <w:sz w:val="28"/>
          <w:szCs w:val="28"/>
          <w:rtl w:val="true"/>
          <w:lang w:bidi="ar-SA"/>
        </w:rPr>
        <w:t xml:space="preserve">»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زرارة عن الصادق عليه‌السلام أنه 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صحبني رجل كان يمسي بالمغرب ويغلّس بالفجر ، وكنت أنا اصلّي المغرب إذا غربت الشمس واصلّي الفجر إذا استبان الفجر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تصنع مثل ما أصنع؟ فإن الشمس تطلع على قوم قبلنا وتغرب عنّا </w:t>
      </w:r>
      <w:r>
        <w:rPr>
          <w:rStyle w:val="FootnoteAnchor"/>
          <w:rtl w:val="true"/>
        </w:rPr>
        <w:footnoteReference w:id="2387"/>
      </w:r>
      <w:r>
        <w:rPr>
          <w:rFonts w:ascii="Amiri" w:hAnsi="Amiri" w:eastAsia="Amiri" w:cs="Amiri"/>
          <w:color w:val="111111"/>
          <w:sz w:val="28"/>
          <w:sz w:val="28"/>
          <w:szCs w:val="28"/>
          <w:rtl w:val="true"/>
          <w:lang w:bidi="ar-SA"/>
        </w:rPr>
        <w:t>وهي طالعة على قوم آخرين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نصلي إذا وجبت الشمس عنا وإذا طلع الفجر عندنا وعلى أولئك أن يصلّوا إذا غربت الشمس عنهم </w:t>
      </w:r>
      <w:r>
        <w:rPr>
          <w:rFonts w:eastAsia="Amiri" w:cs="Amiri" w:ascii="Amiri" w:hAnsi="Amiri"/>
          <w:color w:val="111111"/>
          <w:sz w:val="28"/>
          <w:szCs w:val="28"/>
          <w:rtl w:val="true"/>
          <w:lang w:bidi="ar-SA"/>
        </w:rPr>
        <w:t xml:space="preserve">»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هذه الرواية لا تزيد على الإطلاق لاحتمال أن يراد بالغروب فيه هو المنكشف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الرجل كان يؤخّره عن ذلك لتعليله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التأخير عنه كذلك عن أبي الخطاب كما ورد في بعض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الرجل كان من جملة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الأخبار المطلقة فحملها على المقيدة كما هو مقتضى القاعدة ، وأما ما اشتمل منها على التصريح فبحمله على التقية ؛ إذ ذلك مذهب العامة ، وعليه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أوضح محمل في المقام ، وعليه شواهد في الأخبار كما في المكاتبة المتقدمة وحسنة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ينصحون فلا يقبلون ، وإذا سمعوا الشي‌ء نادوا به أو حدّثوا بشي‌ء أذاعوه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لهم مسّوا بالمغرب قليلا فتركوها حتى اشتبكت النجوم ، فأنا الآن </w:t>
      </w:r>
      <w:r>
        <w:rPr>
          <w:rStyle w:val="FootnoteAnchor"/>
          <w:rtl w:val="true"/>
        </w:rPr>
        <w:footnoteReference w:id="2389"/>
      </w:r>
      <w:r>
        <w:rPr>
          <w:rFonts w:ascii="Amiri" w:hAnsi="Amiri" w:eastAsia="Amiri" w:cs="Amiri"/>
          <w:color w:val="111111"/>
          <w:sz w:val="28"/>
          <w:sz w:val="28"/>
          <w:szCs w:val="28"/>
          <w:rtl w:val="true"/>
          <w:lang w:bidi="ar-SA"/>
        </w:rPr>
        <w:t xml:space="preserve">اصلّيها إذا سقط القرص </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أقوى شاهد على حمل تلك الأخبار على التقية ، مضافا إلى ما عرفت من موافقتها للمشهور بين الأصحاب في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رواية أبان بن تغلب المذكورة كون ذلك شائعا مشهورا بين أصحاب الأئمة عليهم‌السلام كما أنه الآن كذلك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في الجمع بين الأخبار من حمل هذه على دخول الوقت وتلك على فضيلة التأخير مع مخالفته لظاهر المذهب مدفوع بالأخبار الدالّة على فضيلة المبادرة إليها إذا دخل وقتها ، والتأكيدات الواردة في ذلك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رسول اللّه صلى‌اللّه‌عليه‌وآله لا يؤثر على صلاة المغرب شيئا إذا غربت الشمس حتى يصلّيها </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من أخّر المغرب طلب فضلها </w:t>
      </w:r>
      <w:r>
        <w:rPr>
          <w:rFonts w:eastAsia="Amiri" w:cs="Amiri" w:ascii="Amiri" w:hAnsi="Amiri"/>
          <w:color w:val="111111"/>
          <w:sz w:val="28"/>
          <w:szCs w:val="28"/>
          <w:rtl w:val="true"/>
          <w:lang w:bidi="ar-SA"/>
        </w:rPr>
        <w:t xml:space="preserve">»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لها وقتا واحدا بخلاف باقي الفرائض </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واحد منها أن وقتها وجوبها تأكيدا في المبادرة إليها ، فتأمل جدّا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w:t>
      </w:r>
      <w:bookmarkStart w:id="471" w:name="pg15839_361114"/>
    </w:p>
    <w:p>
      <w:pPr>
        <w:pStyle w:val="Heading5"/>
        <w:numPr>
          <w:ilvl w:val="4"/>
          <w:numId w:val="1"/>
        </w:numPr>
        <w:rPr/>
      </w:pPr>
      <w:bookmarkStart w:id="472" w:name="__RefHeading___Toc14338643_2142443653"/>
      <w:bookmarkStart w:id="473" w:name="_Toc174"/>
      <w:bookmarkEnd w:id="471"/>
      <w:bookmarkEnd w:id="472"/>
      <w:r>
        <w:rPr>
          <w:rtl w:val="true"/>
        </w:rPr>
        <w:t>تبصرة</w:t>
      </w:r>
      <w:r>
        <w:rPr>
          <w:rtl w:val="true"/>
        </w:rPr>
        <w:t xml:space="preserve">: [ </w:t>
      </w:r>
      <w:r>
        <w:rPr>
          <w:rtl w:val="true"/>
        </w:rPr>
        <w:t xml:space="preserve">في الحمرة </w:t>
      </w:r>
      <w:r>
        <w:rPr>
          <w:rtl w:val="true"/>
        </w:rPr>
        <w:t>]</w:t>
      </w:r>
      <w:bookmarkEnd w:id="473"/>
    </w:p>
    <w:p>
      <w:pPr>
        <w:pStyle w:val="BookText"/>
        <w:rPr/>
      </w:pPr>
      <w:r>
        <w:rPr>
          <w:rFonts w:ascii="Amiri" w:hAnsi="Amiri" w:eastAsia="Amiri" w:cs="Amiri"/>
          <w:color w:val="111111"/>
          <w:sz w:val="28"/>
          <w:sz w:val="28"/>
          <w:szCs w:val="28"/>
          <w:rtl w:val="true"/>
          <w:lang w:bidi="ar-SA"/>
        </w:rPr>
        <w:t xml:space="preserve">المراد بالسبق المعتبر آخر زواله فضيلة المغرب وأول فضيلة العشاء هو الحمرة كما دلّ عليه النصوص المستفيضة ففي الصحيح الشفق الحمرة فسأله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 يبقى بعد ذهاب الحمرة ضوء شديد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الشفق إنما هو الحمرة وليس الضوء من الشفق </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الحمرة أو البياض؟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الحمرة لو كان البياض كان إلى ثلث الليل </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فالبياض لا عبرة ببقائها ، وكذا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كانت الصفرة شديدة بحيث يعدّ حمرة عرفا جرى عليه الحكم ، وإن شكّ في التسمية بنافيه على بقاء الحمرة ، ويعرف انتصاف الليل بانحدار الكواكب الطالعة أول الليل كما ذكره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 عن محمد بن عمر بن حنظلة ،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لليل زوال كزوال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نعرفه؟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بالنجوم إذا انحدرت </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محمولة على النجوم الطالعة أول الغروب ، وإلّا لم يمكن </w:t>
      </w:r>
      <w:r>
        <w:rPr>
          <w:rStyle w:val="FootnoteAnchor"/>
          <w:rtl w:val="true"/>
        </w:rPr>
        <w:footnoteReference w:id="2398"/>
      </w:r>
      <w:r>
        <w:rPr>
          <w:rFonts w:ascii="Amiri" w:hAnsi="Amiri" w:eastAsia="Amiri" w:cs="Amiri"/>
          <w:color w:val="111111"/>
          <w:sz w:val="28"/>
          <w:sz w:val="28"/>
          <w:szCs w:val="28"/>
          <w:rtl w:val="true"/>
          <w:lang w:bidi="ar-SA"/>
        </w:rPr>
        <w:t>استكشاف الانتصاف بمحض انحدارها عن وسط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يحمل الانحدار فيها على مقاربة الغروب ، فيراد بها النجوم العالية في جهة المشرق ، فهو إذن علامة تخمينية يحصل القطع منها بعد مضيّ مدة من الانتصاف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أقرب إلى التحقيق إلا أنه لا يستعلم به الحال كذلك إلا مع العلم بكون مدار ذلك الكوكب نظير مدار الشمس بحيث يكون قوس نهاره مساويا لقوس ليل الشمس ؛ إذ لو كان أقصر منه حصل الانتصاف بعد الانحدار ، وإلّا كان الانتصاف مقدّما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يطلع الفجر قبله فيحصل العلم بالانتصاف في أوائل حصوله من العلامة المذكورة يتوقّف على ما قلنا إلا أن العلم بها من الأمارات الظاهرة مشكل ، فيشكل إثبات الانتصاف به إلا بعد مضي مدة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ذلك بملاحظة طلوع الفجر أو غروبه أو قيامه على حسب اختلاف ليالي الشهرة كما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ممّا يختلف بحسب أحوال القمر ، فالعلم منه بالانتصاف إنما يكون بعد مضي مدة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يستعلم ذلك بملاحظة مواضع الكواكب حال الغروب وحين طلوع الفجر ، فيجعل ما بينهما وقتا للانتصاف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تعيين الوسط في الحس على سبيل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مما يختلف باختلاف الليالي ، فلا يحصل منها أيضا إلّا بعد </w:t>
      </w:r>
      <w:r>
        <w:rPr>
          <w:rStyle w:val="FootnoteAnchor"/>
          <w:rtl w:val="true"/>
        </w:rPr>
        <w:footnoteReference w:id="2399"/>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ينقدح احتمال الاكتفاء في الانتصاف بالظن كما اكتفي به في معرفة سائر الأوقات عند وجود المانع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إذ هو مخالف للأصل ، فيقتصر فيه على مورد الدليل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 وجوه العلم بالانتصاف على سبيل التحقيق الرجوع إلى الاصطرلاب والساعات المضبوطة ، وهو مما لا يتمكن منه عامة الخلق ، وإنما يكون ذلك حجّة بعد حصول اليقين منها</w:t>
      </w:r>
      <w:r>
        <w:rPr>
          <w:rFonts w:eastAsia="Amiri" w:cs="Amiri" w:ascii="Amiri" w:hAnsi="Amiri"/>
          <w:color w:val="111111"/>
          <w:sz w:val="28"/>
          <w:szCs w:val="28"/>
          <w:rtl w:val="true"/>
          <w:lang w:bidi="ar-SA"/>
        </w:rPr>
        <w:t xml:space="preserve">. </w:t>
      </w:r>
      <w:bookmarkStart w:id="474" w:name="pg15839_361116"/>
    </w:p>
    <w:p>
      <w:pPr>
        <w:pStyle w:val="Heading3"/>
        <w:numPr>
          <w:ilvl w:val="2"/>
          <w:numId w:val="1"/>
        </w:numPr>
        <w:rPr/>
      </w:pPr>
      <w:bookmarkStart w:id="475" w:name="__RefHeading___Toc14338645_2142443653"/>
      <w:bookmarkStart w:id="476" w:name="_Toc175"/>
      <w:bookmarkEnd w:id="474"/>
      <w:bookmarkEnd w:id="475"/>
      <w:r>
        <w:rPr>
          <w:rtl w:val="true"/>
        </w:rPr>
        <w:t>الثاني</w:t>
      </w:r>
      <w:r>
        <w:rPr>
          <w:rtl w:val="true"/>
        </w:rPr>
        <w:t xml:space="preserve">: </w:t>
      </w:r>
      <w:r>
        <w:rPr>
          <w:rtl w:val="true"/>
        </w:rPr>
        <w:t>في بيان الأحكام</w:t>
      </w:r>
      <w:bookmarkEnd w:id="476"/>
    </w:p>
    <w:p>
      <w:pPr>
        <w:pStyle w:val="Heading4"/>
        <w:numPr>
          <w:ilvl w:val="3"/>
          <w:numId w:val="1"/>
        </w:numPr>
        <w:rPr/>
      </w:pPr>
      <w:bookmarkStart w:id="477" w:name="__RefHeading___Toc14338647_2142443653"/>
      <w:bookmarkStart w:id="478" w:name="_Toc176"/>
      <w:bookmarkEnd w:id="477"/>
      <w:r>
        <w:rPr>
          <w:rtl w:val="true"/>
        </w:rPr>
        <w:t>تبصرة</w:t>
      </w:r>
      <w:r>
        <w:rPr>
          <w:rtl w:val="true"/>
        </w:rPr>
        <w:t xml:space="preserve">: [ </w:t>
      </w:r>
      <w:r>
        <w:rPr>
          <w:rtl w:val="true"/>
        </w:rPr>
        <w:t xml:space="preserve">في اليقين بدخول الوقت </w:t>
      </w:r>
      <w:r>
        <w:rPr>
          <w:rtl w:val="true"/>
        </w:rPr>
        <w:t>]</w:t>
      </w:r>
      <w:bookmarkEnd w:id="478"/>
    </w:p>
    <w:p>
      <w:pPr>
        <w:pStyle w:val="BookText"/>
        <w:rPr/>
      </w:pPr>
      <w:r>
        <w:rPr>
          <w:rFonts w:ascii="Amiri" w:hAnsi="Amiri" w:eastAsia="Amiri" w:cs="Amiri"/>
          <w:color w:val="111111"/>
          <w:sz w:val="28"/>
          <w:sz w:val="28"/>
          <w:szCs w:val="28"/>
          <w:rtl w:val="true"/>
          <w:lang w:bidi="ar-SA"/>
        </w:rPr>
        <w:t>يجب تحصيل العلم بدخول الوقت في التلبس بالعمل ، فلا يصحّ الفعل مع الجهل بالحال أو الظن به وإن وافق الواقع إذا تمكن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التعويل حينئذ على الظن على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مجمع البرهان </w:t>
      </w:r>
      <w:r>
        <w:rPr>
          <w:rStyle w:val="FootnoteAnchor"/>
          <w:rtl w:val="true"/>
        </w:rPr>
        <w:footnoteReference w:id="2400"/>
      </w:r>
      <w:r>
        <w:rPr>
          <w:rFonts w:ascii="Amiri" w:hAnsi="Amiri" w:eastAsia="Amiri" w:cs="Amiri"/>
          <w:color w:val="111111"/>
          <w:sz w:val="28"/>
          <w:sz w:val="28"/>
          <w:szCs w:val="28"/>
          <w:rtl w:val="true"/>
          <w:lang w:bidi="ar-SA"/>
        </w:rPr>
        <w:t xml:space="preserve">وكشف اللثام </w:t>
      </w:r>
      <w:r>
        <w:rPr>
          <w:rStyle w:val="FootnoteAnchor"/>
          <w:rtl w:val="true"/>
        </w:rPr>
        <w:footnoteReference w:id="2401"/>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الأصحاب لا نعلم فيه مخالفا إلا أنه حكى بعد ذلك خلاف المحقق في جواز التعويل على أذان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حجية الظن في غير ما قام الدليل عليه ، وعدم تحقق التكليف ، فكيف يصحّ قصد الامتثال والتقرّب</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الأخبار ، ففي حسنة البزنطي المروي في المستطرفات عن نوادره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شاكّا في الزوال فصلّ ركعتين ، فإذا استيقنت أنها قد زالت بدأت بالفريضة </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استيقنت الزيادة يعني زيادة الفي‌ء فصلّ الظهر </w:t>
      </w:r>
      <w:r>
        <w:rPr>
          <w:rFonts w:eastAsia="Amiri" w:cs="Amiri" w:ascii="Amiri" w:hAnsi="Amiri"/>
          <w:color w:val="111111"/>
          <w:sz w:val="28"/>
          <w:szCs w:val="28"/>
          <w:rtl w:val="true"/>
          <w:lang w:bidi="ar-SA"/>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أصلّي بعد ما مضى الوقت أحب إليّ من أن اصلّي وأنا في شكّ من الوقت وقبل الوقت </w:t>
      </w:r>
      <w:r>
        <w:rPr>
          <w:rFonts w:eastAsia="Amiri" w:cs="Amiri" w:ascii="Amiri" w:hAnsi="Amiri"/>
          <w:color w:val="111111"/>
          <w:sz w:val="28"/>
          <w:szCs w:val="28"/>
          <w:rtl w:val="true"/>
          <w:lang w:bidi="ar-SA"/>
        </w:rPr>
        <w:t xml:space="preserve">»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جعفر المروية في كتابه وغيره ، عن أخيه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يسمع الأذان فيصلّي الفجر ولا يدري أطلع أم لا ، غير أنه يظنّ لمكان الأذان أنه طلع؟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يجزيه حتى يعلم أنه قد طلع </w:t>
      </w:r>
      <w:r>
        <w:rPr>
          <w:rFonts w:eastAsia="Amiri" w:cs="Amiri" w:ascii="Amiri" w:hAnsi="Amiri"/>
          <w:color w:val="111111"/>
          <w:sz w:val="28"/>
          <w:szCs w:val="28"/>
          <w:rtl w:val="true"/>
          <w:lang w:bidi="ar-SA"/>
        </w:rPr>
        <w:t xml:space="preserve">»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مهزيار للمكاتبة </w:t>
      </w:r>
      <w:r>
        <w:rPr>
          <w:rStyle w:val="FootnoteAnchor"/>
          <w:rtl w:val="true"/>
        </w:rPr>
        <w:footnoteReference w:id="2407"/>
      </w:r>
      <w:r>
        <w:rPr>
          <w:rFonts w:ascii="Amiri" w:hAnsi="Amiri" w:eastAsia="Amiri" w:cs="Amiri"/>
          <w:color w:val="111111"/>
          <w:sz w:val="28"/>
          <w:sz w:val="28"/>
          <w:szCs w:val="28"/>
          <w:rtl w:val="true"/>
          <w:lang w:bidi="ar-SA"/>
        </w:rPr>
        <w:t xml:space="preserve">بعد بيان معنى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r>
        <w:rPr>
          <w:rStyle w:val="FootnoteAnchor"/>
          <w:rtl w:val="true"/>
        </w:rPr>
        <w:footnoteReference w:id="2408"/>
      </w:r>
      <w:r>
        <w:rPr>
          <w:rFonts w:ascii="Amiri" w:hAnsi="Amiri" w:eastAsia="Amiri" w:cs="Amiri"/>
          <w:color w:val="111111"/>
          <w:sz w:val="28"/>
          <w:sz w:val="28"/>
          <w:szCs w:val="28"/>
          <w:rtl w:val="true"/>
          <w:lang w:bidi="ar-SA"/>
        </w:rPr>
        <w:t xml:space="preserve">تصلّ في سفر ولا حضر حتى تتبينه </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410"/>
      </w:r>
      <w:r>
        <w:rPr>
          <w:rFonts w:ascii="Amiri" w:hAnsi="Amiri" w:eastAsia="Amiri" w:cs="Amiri"/>
          <w:color w:val="111111"/>
          <w:sz w:val="28"/>
          <w:sz w:val="28"/>
          <w:szCs w:val="28"/>
          <w:rtl w:val="true"/>
          <w:lang w:bidi="ar-SA"/>
        </w:rPr>
        <w:t xml:space="preserve">اللّه تعالى لم يجعل خلقه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من </w:t>
      </w:r>
      <w:r>
        <w:rPr>
          <w:rFonts w:eastAsia="Amiri" w:cs="Amiri" w:ascii="Amiri" w:hAnsi="Amiri"/>
          <w:color w:val="111111"/>
          <w:sz w:val="28"/>
          <w:szCs w:val="28"/>
          <w:rtl w:val="true"/>
          <w:lang w:bidi="ar-SA"/>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2412"/>
      </w:r>
      <w:r>
        <w:rPr>
          <w:rFonts w:ascii="IRNazanin" w:hAnsi="IRNazanin" w:eastAsia="IRNazanin"/>
          <w:color w:val="111111"/>
          <w:sz w:val="28"/>
          <w:sz w:val="28"/>
          <w:szCs w:val="28"/>
          <w:rtl w:val="true"/>
          <w:lang w:bidi="fa-IR"/>
        </w:rPr>
        <w:t xml:space="preserve">الخبر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أن الظن لا يؤمن معه من الخطأ ، وعدم إصابة الواقع فيقبح التعويل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العلامة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 إذ القبح لا يقضي بقبح التعويل على الظنّ بل لا يأباه لو قام عليه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العقل في المقام قبل قيام الدليل ، وهو مقصود العلامة ، وهو الذي يستقل العقل بقبحه ، ومنعه حينئذ مكابرة ، فتضعيفه لذلك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الشيخين الاكتفاء بالظن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2415"/>
      </w:r>
      <w:r>
        <w:rPr>
          <w:rFonts w:ascii="Amiri" w:hAnsi="Amiri" w:eastAsia="Amiri" w:cs="Amiri"/>
          <w:color w:val="111111"/>
          <w:sz w:val="28"/>
          <w:sz w:val="28"/>
          <w:szCs w:val="28"/>
          <w:rtl w:val="true"/>
          <w:lang w:bidi="ar-SA"/>
        </w:rPr>
        <w:t xml:space="preserve">أنه إذا سمع الأذان من بعد يعرف منه الاستظهار قلّده </w:t>
      </w:r>
      <w:r>
        <w:rPr>
          <w:rStyle w:val="FootnoteAnchor"/>
          <w:rtl w:val="true"/>
        </w:rPr>
        <w:footnoteReference w:id="2416"/>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وقطع في الحدائق </w:t>
      </w:r>
      <w:r>
        <w:rPr>
          <w:rStyle w:val="FootnoteAnchor"/>
          <w:rtl w:val="true"/>
        </w:rPr>
        <w:footnoteReference w:id="2418"/>
      </w:r>
      <w:r>
        <w:rPr>
          <w:rFonts w:ascii="Amiri" w:hAnsi="Amiri" w:eastAsia="Amiri" w:cs="Amiri"/>
          <w:color w:val="111111"/>
          <w:sz w:val="28"/>
          <w:sz w:val="28"/>
          <w:szCs w:val="28"/>
          <w:rtl w:val="true"/>
          <w:lang w:bidi="ar-SA"/>
        </w:rPr>
        <w:t>بجواز الرجوع إلى المؤذن ، ولو كان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في التذكرة </w:t>
      </w:r>
      <w:r>
        <w:rPr>
          <w:rStyle w:val="FootnoteAnchor"/>
          <w:rtl w:val="true"/>
        </w:rPr>
        <w:footnoteReference w:id="2419"/>
      </w:r>
      <w:r>
        <w:rPr>
          <w:rFonts w:ascii="Amiri" w:hAnsi="Amiri" w:eastAsia="Amiri" w:cs="Amiri"/>
          <w:color w:val="111111"/>
          <w:sz w:val="28"/>
          <w:sz w:val="28"/>
          <w:szCs w:val="28"/>
          <w:rtl w:val="true"/>
          <w:lang w:bidi="ar-SA"/>
        </w:rPr>
        <w:t>بأذان الثقة للأعمى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ظاهر الذكرى </w:t>
      </w:r>
      <w:r>
        <w:rPr>
          <w:rStyle w:val="FootnoteAnchor"/>
          <w:rtl w:val="true"/>
        </w:rPr>
        <w:footnoteReference w:id="2420"/>
      </w:r>
      <w:r>
        <w:rPr>
          <w:rFonts w:ascii="Amiri" w:hAnsi="Amiri" w:eastAsia="Amiri" w:cs="Amiri"/>
          <w:color w:val="111111"/>
          <w:sz w:val="28"/>
          <w:sz w:val="28"/>
          <w:szCs w:val="28"/>
          <w:rtl w:val="true"/>
          <w:lang w:bidi="ar-SA"/>
        </w:rPr>
        <w:t>وجماعة من المتأخرين وعن بعض الأصحاب القطع بجواز تقليد العدل العارف للأعمى والعامي الصرف الذي لا يعرف الوقت والممنوع عن عرفانه لحبس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خروج عن مقتضى الأصل وظاهر النصّ ، فلا بدّ من قيام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للشيخين برواية ابن رباح الآتية ، ودلالتها عليه غير ظاهرة مع ما فيه </w:t>
      </w:r>
      <w:r>
        <w:rPr>
          <w:rStyle w:val="FootnoteAnchor"/>
          <w:rtl w:val="true"/>
        </w:rPr>
        <w:footnoteReference w:id="2421"/>
      </w:r>
      <w:r>
        <w:rPr>
          <w:rFonts w:ascii="Amiri" w:hAnsi="Amiri" w:eastAsia="Amiri" w:cs="Amiri"/>
          <w:color w:val="111111"/>
          <w:sz w:val="28"/>
          <w:sz w:val="28"/>
          <w:szCs w:val="28"/>
          <w:rtl w:val="true"/>
          <w:lang w:bidi="ar-SA"/>
        </w:rPr>
        <w:t>من المناقشة في الإسناد والمخالفة لما عرفت من الأخبار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في الحدائق </w:t>
      </w:r>
      <w:r>
        <w:rPr>
          <w:rStyle w:val="FootnoteAnchor"/>
          <w:rtl w:val="true"/>
        </w:rPr>
        <w:footnoteReference w:id="2422"/>
      </w:r>
      <w:r>
        <w:rPr>
          <w:rFonts w:ascii="Amiri" w:hAnsi="Amiri" w:eastAsia="Amiri" w:cs="Amiri"/>
          <w:color w:val="111111"/>
          <w:sz w:val="28"/>
          <w:sz w:val="28"/>
          <w:szCs w:val="28"/>
          <w:rtl w:val="true"/>
          <w:lang w:bidi="ar-SA"/>
        </w:rPr>
        <w:t>على اعتبار الأذان ولو من غير أهل الايمان بعدّة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إليها في غاية الضعف ؛ لضعف استناد المعظم منها وعدم دلالة كثير منها على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يدلّ منها عليه ضعيف الاسناد ، وحمله على التقية في غاية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محمد بن خالد القسري ،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اصلّي الجمعة قبل أن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على المؤذّنين </w:t>
      </w:r>
      <w:r>
        <w:rPr>
          <w:rFonts w:eastAsia="Amiri" w:cs="Amiri" w:ascii="Amiri" w:hAnsi="Amiri"/>
          <w:color w:val="111111"/>
          <w:sz w:val="28"/>
          <w:szCs w:val="28"/>
          <w:rtl w:val="true"/>
          <w:lang w:bidi="ar-SA"/>
        </w:rPr>
        <w:t xml:space="preserve">» </w:t>
      </w:r>
      <w:r>
        <w:rPr>
          <w:rStyle w:val="FootnoteAnchor"/>
          <w:rtl w:val="true"/>
        </w:rPr>
        <w:footnoteReference w:id="2423"/>
      </w:r>
      <w:r>
        <w:rPr>
          <w:rFonts w:ascii="Amiri" w:hAnsi="Amiri" w:eastAsia="Amiri" w:cs="Amiri"/>
          <w:color w:val="111111"/>
          <w:sz w:val="28"/>
          <w:sz w:val="28"/>
          <w:szCs w:val="28"/>
          <w:rtl w:val="true"/>
          <w:lang w:bidi="ar-SA"/>
        </w:rPr>
        <w:t>؛ إذ من المعلوم أن إقامة الجمعة في تلك الأعصار لم يكن على طريقة أهل الخلاف وبعد أذان مؤذّنهم وتلبّسهم بالفعل كيف يمكن التأخير؟</w:t>
      </w:r>
    </w:p>
    <w:p>
      <w:pPr>
        <w:pStyle w:val="BookText"/>
        <w:rPr/>
      </w:pPr>
      <w:r>
        <w:rPr>
          <w:rFonts w:ascii="Amiri" w:hAnsi="Amiri" w:eastAsia="Amiri" w:cs="Amiri"/>
          <w:color w:val="111111"/>
          <w:sz w:val="28"/>
          <w:sz w:val="28"/>
          <w:szCs w:val="28"/>
          <w:rtl w:val="true"/>
          <w:lang w:bidi="ar-SA"/>
        </w:rPr>
        <w:t xml:space="preserve">والحجة في جواز الاكتفاء به للأعمى ونحوه عدم تمكنه عن العلم ، فيكتفي بالظن كما هو قالوه في مسألة القبلة ، وهذه الكلية ممنوعة </w:t>
      </w:r>
      <w:r>
        <w:rPr>
          <w:rStyle w:val="FootnoteAnchor"/>
          <w:rtl w:val="true"/>
        </w:rPr>
        <w:footnoteReference w:id="2424"/>
      </w:r>
      <w:r>
        <w:rPr>
          <w:rFonts w:ascii="Amiri" w:hAnsi="Amiri" w:eastAsia="Amiri" w:cs="Amiri"/>
          <w:color w:val="111111"/>
          <w:sz w:val="28"/>
          <w:sz w:val="28"/>
          <w:szCs w:val="28"/>
          <w:rtl w:val="true"/>
          <w:lang w:bidi="ar-SA"/>
        </w:rPr>
        <w:t>كيف ، وحصول العلم له من شهادة القرائن وتعدد المخبرين ممكن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فرض عدم تمكنه منه في بعض الأحوال كان خارجا عن محلّ الكلام ؛ إذ المقصود عدم جواز الاكتفاء به مع التمكن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المتأخرين جواز التعويل على أخبار الثقة تعويلا على ما روي من اعتماد الكاظم عليه‌السلام في الحبس على أخبار من وكّله ليرصد له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عليه‌السلام في رجل صلّى الغداة بليل غره من ذلك القمر ونام حتى طلعت الشمس فأخبر أنّه صلّى بليل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فالتعويل عليه في القضاء يدلّ بالفحوى على التعويل عليه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الرواية الأولى ضعيفة مع أنّها حكاية فعل لا عموم فيها ، فلعلّه عليه‌السلام لم يكن متمكنا من العلم أو يفيد إخباره اليقين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لم يذكر فيها خصوص التقية ، وتقييدها به ليس بأولى من تقييدها بحصول العلم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المفروض منها وقوع الفعل قبل الوقت</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يقبل فيه شهادة العدلين؟ وجهان مبنيّان على أن شهادتها هل تنزّل شرعا منزلة العلم إلا ما خرج بالدليل كما يدّعى استفادته من الأخبار لو يقتصر فيها على موارد الأدلّة ، وحيث لم يقم في المقام فيبنى فيها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المحقق الكركي هو الأول ، فليتأمل</w:t>
      </w:r>
      <w:r>
        <w:rPr>
          <w:rFonts w:eastAsia="Amiri" w:cs="Amiri" w:ascii="Amiri" w:hAnsi="Amiri"/>
          <w:color w:val="111111"/>
          <w:sz w:val="28"/>
          <w:szCs w:val="28"/>
          <w:rtl w:val="true"/>
          <w:lang w:bidi="ar-SA"/>
        </w:rPr>
        <w:t xml:space="preserve">. </w:t>
      </w:r>
      <w:bookmarkStart w:id="479" w:name="pg15839_361121"/>
    </w:p>
    <w:p>
      <w:pPr>
        <w:pStyle w:val="Heading4"/>
        <w:numPr>
          <w:ilvl w:val="3"/>
          <w:numId w:val="1"/>
        </w:numPr>
        <w:rPr/>
      </w:pPr>
      <w:bookmarkStart w:id="480" w:name="__RefHeading___Toc14338649_2142443653"/>
      <w:bookmarkStart w:id="481" w:name="_Toc177"/>
      <w:bookmarkEnd w:id="479"/>
      <w:bookmarkEnd w:id="480"/>
      <w:r>
        <w:rPr>
          <w:rtl w:val="true"/>
        </w:rPr>
        <w:t>تبصرة</w:t>
      </w:r>
      <w:r>
        <w:rPr>
          <w:rtl w:val="true"/>
        </w:rPr>
        <w:t xml:space="preserve">: [ </w:t>
      </w:r>
      <w:r>
        <w:rPr>
          <w:rtl w:val="true"/>
        </w:rPr>
        <w:t xml:space="preserve">في التعويل على الظن مع عدم تمكن العلم </w:t>
      </w:r>
      <w:r>
        <w:rPr>
          <w:rtl w:val="true"/>
        </w:rPr>
        <w:t>]</w:t>
      </w:r>
      <w:bookmarkEnd w:id="481"/>
    </w:p>
    <w:p>
      <w:pPr>
        <w:pStyle w:val="BookText"/>
        <w:rPr/>
      </w:pPr>
      <w:r>
        <w:rPr>
          <w:rFonts w:ascii="Amiri" w:hAnsi="Amiri" w:eastAsia="Amiri" w:cs="Amiri"/>
          <w:color w:val="111111"/>
          <w:sz w:val="28"/>
          <w:sz w:val="28"/>
          <w:szCs w:val="28"/>
          <w:rtl w:val="true"/>
          <w:lang w:bidi="ar-SA"/>
        </w:rPr>
        <w:t>المشهور جواز التعويل على الظنّ مع عدم التمكن من العلم ، فلا يجب التأخير إلى أن يحصل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نصّ الفاضلان </w:t>
      </w:r>
      <w:r>
        <w:rPr>
          <w:rStyle w:val="FootnoteAnchor"/>
          <w:rtl w:val="true"/>
        </w:rPr>
        <w:footnoteReference w:id="2426"/>
      </w:r>
      <w:r>
        <w:rPr>
          <w:rFonts w:ascii="Amiri" w:hAnsi="Amiri" w:eastAsia="Amiri" w:cs="Amiri"/>
          <w:color w:val="111111"/>
          <w:sz w:val="28"/>
          <w:sz w:val="28"/>
          <w:szCs w:val="28"/>
          <w:rtl w:val="true"/>
          <w:lang w:bidi="ar-SA"/>
        </w:rPr>
        <w:t xml:space="preserve">والشهيدان </w:t>
      </w:r>
      <w:r>
        <w:rPr>
          <w:rStyle w:val="FootnoteAnchor"/>
          <w:rtl w:val="true"/>
        </w:rPr>
        <w:footnoteReference w:id="242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Style w:val="FootnoteAnchor"/>
          <w:rtl w:val="true"/>
        </w:rPr>
        <w:footnoteReference w:id="2428"/>
      </w:r>
      <w:r>
        <w:rPr>
          <w:rFonts w:ascii="Amiri" w:hAnsi="Amiri" w:eastAsia="Amiri" w:cs="Amiri"/>
          <w:color w:val="111111"/>
          <w:sz w:val="28"/>
          <w:sz w:val="28"/>
          <w:szCs w:val="28"/>
          <w:rtl w:val="true"/>
          <w:lang w:bidi="ar-SA"/>
        </w:rPr>
        <w:t>والحدائق وغيرهما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أشهر القولين ، بل قيل إنه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في كتاب الصوم </w:t>
      </w:r>
      <w:r>
        <w:rPr>
          <w:rStyle w:val="FootnoteAnchor"/>
          <w:rtl w:val="true"/>
        </w:rPr>
        <w:footnoteReference w:id="2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بين علمائنا ظاهرا في جواز الإفطار عند ظنّ الغروب إذا لم يكن للظانّ طريق إلى العلم ، وإنما اختلفوا في وجوب القضاء وعدمه إذا انكشف فساد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قائل بالفرق بين جواز الصلاة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تعليق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قائل بالفصل بين الصوم والصلاة ، وابن الجنيد لم يفرّق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نفي الخلاف غير واضح ، فإنّ أكثر عباراتهم خالية عن التصريح بذلك</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التذكرة وجود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التذكرة </w:t>
      </w:r>
      <w:r>
        <w:rPr>
          <w:rStyle w:val="FootnoteAnchor"/>
          <w:rtl w:val="true"/>
        </w:rPr>
        <w:footnoteReference w:id="2432"/>
      </w:r>
      <w:r>
        <w:rPr>
          <w:rFonts w:ascii="Amiri" w:hAnsi="Amiri" w:eastAsia="Amiri" w:cs="Amiri"/>
          <w:color w:val="111111"/>
          <w:sz w:val="28"/>
          <w:sz w:val="28"/>
          <w:szCs w:val="28"/>
          <w:rtl w:val="true"/>
          <w:lang w:bidi="ar-SA"/>
        </w:rPr>
        <w:t>أن الإمساك عن الإفطار حتى تتيقّن الغروب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اجتهد وغلب على ظنّه دخول الليل فالأقرب جواز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يدل ذلك على 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يدل على تأمّل منه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أن الإسكافي إذا لم يقل بالاكتفاء به في الصلاة فالظاهر معه أيضا عن الإفطار ، فالاستناد إلى خلافه مع تصريح صاحب المدارك به ونصّه على عدم الفعل بالفرق بين الأمرين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فالمحكي عن الإسكافي </w:t>
      </w:r>
      <w:r>
        <w:rPr>
          <w:rStyle w:val="FootnoteAnchor"/>
          <w:rtl w:val="true"/>
        </w:rPr>
        <w:footnoteReference w:id="2433"/>
      </w:r>
      <w:r>
        <w:rPr>
          <w:rFonts w:ascii="Amiri" w:hAnsi="Amiri" w:eastAsia="Amiri" w:cs="Amiri"/>
          <w:color w:val="111111"/>
          <w:sz w:val="28"/>
          <w:sz w:val="28"/>
          <w:szCs w:val="28"/>
          <w:rtl w:val="true"/>
          <w:lang w:bidi="ar-SA"/>
        </w:rPr>
        <w:t xml:space="preserve">في المقام عدم جواز الاكتفاء بالظن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للشاكّ يوم الغيم ولا غيره أن يصلّي إلا عند تيقّنه بالوقت ، وصلاته في آخر الوقت مع اليقين خير من صلاته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غير صريح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صلاة المدارك </w:t>
      </w:r>
      <w:r>
        <w:rPr>
          <w:rStyle w:val="FootnoteAnchor"/>
          <w:rtl w:val="true"/>
        </w:rPr>
        <w:footnoteReference w:id="2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الجنيد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 لظواهر عدّة من الأخبار المعتضد بفتوى معظم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الصوم من جواز الإفطار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اتّحاد وقت الإفطار والصلاة ، فإذا ثبت به الوقت ثبت بالنسبة إلى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الإجماع ، ففي رواية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ثم ظن أن الشمس قد غابت وفي السماء غيمة ، فأفطر ثم إن السحاب انجلى فإذا الشمس لم تغب؟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تم صومه ولا يقضيه </w:t>
      </w:r>
      <w:r>
        <w:rPr>
          <w:rFonts w:eastAsia="Amiri" w:cs="Amiri" w:ascii="Amiri" w:hAnsi="Amiri"/>
          <w:color w:val="111111"/>
          <w:sz w:val="28"/>
          <w:szCs w:val="28"/>
          <w:rtl w:val="true"/>
          <w:lang w:bidi="ar-SA"/>
        </w:rPr>
        <w:t xml:space="preserve">»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ظن أن الشمس قد غابت فأفطر ثم تبصر الشمس بعد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قضاء </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المفروض كون ظنه في المقام مع حصول غيم في السماء مثلا ؛ إذ هو الغالب في الفرض المزبور ، فينطبق على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فإن رأيته بعد ذلك وقد صلّيت </w:t>
      </w:r>
      <w:r>
        <w:rPr>
          <w:rStyle w:val="FootnoteAnchor"/>
          <w:rtl w:val="true"/>
        </w:rPr>
        <w:footnoteReference w:id="2437"/>
      </w:r>
      <w:r>
        <w:rPr>
          <w:rFonts w:ascii="IRNazanin" w:hAnsi="IRNazanin" w:eastAsia="IRNazanin"/>
          <w:color w:val="111111"/>
          <w:sz w:val="28"/>
          <w:sz w:val="28"/>
          <w:szCs w:val="28"/>
          <w:rtl w:val="true"/>
          <w:lang w:bidi="fa-IR"/>
        </w:rPr>
        <w:t xml:space="preserve">أعدت </w:t>
      </w:r>
      <w:r>
        <w:rPr>
          <w:rStyle w:val="FootnoteAnchor"/>
          <w:rtl w:val="true"/>
        </w:rPr>
        <w:footnoteReference w:id="2438"/>
      </w:r>
      <w:r>
        <w:rPr>
          <w:rFonts w:ascii="Amiri" w:hAnsi="Amiri" w:eastAsia="Amiri" w:cs="Amiri"/>
          <w:color w:val="111111"/>
          <w:sz w:val="28"/>
          <w:sz w:val="28"/>
          <w:szCs w:val="28"/>
          <w:rtl w:val="true"/>
          <w:lang w:bidi="ar-SA"/>
        </w:rPr>
        <w:t xml:space="preserve">الصلاة ومضى صومك </w:t>
      </w:r>
      <w:r>
        <w:rPr>
          <w:rFonts w:eastAsia="Amiri" w:cs="Amiri" w:ascii="Amiri" w:hAnsi="Amiri"/>
          <w:color w:val="111111"/>
          <w:sz w:val="28"/>
          <w:szCs w:val="28"/>
          <w:rtl w:val="true"/>
          <w:lang w:bidi="ar-SA"/>
        </w:rPr>
        <w:t xml:space="preserve">»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الأخيرة على المطلوب مناقشة ظاهرة ؛ إذ لم يفرض فيها حصول الظن بالوقت ، فقد يكون على سبيل اليقين ، ولا إطلاق فيها حتى يستند إلى قول الاستفصال ؛ إذ المقصود فيها بيان حال الصلاة إذا وقعت على مقتضى أمر الشرع في الظاهر ، فانكشف الخلاف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فرضه في صورة عدم التمكّن من العلم كما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بظهور إطلاقه في فرض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مناقشة صاحب المدارك في دلالته ؛ لاحتمال أن يراد بمضي الصوم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الاعتماد على صياح الديك ، ففي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مؤذن فإذا كان يوم غيم لم أعرف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الديك ثلاثة أصوات ولاء فقد زالت الشمس ودخل وقت الصلاة </w:t>
      </w:r>
      <w:r>
        <w:rPr>
          <w:rFonts w:eastAsia="Amiri" w:cs="Amiri" w:ascii="Amiri" w:hAnsi="Amiri"/>
          <w:color w:val="111111"/>
          <w:sz w:val="28"/>
          <w:szCs w:val="28"/>
          <w:rtl w:val="true"/>
          <w:lang w:bidi="ar-SA"/>
        </w:rPr>
        <w:t xml:space="preserve">»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من أصحابنا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اشتبه الوقت علينا في يوم الغيم؟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هذه الطيور التي تكون عندكم يقال لها الديكة؟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ارتفعت أصواتها وتجاوبت فقد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فصلّه </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إشارة إلى الاكتفاء بالظن ولو كان ضعيفا ؛ إذ الظن الحاصل من مجرّد ذلك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بالليل والنهار إذا لم نر الشمس ولا القمر ولا النجوم؟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اجتهد رأيك وتعمّد القبلة جهدك </w:t>
      </w:r>
      <w:r>
        <w:rPr>
          <w:rFonts w:eastAsia="Amiri" w:cs="Amiri" w:ascii="Amiri" w:hAnsi="Amiri"/>
          <w:color w:val="111111"/>
          <w:sz w:val="28"/>
          <w:szCs w:val="28"/>
          <w:rtl w:val="true"/>
          <w:lang w:bidi="ar-SA"/>
        </w:rPr>
        <w:t xml:space="preserve">»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إطلاقه يعطي الاكتفاء بالاعتماد في الوقت والقبلة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المذكورات من ضعف في الإسناد منجبر بالشهرة بل إطباق الأصحاب ، على ما سمعته من عبارة المدارك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المنع الأخذ بالأصل ؛ لعدم قيام دليل صالح على اعتبار الظنّ فيه ، مضافا إلى الإطلاقات المتقدّمة الدالّة على اعتبار اليقين بدخول الوقت ، وخصوص رواية اسماعيل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حجب عن عباده عيّن الشمس التي جعلها دليلا على أوقات الصلاة ، فموسّع عليهم تأخير الصلاة ليتبيّن لهم الوقت بظهورها ، ويستيقنوا أنها قد زالت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Style w:val="FootnoteAnchor"/>
          <w:rtl w:val="true"/>
        </w:rPr>
        <w:footnoteReference w:id="2444"/>
      </w:r>
      <w:r>
        <w:rPr>
          <w:rFonts w:ascii="Amiri" w:hAnsi="Amiri" w:eastAsia="Amiri" w:cs="Amiri"/>
          <w:color w:val="111111"/>
          <w:sz w:val="28"/>
          <w:sz w:val="28"/>
          <w:szCs w:val="28"/>
          <w:rtl w:val="true"/>
          <w:lang w:bidi="ar-SA"/>
        </w:rPr>
        <w:t xml:space="preserve">أن الأصل والإطلاق لا يقاوم الدليل الخاص </w:t>
      </w:r>
      <w:r>
        <w:rPr>
          <w:rStyle w:val="FootnoteAnchor"/>
          <w:rtl w:val="true"/>
        </w:rPr>
        <w:footnoteReference w:id="2445"/>
      </w:r>
      <w:r>
        <w:rPr>
          <w:rFonts w:ascii="Amiri" w:hAnsi="Amiri" w:eastAsia="Amiri" w:cs="Amiri"/>
          <w:color w:val="111111"/>
          <w:sz w:val="28"/>
          <w:sz w:val="28"/>
          <w:szCs w:val="28"/>
          <w:rtl w:val="true"/>
          <w:lang w:bidi="ar-SA"/>
        </w:rPr>
        <w:t>، والرواية المذكورة مع ما فيها من الضعف في الإسناد غير دالّة على وجوب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دلالتها على رجحان التأخير إلى اليقين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الأخبار المذكورة فرض كون المانع من استعلام الوقت حصول المانع في السماء ، وأما إذا كان من جهة عدم تمكن المكلف من الاستعلام لمنع مانع ونحوه ، فظاهر جماعة من الأصحاب أنه كذلك ؛ إذ لم يفرّقوا بين الصورتين ، وفي استفادته من الأخبار إشكال إلا أن </w:t>
      </w:r>
    </w:p>
    <w:p>
      <w:pPr>
        <w:pStyle w:val="BookText"/>
        <w:rPr/>
      </w:pPr>
      <w:r>
        <w:rPr>
          <w:rFonts w:ascii="Amiri" w:hAnsi="Amiri" w:eastAsia="Amiri" w:cs="Amiri"/>
          <w:color w:val="111111"/>
          <w:sz w:val="28"/>
          <w:sz w:val="28"/>
          <w:szCs w:val="28"/>
          <w:rtl w:val="true"/>
          <w:lang w:bidi="ar-SA"/>
        </w:rPr>
        <w:t>يدّعى تنقيح المناط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أمكن تحصيل اليقين بالتأخير ، أما مع عدمه فالظاهر أنه مجال للتأمّل في الاكتفاء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تحصيل الظنّ أيضا ففي وجوب تكرار الصلاة بحيث يحصل معه اليقين بأداء كل فعل في وقته أو التخيير أو سقوط الأداء ؛ أخذا بأصالة براءة الذمة في الوقت الأخير الحاضر ولأن الوقت شرط في الصحة ، فمع الشك فيه لا يصحّ الفعل ، بل لا يشرع وجوه أشبهها الأخير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دار الأمر بين وقتي الصلاتين كالظهرين والعشاءين أو الصبح والظهرين مثلا وجب الإتيان بالأمرين لتحصل اليقين بالفراغ بعد اليقين بالاشتغال</w:t>
      </w:r>
      <w:r>
        <w:rPr>
          <w:rFonts w:eastAsia="Amiri" w:cs="Amiri" w:ascii="Amiri" w:hAnsi="Amiri"/>
          <w:color w:val="111111"/>
          <w:sz w:val="28"/>
          <w:szCs w:val="28"/>
          <w:rtl w:val="true"/>
          <w:lang w:bidi="ar-SA"/>
        </w:rPr>
        <w:t xml:space="preserve">. </w:t>
      </w:r>
      <w:bookmarkStart w:id="482" w:name="pg15839_361126"/>
    </w:p>
    <w:p>
      <w:pPr>
        <w:pStyle w:val="Heading4"/>
        <w:numPr>
          <w:ilvl w:val="3"/>
          <w:numId w:val="1"/>
        </w:numPr>
        <w:rPr/>
      </w:pPr>
      <w:bookmarkStart w:id="483" w:name="__RefHeading___Toc14338651_2142443653"/>
      <w:bookmarkStart w:id="484" w:name="_Toc178"/>
      <w:bookmarkEnd w:id="482"/>
      <w:bookmarkEnd w:id="483"/>
      <w:r>
        <w:rPr>
          <w:rtl w:val="true"/>
        </w:rPr>
        <w:t>تبصرة</w:t>
      </w:r>
      <w:r>
        <w:rPr>
          <w:rtl w:val="true"/>
        </w:rPr>
        <w:t xml:space="preserve">: [ </w:t>
      </w:r>
      <w:r>
        <w:rPr>
          <w:rtl w:val="true"/>
        </w:rPr>
        <w:t xml:space="preserve">في الصلاة قبل دخول الوقت </w:t>
      </w:r>
      <w:r>
        <w:rPr>
          <w:rtl w:val="true"/>
        </w:rPr>
        <w:t>]</w:t>
      </w:r>
      <w:bookmarkEnd w:id="484"/>
    </w:p>
    <w:p>
      <w:pPr>
        <w:pStyle w:val="BookText"/>
        <w:rPr/>
      </w:pPr>
      <w:r>
        <w:rPr>
          <w:rFonts w:ascii="Amiri" w:hAnsi="Amiri" w:eastAsia="Amiri" w:cs="Amiri"/>
          <w:color w:val="111111"/>
          <w:sz w:val="28"/>
          <w:sz w:val="28"/>
          <w:szCs w:val="28"/>
          <w:rtl w:val="true"/>
          <w:lang w:bidi="ar-SA"/>
        </w:rPr>
        <w:t xml:space="preserve">لا تصحّ الصلاة قبل دخول الوقت عالما عامدا ، وإن دخل عليه الوقت في الصلاة ؛ إجماعا معلوما ومنقولا في التذكرة </w:t>
      </w:r>
      <w:r>
        <w:rPr>
          <w:rStyle w:val="FootnoteAnchor"/>
          <w:rtl w:val="true"/>
        </w:rPr>
        <w:footnoteReference w:id="2446"/>
      </w:r>
      <w:r>
        <w:rPr>
          <w:rFonts w:ascii="IRNazanin" w:hAnsi="IRNazanin" w:eastAsia="IRNazanin"/>
          <w:color w:val="111111"/>
          <w:sz w:val="28"/>
          <w:sz w:val="28"/>
          <w:szCs w:val="28"/>
          <w:rtl w:val="true"/>
          <w:lang w:bidi="fa-IR"/>
        </w:rPr>
        <w:t xml:space="preserve">والمهذب البارع </w:t>
      </w:r>
      <w:r>
        <w:rPr>
          <w:rStyle w:val="FootnoteAnchor"/>
          <w:rtl w:val="true"/>
        </w:rPr>
        <w:footnoteReference w:id="244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يوهم عبارة النهاية </w:t>
      </w:r>
      <w:r>
        <w:rPr>
          <w:rStyle w:val="FootnoteAnchor"/>
          <w:rtl w:val="true"/>
        </w:rPr>
        <w:footnoteReference w:id="2448"/>
      </w:r>
      <w:r>
        <w:rPr>
          <w:rFonts w:ascii="Amiri" w:hAnsi="Amiri" w:eastAsia="Amiri" w:cs="Amiri"/>
          <w:color w:val="111111"/>
          <w:sz w:val="28"/>
          <w:sz w:val="28"/>
          <w:szCs w:val="28"/>
          <w:rtl w:val="true"/>
          <w:lang w:bidi="ar-SA"/>
        </w:rPr>
        <w:t xml:space="preserve">بالخلاف فيه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الفرض قبل دخول الوقت عامدا أو ناسيا ثمّ علم بعد ذلك وجب عليه إعادة الصلاة وإن كان في الصلاة لم يفرغ منها بعد ثم دخل وقتها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محمولة على بيان التفصيل في خصوص الناسي كما حملها في المختلف </w:t>
      </w:r>
      <w:r>
        <w:rPr>
          <w:rStyle w:val="FootnoteAnchor"/>
          <w:rtl w:val="true"/>
        </w:rPr>
        <w:footnoteReference w:id="2449"/>
      </w:r>
      <w:r>
        <w:rPr>
          <w:rFonts w:ascii="IRNazanin" w:hAnsi="IRNazanin" w:eastAsia="IRNazanin"/>
          <w:color w:val="111111"/>
          <w:sz w:val="28"/>
          <w:sz w:val="28"/>
          <w:szCs w:val="28"/>
          <w:rtl w:val="true"/>
          <w:lang w:bidi="fa-IR"/>
        </w:rPr>
        <w:t xml:space="preserve">أو أراد </w:t>
      </w:r>
      <w:r>
        <w:rPr>
          <w:rStyle w:val="FootnoteAnchor"/>
          <w:rtl w:val="true"/>
        </w:rPr>
        <w:footnoteReference w:id="2450"/>
      </w:r>
      <w:r>
        <w:rPr>
          <w:rFonts w:ascii="Amiri" w:hAnsi="Amiri" w:eastAsia="Amiri" w:cs="Amiri"/>
          <w:color w:val="111111"/>
          <w:sz w:val="28"/>
          <w:sz w:val="28"/>
          <w:szCs w:val="28"/>
          <w:rtl w:val="true"/>
          <w:lang w:bidi="ar-SA"/>
        </w:rPr>
        <w:t xml:space="preserve">بالعامد الظانّ القاصد للفعل كما حكي عن جماعة في حملها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حمله على أحد الوجهين أنه نصّ بعد ذلك متصلا به أنه لا يجوز لأحد أن يدخل في الصلاة إلا بعد حصول العلم بدخول وقتها أو أن يغلب على ظنّه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 وحيث إنها الأصل في عدة من الأحكام الآتية لا بأس بالإشارة إلى عدة منها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يصلّي صلاة إلا لوقتها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فريضة إنما تؤدي إذا حلّت </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المتقدمة فيمن غره القمر في معرفة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أيزكّي الرجل ماله إذا مضى ثلث السنة؟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أيصلّي الاولى قبل الزوال؟ </w:t>
      </w:r>
      <w:r>
        <w:rPr>
          <w:rFonts w:eastAsia="Amiri" w:cs="Amiri" w:ascii="Amiri" w:hAnsi="Amiri"/>
          <w:color w:val="111111"/>
          <w:sz w:val="28"/>
          <w:szCs w:val="28"/>
          <w:rtl w:val="true"/>
          <w:lang w:bidi="ar-SA"/>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أنه فيمن </w:t>
      </w:r>
      <w:r>
        <w:rPr>
          <w:rStyle w:val="FootnoteAnchor"/>
          <w:rtl w:val="true"/>
        </w:rPr>
        <w:footnoteReference w:id="2454"/>
      </w:r>
      <w:r>
        <w:rPr>
          <w:rFonts w:ascii="Amiri" w:hAnsi="Amiri" w:eastAsia="Amiri" w:cs="Amiri"/>
          <w:color w:val="111111"/>
          <w:sz w:val="28"/>
          <w:sz w:val="28"/>
          <w:szCs w:val="28"/>
          <w:rtl w:val="true"/>
          <w:lang w:bidi="ar-SA"/>
        </w:rPr>
        <w:t xml:space="preserve">صلّى لغير القبلة أو في </w:t>
      </w:r>
      <w:r>
        <w:rPr>
          <w:rStyle w:val="FootnoteAnchor"/>
          <w:rtl w:val="true"/>
        </w:rPr>
        <w:footnoteReference w:id="2455"/>
      </w:r>
      <w:r>
        <w:rPr>
          <w:rFonts w:ascii="Amiri" w:hAnsi="Amiri" w:eastAsia="Amiri" w:cs="Amiri"/>
          <w:color w:val="111111"/>
          <w:sz w:val="28"/>
          <w:sz w:val="28"/>
          <w:szCs w:val="28"/>
          <w:rtl w:val="true"/>
          <w:lang w:bidi="ar-SA"/>
        </w:rPr>
        <w:t xml:space="preserve">غيم لغير الوقت؟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غير وقت فلا صلاة </w:t>
      </w:r>
      <w:r>
        <w:rPr>
          <w:rFonts w:eastAsia="Amiri" w:cs="Amiri" w:ascii="Amiri" w:hAnsi="Amiri"/>
          <w:color w:val="111111"/>
          <w:sz w:val="28"/>
          <w:szCs w:val="28"/>
          <w:rtl w:val="true"/>
          <w:lang w:bidi="ar-SA"/>
        </w:rPr>
        <w:t xml:space="preserve">»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تصلّي قبل أن تزول الشمس ، فإنك إن تصلّي في وقت العصر خير لك من أن تصلّي قبل الزوال </w:t>
      </w:r>
      <w:r>
        <w:rPr>
          <w:rFonts w:eastAsia="Amiri" w:cs="Amiri" w:ascii="Amiri" w:hAnsi="Amiri"/>
          <w:color w:val="111111"/>
          <w:sz w:val="28"/>
          <w:szCs w:val="28"/>
          <w:rtl w:val="true"/>
          <w:lang w:bidi="ar-SA"/>
        </w:rPr>
        <w:t xml:space="preserve">»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 عن أبي جعفر عليه‌السلام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أنه قبل دخول الوقت لا أمر بالفعل ، فلا يتحقق الامتثال ، ولا يسقط به التكليف المتعلّق به بعد دخول الوقت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ذلك أن تقديم الفعل على الوقت قاض بفساد العمل ، وعدم حصول الامتثال ، من غير فرق بين صورة العمد والسهو والغفلة عن ملاحظة الوقت ، والجهل بالحكم أو الموضوع مع حصول الشكّ أو الظنّ المعتبر أو غير المعتبر إلا في صورة واحدة يأتي الإشارة إليها ؛ لاندراج </w:t>
      </w:r>
      <w:r>
        <w:rPr>
          <w:rStyle w:val="FootnoteAnchor"/>
          <w:rtl w:val="true"/>
        </w:rPr>
        <w:footnoteReference w:id="2459"/>
      </w:r>
      <w:r>
        <w:rPr>
          <w:rFonts w:ascii="Amiri" w:hAnsi="Amiri" w:eastAsia="Amiri" w:cs="Amiri"/>
          <w:color w:val="111111"/>
          <w:sz w:val="28"/>
          <w:sz w:val="28"/>
          <w:szCs w:val="28"/>
          <w:rtl w:val="true"/>
          <w:lang w:bidi="ar-SA"/>
        </w:rPr>
        <w:t>الجميع في الأخبار المذكورة ، وقضاء الأصل المذكور بالفساد في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وقع الكلام في كلمات الأصحاب في عدّة من الصور المذكورة فلنشر إلى جملة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جاهلا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w:t>
      </w:r>
      <w:r>
        <w:rPr>
          <w:rStyle w:val="FootnoteAnchor"/>
          <w:rtl w:val="true"/>
        </w:rPr>
        <w:footnoteReference w:id="2460"/>
      </w:r>
      <w:r>
        <w:rPr>
          <w:rFonts w:ascii="Amiri" w:hAnsi="Amiri" w:eastAsia="Amiri" w:cs="Amiri"/>
          <w:color w:val="111111"/>
          <w:sz w:val="28"/>
          <w:sz w:val="28"/>
          <w:szCs w:val="28"/>
          <w:rtl w:val="true"/>
          <w:lang w:bidi="ar-SA"/>
        </w:rPr>
        <w:t>حكاية الإجماع على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المختلف </w:t>
      </w:r>
      <w:r>
        <w:rPr>
          <w:rStyle w:val="FootnoteAnchor"/>
          <w:rtl w:val="true"/>
        </w:rPr>
        <w:footnoteReference w:id="2461"/>
      </w:r>
      <w:r>
        <w:rPr>
          <w:rFonts w:ascii="Amiri" w:hAnsi="Amiri" w:eastAsia="Amiri" w:cs="Amiri"/>
          <w:color w:val="111111"/>
          <w:sz w:val="28"/>
          <w:sz w:val="28"/>
          <w:szCs w:val="28"/>
          <w:rtl w:val="true"/>
          <w:lang w:bidi="ar-SA"/>
        </w:rPr>
        <w:t>أنه حكي عن السيد إسناده إلى محصّلي أصحابنا ومحقّقيهم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المهذب البارع </w:t>
      </w:r>
      <w:r>
        <w:rPr>
          <w:rStyle w:val="FootnoteAnchor"/>
          <w:rtl w:val="true"/>
        </w:rPr>
        <w:footnoteReference w:id="2462"/>
      </w:r>
      <w:r>
        <w:rPr>
          <w:rFonts w:ascii="IRNazanin" w:hAnsi="IRNazanin" w:eastAsia="IRNazanin"/>
          <w:color w:val="111111"/>
          <w:sz w:val="28"/>
          <w:sz w:val="28"/>
          <w:szCs w:val="28"/>
          <w:rtl w:val="true"/>
          <w:lang w:bidi="fa-IR"/>
        </w:rPr>
        <w:t xml:space="preserve">والروض </w:t>
      </w:r>
      <w:r>
        <w:rPr>
          <w:rStyle w:val="FootnoteAnchor"/>
          <w:rtl w:val="true"/>
        </w:rPr>
        <w:footnoteReference w:id="2463"/>
      </w:r>
      <w:r>
        <w:rPr>
          <w:rFonts w:ascii="Amiri" w:hAnsi="Amiri" w:eastAsia="Amiri" w:cs="Amiri"/>
          <w:color w:val="111111"/>
          <w:sz w:val="28"/>
          <w:sz w:val="28"/>
          <w:szCs w:val="28"/>
          <w:rtl w:val="true"/>
          <w:lang w:bidi="ar-SA"/>
        </w:rPr>
        <w:t>إسناده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w:t>
      </w:r>
      <w:r>
        <w:rPr>
          <w:rStyle w:val="FootnoteAnchor"/>
          <w:rtl w:val="true"/>
        </w:rPr>
        <w:footnoteReference w:id="2464"/>
      </w:r>
      <w:r>
        <w:rPr>
          <w:rFonts w:ascii="Amiri" w:hAnsi="Amiri" w:eastAsia="Amiri" w:cs="Amiri"/>
          <w:color w:val="111111"/>
          <w:sz w:val="28"/>
          <w:sz w:val="28"/>
          <w:szCs w:val="28"/>
          <w:rtl w:val="true"/>
          <w:lang w:bidi="ar-SA"/>
        </w:rPr>
        <w:t xml:space="preserve">الكافي </w:t>
      </w:r>
      <w:r>
        <w:rPr>
          <w:rStyle w:val="FootnoteAnchor"/>
          <w:rtl w:val="true"/>
        </w:rPr>
        <w:footnoteReference w:id="2465"/>
      </w:r>
      <w:r>
        <w:rPr>
          <w:rFonts w:ascii="Amiri" w:hAnsi="Amiri" w:eastAsia="Amiri" w:cs="Amiri"/>
          <w:color w:val="111111"/>
          <w:sz w:val="28"/>
          <w:sz w:val="28"/>
          <w:szCs w:val="28"/>
          <w:rtl w:val="true"/>
          <w:lang w:bidi="ar-SA"/>
        </w:rPr>
        <w:t>النصّ على صحة صلاة الجاهل إذا دخل عليه الوقت وهو في الصلاة ؛ إذ لا خلاف ظاهر في فساد العمل مع وقوع الجميع خارجا عن الوقت المضروب كما ذكره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قضاء الأدلة المذكورة بالفساد مع اعتضادها بالشهرة وعدم وضوح دليل على الصحة ، وحملها على الظانّ على ما سيجي‌ء الكلام فيه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لا يكون عذرا حتى في صورة العصيان إلا إذا كان جاهلا محضا بحيث يستحيل تعلّق التكليف به سقط عنه المعصية إلا أن ذلك لا يقتضي بالصحة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أوقعه الجاهل كذلك من دون مراعاة الوقت إلا أنه اتفق بمصادفة </w:t>
      </w:r>
      <w:r>
        <w:rPr>
          <w:rStyle w:val="FootnoteAnchor"/>
          <w:rtl w:val="true"/>
        </w:rPr>
        <w:footnoteReference w:id="2466"/>
      </w:r>
      <w:r>
        <w:rPr>
          <w:rFonts w:ascii="Amiri" w:hAnsi="Amiri" w:eastAsia="Amiri" w:cs="Amiri"/>
          <w:color w:val="111111"/>
          <w:sz w:val="28"/>
          <w:sz w:val="28"/>
          <w:szCs w:val="28"/>
          <w:rtl w:val="true"/>
          <w:lang w:bidi="ar-SA"/>
        </w:rPr>
        <w:t xml:space="preserve">له في الواقع فالظاهر الصحة ؛ لموافقته للأمر وحصول قصد القربة </w:t>
      </w:r>
      <w:r>
        <w:rPr>
          <w:rStyle w:val="FootnoteAnchor"/>
          <w:rtl w:val="true"/>
        </w:rPr>
        <w:footnoteReference w:id="2467"/>
      </w:r>
      <w:r>
        <w:rPr>
          <w:rFonts w:ascii="Amiri" w:hAnsi="Amiri" w:eastAsia="Amiri" w:cs="Amiri"/>
          <w:color w:val="111111"/>
          <w:sz w:val="28"/>
          <w:sz w:val="28"/>
          <w:szCs w:val="28"/>
          <w:rtl w:val="true"/>
          <w:lang w:bidi="ar-SA"/>
        </w:rPr>
        <w:t xml:space="preserve">سواء كان </w:t>
      </w:r>
      <w:r>
        <w:rPr>
          <w:rStyle w:val="FootnoteAnchor"/>
          <w:rtl w:val="true"/>
        </w:rPr>
        <w:footnoteReference w:id="2468"/>
      </w:r>
      <w:r>
        <w:rPr>
          <w:rFonts w:ascii="Amiri" w:hAnsi="Amiri" w:eastAsia="Amiri" w:cs="Amiri"/>
          <w:color w:val="111111"/>
          <w:sz w:val="28"/>
          <w:sz w:val="28"/>
          <w:szCs w:val="28"/>
          <w:rtl w:val="true"/>
          <w:lang w:bidi="ar-SA"/>
        </w:rPr>
        <w:t>من جهة جهله بأصل الوقت أو في صحة الدخول مع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نازع في ذلك صاحب الذخيرة </w:t>
      </w:r>
      <w:r>
        <w:rPr>
          <w:rStyle w:val="FootnoteAnchor"/>
          <w:rtl w:val="true"/>
        </w:rPr>
        <w:footnoteReference w:id="2469"/>
      </w:r>
      <w:r>
        <w:rPr>
          <w:rFonts w:ascii="Amiri" w:hAnsi="Amiri" w:eastAsia="Amiri" w:cs="Amiri"/>
          <w:color w:val="111111"/>
          <w:sz w:val="28"/>
          <w:sz w:val="28"/>
          <w:szCs w:val="28"/>
          <w:rtl w:val="true"/>
          <w:lang w:bidi="ar-SA"/>
        </w:rPr>
        <w:t xml:space="preserve">فحكم بالبطلان نظرا إلى أن المقارنة الاتفاقية لا عبرة بها في الصحة ؛ إذ لو فرض أن أحد الجاهلين أوقع الفعل خارجا عن الوقت والآخر فيه فإنّ استحقاق الثاني للثواب دون الأول مخالف للعدل مع مساواتهما في الحركات الاختيارية ؛ إذ المفروض أن إيقاعه الثاني في الوقت والأول في خارجه مستندان </w:t>
      </w:r>
      <w:r>
        <w:rPr>
          <w:rStyle w:val="FootnoteAnchor"/>
          <w:rtl w:val="true"/>
        </w:rPr>
        <w:footnoteReference w:id="2470"/>
      </w:r>
      <w:r>
        <w:rPr>
          <w:rFonts w:ascii="IRNazanin" w:hAnsi="IRNazanin" w:eastAsia="IRNazanin"/>
          <w:color w:val="111111"/>
          <w:sz w:val="28"/>
          <w:sz w:val="28"/>
          <w:szCs w:val="28"/>
          <w:rtl w:val="true"/>
          <w:lang w:bidi="fa-IR"/>
        </w:rPr>
        <w:t>إلى محض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كما ترى ، وله نظائر لا تحصى ، مع أن الفرق بين الصورتين ظاهر مما قلنا ؛ لموافقة فعل الثاني لما أمر به الشارع وقصد الامتثال والقربة ، فليس هناك شي‌ء يقضي بفساد فعله بخلاف ما إذا خالف شيئا من الأجزاء أو الشرائط المعتبرة أو كان متردّدا في الصحة وإيقاع قصد القربة ؛ إذ لا تأمل إذن في الحكم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بعض المتأخرين البناء على الصحة في مثله أيضا فاسد ، وما يدّعى من دلالة بعض الإطلاقات عليه مما لا يمكن الركون إليه كما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ناسيا ، فالمعروف فيه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القول به عن العماني والسيد والشيخ </w:t>
      </w:r>
      <w:r>
        <w:rPr>
          <w:rStyle w:val="FootnoteAnchor"/>
          <w:rtl w:val="true"/>
        </w:rPr>
        <w:footnoteReference w:id="2471"/>
      </w:r>
      <w:r>
        <w:rPr>
          <w:rFonts w:ascii="Amiri" w:hAnsi="Amiri" w:eastAsia="Amiri" w:cs="Amiri"/>
          <w:color w:val="111111"/>
          <w:sz w:val="28"/>
          <w:sz w:val="28"/>
          <w:szCs w:val="28"/>
          <w:rtl w:val="true"/>
          <w:lang w:bidi="ar-SA"/>
        </w:rPr>
        <w:t xml:space="preserve">والفاضلين </w:t>
      </w:r>
      <w:r>
        <w:rPr>
          <w:rStyle w:val="FootnoteAnchor"/>
          <w:rtl w:val="true"/>
        </w:rPr>
        <w:footnoteReference w:id="2472"/>
      </w:r>
      <w:r>
        <w:rPr>
          <w:rFonts w:ascii="Amiri" w:hAnsi="Amiri" w:eastAsia="Amiri" w:cs="Amiri"/>
          <w:color w:val="111111"/>
          <w:sz w:val="28"/>
          <w:sz w:val="28"/>
          <w:szCs w:val="28"/>
          <w:rtl w:val="true"/>
          <w:lang w:bidi="ar-SA"/>
        </w:rPr>
        <w:t xml:space="preserve">والشهيدين </w:t>
      </w:r>
      <w:r>
        <w:rPr>
          <w:rStyle w:val="FootnoteAnchor"/>
          <w:rtl w:val="true"/>
        </w:rPr>
        <w:footnoteReference w:id="2473"/>
      </w:r>
      <w:r>
        <w:rPr>
          <w:rStyle w:val="FootnoteAnchor"/>
          <w:rtl w:val="true"/>
        </w:rPr>
        <w:footnoteReference w:id="2474"/>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47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w:t>
      </w:r>
      <w:r>
        <w:rPr>
          <w:rStyle w:val="FootnoteAnchor"/>
          <w:rtl w:val="true"/>
        </w:rPr>
        <w:footnoteReference w:id="2476"/>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477"/>
      </w:r>
      <w:r>
        <w:rPr>
          <w:rFonts w:ascii="Amiri" w:hAnsi="Amiri" w:eastAsia="Amiri" w:cs="Amiri"/>
          <w:color w:val="111111"/>
          <w:sz w:val="28"/>
          <w:sz w:val="28"/>
          <w:szCs w:val="28"/>
          <w:rtl w:val="true"/>
          <w:lang w:bidi="ar-SA"/>
        </w:rPr>
        <w:t>أنه مذهب المحققين والمحصلين من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الروضة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المتقدمة عن النهاية </w:t>
      </w:r>
      <w:r>
        <w:rPr>
          <w:rStyle w:val="FootnoteAnchor"/>
          <w:rtl w:val="true"/>
        </w:rPr>
        <w:footnoteReference w:id="2479"/>
      </w:r>
      <w:r>
        <w:rPr>
          <w:rFonts w:ascii="Amiri" w:hAnsi="Amiri" w:eastAsia="Amiri" w:cs="Amiri"/>
          <w:color w:val="111111"/>
          <w:sz w:val="28"/>
          <w:sz w:val="28"/>
          <w:szCs w:val="28"/>
          <w:rtl w:val="true"/>
          <w:lang w:bidi="ar-SA"/>
        </w:rPr>
        <w:t>البناء على الصحة لو دخل عليه الوقت وهو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المختلف </w:t>
      </w:r>
      <w:r>
        <w:rPr>
          <w:rStyle w:val="FootnoteAnchor"/>
          <w:rtl w:val="true"/>
        </w:rPr>
        <w:footnoteReference w:id="2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منصوص الحلبي </w:t>
      </w:r>
      <w:r>
        <w:rPr>
          <w:rStyle w:val="FootnoteAnchor"/>
          <w:rtl w:val="true"/>
        </w:rPr>
        <w:footnoteReference w:id="2481"/>
      </w:r>
      <w:r>
        <w:rPr>
          <w:rFonts w:ascii="Amiri" w:hAnsi="Amiri" w:eastAsia="Amiri" w:cs="Amiri"/>
          <w:color w:val="111111"/>
          <w:sz w:val="28"/>
          <w:sz w:val="28"/>
          <w:szCs w:val="28"/>
          <w:rtl w:val="true"/>
          <w:lang w:bidi="ar-SA"/>
        </w:rPr>
        <w:t xml:space="preserve">، وظاهر كلام القاضي </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أيضا عن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للصحة بأن الناسي معذور ومخاطب بالفعل على نحو الظانّ ، فيثبت له الحكم الثابت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حمله عليه قياس ، والحكم كما عرفت مخالف للأصل ، فلا بدّ فيه من الاقتصار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محل الخلاف ما إذا دخل عليه الوقت في الأثناء ، وأما إذا وقع الجميع خارجا عنه ، فالظاهر عدم الخلاف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عنه الخلاف في جامع المقاصد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 ظاهر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المقاصد </w:t>
      </w:r>
      <w:r>
        <w:rPr>
          <w:rStyle w:val="FootnoteAnchor"/>
          <w:rtl w:val="true"/>
        </w:rPr>
        <w:footnoteReference w:id="2484"/>
      </w:r>
      <w:r>
        <w:rPr>
          <w:rFonts w:ascii="Amiri" w:hAnsi="Amiri" w:eastAsia="Amiri" w:cs="Amiri"/>
          <w:color w:val="111111"/>
          <w:sz w:val="28"/>
          <w:sz w:val="28"/>
          <w:szCs w:val="28"/>
          <w:rtl w:val="true"/>
          <w:lang w:bidi="ar-SA"/>
        </w:rPr>
        <w:t>إن المراد به ناسي مراعاة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وأطلقه الشهيد على من جرت منه الصلاة حال عدم حضور الوقت بالبال وعلى ما اخترناه ، فالظاهر عدم الفرق بين ناسي الحكم بالنسبة إلى أصل التوقيت أو وجوب مراعاة الوقت وناسي الموضوع والذاهل عن الحكم على أحد الوجهين أو عن الموضوع إلا أن حمل كلام من حكم بالصحة على جميع </w:t>
      </w:r>
    </w:p>
    <w:p>
      <w:pPr>
        <w:pStyle w:val="BookText"/>
        <w:rPr/>
      </w:pPr>
      <w:r>
        <w:rPr>
          <w:rFonts w:ascii="Amiri" w:hAnsi="Amiri" w:eastAsia="Amiri" w:cs="Amiri"/>
          <w:color w:val="111111"/>
          <w:sz w:val="28"/>
          <w:sz w:val="28"/>
          <w:szCs w:val="28"/>
          <w:rtl w:val="true"/>
          <w:lang w:bidi="ar-SA"/>
        </w:rPr>
        <w:t>ذلك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 بدخول الوقت مع جواز الاعتماد على الظنّ ، فإن انكشف وقوع الصلاة بتمامها خارجا عن الوقت فلا خلاف ظاهر عندنا في فساد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المتقدمة وغيرها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دخل عليه الوقت وهو في الصلاة ففي الحكم بالصحة قولان ، والأشهر الأظهر البناء عليها وفاقا </w:t>
      </w:r>
      <w:r>
        <w:rPr>
          <w:rFonts w:eastAsia="Amiri" w:cs="Amiri" w:ascii="Amiri" w:hAnsi="Amiri"/>
          <w:color w:val="111111"/>
          <w:sz w:val="28"/>
          <w:szCs w:val="28"/>
          <w:rtl w:val="true"/>
          <w:lang w:bidi="ar-SA"/>
        </w:rPr>
        <w:t xml:space="preserve">[ ... ]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2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نطقت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الرموز </w:t>
      </w:r>
      <w:r>
        <w:rPr>
          <w:rStyle w:val="FootnoteAnchor"/>
          <w:rtl w:val="true"/>
        </w:rPr>
        <w:footnoteReference w:id="2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الأظهر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الشهرة عليه جماعة منهم السيوري والمحقق الكركي </w:t>
      </w:r>
      <w:r>
        <w:rPr>
          <w:rStyle w:val="FootnoteAnchor"/>
          <w:rtl w:val="true"/>
        </w:rPr>
        <w:footnoteReference w:id="2488"/>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تعليق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على خبر اسماعيل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الاسكافي و </w:t>
      </w:r>
      <w:r>
        <w:rPr>
          <w:rStyle w:val="FootnoteAnchor"/>
          <w:rtl w:val="true"/>
        </w:rPr>
        <w:footnoteReference w:id="2490"/>
      </w:r>
      <w:r>
        <w:rPr>
          <w:rFonts w:ascii="Amiri" w:hAnsi="Amiri" w:eastAsia="Amiri" w:cs="Amiri"/>
          <w:color w:val="111111"/>
          <w:sz w:val="28"/>
          <w:sz w:val="28"/>
          <w:szCs w:val="28"/>
          <w:rtl w:val="true"/>
          <w:lang w:bidi="ar-SA"/>
        </w:rPr>
        <w:t xml:space="preserve">العلامة في المختلف </w:t>
      </w:r>
      <w:r>
        <w:rPr>
          <w:rStyle w:val="FootnoteAnchor"/>
          <w:rtl w:val="true"/>
        </w:rPr>
        <w:footnoteReference w:id="2491"/>
      </w:r>
      <w:r>
        <w:rPr>
          <w:rFonts w:ascii="Amiri" w:hAnsi="Amiri" w:eastAsia="Amiri" w:cs="Amiri"/>
          <w:color w:val="111111"/>
          <w:sz w:val="28"/>
          <w:sz w:val="28"/>
          <w:szCs w:val="28"/>
          <w:rtl w:val="true"/>
          <w:lang w:bidi="ar-SA"/>
        </w:rPr>
        <w:t>وابن فهد في الموجز والصيمري في كشفه الحكم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جماعة منهم ومن </w:t>
      </w:r>
      <w:r>
        <w:rPr>
          <w:rStyle w:val="FootnoteAnchor"/>
          <w:rtl w:val="true"/>
        </w:rPr>
        <w:footnoteReference w:id="2492"/>
      </w:r>
      <w:r>
        <w:rPr>
          <w:rFonts w:ascii="Amiri" w:hAnsi="Amiri" w:eastAsia="Amiri" w:cs="Amiri"/>
          <w:color w:val="111111"/>
          <w:sz w:val="28"/>
          <w:sz w:val="28"/>
          <w:szCs w:val="28"/>
          <w:rtl w:val="true"/>
          <w:lang w:bidi="ar-SA"/>
        </w:rPr>
        <w:t xml:space="preserve">تأخر عنهم منهم الفاضل الأردبيلي </w:t>
      </w:r>
      <w:r>
        <w:rPr>
          <w:rStyle w:val="FootnoteAnchor"/>
          <w:rtl w:val="true"/>
        </w:rPr>
        <w:footnoteReference w:id="2493"/>
      </w:r>
      <w:r>
        <w:rPr>
          <w:rFonts w:ascii="Amiri" w:hAnsi="Amiri" w:eastAsia="Amiri" w:cs="Amiri"/>
          <w:color w:val="111111"/>
          <w:sz w:val="28"/>
          <w:sz w:val="28"/>
          <w:szCs w:val="28"/>
          <w:rtl w:val="true"/>
          <w:lang w:bidi="ar-SA"/>
        </w:rPr>
        <w:t>وتلميذه وصاحب المفاتيح وغيرهم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قويّة اسماعيل بن أبي رباح ،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وأنت ترى أنك في </w:t>
      </w:r>
    </w:p>
    <w:p>
      <w:pPr>
        <w:pStyle w:val="BookText"/>
        <w:rPr/>
      </w:pPr>
      <w:r>
        <w:rPr>
          <w:rFonts w:ascii="Amiri" w:hAnsi="Amiri" w:eastAsia="Amiri" w:cs="Amiri"/>
          <w:color w:val="111111"/>
          <w:sz w:val="28"/>
          <w:sz w:val="28"/>
          <w:szCs w:val="28"/>
          <w:rtl w:val="true"/>
          <w:lang w:bidi="ar-SA"/>
        </w:rPr>
        <w:t xml:space="preserve">وقت ولم يدخل الوقت فدخل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رمتها الجماعة بالضعف ؛ لجهالة اسماعيل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بأنها منجبرة بعمل الأصحاب ، مضافا إلى قوّة الرواية في نفسها ؛ لتقدم ابن أبي عمير الذي من أصحاب الإجماع على اسماعيل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ذكر في شأنه أنه لا يروي إلا عن ثقة ، ففي روايته عنه إشارة إلى وثاقته ، مضافا إلى أن للصدوق في الفقيه </w:t>
      </w:r>
      <w:r>
        <w:rPr>
          <w:rStyle w:val="FootnoteAnchor"/>
          <w:rtl w:val="true"/>
        </w:rPr>
        <w:footnoteReference w:id="2495"/>
      </w:r>
      <w:r>
        <w:rPr>
          <w:rFonts w:ascii="Amiri" w:hAnsi="Amiri" w:eastAsia="Amiri" w:cs="Amiri"/>
          <w:color w:val="111111"/>
          <w:sz w:val="28"/>
          <w:sz w:val="28"/>
          <w:szCs w:val="28"/>
          <w:rtl w:val="true"/>
          <w:lang w:bidi="ar-SA"/>
        </w:rPr>
        <w:t xml:space="preserve">طريقا إليه ، وهو يومي إلى جلالته على أن الرواية مذكورة في عدّة من الكتب المعتبرة ككتاب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ومحمد بن علي بن محبوب والغنية </w:t>
      </w:r>
      <w:r>
        <w:rPr>
          <w:rStyle w:val="FootnoteAnchor"/>
          <w:rtl w:val="true"/>
        </w:rPr>
        <w:footnoteReference w:id="2496"/>
      </w:r>
      <w:r>
        <w:rPr>
          <w:rFonts w:ascii="Amiri" w:hAnsi="Amiri" w:eastAsia="Amiri" w:cs="Amiri"/>
          <w:color w:val="111111"/>
          <w:sz w:val="28"/>
          <w:sz w:val="28"/>
          <w:szCs w:val="28"/>
          <w:rtl w:val="true"/>
          <w:lang w:bidi="ar-SA"/>
        </w:rPr>
        <w:t xml:space="preserve">والكافي </w:t>
      </w:r>
      <w:r>
        <w:rPr>
          <w:rStyle w:val="FootnoteAnchor"/>
          <w:rtl w:val="true"/>
        </w:rPr>
        <w:footnoteReference w:id="2497"/>
      </w:r>
      <w:r>
        <w:rPr>
          <w:rFonts w:ascii="Amiri" w:hAnsi="Amiri" w:eastAsia="Amiri" w:cs="Amiri"/>
          <w:color w:val="111111"/>
          <w:sz w:val="28"/>
          <w:sz w:val="28"/>
          <w:szCs w:val="28"/>
          <w:rtl w:val="true"/>
          <w:lang w:bidi="ar-SA"/>
        </w:rPr>
        <w:t xml:space="preserve">والتهذيب </w:t>
      </w:r>
      <w:r>
        <w:rPr>
          <w:rStyle w:val="FootnoteAnchor"/>
          <w:rtl w:val="true"/>
        </w:rPr>
        <w:footnoteReference w:id="2498"/>
      </w:r>
      <w:r>
        <w:rPr>
          <w:rFonts w:ascii="Amiri" w:hAnsi="Amiri" w:eastAsia="Amiri" w:cs="Amiri"/>
          <w:color w:val="111111"/>
          <w:sz w:val="28"/>
          <w:sz w:val="28"/>
          <w:szCs w:val="28"/>
          <w:rtl w:val="true"/>
          <w:lang w:bidi="ar-SA"/>
        </w:rPr>
        <w:t xml:space="preserve">، مع أنك قد </w:t>
      </w:r>
      <w:r>
        <w:rPr>
          <w:rStyle w:val="FootnoteAnchor"/>
          <w:rtl w:val="true"/>
        </w:rPr>
        <w:footnoteReference w:id="2499"/>
      </w:r>
      <w:r>
        <w:rPr>
          <w:rFonts w:ascii="Amiri" w:hAnsi="Amiri" w:eastAsia="Amiri" w:cs="Amiri"/>
          <w:color w:val="111111"/>
          <w:sz w:val="28"/>
          <w:sz w:val="28"/>
          <w:szCs w:val="28"/>
          <w:rtl w:val="true"/>
          <w:lang w:bidi="ar-SA"/>
        </w:rPr>
        <w:t xml:space="preserve">عرفت إسناد الحلي ذلك إلى منطوق الأخبار الواردة </w:t>
      </w:r>
      <w:r>
        <w:rPr>
          <w:rStyle w:val="FootnoteAnchor"/>
          <w:rtl w:val="true"/>
        </w:rPr>
        <w:footnoteReference w:id="2500"/>
      </w:r>
      <w:r>
        <w:rPr>
          <w:rFonts w:ascii="Amiri" w:hAnsi="Amiri" w:eastAsia="Amiri" w:cs="Amiri"/>
          <w:color w:val="111111"/>
          <w:sz w:val="28"/>
          <w:sz w:val="28"/>
          <w:szCs w:val="28"/>
          <w:rtl w:val="true"/>
          <w:lang w:bidi="ar-SA"/>
        </w:rPr>
        <w:t xml:space="preserve">المتواترة ، فدلّ ذلك على وجود أخبار اخر صريحة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 ناقلا لمضمونها ، ولو فرض توهّمه في دعوى التواتر فلا أقلّ من استفاضتها ، وهي كافية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مخالفة الحكم لمذهب </w:t>
      </w:r>
      <w:r>
        <w:rPr>
          <w:rStyle w:val="FootnoteAnchor"/>
          <w:rtl w:val="true"/>
        </w:rPr>
        <w:footnoteReference w:id="2502"/>
      </w:r>
      <w:r>
        <w:rPr>
          <w:rFonts w:ascii="Amiri" w:hAnsi="Amiri" w:eastAsia="Amiri" w:cs="Amiri"/>
          <w:color w:val="111111"/>
          <w:sz w:val="28"/>
          <w:sz w:val="28"/>
          <w:szCs w:val="28"/>
          <w:rtl w:val="true"/>
          <w:lang w:bidi="ar-SA"/>
        </w:rPr>
        <w:t>أهل الخلاف ، مع أنه لا معارض لها سوى الإطلاقات ، وهي لا تقاوم النصوص</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عليه أيضا بالأصل للحكم بصحة الفعل أولا يستصحب ، وبأن الأمر يقتضي 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وضعفهما ظاهر ؛ إذ كلّ من الصحة والأمر ظاهريّان في المقام ، فلا يحكم بمقتضاهما إلا مع بقاء الجهل بالواقع ، والقول باتحاد الواقع فيه مع الظاهر </w:t>
      </w:r>
      <w:r>
        <w:rPr>
          <w:rStyle w:val="FootnoteAnchor"/>
          <w:rtl w:val="true"/>
        </w:rPr>
        <w:footnoteReference w:id="2503"/>
      </w:r>
      <w:r>
        <w:rPr>
          <w:rFonts w:ascii="Amiri" w:hAnsi="Amiri" w:eastAsia="Amiri" w:cs="Amiri"/>
          <w:color w:val="111111"/>
          <w:sz w:val="28"/>
          <w:sz w:val="28"/>
          <w:szCs w:val="28"/>
          <w:rtl w:val="true"/>
          <w:lang w:bidi="ar-SA"/>
        </w:rPr>
        <w:t>كما يستفاد من البعض قول بالتصويب ، فلا يوافق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الواقعي الثانوي كما هو التحقيق في الحكم الظاهري ، فهو غير الأولى ، ولا يتمّ له ما عناه ؛ إذ يجري 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فالمعتمد في المقام هو النصّ المنجبر بما عرف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القول بعدم الإجزاء الأصل المتقدم ؛ إذ المفروض وقوع بعض الفعل خارجا عن الوقت المضروب ، فيكون الإتيان به قبل تعلّق الأمر به بحسب الواقع ، وهو يقضي بانتفاء الصحة في الواقع ، وعدم امتثاله ما امر به في الواقع ، وإن حكم بالصحة ظاهرا لتعلّق الأمر به في الظاهر ، فيتعيّن الحكم بفساده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المستفيضة الدالّة على فساد الصلاة قبل الوقت الشامل بإطلاقها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ظاهر ؛ إذ الأصل لا يعارض الدليل ، وكذا الإطلاق ما دل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يناقش في دلالته بعض تلك الإطلاقات على الفساد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الفرق بين ما إذا كان دخوله في الفعل مع الظنّ أو العلم بدخول الوقت ، وإن كان المفروض في الجملة </w:t>
      </w:r>
      <w:r>
        <w:rPr>
          <w:rStyle w:val="FootnoteAnchor"/>
          <w:rtl w:val="true"/>
        </w:rPr>
        <w:footnoteReference w:id="2505"/>
      </w:r>
      <w:r>
        <w:rPr>
          <w:rFonts w:ascii="Amiri" w:hAnsi="Amiri" w:eastAsia="Amiri" w:cs="Amiri"/>
          <w:color w:val="111111"/>
          <w:sz w:val="28"/>
          <w:sz w:val="28"/>
          <w:szCs w:val="28"/>
          <w:rtl w:val="true"/>
          <w:lang w:bidi="ar-SA"/>
        </w:rPr>
        <w:t>من عبائرهم خصوص الظنّ ، وقد حمل الرأي المذكور في الرواية على الظنّ ، والظاهر خروج ذلك مخرج الغالب ؛ إذ انكشاف الخلاف في الغالب إنما يكون مع الظنّ ، وحمل الرأي في الرواية على خصوص الظنّ 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المراد به مطلق الاعتقاد الشامل للعلم أو الظنّ المعتبر ، بناء على اعتبار الظنّ في المقام كما تقدّم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فلا يبعد دعوى ظهوره في العلم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انكشف له الحال بعد الصلاة ، وأما إذا انكشف في أثنائها فإن تبيّن له قبل </w:t>
      </w:r>
    </w:p>
    <w:p>
      <w:pPr>
        <w:pStyle w:val="BookText"/>
        <w:rPr/>
      </w:pPr>
      <w:r>
        <w:rPr>
          <w:rFonts w:ascii="Amiri" w:hAnsi="Amiri" w:eastAsia="Amiri" w:cs="Amiri"/>
          <w:color w:val="111111"/>
          <w:sz w:val="28"/>
          <w:sz w:val="28"/>
          <w:szCs w:val="28"/>
          <w:rtl w:val="true"/>
          <w:lang w:bidi="ar-SA"/>
        </w:rPr>
        <w:t>دخول الوقت فالظاهر فساد العمل ؛ لخروجه عن مدلول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مقتضى الأصل والعمومات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ما إذا أدركه الوقت إذا أتمّها على المعتاد أو توقّف ذلك على إطالة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انكشف عليه بعد دخول الوقت ففيه وجهان ؛ من خروجه عن ظاهر النصّ المذكور ، ومن مشاركتها للأخرى في المعنى</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بكونهما </w:t>
      </w:r>
      <w:r>
        <w:rPr>
          <w:rStyle w:val="FootnoteAnchor"/>
          <w:rtl w:val="true"/>
        </w:rPr>
        <w:footnoteReference w:id="2506"/>
      </w:r>
      <w:r>
        <w:rPr>
          <w:rFonts w:ascii="Amiri" w:hAnsi="Amiri" w:eastAsia="Amiri" w:cs="Amiri"/>
          <w:color w:val="111111"/>
          <w:sz w:val="28"/>
          <w:sz w:val="28"/>
          <w:szCs w:val="28"/>
          <w:rtl w:val="true"/>
          <w:lang w:bidi="ar-SA"/>
        </w:rPr>
        <w:t>أولى من بعض صورها ، بل قد يقال باندراجها في إطلاق الخبر أيضا</w:t>
      </w:r>
      <w:r>
        <w:rPr>
          <w:rFonts w:eastAsia="Amiri" w:cs="Amiri" w:ascii="Amiri" w:hAnsi="Amiri"/>
          <w:color w:val="111111"/>
          <w:sz w:val="28"/>
          <w:szCs w:val="28"/>
          <w:rtl w:val="true"/>
          <w:lang w:bidi="ar-SA"/>
        </w:rPr>
        <w:t xml:space="preserve">. </w:t>
      </w:r>
      <w:bookmarkStart w:id="485" w:name="pg15839_361135"/>
    </w:p>
    <w:p>
      <w:pPr>
        <w:pStyle w:val="Heading4"/>
        <w:numPr>
          <w:ilvl w:val="3"/>
          <w:numId w:val="1"/>
        </w:numPr>
        <w:rPr/>
      </w:pPr>
      <w:bookmarkStart w:id="486" w:name="__RefHeading___Toc14338653_2142443653"/>
      <w:bookmarkStart w:id="487" w:name="_Toc179"/>
      <w:bookmarkEnd w:id="485"/>
      <w:bookmarkEnd w:id="486"/>
      <w:r>
        <w:rPr>
          <w:rtl w:val="true"/>
        </w:rPr>
        <w:t>تبصرة</w:t>
      </w:r>
      <w:r>
        <w:rPr>
          <w:rtl w:val="true"/>
        </w:rPr>
        <w:t xml:space="preserve">: [ </w:t>
      </w:r>
      <w:r>
        <w:rPr>
          <w:rtl w:val="true"/>
        </w:rPr>
        <w:t xml:space="preserve">في إدراك المكلّف من أول وقت الصلاة بمقدار الأداء </w:t>
      </w:r>
      <w:r>
        <w:rPr>
          <w:rtl w:val="true"/>
        </w:rPr>
        <w:t>]</w:t>
      </w:r>
      <w:bookmarkEnd w:id="487"/>
    </w:p>
    <w:p>
      <w:pPr>
        <w:pStyle w:val="BookText"/>
        <w:rPr/>
      </w:pPr>
      <w:r>
        <w:rPr>
          <w:rFonts w:ascii="Amiri" w:hAnsi="Amiri" w:eastAsia="Amiri" w:cs="Amiri"/>
          <w:color w:val="111111"/>
          <w:sz w:val="28"/>
          <w:sz w:val="28"/>
          <w:szCs w:val="28"/>
          <w:rtl w:val="true"/>
          <w:lang w:bidi="ar-SA"/>
        </w:rPr>
        <w:t>إذا أدرك المكلّف من أول الوقت بمقدار أداء الصلاة جامعا لشرائط الصحة استقرّ التكليف عليه ، فإن عرضه بعد ذلك مانع عن أداء الفعل مطلقا لزمه القضاء كما إذا طرأ الجنون أو إغماء أو جاءها حيض أو نفاس ونحوها وإن لم يدرك تمام الصلاة ، 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هنا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القضاء في الصورة المذكورة ، ولا </w:t>
      </w:r>
      <w:r>
        <w:rPr>
          <w:rStyle w:val="FootnoteAnchor"/>
          <w:rtl w:val="true"/>
        </w:rPr>
        <w:footnoteReference w:id="2507"/>
      </w:r>
      <w:r>
        <w:rPr>
          <w:rFonts w:ascii="Amiri" w:hAnsi="Amiri" w:eastAsia="Amiri" w:cs="Amiri"/>
          <w:color w:val="111111"/>
          <w:sz w:val="28"/>
          <w:sz w:val="28"/>
          <w:szCs w:val="28"/>
          <w:rtl w:val="true"/>
          <w:lang w:bidi="ar-SA"/>
        </w:rPr>
        <w:t xml:space="preserve">يظهر فيه خلاف بين الأصحاب سوى ما يحكى عن المقنع </w:t>
      </w:r>
      <w:r>
        <w:rPr>
          <w:rStyle w:val="FootnoteAnchor"/>
          <w:rtl w:val="true"/>
        </w:rPr>
        <w:footnoteReference w:id="2508"/>
      </w:r>
      <w:r>
        <w:rPr>
          <w:rFonts w:ascii="Amiri" w:hAnsi="Amiri" w:eastAsia="Amiri" w:cs="Amiri"/>
          <w:color w:val="111111"/>
          <w:sz w:val="28"/>
          <w:sz w:val="28"/>
          <w:szCs w:val="28"/>
          <w:rtl w:val="true"/>
          <w:lang w:bidi="ar-SA"/>
        </w:rPr>
        <w:t>من أنّها إذا طمثت بعد الزوال ولم تصلّ الظهر لم يكن عليها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على ما إذا لم يتّسع الوقت للصلاة وما تتوقف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في المدارك </w:t>
      </w:r>
      <w:r>
        <w:rPr>
          <w:rStyle w:val="FootnoteAnchor"/>
          <w:rtl w:val="true"/>
        </w:rPr>
        <w:footnoteReference w:id="2510"/>
      </w:r>
      <w:r>
        <w:rPr>
          <w:rFonts w:ascii="Amiri" w:hAnsi="Amiri" w:eastAsia="Amiri" w:cs="Amiri"/>
          <w:color w:val="111111"/>
          <w:sz w:val="28"/>
          <w:sz w:val="28"/>
          <w:szCs w:val="28"/>
          <w:rtl w:val="true"/>
          <w:lang w:bidi="ar-SA"/>
        </w:rPr>
        <w:t>إلى الأصحاب موذنا باطباقهم عليه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لزوم قضاء الفائت خصوصا من الموثّق في امرأة دخلت وقت الصلاة وهي طاهرة ، فأخّرت الصلاة حتى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تقضي إذا طهرت </w:t>
      </w:r>
      <w:r>
        <w:rPr>
          <w:rFonts w:eastAsia="Amiri" w:cs="Amiri" w:ascii="Amiri" w:hAnsi="Amiri"/>
          <w:color w:val="111111"/>
          <w:sz w:val="28"/>
          <w:szCs w:val="28"/>
          <w:rtl w:val="true"/>
          <w:lang w:bidi="ar-SA"/>
        </w:rPr>
        <w:t xml:space="preserve">»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طمثت </w:t>
      </w:r>
      <w:r>
        <w:rPr>
          <w:rStyle w:val="FootnoteAnchor"/>
          <w:rtl w:val="true"/>
        </w:rPr>
        <w:footnoteReference w:id="2512"/>
      </w:r>
      <w:r>
        <w:rPr>
          <w:rFonts w:ascii="Amiri" w:hAnsi="Amiri" w:eastAsia="Amiri" w:cs="Amiri"/>
          <w:color w:val="111111"/>
          <w:sz w:val="28"/>
          <w:sz w:val="28"/>
          <w:szCs w:val="28"/>
          <w:rtl w:val="true"/>
          <w:lang w:bidi="ar-SA"/>
        </w:rPr>
        <w:t xml:space="preserve">بعد ما تزول الشمس ولم تصلّ الظهر ، هل عليها قضاء تلك 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الأول فرض عروض المانع بعد التأخير فكانت تدرك الصلاة لو لا التأخير ، وظاهر الخبر أن في تركها الصلاة في أول الوقت وعروض الحيض لها بعد ذلك ، فينطبقان على المقصود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عرفت من اعتضادهما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كثير من الأصحاب اعتبار معنى مقدار الطهارة والصلاة ، فلا عبرة بإدراك مجرّد أفعال الصلاة من دون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نصّ الفاضلان </w:t>
      </w:r>
      <w:r>
        <w:rPr>
          <w:rStyle w:val="FootnoteAnchor"/>
          <w:rtl w:val="true"/>
        </w:rPr>
        <w:footnoteReference w:id="2514"/>
      </w:r>
      <w:r>
        <w:rPr>
          <w:rFonts w:ascii="Amiri" w:hAnsi="Amiri" w:eastAsia="Amiri" w:cs="Amiri"/>
          <w:color w:val="111111"/>
          <w:sz w:val="28"/>
          <w:sz w:val="28"/>
          <w:szCs w:val="28"/>
          <w:rtl w:val="true"/>
          <w:lang w:bidi="ar-SA"/>
        </w:rPr>
        <w:t xml:space="preserve">والشهيدان </w:t>
      </w:r>
      <w:r>
        <w:rPr>
          <w:rStyle w:val="FootnoteAnchor"/>
          <w:rtl w:val="true"/>
        </w:rPr>
        <w:footnoteReference w:id="2515"/>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516"/>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2517"/>
      </w:r>
      <w:r>
        <w:rPr>
          <w:rFonts w:ascii="Amiri" w:hAnsi="Amiri" w:eastAsia="Amiri" w:cs="Amiri"/>
          <w:color w:val="111111"/>
          <w:sz w:val="28"/>
          <w:sz w:val="28"/>
          <w:szCs w:val="28"/>
          <w:rtl w:val="true"/>
          <w:lang w:bidi="ar-SA"/>
        </w:rPr>
        <w:t xml:space="preserve">والكفاية </w:t>
      </w:r>
      <w:r>
        <w:rPr>
          <w:rStyle w:val="FootnoteAnchor"/>
          <w:rtl w:val="true"/>
        </w:rPr>
        <w:footnoteReference w:id="251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فيه في نهاية الإحكام </w:t>
      </w:r>
      <w:r>
        <w:rPr>
          <w:rStyle w:val="FootnoteAnchor"/>
          <w:rtl w:val="true"/>
        </w:rPr>
        <w:footnoteReference w:id="2520"/>
      </w:r>
      <w:r>
        <w:rPr>
          <w:rFonts w:ascii="Amiri" w:hAnsi="Amiri" w:eastAsia="Amiri" w:cs="Amiri"/>
          <w:color w:val="111111"/>
          <w:sz w:val="28"/>
          <w:sz w:val="28"/>
          <w:szCs w:val="28"/>
          <w:rtl w:val="true"/>
          <w:lang w:bidi="ar-SA"/>
        </w:rPr>
        <w:t>؛ نظرا إلى توقف الصلاة عليها ، ومن إمكان تقديمها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فيه ما إذا لم يمكنه التقديم كالمستحاضة والمتيمم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فينبغي استثناء غير القادر قبل الوقت على الماء وإن كان متمكنا منه في أول الوقت ، فلا يذهب عليك ضعف الوجه الأخير ؛ إذ إمكان التقديم لا يقضي بوجوبه عليه </w:t>
      </w:r>
    </w:p>
    <w:p>
      <w:pPr>
        <w:pStyle w:val="BookText"/>
        <w:rPr/>
      </w:pPr>
      <w:r>
        <w:rPr>
          <w:rFonts w:ascii="Amiri" w:hAnsi="Amiri" w:eastAsia="Amiri" w:cs="Amiri"/>
          <w:color w:val="111111"/>
          <w:sz w:val="28"/>
          <w:sz w:val="28"/>
          <w:szCs w:val="28"/>
          <w:rtl w:val="true"/>
          <w:lang w:bidi="ar-SA"/>
        </w:rPr>
        <w:t>حينئذ ، فإذا لم يكن متطهرا لم يكن تعلق التكليف به مع فرض قصور الوقت يستقر في ذمّته فهو كتمكّنه من بعض الفعل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متطهّرا قبل الوقت لم يعتبر مضي </w:t>
      </w:r>
      <w:r>
        <w:rPr>
          <w:rStyle w:val="FootnoteAnchor"/>
          <w:rtl w:val="true"/>
        </w:rPr>
        <w:footnoteReference w:id="2521"/>
      </w:r>
      <w:r>
        <w:rPr>
          <w:rFonts w:ascii="Amiri" w:hAnsi="Amiri" w:eastAsia="Amiri" w:cs="Amiri"/>
          <w:color w:val="111111"/>
          <w:sz w:val="28"/>
          <w:sz w:val="28"/>
          <w:szCs w:val="28"/>
          <w:rtl w:val="true"/>
          <w:lang w:bidi="ar-SA"/>
        </w:rPr>
        <w:t>مقدارها قطعا ؛ لتمكنه إذن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عليه العلامة في عدّة من كتبه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علمه قبل الوقت بطروّ تلك الحال وعدمه لعدم وجوب الطهارة قبل الوقت مطلقا كما هو ظاهر الأخبار وفتاوى علمائنا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إجماع وإن لم يترك </w:t>
      </w:r>
      <w:r>
        <w:rPr>
          <w:rStyle w:val="FootnoteAnchor"/>
          <w:rtl w:val="true"/>
        </w:rPr>
        <w:footnoteReference w:id="2522"/>
      </w:r>
      <w:r>
        <w:rPr>
          <w:rFonts w:ascii="Amiri" w:hAnsi="Amiri" w:eastAsia="Amiri" w:cs="Amiri"/>
          <w:color w:val="111111"/>
          <w:sz w:val="28"/>
          <w:sz w:val="28"/>
          <w:szCs w:val="28"/>
          <w:rtl w:val="true"/>
          <w:lang w:bidi="ar-SA"/>
        </w:rPr>
        <w:t>من مناقشة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اتّسع الوقت للطهارة الاضطرارية دون الاختيارية فإن علم أو ظنّ ذلك فالظاهر لزوم الإتيان بها بالاضطرارية ، ولزوم القضاء مع تركها ، وإلّا ففي ثبوت القضاء بانكشاف التمكن حينئذ منها وجهان ، أقواهما العدم كما سيظهر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الأصحاب حيث إن إطلاقهم إدراك الطهارة في الصلاة </w:t>
      </w:r>
      <w:r>
        <w:rPr>
          <w:rStyle w:val="FootnoteAnchor"/>
          <w:rtl w:val="true"/>
        </w:rPr>
        <w:footnoteReference w:id="2523"/>
      </w:r>
      <w:r>
        <w:rPr>
          <w:rFonts w:ascii="Amiri" w:hAnsi="Amiri" w:eastAsia="Amiri" w:cs="Amiri"/>
          <w:color w:val="111111"/>
          <w:sz w:val="28"/>
          <w:sz w:val="28"/>
          <w:szCs w:val="28"/>
          <w:rtl w:val="true"/>
          <w:lang w:bidi="ar-SA"/>
        </w:rPr>
        <w:t xml:space="preserve">في المقام فينصرف إلى </w:t>
      </w:r>
      <w:r>
        <w:rPr>
          <w:rStyle w:val="FootnoteAnchor"/>
          <w:rtl w:val="true"/>
        </w:rPr>
        <w:footnoteReference w:id="2524"/>
      </w:r>
      <w:r>
        <w:rPr>
          <w:rFonts w:ascii="Amiri" w:hAnsi="Amiri" w:eastAsia="Amiri" w:cs="Amiri"/>
          <w:color w:val="111111"/>
          <w:sz w:val="28"/>
          <w:sz w:val="28"/>
          <w:szCs w:val="28"/>
          <w:rtl w:val="true"/>
          <w:lang w:bidi="ar-SA"/>
        </w:rPr>
        <w:t>ذلك إلا أنه مبنيّة على من كان فرضه التيمّم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نصّ جماعة منهم الشهيدان والمحقق الكركي </w:t>
      </w:r>
      <w:r>
        <w:rPr>
          <w:rStyle w:val="FootnoteAnchor"/>
          <w:rtl w:val="true"/>
        </w:rPr>
        <w:footnoteReference w:id="2525"/>
      </w:r>
      <w:r>
        <w:rPr>
          <w:rFonts w:ascii="Amiri" w:hAnsi="Amiri" w:eastAsia="Amiri" w:cs="Amiri"/>
          <w:color w:val="111111"/>
          <w:sz w:val="28"/>
          <w:sz w:val="28"/>
          <w:szCs w:val="28"/>
          <w:rtl w:val="true"/>
          <w:lang w:bidi="ar-SA"/>
        </w:rPr>
        <w:t>على اعتبار التمكن من باقي شرائط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وناقشهم في كشف اللثام بعد قيام دليل عليه لتختصّ به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وبين الطهارة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توهّم </w:t>
      </w:r>
      <w:r>
        <w:rPr>
          <w:rStyle w:val="FootnoteAnchor"/>
          <w:rtl w:val="true"/>
        </w:rPr>
        <w:footnoteReference w:id="2526"/>
      </w:r>
      <w:r>
        <w:rPr>
          <w:rFonts w:ascii="Amiri" w:hAnsi="Amiri" w:eastAsia="Amiri" w:cs="Amiri"/>
          <w:color w:val="111111"/>
          <w:sz w:val="28"/>
          <w:sz w:val="28"/>
          <w:szCs w:val="28"/>
          <w:rtl w:val="true"/>
          <w:lang w:bidi="ar-SA"/>
        </w:rPr>
        <w:t>توقف الصلاة عليها مطلقا دونها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الطهارة موقتة كالصلاة بخلاف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علمه أو ظنّه بذلك فلا تأمل في سقوطها وثبوت القضاء مع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ظنّه به فلا تأمل في سقوطها </w:t>
      </w:r>
      <w:r>
        <w:rPr>
          <w:rStyle w:val="FootnoteAnchor"/>
          <w:rtl w:val="true"/>
        </w:rPr>
        <w:footnoteReference w:id="2527"/>
      </w:r>
      <w:r>
        <w:rPr>
          <w:rFonts w:ascii="Amiri" w:hAnsi="Amiri" w:eastAsia="Amiri" w:cs="Amiri"/>
          <w:color w:val="111111"/>
          <w:sz w:val="28"/>
          <w:sz w:val="28"/>
          <w:szCs w:val="28"/>
          <w:rtl w:val="true"/>
          <w:lang w:bidi="ar-SA"/>
        </w:rPr>
        <w:t>فأيّ الثمرة لعدم توقف الفعل عليه مع الاضطرار؟ والمفروض تكليفه بعمل المختار وعدم صحة العمل فيه مع ترك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يندرج ذلك في الخبرين الدالّين على ثبوت القضاء حسبما عرفت في بيانهما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سقوط القضاء عن الحائض والنفساء والمجنون ونحوهما قاض بسقوطه في المقام ؛ إذ المفروض كون الثواب في أول الوقت من جهة طروّ أحد </w:t>
      </w:r>
      <w:r>
        <w:rPr>
          <w:rStyle w:val="FootnoteAnchor"/>
          <w:rtl w:val="true"/>
        </w:rPr>
        <w:footnoteReference w:id="2528"/>
      </w:r>
      <w:r>
        <w:rPr>
          <w:rFonts w:ascii="Amiri" w:hAnsi="Amiri" w:eastAsia="Amiri" w:cs="Amiri"/>
          <w:color w:val="111111"/>
          <w:sz w:val="28"/>
          <w:sz w:val="28"/>
          <w:szCs w:val="28"/>
          <w:rtl w:val="true"/>
          <w:lang w:bidi="ar-SA"/>
        </w:rPr>
        <w:t>المذكورات ، وهو مقيّد لإطلاق ما دلّ على لزوم قضاء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تمكّنه من الإتيان به فاقد لتلك الشرائط مع حصول الاضطرار كما هو المفروض قاض بثبوت تكليفه به في الواقع ، وإن سقط عنه في الظاهر من جهة الجهل ، فيكون فواته إذن من تلك الجهة دون أحد تلك الأسباب ولا دليل إذن على سقوط القضاء ، مدفوع بأن الظاهر من ملاحظة العرف إسناد الفوات في الفرض المذكور إلى ما طراه من العارض ، فيندرج فيما دلّ على سقوط القضاء من جهته </w:t>
      </w:r>
      <w:r>
        <w:rPr>
          <w:rStyle w:val="FootnoteAnchor"/>
          <w:rtl w:val="true"/>
        </w:rPr>
        <w:footnoteReference w:id="2529"/>
      </w:r>
      <w:r>
        <w:rPr>
          <w:rFonts w:ascii="Amiri" w:hAnsi="Amiri" w:eastAsia="Amiri" w:cs="Amiri"/>
          <w:color w:val="111111"/>
          <w:sz w:val="28"/>
          <w:sz w:val="28"/>
          <w:szCs w:val="28"/>
          <w:rtl w:val="true"/>
          <w:lang w:bidi="ar-SA"/>
        </w:rPr>
        <w:t xml:space="preserve">، ومع الغضّ عنه فاندراجه فيما دلّ على ثبوت القضاء غير معلوم أيضا ، و </w:t>
      </w:r>
      <w:r>
        <w:rPr>
          <w:rStyle w:val="FootnoteAnchor"/>
          <w:rtl w:val="true"/>
        </w:rPr>
        <w:footnoteReference w:id="2530"/>
      </w:r>
      <w:r>
        <w:rPr>
          <w:rFonts w:ascii="Amiri" w:hAnsi="Amiri" w:eastAsia="Amiri" w:cs="Amiri"/>
          <w:color w:val="111111"/>
          <w:sz w:val="28"/>
          <w:sz w:val="28"/>
          <w:szCs w:val="28"/>
          <w:rtl w:val="true"/>
          <w:lang w:bidi="ar-SA"/>
        </w:rPr>
        <w:t>قضية الأصل عدم الوجوب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2531"/>
      </w:r>
      <w:r>
        <w:rPr>
          <w:rFonts w:ascii="Amiri" w:hAnsi="Amiri" w:eastAsia="Amiri" w:cs="Amiri"/>
          <w:color w:val="111111"/>
          <w:sz w:val="28"/>
          <w:sz w:val="28"/>
          <w:szCs w:val="28"/>
          <w:rtl w:val="true"/>
          <w:lang w:bidi="ar-SA"/>
        </w:rPr>
        <w:t>، مضافا إلى أن ظاهر كلام الأصحاب هو اعتبار إدراكه مقدار الصلاة المشروعة بحسب حاله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مع انتفاء المكنة من الفعل باعتبار عدم اتّساع الوقت لإتيان نفس </w:t>
      </w:r>
      <w:r>
        <w:rPr>
          <w:rStyle w:val="FootnoteAnchor"/>
          <w:rtl w:val="true"/>
        </w:rPr>
        <w:footnoteReference w:id="2532"/>
      </w:r>
      <w:r>
        <w:rPr>
          <w:rFonts w:ascii="Amiri" w:hAnsi="Amiri" w:eastAsia="Amiri" w:cs="Amiri"/>
          <w:color w:val="111111"/>
          <w:sz w:val="28"/>
          <w:sz w:val="28"/>
          <w:szCs w:val="28"/>
          <w:rtl w:val="true"/>
          <w:lang w:bidi="ar-SA"/>
        </w:rPr>
        <w:t xml:space="preserve">المقدمات من الطهارة وغيرها ، وأما إذا كان عدم المكنة من أداء المقدمة لعدم التمكن منه إلا بعد حين ؛ لعدم الماء في أوائل الوقت للطهارة أو التطهير ، فاتفق عروض المانع بعد مضيّ مدة </w:t>
      </w:r>
    </w:p>
    <w:p>
      <w:pPr>
        <w:pStyle w:val="BookText"/>
        <w:rPr/>
      </w:pPr>
      <w:r>
        <w:rPr>
          <w:rFonts w:ascii="Amiri" w:hAnsi="Amiri" w:eastAsia="Amiri" w:cs="Amiri"/>
          <w:color w:val="111111"/>
          <w:sz w:val="28"/>
          <w:sz w:val="28"/>
          <w:szCs w:val="28"/>
          <w:rtl w:val="true"/>
          <w:lang w:bidi="ar-SA"/>
        </w:rPr>
        <w:t>يتمكّن منه من الطّهارة والصلاة على فرض وجود الماء ، فلا يبعد القول بوجوب القضاء ؛ إذ تركه في أول الوقت لم يكن لأجل المانع المذكور ، وإنما كان من جهة لزوم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إلحاقه بالقسم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فهو كما إذا كان قائما في بعض الوقت بمقدار الطهارة والصلاة مثلا ثم قام ، فعرض المانع ، فإنّ الظاهر عدم تأمل في ثبوت القضاء حينئذ مع انتفاء المكنة حال النوم ؛ نظرا إلى فوات صلاته في بعض الوقت بالنوم ، وفي البعض الآخر بسبب المانع المذكور ، وما ثبت بالدليل هو سقوط القضاء في قسمي الآخر مندرجا تحت العموم ، والظاهر اعتبار اتّساع الوقت الفائت للصلاة التي كانت لكلّ مكلف بها لو كان مسقطا ، فلا عبرة باتّساعه لصلاة المضطر من جهة المقدمات والأفعال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اختصاص ما ذكرناه لمقدمات الوجود ، وأما مقدمات العلم فلا يجري فيه ما قدّمناه ؛ إذ ليس اعتبارها من جهة توقف نفس الفعل عليها ، بل من جهة العلم بأدائه يصدق فوات الواجب عليه قبل مراعاته في المقام ، وإن كان معذورا بالشرع كما أدّى الصلاة في يوم الغيم ، ثم لتحصيل الظنّ بالوقت ثم اتفق </w:t>
      </w:r>
      <w:r>
        <w:rPr>
          <w:rStyle w:val="FootnoteAnchor"/>
          <w:rtl w:val="true"/>
        </w:rPr>
        <w:footnoteReference w:id="2533"/>
      </w:r>
      <w:r>
        <w:rPr>
          <w:rFonts w:ascii="Amiri" w:hAnsi="Amiri" w:eastAsia="Amiri" w:cs="Amiri"/>
          <w:color w:val="111111"/>
          <w:sz w:val="28"/>
          <w:sz w:val="28"/>
          <w:szCs w:val="28"/>
          <w:rtl w:val="true"/>
          <w:lang w:bidi="ar-SA"/>
        </w:rPr>
        <w:t xml:space="preserve">مضي مقدار أداء الفعل ومقدماته ، فلا يسقط عنه القضاء وكذا الحال لو </w:t>
      </w:r>
      <w:r>
        <w:rPr>
          <w:rStyle w:val="FootnoteAnchor"/>
          <w:rtl w:val="true"/>
        </w:rPr>
        <w:footnoteReference w:id="2534"/>
      </w:r>
      <w:r>
        <w:rPr>
          <w:rFonts w:ascii="IRNazanin" w:hAnsi="IRNazanin" w:eastAsia="IRNazanin"/>
          <w:color w:val="111111"/>
          <w:sz w:val="28"/>
          <w:sz w:val="28"/>
          <w:szCs w:val="28"/>
          <w:rtl w:val="true"/>
          <w:lang w:bidi="fa-IR"/>
        </w:rPr>
        <w:t xml:space="preserve">وجب </w:t>
      </w:r>
      <w:r>
        <w:rPr>
          <w:rStyle w:val="FootnoteAnchor"/>
          <w:rtl w:val="true"/>
        </w:rPr>
        <w:footnoteReference w:id="2535"/>
      </w:r>
      <w:r>
        <w:rPr>
          <w:rFonts w:ascii="Amiri" w:hAnsi="Amiri" w:eastAsia="Amiri" w:cs="Amiri"/>
          <w:color w:val="111111"/>
          <w:sz w:val="28"/>
          <w:sz w:val="28"/>
          <w:szCs w:val="28"/>
          <w:rtl w:val="true"/>
          <w:lang w:bidi="ar-SA"/>
        </w:rPr>
        <w:t>عليه تكرار الصلاة كما في صورة اشتباه القبلة أو من جهة دوران الثوب الطاهر بين الثياب العديدة ، فلا يلاحظ اتّساع الوقت للمكرّرات</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والمناط في المقام على أقلّ </w:t>
      </w:r>
      <w:r>
        <w:rPr>
          <w:rStyle w:val="FootnoteAnchor"/>
          <w:rtl w:val="true"/>
        </w:rPr>
        <w:footnoteReference w:id="2536"/>
      </w:r>
      <w:r>
        <w:rPr>
          <w:rFonts w:ascii="Amiri" w:hAnsi="Amiri" w:eastAsia="Amiri" w:cs="Amiri"/>
          <w:color w:val="111111"/>
          <w:sz w:val="28"/>
          <w:sz w:val="28"/>
          <w:szCs w:val="28"/>
          <w:rtl w:val="true"/>
          <w:lang w:bidi="ar-SA"/>
        </w:rPr>
        <w:t xml:space="preserve">الواجب كما نصّ عليه جماعة منهم العلامة والشهيد </w:t>
      </w:r>
      <w:r>
        <w:rPr>
          <w:rStyle w:val="FootnoteAnchor"/>
          <w:rtl w:val="true"/>
        </w:rPr>
        <w:footnoteReference w:id="2537"/>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يستقرّ وجوب الصلاة بإدراك الوقت على صفة الكمال ومضيّ مقدار أدائها مخففة من </w:t>
      </w:r>
      <w:r>
        <w:rPr>
          <w:rStyle w:val="FootnoteAnchor"/>
          <w:rtl w:val="true"/>
        </w:rPr>
        <w:footnoteReference w:id="2540"/>
      </w:r>
      <w:r>
        <w:rPr>
          <w:rFonts w:ascii="Amiri" w:hAnsi="Amiri" w:eastAsia="Amiri" w:cs="Amiri"/>
          <w:color w:val="111111"/>
          <w:sz w:val="28"/>
          <w:sz w:val="28"/>
          <w:szCs w:val="28"/>
          <w:rtl w:val="true"/>
          <w:lang w:bidi="ar-SA"/>
        </w:rPr>
        <w:t>الشرائط ، فلو أطال الصلاة حتى طراه المانع لزمه القضاء في سقوط بعض الأجزاء الساقطة حال الاضطرار كالسورة ، يجري ما قدّمناه في الشرائط ويتقوى فيه ما قوّيناه ، ولو كان في مواضع التخيير اعتبر مضيّ وقت القصر لحصول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في المقام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من الوقت دون ما ذكرناه فلم يسع مقدار أداء الصلاة لم يجب عليه القضاء على الأشهر الأظهر بين الأصحاب وفي الخلاف </w:t>
      </w:r>
      <w:r>
        <w:rPr>
          <w:rStyle w:val="FootnoteAnchor"/>
          <w:rtl w:val="true"/>
        </w:rPr>
        <w:footnoteReference w:id="2541"/>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المدارك </w:t>
      </w:r>
      <w:r>
        <w:rPr>
          <w:rStyle w:val="FootnoteAnchor"/>
          <w:rtl w:val="true"/>
        </w:rPr>
        <w:footnoteReference w:id="2542"/>
      </w:r>
      <w:r>
        <w:rPr>
          <w:rFonts w:ascii="IRNazanin" w:hAnsi="IRNazanin" w:eastAsia="IRNazanin"/>
          <w:color w:val="111111"/>
          <w:sz w:val="28"/>
          <w:sz w:val="28"/>
          <w:szCs w:val="28"/>
          <w:rtl w:val="true"/>
          <w:lang w:bidi="fa-IR"/>
        </w:rPr>
        <w:t>إلى معظم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كشف اللثام أنه المشهور ؛ لما عرفت من كون فوات الصلاة عنه حينئذ بسبب القدر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موضعه سقوط القضاء لفوتها لذلك ، فكونه في بعض الوقت خاليا عن الحيض لا يقضي بثبوت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أنه لو أدرك من الآخر ما لا يفي بالركعة لم يجب عليه الأداء ولا القضاء كما </w:t>
      </w:r>
      <w:r>
        <w:rPr>
          <w:rStyle w:val="FootnoteAnchor"/>
          <w:rtl w:val="true"/>
        </w:rPr>
        <w:footnoteReference w:id="2543"/>
      </w:r>
      <w:r>
        <w:rPr>
          <w:rFonts w:ascii="Amiri" w:hAnsi="Amiri" w:eastAsia="Amiri" w:cs="Amiri"/>
          <w:color w:val="111111"/>
          <w:sz w:val="28"/>
          <w:sz w:val="28"/>
          <w:szCs w:val="28"/>
          <w:rtl w:val="true"/>
          <w:lang w:bidi="ar-SA"/>
        </w:rPr>
        <w:t>دلّ عليه صحيحة عبيد بن زرارة ، مع أنه واجد للشرط في بعض الوقت ، بل الخصم يسلّم ذلك إذا لم يدرك أكثر الصلاة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عليه في الحدائق بسقوط الأداء عنه حينئذ قطعا ، وإلا لزم التكليف بالمحال </w:t>
      </w:r>
      <w:r>
        <w:rPr>
          <w:rStyle w:val="FootnoteAnchor"/>
          <w:rtl w:val="true"/>
        </w:rPr>
        <w:footnoteReference w:id="2544"/>
      </w:r>
      <w:r>
        <w:rPr>
          <w:rFonts w:ascii="Amiri" w:hAnsi="Amiri" w:eastAsia="Amiri" w:cs="Amiri"/>
          <w:color w:val="111111"/>
          <w:sz w:val="28"/>
          <w:sz w:val="28"/>
          <w:szCs w:val="28"/>
          <w:rtl w:val="true"/>
          <w:lang w:bidi="ar-SA"/>
        </w:rPr>
        <w:t>؛ إذ المفروض عدم اتّساع الوقت له فلا قضاء ؛ إذ وجوبه فرع وجوب الأداء وفيه إلى آخره من التابعية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 ولو كان كذلك لم يجب القضاء على النائم والذاهل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حكاية </w:t>
      </w:r>
      <w:r>
        <w:rPr>
          <w:rStyle w:val="FootnoteAnchor"/>
          <w:rtl w:val="true"/>
        </w:rPr>
        <w:footnoteReference w:id="254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 لأن القضاء فرض مستأنف لا تعلّق له بوجوب الأداء أصلا ، واحتجّ هو بمقتضى الأصل إلى أن يثبت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بالأصل بعد ورود العمومات بوجوب قضاء الفوائت ؛ لصدق الفوات لغة وعرفا في المقام ، وإن لم يكن عاصيا بل ولا مكلّفا في الواقع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الفقيه </w:t>
      </w:r>
      <w:r>
        <w:rPr>
          <w:rStyle w:val="FootnoteAnchor"/>
          <w:rtl w:val="true"/>
        </w:rPr>
        <w:footnoteReference w:id="2546"/>
      </w:r>
      <w:r>
        <w:rPr>
          <w:rFonts w:ascii="Amiri" w:hAnsi="Amiri" w:eastAsia="Amiri" w:cs="Amiri"/>
          <w:color w:val="111111"/>
          <w:sz w:val="28"/>
          <w:sz w:val="28"/>
          <w:szCs w:val="28"/>
          <w:rtl w:val="true"/>
          <w:lang w:bidi="ar-SA"/>
        </w:rPr>
        <w:t>والمقنعة والإسكافي والسيد في الجمل اعتبار الخلوّ عن الحيض بمقدار أكثر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لهم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يحتجّ لهم بالعمومات مع ما دلّ على سقوط القضاء مع عدم إدراك الأكثر كالموثّق عن امرأة صلّت من الظهر ركعتين ثمّ إنها طمثت ، وهي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مكانها ولا تقضي ركعتين </w:t>
      </w:r>
      <w:r>
        <w:rPr>
          <w:rFonts w:eastAsia="Amiri" w:cs="Amiri" w:ascii="Amiri" w:hAnsi="Amiri"/>
          <w:color w:val="111111"/>
          <w:sz w:val="28"/>
          <w:szCs w:val="28"/>
          <w:rtl w:val="true"/>
          <w:lang w:bidi="ar-SA"/>
        </w:rPr>
        <w:t xml:space="preserve">»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رواية أبي الورد ،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المرأة التي تكون في صلاة الظهر وقد صلّت ركعتين ثمّ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تقوم من مسجدها ولا تقضي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الدم وهي في صلاة المغرب وقد صلّت ركعتين ثمّ رأت الدم قامت من مجلسها فإذا طهرت قضت الركعة </w:t>
      </w:r>
      <w:r>
        <w:rPr>
          <w:rFonts w:eastAsia="Amiri" w:cs="Amiri" w:ascii="Amiri" w:hAnsi="Amiri"/>
          <w:color w:val="111111"/>
          <w:sz w:val="28"/>
          <w:szCs w:val="28"/>
          <w:rtl w:val="true"/>
          <w:lang w:bidi="ar-SA"/>
        </w:rPr>
        <w:t xml:space="preserve">» </w:t>
      </w:r>
      <w:r>
        <w:rPr>
          <w:rStyle w:val="FootnoteAnchor"/>
          <w:rtl w:val="true"/>
        </w:rPr>
        <w:footnoteReference w:id="2549"/>
      </w:r>
      <w:r>
        <w:rPr>
          <w:rFonts w:ascii="Amiri" w:hAnsi="Amiri" w:eastAsia="Amiri" w:cs="Amiri"/>
          <w:color w:val="111111"/>
          <w:sz w:val="28"/>
          <w:sz w:val="28"/>
          <w:szCs w:val="28"/>
          <w:rtl w:val="true"/>
          <w:lang w:bidi="ar-SA"/>
        </w:rPr>
        <w:t>؛ بحملها على الصلاة في أول الوقت وإلا وجب القضاء في المقامين كما مرّ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 فيه بين الظهر والمغرب في وجوب قضاء الباقي وعدمه ، وليس إلا لمضيّ أكثر الصلاة في المغرب دون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العمومات لا تقاوم ما دلّ على السقوط كما مرّ ، ورواية أبي الورد ضعيفة لا معوّل عليها ، مع عدم وضوح دلالتها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اشتمالها على خصوص قضاء الركعة ، وهو مع مغايرته للمدّعى مخالف لما استقر عليه المذهب وقضت به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2550"/>
      </w:r>
      <w:r>
        <w:rPr>
          <w:rFonts w:ascii="Amiri" w:hAnsi="Amiri" w:eastAsia="Amiri" w:cs="Amiri"/>
          <w:color w:val="111111"/>
          <w:sz w:val="28"/>
          <w:sz w:val="28"/>
          <w:szCs w:val="28"/>
          <w:rtl w:val="true"/>
          <w:lang w:bidi="ar-SA"/>
        </w:rPr>
        <w:t xml:space="preserve">والوسيلة </w:t>
      </w:r>
      <w:r>
        <w:rPr>
          <w:rStyle w:val="FootnoteAnchor"/>
          <w:rtl w:val="true"/>
        </w:rPr>
        <w:footnoteReference w:id="2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حاضت بعد دخول الوقت 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إطلاقهما وجوب القضاء وإن لم يسع الوقت لأكثر الصلاة</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حملهما على ما إذا أدركت عن </w:t>
      </w:r>
      <w:r>
        <w:rPr>
          <w:rStyle w:val="FootnoteAnchor"/>
          <w:rtl w:val="true"/>
        </w:rPr>
        <w:footnoteReference w:id="2552"/>
      </w:r>
      <w:r>
        <w:rPr>
          <w:rFonts w:ascii="Amiri" w:hAnsi="Amiri" w:eastAsia="Amiri" w:cs="Amiri"/>
          <w:color w:val="111111"/>
          <w:sz w:val="28"/>
          <w:sz w:val="28"/>
          <w:szCs w:val="28"/>
          <w:rtl w:val="true"/>
          <w:lang w:bidi="ar-SA"/>
        </w:rPr>
        <w:t xml:space="preserve">الوقت مقدار أداء الصلاة ، ومع حملها </w:t>
      </w:r>
      <w:r>
        <w:rPr>
          <w:rStyle w:val="FootnoteAnchor"/>
          <w:rtl w:val="true"/>
        </w:rPr>
        <w:footnoteReference w:id="2553"/>
      </w:r>
      <w:r>
        <w:rPr>
          <w:rFonts w:ascii="Amiri" w:hAnsi="Amiri" w:eastAsia="Amiri" w:cs="Amiri"/>
          <w:color w:val="111111"/>
          <w:sz w:val="28"/>
          <w:sz w:val="28"/>
          <w:szCs w:val="28"/>
          <w:rtl w:val="true"/>
          <w:lang w:bidi="ar-SA"/>
        </w:rPr>
        <w:t>على الظاهر فلا ريب في ضعفه كما عرفت</w:t>
      </w:r>
      <w:r>
        <w:rPr>
          <w:rFonts w:eastAsia="Amiri" w:cs="Amiri" w:ascii="Amiri" w:hAnsi="Amiri"/>
          <w:color w:val="111111"/>
          <w:sz w:val="28"/>
          <w:szCs w:val="28"/>
          <w:rtl w:val="true"/>
          <w:lang w:bidi="ar-SA"/>
        </w:rPr>
        <w:t xml:space="preserve">. </w:t>
      </w:r>
      <w:bookmarkStart w:id="488" w:name="pg15839_361143"/>
    </w:p>
    <w:p>
      <w:pPr>
        <w:pStyle w:val="Heading4"/>
        <w:numPr>
          <w:ilvl w:val="3"/>
          <w:numId w:val="1"/>
        </w:numPr>
        <w:rPr/>
      </w:pPr>
      <w:bookmarkStart w:id="489" w:name="__RefHeading___Toc14338655_2142443653"/>
      <w:bookmarkStart w:id="490" w:name="_Toc180"/>
      <w:bookmarkEnd w:id="488"/>
      <w:bookmarkEnd w:id="489"/>
      <w:r>
        <w:rPr>
          <w:rtl w:val="true"/>
        </w:rPr>
        <w:t>تبصرة</w:t>
      </w:r>
      <w:r>
        <w:rPr>
          <w:rtl w:val="true"/>
        </w:rPr>
        <w:t xml:space="preserve">: [ </w:t>
      </w:r>
      <w:r>
        <w:rPr>
          <w:rtl w:val="true"/>
        </w:rPr>
        <w:t xml:space="preserve">في إدراك آخر الوقت بمقدار ركعة </w:t>
      </w:r>
      <w:r>
        <w:rPr>
          <w:rtl w:val="true"/>
        </w:rPr>
        <w:t>]</w:t>
      </w:r>
      <w:bookmarkEnd w:id="490"/>
    </w:p>
    <w:p>
      <w:pPr>
        <w:pStyle w:val="Heading5"/>
        <w:numPr>
          <w:ilvl w:val="4"/>
          <w:numId w:val="1"/>
        </w:numPr>
        <w:rPr/>
      </w:pPr>
      <w:bookmarkStart w:id="491" w:name="__RefHeading___Toc14338657_2142443653"/>
      <w:bookmarkStart w:id="492" w:name="_Toc181"/>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2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إدراك آخر الوقت بمقدار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أدرك من آخر الوقت مقدار ركعة جامعة لشرائط الصحة وجب عليه الصلاة ، وكان بمنزلة إدراك جميع الوقت على المعروف بين الأصحاب ، بلا خلاف يعرف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w:t>
      </w:r>
      <w:r>
        <w:rPr>
          <w:rStyle w:val="FootnoteAnchor"/>
          <w:rtl w:val="true"/>
        </w:rPr>
        <w:footnoteReference w:id="2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مقدار ما يصلّي فيه خمس ركعات لزمته الصلاتان بغير 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w:t>
      </w:r>
      <w:r>
        <w:rPr>
          <w:rStyle w:val="FootnoteAnchor"/>
          <w:rtl w:val="true"/>
        </w:rPr>
        <w:footnoteReference w:id="2556"/>
      </w:r>
      <w:r>
        <w:rPr>
          <w:rFonts w:ascii="Amiri" w:hAnsi="Amiri" w:eastAsia="Amiri" w:cs="Amiri"/>
          <w:color w:val="111111"/>
          <w:sz w:val="28"/>
          <w:sz w:val="28"/>
          <w:szCs w:val="28"/>
          <w:rtl w:val="true"/>
          <w:lang w:bidi="ar-SA"/>
        </w:rPr>
        <w:t>في المغرب والعشاء الآخرة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خلاف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أهل العلم في أن واحدا ولا الذين ذكرناهم أعني الصبي والمجنون والحائض والنفساء والكافر إذا أدرك قبل غروب الشمس مقدار </w:t>
      </w:r>
      <w:r>
        <w:rPr>
          <w:rStyle w:val="FootnoteAnchor"/>
          <w:rtl w:val="true"/>
        </w:rPr>
        <w:footnoteReference w:id="2557"/>
      </w:r>
      <w:r>
        <w:rPr>
          <w:rFonts w:ascii="Amiri" w:hAnsi="Amiri" w:eastAsia="Amiri" w:cs="Amiri"/>
          <w:color w:val="111111"/>
          <w:sz w:val="28"/>
          <w:sz w:val="28"/>
          <w:szCs w:val="28"/>
          <w:rtl w:val="true"/>
          <w:lang w:bidi="ar-SA"/>
        </w:rPr>
        <w:t>ركعة ، فإنه يلزمه العصر ، وكذلك إذا أدرك قبل طلوع الشمس مقدار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2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Style w:val="FootnoteAnchor"/>
          <w:rtl w:val="true"/>
        </w:rPr>
        <w:footnoteReference w:id="2559"/>
      </w:r>
      <w:r>
        <w:rPr>
          <w:rFonts w:ascii="Amiri" w:hAnsi="Amiri" w:eastAsia="Amiri" w:cs="Amiri"/>
          <w:color w:val="111111"/>
          <w:sz w:val="28"/>
          <w:sz w:val="28"/>
          <w:szCs w:val="28"/>
          <w:rtl w:val="true"/>
          <w:lang w:bidi="ar-SA"/>
        </w:rPr>
        <w:t>أنه يجب على أصحاب الضرورات عند ذلك صلاة الصبح بلا خلاف</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2560"/>
      </w:r>
      <w:r>
        <w:rPr>
          <w:rFonts w:ascii="Amiri" w:hAnsi="Amiri" w:eastAsia="Amiri" w:cs="Amiri"/>
          <w:color w:val="111111"/>
          <w:sz w:val="28"/>
          <w:sz w:val="28"/>
          <w:szCs w:val="28"/>
          <w:rtl w:val="true"/>
          <w:lang w:bidi="ar-SA"/>
        </w:rPr>
        <w:t>نفى الخلاف بين أهل العلم من الاكتفاء في آخر الوقت بإدراك ركعة مع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الإجماع في التذكرة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2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طهارة المبسوط </w:t>
      </w:r>
      <w:r>
        <w:rPr>
          <w:rStyle w:val="FootnoteAnchor"/>
          <w:rtl w:val="true"/>
        </w:rPr>
        <w:footnoteReference w:id="2564"/>
      </w:r>
      <w:r>
        <w:rPr>
          <w:rFonts w:ascii="Amiri" w:hAnsi="Amiri" w:eastAsia="Amiri" w:cs="Amiri"/>
          <w:color w:val="111111"/>
          <w:sz w:val="28"/>
          <w:sz w:val="28"/>
          <w:szCs w:val="28"/>
          <w:rtl w:val="true"/>
          <w:lang w:bidi="ar-SA"/>
        </w:rPr>
        <w:t xml:space="preserve">والقاضي في المهذب </w:t>
      </w:r>
      <w:r>
        <w:rPr>
          <w:rStyle w:val="FootnoteAnchor"/>
          <w:rtl w:val="true"/>
        </w:rPr>
        <w:footnoteReference w:id="2565"/>
      </w:r>
      <w:r>
        <w:rPr>
          <w:rFonts w:ascii="Amiri" w:hAnsi="Amiri" w:eastAsia="Amiri" w:cs="Amiri"/>
          <w:color w:val="111111"/>
          <w:sz w:val="28"/>
          <w:sz w:val="28"/>
          <w:szCs w:val="28"/>
          <w:rtl w:val="true"/>
          <w:lang w:bidi="ar-SA"/>
        </w:rPr>
        <w:t>استحباب الظهرين والعشاءين إذا أدرك خمسا قبل الغروب والفجر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2566"/>
      </w:r>
      <w:r>
        <w:rPr>
          <w:rFonts w:ascii="Amiri" w:hAnsi="Amiri" w:eastAsia="Amiri" w:cs="Amiri"/>
          <w:color w:val="111111"/>
          <w:sz w:val="28"/>
          <w:sz w:val="28"/>
          <w:szCs w:val="28"/>
          <w:rtl w:val="true"/>
          <w:lang w:bidi="ar-SA"/>
        </w:rPr>
        <w:t xml:space="preserve">في كتاب الحديث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طهرت بعد زوال الشمس إلى أن يمضي منه مقدار أربعة أقدام فإنه يجب عليها قضاء الظهر والعصر معا ، وإذا طهرت بعد أن يمضي أربعة أقدام فإنه يجب عليها قضاء العصر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قضاء الظهر إلى أن تغيب الشمس ، وكذلك لا يجب العشاءان </w:t>
      </w:r>
      <w:r>
        <w:rPr>
          <w:rStyle w:val="FootnoteAnchor"/>
          <w:rtl w:val="true"/>
        </w:rPr>
        <w:footnoteReference w:id="2567"/>
      </w:r>
      <w:r>
        <w:rPr>
          <w:rFonts w:ascii="Amiri" w:hAnsi="Amiri" w:eastAsia="Amiri" w:cs="Amiri"/>
          <w:color w:val="111111"/>
          <w:sz w:val="28"/>
          <w:sz w:val="28"/>
          <w:szCs w:val="28"/>
          <w:rtl w:val="true"/>
          <w:lang w:bidi="ar-SA"/>
        </w:rPr>
        <w:t>إن طهرت بعد انتصاف الليل بل يستحبان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إليه صاحب الذخيرة </w:t>
      </w:r>
      <w:r>
        <w:rPr>
          <w:rStyle w:val="FootnoteAnchor"/>
          <w:rtl w:val="true"/>
        </w:rPr>
        <w:footnoteReference w:id="2568"/>
      </w:r>
      <w:r>
        <w:rPr>
          <w:rFonts w:ascii="Amiri" w:hAnsi="Amiri" w:eastAsia="Amiri" w:cs="Amiri"/>
          <w:color w:val="111111"/>
          <w:sz w:val="28"/>
          <w:sz w:val="28"/>
          <w:szCs w:val="28"/>
          <w:rtl w:val="true"/>
          <w:lang w:bidi="ar-SA"/>
        </w:rPr>
        <w:t xml:space="preserve">بل رجّحه حيث نصّ على أنه قوي متّجه ، وجعل ذلك وجه جمع بين أخبار الباب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الشيخ طريقة حسنة في الجمع بين الأخبار ، ويحتمل إيثار ذلك على مسألة الأوقات ، 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بخروج وقت الظهر بعد مضي الأقدام الأربعة بالنسبة إلى المختار والمضطر وإن كان من ذلك </w:t>
      </w:r>
      <w:r>
        <w:rPr>
          <w:rFonts w:eastAsia="Amiri" w:cs="Amiri" w:ascii="Amiri" w:hAnsi="Amiri"/>
          <w:color w:val="111111"/>
          <w:sz w:val="28"/>
          <w:szCs w:val="28"/>
          <w:rtl w:val="true"/>
          <w:lang w:bidi="ar-SA"/>
        </w:rPr>
        <w:t xml:space="preserve">) </w:t>
      </w:r>
      <w:r>
        <w:rPr>
          <w:rStyle w:val="FootnoteAnchor"/>
          <w:rtl w:val="true"/>
        </w:rPr>
        <w:footnoteReference w:id="2569"/>
      </w:r>
      <w:r>
        <w:rPr>
          <w:rFonts w:ascii="Amiri" w:hAnsi="Amiri" w:eastAsia="Amiri" w:cs="Amiri"/>
          <w:color w:val="111111"/>
          <w:sz w:val="28"/>
          <w:sz w:val="28"/>
          <w:szCs w:val="28"/>
          <w:rtl w:val="true"/>
          <w:lang w:bidi="ar-SA"/>
        </w:rPr>
        <w:t>في غاية من الضعف</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ربط لها بالمقام ، وحينئذ فترجيح </w:t>
      </w:r>
      <w:r>
        <w:rPr>
          <w:rStyle w:val="FootnoteAnchor"/>
          <w:rtl w:val="true"/>
        </w:rPr>
        <w:footnoteReference w:id="2570"/>
      </w:r>
      <w:r>
        <w:rPr>
          <w:rFonts w:ascii="Amiri" w:hAnsi="Amiri" w:eastAsia="Amiri" w:cs="Amiri"/>
          <w:color w:val="111111"/>
          <w:sz w:val="28"/>
          <w:sz w:val="28"/>
          <w:szCs w:val="28"/>
          <w:rtl w:val="true"/>
          <w:lang w:bidi="ar-SA"/>
        </w:rPr>
        <w:t>صاحب الذخيرة غريب مع بنائه على بقاء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 ذلك هو الوجه أيضا فيما ذكره في المبسوط والمهذب إلا أنه لا يعرف قول بانتهاء وقت المضطر للعصر قبل الغروب ، فلو لم يكتف بإدراك الركعة تعيّن للعصر إلا أن يقال بكون الاستحباب </w:t>
      </w:r>
      <w:r>
        <w:rPr>
          <w:rStyle w:val="FootnoteAnchor"/>
          <w:rtl w:val="true"/>
        </w:rPr>
        <w:footnoteReference w:id="2571"/>
      </w:r>
      <w:r>
        <w:rPr>
          <w:rFonts w:ascii="Amiri" w:hAnsi="Amiri" w:eastAsia="Amiri" w:cs="Amiri"/>
          <w:color w:val="111111"/>
          <w:sz w:val="28"/>
          <w:sz w:val="28"/>
          <w:szCs w:val="28"/>
          <w:rtl w:val="true"/>
          <w:lang w:bidi="ar-SA"/>
        </w:rPr>
        <w:t>تعبديّا يزاحم به ما يقتضيه الأصل من تعيّن القصر حينئذ لقيام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فيكون ذلك إذن مرتبطا بالمقام ، غير أنه إذن خارج عن مقتضى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فظاهر عبارة السرائر والمحكي عن ظاهر الإسكافي هو اعتبار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الطهارة وتمام الفعل من الوقت في وجوب الأداء والقضاء من دون اعتبار لإدراك </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 xml:space="preserve">الركعة ، والمحكيّ </w:t>
      </w:r>
      <w:r>
        <w:rPr>
          <w:rStyle w:val="FootnoteAnchor"/>
          <w:rtl w:val="true"/>
        </w:rPr>
        <w:footnoteReference w:id="2573"/>
      </w:r>
      <w:r>
        <w:rPr>
          <w:rFonts w:ascii="Amiri" w:hAnsi="Amiri" w:eastAsia="Amiri" w:cs="Amiri"/>
          <w:color w:val="111111"/>
          <w:sz w:val="28"/>
          <w:sz w:val="28"/>
          <w:szCs w:val="28"/>
          <w:rtl w:val="true"/>
          <w:lang w:bidi="ar-SA"/>
        </w:rPr>
        <w:t>في المختلف عن ظاهر الصدوق وابن الجنيد اعتبار ذلك في أكثر الصلاة ، واختلاف النقل من الإسكافي إما من جهة اختلاف بين عباراته أو من جهة الاختلاف في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الحدائق </w:t>
      </w:r>
      <w:r>
        <w:rPr>
          <w:rStyle w:val="FootnoteAnchor"/>
          <w:rtl w:val="true"/>
        </w:rPr>
        <w:footnoteReference w:id="2574"/>
      </w:r>
      <w:r>
        <w:rPr>
          <w:rFonts w:ascii="Amiri" w:hAnsi="Amiri" w:eastAsia="Amiri" w:cs="Amiri"/>
          <w:color w:val="111111"/>
          <w:sz w:val="28"/>
          <w:sz w:val="28"/>
          <w:szCs w:val="28"/>
          <w:rtl w:val="true"/>
          <w:lang w:bidi="ar-SA"/>
        </w:rPr>
        <w:t>بين إدراك الركعة من صلاة الصبح وغيرها ، فحكم بإدراك الصلاة بادراكها في الأول ، واستشكل في غيرها من الصلاة ، وألزم مراعاة الاحتياط فيها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بعد ما عرفت من الإجماعات الأخبار </w:t>
      </w:r>
      <w:r>
        <w:rPr>
          <w:rStyle w:val="FootnoteAnchor"/>
          <w:rtl w:val="true"/>
        </w:rPr>
        <w:footnoteReference w:id="2575"/>
      </w:r>
      <w:r>
        <w:rPr>
          <w:rFonts w:ascii="Amiri" w:hAnsi="Amiri" w:eastAsia="Amiri" w:cs="Amiri"/>
          <w:color w:val="111111"/>
          <w:sz w:val="28"/>
          <w:sz w:val="28"/>
          <w:szCs w:val="28"/>
          <w:rtl w:val="true"/>
          <w:lang w:bidi="ar-SA"/>
        </w:rPr>
        <w:t xml:space="preserve">المستفيضة المعتضدة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الصلاة فقد أدرك الصلاة </w:t>
      </w:r>
      <w:r>
        <w:rPr>
          <w:rFonts w:eastAsia="Amiri" w:cs="Amiri" w:ascii="Amiri" w:hAnsi="Amiri"/>
          <w:color w:val="111111"/>
          <w:sz w:val="28"/>
          <w:szCs w:val="28"/>
          <w:rtl w:val="true"/>
          <w:lang w:bidi="ar-SA"/>
        </w:rPr>
        <w:t xml:space="preserve">»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المعتبر مرسلا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أول </w:t>
      </w:r>
      <w:r>
        <w:rPr>
          <w:rStyle w:val="FootnoteAnchor"/>
          <w:rtl w:val="true"/>
        </w:rPr>
        <w:footnoteReference w:id="2577"/>
      </w:r>
      <w:r>
        <w:rPr>
          <w:rFonts w:ascii="Amiri" w:hAnsi="Amiri" w:eastAsia="Amiri" w:cs="Amiri"/>
          <w:color w:val="111111"/>
          <w:sz w:val="28"/>
          <w:sz w:val="28"/>
          <w:szCs w:val="28"/>
          <w:rtl w:val="true"/>
          <w:lang w:bidi="ar-SA"/>
        </w:rPr>
        <w:t xml:space="preserve">الوقت فقد أدرك </w:t>
      </w:r>
    </w:p>
    <w:p>
      <w:pPr>
        <w:pStyle w:val="BookText"/>
        <w:rPr/>
      </w:pP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في الذكرى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ركعة من العصر قبل أن تغرب الشمس فقد أدرك </w:t>
      </w:r>
      <w:r>
        <w:rPr>
          <w:rStyle w:val="FootnoteAnchor"/>
          <w:rtl w:val="true"/>
        </w:rPr>
        <w:footnoteReference w:id="2579"/>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صلّى ركعة من الغداة ثم طلعت الشمس فليتمّ وقد جازت صلاته </w:t>
      </w:r>
      <w:r>
        <w:rPr>
          <w:rFonts w:eastAsia="Amiri" w:cs="Amiri" w:ascii="Amiri" w:hAnsi="Amiri"/>
          <w:color w:val="111111"/>
          <w:sz w:val="28"/>
          <w:szCs w:val="28"/>
          <w:rtl w:val="true"/>
          <w:lang w:bidi="ar-SA"/>
        </w:rPr>
        <w:t xml:space="preserve">»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الأصبغ ،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rtl w:val="true"/>
          <w:lang w:bidi="ar-SA"/>
        </w:rPr>
        <w:t xml:space="preserve">»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هذه الأخبار من حيث الإسناد منجبر بما عرفت من عمل الطائفة والإجماعات المنقولة في المسألة ، وكون الروايات الثلاثة الاول من طرق العامة غير معلوم ، فلا وجه لإطراحها بعد ذكرها في كتب الأصحاب ، وانجبارها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المناط من الخبرين الأخيرين وعدم ظهور قول بالفصل ، بل الظاهر إطباق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ضعف ما ذكره من الاقتصار في أخبار الخاصة على خصوص إدراك الركعة من الصبح ، وما دلّ على الإطلاق روايات عامّية لا يعدّ بها في إثبات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يظهر من الحلي وغيره من عدم العبرة إلا بإدراك وقت يسع تمام الصلاة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ضعف الأخبار المذكورة وقضاء الأصل بخلافها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يناقش في قضاء الأصل ؛ إذ </w:t>
      </w:r>
      <w:r>
        <w:rPr>
          <w:rStyle w:val="FootnoteAnchor"/>
          <w:rtl w:val="true"/>
        </w:rPr>
        <w:footnoteReference w:id="2583"/>
      </w:r>
      <w:r>
        <w:rPr>
          <w:rFonts w:ascii="Amiri" w:hAnsi="Amiri" w:eastAsia="Amiri" w:cs="Amiri"/>
          <w:color w:val="111111"/>
          <w:sz w:val="28"/>
          <w:sz w:val="28"/>
          <w:szCs w:val="28"/>
          <w:rtl w:val="true"/>
          <w:lang w:bidi="ar-SA"/>
        </w:rPr>
        <w:t xml:space="preserve">الميسور لا يسقط بالمعسور ، فغاية الأمر عدم </w:t>
      </w:r>
    </w:p>
    <w:p>
      <w:pPr>
        <w:pStyle w:val="BookText"/>
        <w:rPr/>
      </w:pPr>
      <w:r>
        <w:rPr>
          <w:rFonts w:ascii="Amiri" w:hAnsi="Amiri" w:eastAsia="Amiri" w:cs="Amiri"/>
          <w:color w:val="111111"/>
          <w:sz w:val="28"/>
          <w:sz w:val="28"/>
          <w:szCs w:val="28"/>
          <w:rtl w:val="true"/>
          <w:lang w:bidi="ar-SA"/>
        </w:rPr>
        <w:t xml:space="preserve">كونه أداء ، و </w:t>
      </w:r>
      <w:r>
        <w:rPr>
          <w:rStyle w:val="FootnoteAnchor"/>
          <w:rtl w:val="true"/>
        </w:rPr>
        <w:footnoteReference w:id="2584"/>
      </w:r>
      <w:r>
        <w:rPr>
          <w:rFonts w:ascii="Amiri" w:hAnsi="Amiri" w:eastAsia="Amiri" w:cs="Amiri"/>
          <w:color w:val="111111"/>
          <w:sz w:val="28"/>
          <w:sz w:val="28"/>
          <w:szCs w:val="28"/>
          <w:rtl w:val="true"/>
          <w:lang w:bidi="ar-SA"/>
        </w:rPr>
        <w:t>هو كلام في مقام آخر إلا أن الأظهر خلافه ؛ نظرا إلى اقتضاء الأصل تنزيل إدراك البعض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الشيخ موثقة الفضل بن يونس ، عن أبي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قبل غروب الشمس كيف تصنع بالصلاة؟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 الطهر بعد ما يمضي من زوال الشمس أربعة أقدام فلا تصلّي إلا العصر ؛ لأن وقت الظهر دخل عليها وهي في الدم ، وخرج </w:t>
      </w:r>
      <w:r>
        <w:rPr>
          <w:rStyle w:val="FootnoteAnchor"/>
          <w:rtl w:val="true"/>
        </w:rPr>
        <w:footnoteReference w:id="2585"/>
      </w:r>
      <w:r>
        <w:rPr>
          <w:rFonts w:ascii="Amiri" w:hAnsi="Amiri" w:eastAsia="Amiri" w:cs="Amiri"/>
          <w:color w:val="111111"/>
          <w:sz w:val="28"/>
          <w:sz w:val="28"/>
          <w:szCs w:val="28"/>
          <w:rtl w:val="true"/>
          <w:lang w:bidi="ar-SA"/>
        </w:rPr>
        <w:t xml:space="preserve">عنها الوقت وهي في الدم ، فلم يجب عليها أن تصلي الظهر وما طرح اللّه عنها من الصلاة </w:t>
      </w:r>
      <w:r>
        <w:rPr>
          <w:rFonts w:eastAsia="Amiri" w:cs="Amiri" w:ascii="Amiri" w:hAnsi="Amiri"/>
          <w:color w:val="111111"/>
          <w:sz w:val="28"/>
          <w:szCs w:val="28"/>
          <w:rtl w:val="true"/>
          <w:lang w:bidi="ar-SA"/>
        </w:rPr>
        <w:t xml:space="preserve">» </w:t>
      </w:r>
      <w:r>
        <w:rPr>
          <w:rStyle w:val="FootnoteAnchor"/>
          <w:rtl w:val="true"/>
        </w:rPr>
        <w:footnoteReference w:id="2586"/>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جعلها الشيخ جامعة لأخبار الباب حيث دلّ بعضها على عدم وجوب الظهر على من طهرت عند العصر كما في صحيحة معمّر بن يحيى أو على وجوبها إذا طهرت قبل العصر ، وجوب العصر خاصة إذا طهرت في وقت العصر كما في رواية منصور بن حازم ، أو على عدم وجوب الظهر على من طهرت فاشتغلت بشأنها حتى دخل وقت العصر فيصلّي العصر وحدها كما اشتملت عليه موثقة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 بعضها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طهرت في وقت صلاة ففرطت فيها حتى دخل وقت اخرى أنه يجب عليه قضاءها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صحيحتي عبيد بن زرارة </w:t>
      </w:r>
      <w:r>
        <w:rPr>
          <w:rStyle w:val="FootnoteAnchor"/>
          <w:rtl w:val="true"/>
        </w:rPr>
        <w:footnoteReference w:id="2588"/>
      </w:r>
      <w:r>
        <w:rPr>
          <w:rFonts w:ascii="Amiri" w:hAnsi="Amiri" w:eastAsia="Amiri" w:cs="Amiri"/>
          <w:color w:val="111111"/>
          <w:sz w:val="28"/>
          <w:sz w:val="28"/>
          <w:szCs w:val="28"/>
          <w:rtl w:val="true"/>
          <w:lang w:bidi="ar-SA"/>
        </w:rPr>
        <w:t xml:space="preserve">وأبي عبيدة الحذاء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عدة من الأخبار المشتملة على المعتبرة ممّا تقدمت الإشارة إليها على وجوب الظهرين إذا طهرت قبل الغروب ، والعشاءين إذا طهرت قبل الفجر بحمل هذه على </w:t>
      </w:r>
      <w:r>
        <w:rPr>
          <w:rStyle w:val="FootnoteAnchor"/>
          <w:rtl w:val="true"/>
        </w:rPr>
        <w:footnoteReference w:id="2590"/>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وجوب الظهر وقضائها على ما إذا طهرت قبل مضيّ الأقدام الأربعة ، وما دلّ على عدم وجوب القضاء بعد الدخول في وقت صلاة اخرى على ما يشتمل </w:t>
      </w:r>
      <w:bookmarkStart w:id="493" w:name="pg15839_361148"/>
    </w:p>
    <w:p>
      <w:pPr>
        <w:pStyle w:val="BookText"/>
        <w:rPr/>
      </w:pPr>
      <w:bookmarkEnd w:id="493"/>
      <w:r>
        <w:rPr>
          <w:rFonts w:ascii="Amiri" w:hAnsi="Amiri" w:eastAsia="Amiri" w:cs="Amiri"/>
          <w:color w:val="111111"/>
          <w:sz w:val="28"/>
          <w:sz w:val="28"/>
          <w:szCs w:val="28"/>
          <w:rtl w:val="true"/>
          <w:lang w:bidi="ar-SA"/>
        </w:rPr>
        <w:t>مضيّ المقدار المذكور لدخوله إذن في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الموثقة المذكورة صريحة في خروج وقت الظهر مطلقا بمضيّ الأقدام الأربعة ، ولو بالنسبة إلى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إذن بمكان من الوهن ؛ لدلالة النصوص الصريحة القريبة من التواتر بل المتواترة في الحقيقة أو المقطوع صدورها من الأئمة عليهم‌السلام المعتضدة بالكتاب الموافقة لعمل الأصحاب ببقاء الوقت إلى ما بعد ذلك ، فلا يعقل وجه للعروج على تلك الرواية الشاذّة المعارضة بما ذكرناه ، فلا مناص من تركها وإرجاعها إلى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والمعتبرة الأخيرة واضحة الدلالة على لزوم الإتيان بالصلاتين إلا أنها مشتملة على جريان الحكم في العشاءين بالنسبة إلى طلوع الفجر ، وهو خلاف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يوجب ترك الرواية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قوّة القول بذلك كما اختاره جماعة من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الاخر يمكن حملها على ما إذا أدرك الوقت المختصّ بالعصر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تقوية صاحب الذخيرة لما ذكره الشيخ مع أنه ممّن </w:t>
      </w:r>
      <w:r>
        <w:rPr>
          <w:rFonts w:eastAsia="Amiri" w:cs="Amiri" w:ascii="Amiri" w:hAnsi="Amiri"/>
          <w:color w:val="111111"/>
          <w:sz w:val="28"/>
          <w:szCs w:val="28"/>
          <w:rtl w:val="true"/>
          <w:lang w:bidi="ar-SA"/>
        </w:rPr>
        <w:t xml:space="preserve">[ ... ]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قال بسقوط صلاة الظهر في وقتها المضروب بمجرّد ورود خبر لا يقول بما اشتمل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بمكان من الفساد</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4338659_2142443653"/>
      <w:bookmarkStart w:id="495" w:name="_Toc182"/>
      <w:bookmarkEnd w:id="494"/>
      <w:r>
        <w:rPr>
          <w:rtl w:val="true"/>
        </w:rPr>
        <w:t xml:space="preserve">[ </w:t>
      </w:r>
      <w:r>
        <w:rPr>
          <w:rtl w:val="true"/>
        </w:rPr>
        <w:t xml:space="preserve">تتمّة </w:t>
      </w:r>
      <w:r>
        <w:rPr>
          <w:rtl w:val="true"/>
        </w:rPr>
        <w:t>]</w:t>
      </w:r>
      <w:bookmarkEnd w:id="495"/>
    </w:p>
    <w:p>
      <w:pPr>
        <w:pStyle w:val="BookText"/>
        <w:rPr/>
      </w:pPr>
      <w:r>
        <w:rPr>
          <w:rFonts w:ascii="IRNazanin" w:hAnsi="IRNazanin" w:eastAsia="IRNazanin"/>
          <w:color w:val="111111"/>
          <w:sz w:val="28"/>
          <w:sz w:val="28"/>
          <w:szCs w:val="28"/>
          <w:rtl w:val="true"/>
          <w:lang w:bidi="fa-IR"/>
        </w:rPr>
        <w:t xml:space="preserve">هذا ولنتم </w:t>
      </w:r>
      <w:r>
        <w:rPr>
          <w:rStyle w:val="FootnoteAnchor"/>
          <w:rtl w:val="true"/>
        </w:rPr>
        <w:footnoteReference w:id="2592"/>
      </w:r>
      <w:r>
        <w:rPr>
          <w:rFonts w:ascii="Amiri" w:hAnsi="Amiri" w:eastAsia="Amiri" w:cs="Amiri"/>
          <w:color w:val="111111"/>
          <w:sz w:val="28"/>
          <w:sz w:val="28"/>
          <w:szCs w:val="28"/>
          <w:rtl w:val="true"/>
          <w:lang w:bidi="ar-SA"/>
        </w:rPr>
        <w:t xml:space="preserve">الكلام في المرام برسم امور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المقام مع إدراك مقدار الركعة إدراك مقدار أداء الطهارة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حكم به كثير من الأصحاب بلا خلاف يعرف فيه سوى أنه احتمل في نهاية الإحكام </w:t>
      </w:r>
      <w:r>
        <w:rPr>
          <w:rStyle w:val="FootnoteAnchor"/>
          <w:rtl w:val="true"/>
        </w:rPr>
        <w:footnoteReference w:id="2593"/>
      </w:r>
      <w:r>
        <w:rPr>
          <w:rFonts w:ascii="Amiri" w:hAnsi="Amiri" w:eastAsia="Amiri" w:cs="Amiri"/>
          <w:color w:val="111111"/>
          <w:sz w:val="28"/>
          <w:sz w:val="28"/>
          <w:szCs w:val="28"/>
          <w:rtl w:val="true"/>
          <w:lang w:bidi="ar-SA"/>
        </w:rPr>
        <w:t>عدم اعتبار وقت الطهارة بناء على عدم اختصاصها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وتعليله أضعف منه ؛ إذ من البيّن توقّف صحة الصلاة مطلقا على الطهارة ، فيكون إدراكه كمقدار الركعة بدونها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رأت الطهر وهي قادرة على أن تغتسل في وقت صلاة ففرطت فيها حتى يدخل وقت صلاة اخرى كان عليها قضاء تلك الصلاة التي فرطت فيها ، فإن رأت الطهر في وقت صلاة فقامت في تهيئة ذلك فجاز وقت الصلاة ودخل وقت صلاة اخرى فليس عليها قضاء </w:t>
      </w:r>
      <w:r>
        <w:rPr>
          <w:rFonts w:eastAsia="Amiri" w:cs="Amiri" w:ascii="Amiri" w:hAnsi="Amiri"/>
          <w:color w:val="111111"/>
          <w:sz w:val="28"/>
          <w:szCs w:val="28"/>
          <w:rtl w:val="true"/>
          <w:lang w:bidi="ar-SA"/>
        </w:rPr>
        <w:t xml:space="preserve">»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ضاق الوقت عن الطهارة الاختيارية انتقل حكمها إلى الاضطرارية ؛ أخذا بإطلاق ما دلّ على البدليّة وما دلّ على أن إدراك الركعة بمنزلة إدراك تمام الصلاة ، وفي ذلك كلام تقدمت الإشارة إليه في بحث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الأصحاب منهم السيد والمحقق </w:t>
      </w:r>
      <w:r>
        <w:rPr>
          <w:rStyle w:val="FootnoteAnchor"/>
          <w:rtl w:val="true"/>
        </w:rPr>
        <w:footnoteReference w:id="2595"/>
      </w:r>
      <w:r>
        <w:rPr>
          <w:rFonts w:ascii="Amiri" w:hAnsi="Amiri" w:eastAsia="Amiri" w:cs="Amiri"/>
          <w:color w:val="111111"/>
          <w:sz w:val="28"/>
          <w:sz w:val="28"/>
          <w:szCs w:val="28"/>
          <w:rtl w:val="true"/>
          <w:lang w:bidi="ar-SA"/>
        </w:rPr>
        <w:t xml:space="preserve">وابن فهد والصيمري والمحقق الكركي والشهيد الثاني </w:t>
      </w:r>
      <w:r>
        <w:rPr>
          <w:rStyle w:val="FootnoteAnchor"/>
          <w:rtl w:val="true"/>
        </w:rPr>
        <w:footnoteReference w:id="2596"/>
      </w:r>
      <w:r>
        <w:rPr>
          <w:rFonts w:ascii="Amiri" w:hAnsi="Amiri" w:eastAsia="Amiri" w:cs="Amiri"/>
          <w:color w:val="111111"/>
          <w:sz w:val="28"/>
          <w:sz w:val="28"/>
          <w:szCs w:val="28"/>
          <w:rtl w:val="true"/>
          <w:lang w:bidi="ar-SA"/>
        </w:rPr>
        <w:t>في عدة من كتبه وصاحب المستدرك اعتبار إدراك سائر الشروط المفقودة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597"/>
      </w:r>
      <w:r>
        <w:rPr>
          <w:rFonts w:ascii="Amiri" w:hAnsi="Amiri" w:eastAsia="Amiri" w:cs="Amiri"/>
          <w:color w:val="111111"/>
          <w:sz w:val="28"/>
          <w:sz w:val="28"/>
          <w:szCs w:val="28"/>
          <w:rtl w:val="true"/>
          <w:lang w:bidi="ar-SA"/>
        </w:rPr>
        <w:t>بعد الإشارة إلى إطلاق الرواية أنّ ظاهر الأصحاب الاتفاق على تقييد ذلك بإدراك جميع الشرائط من الطهارة وغيرها ، وما ذكروه إن حمل على ظاهره فالظاهر خلافه ، وتلك الشرائط إنما يعتبر حال المكنة ، ومع الاضطرار تصحّ الصلاة من دونها ، وأيّ اضطرار أعظم من فوات الصلاة مع إدراك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المناط </w:t>
      </w:r>
      <w:r>
        <w:rPr>
          <w:rStyle w:val="FootnoteAnchor"/>
          <w:rtl w:val="true"/>
        </w:rPr>
        <w:footnoteReference w:id="2598"/>
      </w:r>
      <w:r>
        <w:rPr>
          <w:rFonts w:ascii="Amiri" w:hAnsi="Amiri" w:eastAsia="Amiri" w:cs="Amiri"/>
          <w:color w:val="111111"/>
          <w:sz w:val="28"/>
          <w:sz w:val="28"/>
          <w:szCs w:val="28"/>
          <w:rtl w:val="true"/>
          <w:lang w:bidi="ar-SA"/>
        </w:rPr>
        <w:t>في الاضطرار الحاصل في الصلاة في كثير من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يستفاد من الصحيحة المذكورة اعتبار اتّساعه للاغتسال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محمولة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في المقام خصوص الاتّساع لأداء الطهارة ، فلو توقف ذلك على تحصيل الماء ولم يتّسع الوقت لها ، فإن تمكن من الطهارة الاضطرارية أتى بها وإلّا سقط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القضاء إذن مبنيّ على وجوبه على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اتّساع الوقت للاختيارية فاشتغل بها فانكشف عدم اتّساعه إلا للاضطراريّة فقضى اشتغاله بذلك بفوات الركعة ففي لزوم القضاء عليه وجهان أوجههما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إذا ظنّ الاتّساع لسائر المقدّمات الاختيارية ، فمنعه الاشتغال بها عن إدراك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ينتقل الحكم من الاختيار إلى الاضطرار بالنسبة إلى الشرائط كذا ينتقل الحكم بالنسبة إلى الأجزاء فيسقط السورة مع ضيق الوقت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يكتفي في الحكم بإدراك الركعة حصول الظنّ به ؛ لعدم إمكان الرجوع فيه إلى العلم في الغالب إلا أن يدرك ما يزيد عليه كثيرا ، مضافا إلى أنّ الأصل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فيه الرجوع إلى الأصل ولو مع عدم الظنّ؟ وجهان أظهرهما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اعتبار الركوع والسجود في مفهوم الركعة ، فلا يكتفي فيها بمجرد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الذكرى </w:t>
      </w:r>
      <w:r>
        <w:rPr>
          <w:rStyle w:val="FootnoteAnchor"/>
          <w:rtl w:val="true"/>
        </w:rPr>
        <w:footnoteReference w:id="2599"/>
      </w:r>
      <w:r>
        <w:rPr>
          <w:rFonts w:ascii="Amiri" w:hAnsi="Amiri" w:eastAsia="Amiri" w:cs="Amiri"/>
          <w:color w:val="111111"/>
          <w:sz w:val="28"/>
          <w:sz w:val="28"/>
          <w:szCs w:val="28"/>
          <w:rtl w:val="true"/>
          <w:lang w:bidi="ar-SA"/>
        </w:rPr>
        <w:t xml:space="preserve">احتمال الاجتزاء به للتسمية لغة وعرفا ؛ نظرا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كالسجدة والسجود ؛ لحصول معظم الأجزاء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في المسائل البغدادية الحكم به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على أنّها تسمّى ركعة بإيقاع الركوع فيها ، وليست التسمية مشروطة بالإتيان بالسجود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وظاهر الحدائق </w:t>
      </w:r>
      <w:r>
        <w:rPr>
          <w:rStyle w:val="FootnoteAnchor"/>
          <w:rtl w:val="true"/>
        </w:rPr>
        <w:footnoteReference w:id="2600"/>
      </w:r>
      <w:r>
        <w:rPr>
          <w:rFonts w:ascii="Amiri" w:hAnsi="Amiri" w:eastAsia="Amiri" w:cs="Amiri"/>
          <w:color w:val="111111"/>
          <w:sz w:val="28"/>
          <w:sz w:val="28"/>
          <w:szCs w:val="28"/>
          <w:rtl w:val="true"/>
          <w:lang w:bidi="ar-SA"/>
        </w:rPr>
        <w:t>تقوية ذلك ؛ إذ ليس لقولهم بالصحة في صورة الشك بين الأربع والخمس بعد الركوع وقبل السجود دليل سوى ذلك ؛ ليندرج تحت نصّ المسألة ، وهو متوقّف على حصول تمام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بضعف جميع ما ذكر بمنع حصول التسمية قبل الإتيان بالسجود إلا على سبيل التسامح ، ومجرد مضيّ المعظم لا يدلّ على ثبوت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يجوز على نحو من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بالصحة في الشك المذكور في الصورة المتقدمة بل الحكم فيه محلّ منع كما سيجي‌ء الكلام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انحصار المدرك في النصّ المذكور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تقوية صاحب الحدائق لذلك بمجرد ما ذكر مع ما هو معلوم من طريقته في محلّ الاتفاق ، فكيف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والأظهر هو الوجه الأول ؛ أخذا بظاهر عرف المتشرعة ، وللقطع بكونه من أجزاء الركعة ، فكيف يمكن القول بإتمامه قبل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إتمام السجود بإتمام الذكر الواجب في السجدة الأخيرة أو برفع الرأس عنها؟ وجهان من حصول الواجب بذلك ، ومن أن السجود لا يتمّ إلى برفع الرأس ، فمع بقائه في السجود يكون باقيا في الركعة ، فلا تتمّ إلا بإتمامه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إحدى السجدتين لم يمنع ذلك من إدراك الركعة إذا لم يذكرها قبل الدخول في الركوع ، وكذا الحال في نسيان غيرها من الواجبات لإتمام الركعة إذن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يعتبر إدراك مقدار الركعة التامة ، والمفروض حصوله في المقام ، وإن نسي الإتيان بالفعل فيه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القول بأن وجوب قضاء السجدة كاشف عن نقصان الركعة في شأنه ، فلا يكون مدركا للركعة ، وإنما يتمّ ذلك فيما لا يقضي من الأفعال ، ولو ذكرها قبل الركوع بعد مضيّ الوقت أو لم يسع للرجوع لم يحكم بإدراك الركعة ، وكان الفعل قضاء ، ولا يسقط به وجوب القضاء </w:t>
      </w:r>
    </w:p>
    <w:p>
      <w:pPr>
        <w:pStyle w:val="BookText"/>
        <w:rPr/>
      </w:pPr>
      <w:r>
        <w:rPr>
          <w:rFonts w:ascii="Amiri" w:hAnsi="Amiri" w:eastAsia="Amiri" w:cs="Amiri"/>
          <w:color w:val="111111"/>
          <w:sz w:val="28"/>
          <w:sz w:val="28"/>
          <w:szCs w:val="28"/>
          <w:rtl w:val="true"/>
          <w:lang w:bidi="ar-SA"/>
        </w:rPr>
        <w:t>فيجب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تذكر بعد مضيّ محل العود ثم انكشف عدم اتّساع الوقت للركعة لو لا طروّ النسيان ، ففي الحكم بإدراك الركعة وجهان ؛ من أن الركعة في شأن الناسي هو ذلك ، ومن عدم إدراكه لمقدار الركعة التامة كما ينصرف إليها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في نسيان السجدة الإشكال المتقدم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 الصلاة الواقعة كذلك ، فعن كثير من الأصحاب منهم الشيخ في المبسوط </w:t>
      </w:r>
      <w:r>
        <w:rPr>
          <w:rStyle w:val="FootnoteAnchor"/>
          <w:rtl w:val="true"/>
        </w:rPr>
        <w:footnoteReference w:id="2601"/>
      </w:r>
      <w:r>
        <w:rPr>
          <w:rFonts w:ascii="IRNazanin" w:hAnsi="IRNazanin" w:eastAsia="IRNazanin"/>
          <w:color w:val="111111"/>
          <w:sz w:val="28"/>
          <w:sz w:val="28"/>
          <w:szCs w:val="28"/>
          <w:rtl w:val="true"/>
          <w:lang w:bidi="fa-IR"/>
        </w:rPr>
        <w:t xml:space="preserve">والخلاف </w:t>
      </w:r>
      <w:r>
        <w:rPr>
          <w:rStyle w:val="FootnoteAnchor"/>
          <w:rtl w:val="true"/>
        </w:rPr>
        <w:footnoteReference w:id="2602"/>
      </w:r>
      <w:r>
        <w:rPr>
          <w:rFonts w:ascii="IRNazanin" w:hAnsi="IRNazanin" w:eastAsia="IRNazanin"/>
          <w:color w:val="111111"/>
          <w:sz w:val="28"/>
          <w:sz w:val="28"/>
          <w:szCs w:val="28"/>
          <w:rtl w:val="true"/>
          <w:lang w:bidi="fa-IR"/>
        </w:rPr>
        <w:t xml:space="preserve">والفاضلان </w:t>
      </w:r>
      <w:r>
        <w:rPr>
          <w:rStyle w:val="FootnoteAnchor"/>
          <w:rtl w:val="true"/>
        </w:rPr>
        <w:footnoteReference w:id="2603"/>
      </w:r>
      <w:r>
        <w:rPr>
          <w:rFonts w:ascii="Amiri" w:hAnsi="Amiri" w:eastAsia="Amiri" w:cs="Amiri"/>
          <w:color w:val="111111"/>
          <w:sz w:val="28"/>
          <w:sz w:val="28"/>
          <w:szCs w:val="28"/>
          <w:rtl w:val="true"/>
          <w:lang w:bidi="ar-SA"/>
        </w:rPr>
        <w:t xml:space="preserve">والشهيدان </w:t>
      </w:r>
      <w:r>
        <w:rPr>
          <w:rStyle w:val="FootnoteAnchor"/>
          <w:rtl w:val="true"/>
        </w:rPr>
        <w:footnoteReference w:id="2604"/>
      </w:r>
      <w:r>
        <w:rPr>
          <w:rFonts w:ascii="Amiri" w:hAnsi="Amiri" w:eastAsia="Amiri" w:cs="Amiri"/>
          <w:color w:val="111111"/>
          <w:sz w:val="28"/>
          <w:sz w:val="28"/>
          <w:szCs w:val="28"/>
          <w:rtl w:val="true"/>
          <w:lang w:bidi="ar-SA"/>
        </w:rPr>
        <w:t xml:space="preserve">والصيمري والمحقق الكركي </w:t>
      </w:r>
      <w:r>
        <w:rPr>
          <w:rStyle w:val="FootnoteAnchor"/>
          <w:rtl w:val="true"/>
        </w:rPr>
        <w:footnoteReference w:id="2605"/>
      </w:r>
      <w:r>
        <w:rPr>
          <w:rFonts w:ascii="IRNazanin" w:hAnsi="IRNazanin" w:eastAsia="IRNazanin"/>
          <w:color w:val="111111"/>
          <w:sz w:val="28"/>
          <w:sz w:val="28"/>
          <w:szCs w:val="28"/>
          <w:rtl w:val="true"/>
          <w:lang w:bidi="fa-IR"/>
        </w:rPr>
        <w:t xml:space="preserve">أنها 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 </w:t>
      </w:r>
      <w:r>
        <w:rPr>
          <w:rStyle w:val="FootnoteAnchor"/>
          <w:rtl w:val="true"/>
        </w:rPr>
        <w:footnoteReference w:id="2606"/>
      </w:r>
      <w:r>
        <w:rPr>
          <w:rFonts w:ascii="Amiri" w:hAnsi="Amiri" w:eastAsia="Amiri" w:cs="Amiri"/>
          <w:color w:val="111111"/>
          <w:sz w:val="28"/>
          <w:sz w:val="28"/>
          <w:szCs w:val="28"/>
          <w:rtl w:val="true"/>
          <w:lang w:bidi="ar-SA"/>
        </w:rPr>
        <w:t xml:space="preserve">حكاية الإجماع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المقاصد </w:t>
      </w:r>
      <w:r>
        <w:rPr>
          <w:rStyle w:val="FootnoteAnchor"/>
          <w:rtl w:val="true"/>
        </w:rPr>
        <w:footnoteReference w:id="2607"/>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في المبسوط </w:t>
      </w:r>
      <w:r>
        <w:rPr>
          <w:rStyle w:val="FootnoteAnchor"/>
          <w:rtl w:val="true"/>
        </w:rPr>
        <w:footnoteReference w:id="2608"/>
      </w:r>
      <w:r>
        <w:rPr>
          <w:rFonts w:ascii="Amiri" w:hAnsi="Amiri" w:eastAsia="Amiri" w:cs="Amiri"/>
          <w:color w:val="111111"/>
          <w:sz w:val="28"/>
          <w:sz w:val="28"/>
          <w:szCs w:val="28"/>
          <w:rtl w:val="true"/>
          <w:lang w:bidi="ar-SA"/>
        </w:rPr>
        <w:t xml:space="preserve">عن بعض الأصحاب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منه عن بعض الأصحاب </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أيضا القول بالتعليق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له قائل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جماعة بأنه أضعف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ثمرة للنزاع في ذلك ؛ لوجوب الإتيان بها في ذلك الوقت ، وإن تقدمتها فائتة اخرى باتفاق من الجميع</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يثمر ذلك في النية ، وهو إنما قيّد بناء على وجوب تعيين الأداء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بمكان </w:t>
      </w:r>
    </w:p>
    <w:p>
      <w:pPr>
        <w:pStyle w:val="BookText"/>
        <w:rPr/>
      </w:pPr>
      <w:r>
        <w:rPr>
          <w:rFonts w:ascii="IRNazanin" w:hAnsi="IRNazanin" w:eastAsia="IRNazanin"/>
          <w:color w:val="111111"/>
          <w:sz w:val="28"/>
          <w:sz w:val="28"/>
          <w:szCs w:val="28"/>
          <w:rtl w:val="true"/>
          <w:lang w:bidi="fa-IR"/>
        </w:rPr>
        <w:t>من الوهن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أدرك الوقت </w:t>
      </w:r>
      <w:r>
        <w:rPr>
          <w:rFonts w:eastAsia="Amiri" w:cs="Amiri" w:ascii="Amiri" w:hAnsi="Amiri"/>
          <w:color w:val="111111"/>
          <w:sz w:val="28"/>
          <w:szCs w:val="28"/>
          <w:rtl w:val="true"/>
          <w:lang w:bidi="ar-SA"/>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أدرك الغداة تامة </w:t>
      </w:r>
      <w:r>
        <w:rPr>
          <w:rFonts w:eastAsia="Amiri" w:cs="Amiri" w:ascii="Amiri" w:hAnsi="Amiri"/>
          <w:color w:val="111111"/>
          <w:sz w:val="28"/>
          <w:szCs w:val="28"/>
          <w:rtl w:val="true"/>
          <w:lang w:bidi="ar-SA"/>
        </w:rPr>
        <w:t xml:space="preserve">»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ذلك إنما يفيد كون ذلك بمنزلة إدراك الركعة في 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الأدائية المصطلحة فلا معنى لثبوتها إلا إذا قيل بكون جميع الفعل واقعا في الوقت بأن يقال باستمرار الوقت في شأن المدرك للركعة إلى ما بعد الوقت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جدّا مخالف لظاهر الآية وسائر الأخبار المروية ، بل وما 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 إذ المفروض فيها إدراك ركعة من الوقت ، والحكم بأن إدراكها إدراك لكلّ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السرّ فيه أن أصل الصلاة هي الركعة الواحدة على ما يستفاد من بعض الأخبار ، والزيادات الحاصلة فيها من جهة تدارك النقص الحاصل في تلك الركعة حتى أنه أضيف إليها النوافل لتدارك ما وقع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قضية الروايات الواردة كونها بمنزلة الأداء في الأحكام ، وأما تسميته بالأداء فإنما يتبع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اختصاصه بما إذا وقع جميع الفعل في الوقت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القول بالقضائية ، والقول باختصاص آخر الوقت بآخر الصلاة ، فوقوع أولها فيه قاض بوقوعها خارجا عن وقتها ، فيكون الجميع خارجا عن الوقت ، بيّن الوهن ؛ إذ لا يعرف من الشرع اختصاص أبعاض الفعل بأبعاض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ما ورد في المقام لدلالته على وقوع تلك الركعة في الوقت ، وإلّا لم يكن إدراكا لشي‌ء من الوقت ، وما دلّ على صحة الصلاة بوقوع آخرها في أول الوقت كما مرّ ؛ إذ لو لا ذلك لم يكن ما ذكر إدراكا لشي‌ء من الوقت بالنسبة إلى ما توقّفه فيه في شي‌ء من المقامين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ضعف القول بالتلفيق أيضا ؛ إذ لم يتعرف من اصطلاحهم إطلاق القضاء والأداء على بعض الفعل ؛ وإنما ظاهر الاصطلاح هو اتّصاف جميع الفعل بأحد الوصفين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ويجري احتمال التلفيق بناء على ما وجّه به القول المذكور فيما لو أدرك أقلّ من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كما سيجي‌ء إن شاء اللّه كونه بمنزلة القضاء ، وإن جرى عليه في التسمية قضاء نحو ما ذكرناه ؛ نظرا إلى وقوع بعضها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يجري على الأول حكم الأداء ، وعلى الثاني حكم القضاء ، وإن كان هناك مناقشة في التسمية بالنسبة إلى الأمرين من جهة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الوقت عن إدراك الركعة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الأصحاب منهم الشيخ والعلامة أنه لا خلاف فيه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الخلاف </w:t>
      </w:r>
      <w:r>
        <w:rPr>
          <w:rStyle w:val="FootnoteAnchor"/>
          <w:rtl w:val="true"/>
        </w:rPr>
        <w:footnoteReference w:id="2612"/>
      </w:r>
      <w:r>
        <w:rPr>
          <w:rFonts w:ascii="Amiri" w:hAnsi="Amiri" w:eastAsia="Amiri" w:cs="Amiri"/>
          <w:color w:val="111111"/>
          <w:sz w:val="28"/>
          <w:sz w:val="28"/>
          <w:szCs w:val="28"/>
          <w:rtl w:val="true"/>
          <w:lang w:bidi="ar-SA"/>
        </w:rPr>
        <w:t>ومنتهى المطلب حيث حكم بسقوط الوجوب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المحقق </w:t>
      </w:r>
      <w:r>
        <w:rPr>
          <w:rStyle w:val="FootnoteAnchor"/>
          <w:rtl w:val="true"/>
        </w:rPr>
        <w:footnoteReference w:id="2613"/>
      </w:r>
      <w:r>
        <w:rPr>
          <w:rFonts w:ascii="Amiri" w:hAnsi="Amiri" w:eastAsia="Amiri" w:cs="Amiri"/>
          <w:color w:val="111111"/>
          <w:sz w:val="28"/>
          <w:sz w:val="28"/>
          <w:szCs w:val="28"/>
          <w:rtl w:val="true"/>
          <w:lang w:bidi="ar-SA"/>
        </w:rPr>
        <w:t>الميل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بذلك لكان مطابقا لمدلول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Style w:val="FootnoteAnchor"/>
          <w:rtl w:val="true"/>
        </w:rPr>
        <w:footnoteReference w:id="2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قضاء الفجر إذا طهرت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عليه بإطلاق عدة من الأخبار لدلالتها على وجوب الظهرين بطهرها قبل الغروب ، والعشاءين بطهرها قبل الفجر ؛ لصدق ذلك مع إدراك أقل الركعة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 إذ الميسور ما يؤديه في الوقت لا يسقط بالمعسور ، فيأتي به في الوقت ويكمله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الإطلاقات منزّلة على صورة إدراك الفعل في الوقت ولو بإدراك الركعة ، كما دلّ عليه غيرها ، كيف ولا قائل في الأصحاب بوجوب </w:t>
      </w:r>
      <w:r>
        <w:rPr>
          <w:rStyle w:val="FootnoteAnchor"/>
          <w:rtl w:val="true"/>
        </w:rPr>
        <w:footnoteReference w:id="2615"/>
      </w:r>
      <w:r>
        <w:rPr>
          <w:rFonts w:ascii="Amiri" w:hAnsi="Amiri" w:eastAsia="Amiri" w:cs="Amiri"/>
          <w:color w:val="111111"/>
          <w:sz w:val="28"/>
          <w:sz w:val="28"/>
          <w:szCs w:val="28"/>
          <w:rtl w:val="true"/>
          <w:lang w:bidi="ar-SA"/>
        </w:rPr>
        <w:t>الصلاتين بمحض طهارتها قبل الغروب أو الفجر ، مضافا إلى اعتضادها بالأصل وفتوى الأصحاب بل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مراعاة بعض الوقت ممّا لا دليل عليه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عدم سقوط الميسور بالمعسور على إطلاقه ممّا لا دليل عليه ، والروايات الّتي يستند إليها ضعيفه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 شمولها لمثل الصلاة مناقشة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قيل بالوجوب حينئذ ففي ثبوت قضاء الجميع خارجا عن الوقت مع تركها فيه ممّا لا دليل عليه ، فحكم الشيخ بلزوم قضاء الفجر ضعيف ، وشمول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Style w:val="FootnoteAnchor"/>
          <w:rtl w:val="true"/>
        </w:rPr>
        <w:footnoteReference w:id="2616"/>
      </w:r>
      <w:r>
        <w:rPr>
          <w:rFonts w:ascii="Amiri" w:hAnsi="Amiri" w:eastAsia="Amiri" w:cs="Amiri"/>
          <w:color w:val="111111"/>
          <w:sz w:val="28"/>
          <w:sz w:val="28"/>
          <w:szCs w:val="28"/>
          <w:rtl w:val="true"/>
          <w:lang w:bidi="ar-SA"/>
        </w:rPr>
        <w:t xml:space="preserve">جماعة من الأصحاب منهم الشيخ والعلامة </w:t>
      </w:r>
      <w:r>
        <w:rPr>
          <w:rStyle w:val="FootnoteAnchor"/>
          <w:rtl w:val="true"/>
        </w:rPr>
        <w:footnoteReference w:id="2617"/>
      </w:r>
      <w:r>
        <w:rPr>
          <w:rFonts w:ascii="Amiri" w:hAnsi="Amiri" w:eastAsia="Amiri" w:cs="Amiri"/>
          <w:color w:val="111111"/>
          <w:sz w:val="28"/>
          <w:sz w:val="28"/>
          <w:szCs w:val="28"/>
          <w:rtl w:val="true"/>
          <w:lang w:bidi="ar-SA"/>
        </w:rPr>
        <w:t>في عدة من كتبهما استحباب القضاء إذا أدركت أقلّ من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لإطلاق الأخبار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إلّا أن يكتفى </w:t>
      </w:r>
      <w:r>
        <w:rPr>
          <w:rStyle w:val="FootnoteAnchor"/>
          <w:rtl w:val="true"/>
        </w:rPr>
        <w:footnoteReference w:id="2618"/>
      </w:r>
      <w:r>
        <w:rPr>
          <w:rFonts w:ascii="Amiri" w:hAnsi="Amiri" w:eastAsia="Amiri" w:cs="Amiri"/>
          <w:color w:val="111111"/>
          <w:sz w:val="28"/>
          <w:sz w:val="28"/>
          <w:szCs w:val="28"/>
          <w:rtl w:val="true"/>
          <w:lang w:bidi="ar-SA"/>
        </w:rPr>
        <w:t>في ثبوت الاستحباب بمجرد قولهم تسامحا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يجوز تأخير الصلاة إلى أن يبقى ركعة من الوقت ، بل يتضيّق الفعل بتضييق الوقت ؛ أخذا بظاهر التوقيت الوارد في ظاهر الكتاب في الجملة والأخبار الكثيرة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يثبت </w:t>
      </w:r>
      <w:r>
        <w:rPr>
          <w:rStyle w:val="FootnoteAnchor"/>
          <w:rtl w:val="true"/>
        </w:rPr>
        <w:footnoteReference w:id="2619"/>
      </w:r>
      <w:r>
        <w:rPr>
          <w:rFonts w:ascii="Amiri" w:hAnsi="Amiri" w:eastAsia="Amiri" w:cs="Amiri"/>
          <w:color w:val="111111"/>
          <w:sz w:val="28"/>
          <w:sz w:val="28"/>
          <w:szCs w:val="28"/>
          <w:rtl w:val="true"/>
          <w:lang w:bidi="ar-SA"/>
        </w:rPr>
        <w:t>من أخبار الباب إدراك الصلاة بإدراك الركعة ، وهو لا يعطي جواز التأخير إليه ، فلا مقيّد لظاهر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الإيضاح </w:t>
      </w:r>
      <w:r>
        <w:rPr>
          <w:rStyle w:val="FootnoteAnchor"/>
          <w:rtl w:val="true"/>
        </w:rPr>
        <w:footnoteReference w:id="2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مقدار ثمان تضيّق الوقتان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في المقام جواز التأخير لدعوى ظهور الأخبار المتقدمة فيه ؛ إذ ظاهرها كون ذلك بمنزلة إدراك الوقت فيجوز التأخير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الحكم المذكور بالمضطرّ ، فلو تعمّد المختار التأخير إليه فالظاهر ثبوت الحكم ، وكونه بمنزلة إيقاع جميعه في الوقت وإن عصى في التأخير ، على 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الصبي في أثناء الوقت وجب عليه الإتيان بالصلاة إن أدرك منه مقدار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صلّى في أوّل الوقت فهل يجب عليه الإعادة إذا بقي الوقت ولو مقدار ركعة؟ </w:t>
      </w:r>
      <w:r>
        <w:rPr>
          <w:rFonts w:eastAsia="Amiri" w:cs="Amiri" w:ascii="Amiri" w:hAnsi="Amiri"/>
          <w:color w:val="111111"/>
          <w:sz w:val="28"/>
          <w:szCs w:val="28"/>
          <w:rtl w:val="true"/>
          <w:lang w:bidi="ar-SA"/>
        </w:rPr>
        <w:t xml:space="preserve">) </w:t>
      </w:r>
      <w:r>
        <w:rPr>
          <w:rStyle w:val="FootnoteAnchor"/>
          <w:rtl w:val="true"/>
        </w:rPr>
        <w:footnoteReference w:id="2621"/>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كان البلوغ في أثناء الصلاة ، فهل يقيّد بتلك الصلاة ويتمّها أو يجب عليه قطعها مع ضيق الوقت عن الاتمام والإعادة؟ فعن جماعة من الأصحاب منهم الشيخ في الخلاف </w:t>
      </w:r>
      <w:r>
        <w:rPr>
          <w:rStyle w:val="FootnoteAnchor"/>
          <w:rtl w:val="true"/>
        </w:rPr>
        <w:footnoteReference w:id="2622"/>
      </w: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2623"/>
      </w:r>
      <w:r>
        <w:rPr>
          <w:rFonts w:ascii="Amiri" w:hAnsi="Amiri" w:eastAsia="Amiri" w:cs="Amiri"/>
          <w:color w:val="111111"/>
          <w:sz w:val="28"/>
          <w:sz w:val="28"/>
          <w:szCs w:val="28"/>
          <w:rtl w:val="true"/>
          <w:lang w:bidi="ar-SA"/>
        </w:rPr>
        <w:t xml:space="preserve">والعلامة </w:t>
      </w:r>
      <w:r>
        <w:rPr>
          <w:rStyle w:val="FootnoteAnchor"/>
          <w:rtl w:val="true"/>
        </w:rPr>
        <w:footnoteReference w:id="2624"/>
      </w:r>
      <w:r>
        <w:rPr>
          <w:rFonts w:ascii="Amiri" w:hAnsi="Amiri" w:eastAsia="Amiri" w:cs="Amiri"/>
          <w:color w:val="111111"/>
          <w:sz w:val="28"/>
          <w:sz w:val="28"/>
          <w:szCs w:val="28"/>
          <w:rtl w:val="true"/>
          <w:lang w:bidi="ar-SA"/>
        </w:rPr>
        <w:t xml:space="preserve">والشهيد </w:t>
      </w:r>
      <w:r>
        <w:rPr>
          <w:rStyle w:val="FootnoteAnchor"/>
          <w:rtl w:val="true"/>
        </w:rPr>
        <w:footnoteReference w:id="2625"/>
      </w:r>
      <w:r>
        <w:rPr>
          <w:rFonts w:ascii="Amiri" w:hAnsi="Amiri" w:eastAsia="Amiri" w:cs="Amiri"/>
          <w:color w:val="111111"/>
          <w:sz w:val="28"/>
          <w:sz w:val="28"/>
          <w:szCs w:val="28"/>
          <w:rtl w:val="true"/>
          <w:lang w:bidi="ar-SA"/>
        </w:rPr>
        <w:t xml:space="preserve">في جملة من كتبهما وابن فهد والمحقق الكركي </w:t>
      </w:r>
      <w:r>
        <w:rPr>
          <w:rStyle w:val="FootnoteAnchor"/>
          <w:rtl w:val="true"/>
        </w:rPr>
        <w:footnoteReference w:id="2626"/>
      </w:r>
      <w:r>
        <w:rPr>
          <w:rFonts w:ascii="Amiri" w:hAnsi="Amiri" w:eastAsia="Amiri" w:cs="Amiri"/>
          <w:color w:val="111111"/>
          <w:sz w:val="28"/>
          <w:sz w:val="28"/>
          <w:szCs w:val="28"/>
          <w:rtl w:val="true"/>
          <w:lang w:bidi="ar-SA"/>
        </w:rPr>
        <w:t xml:space="preserve">وصاحب المدارك </w:t>
      </w:r>
      <w:r>
        <w:rPr>
          <w:rStyle w:val="FootnoteAnchor"/>
          <w:rtl w:val="true"/>
        </w:rPr>
        <w:footnoteReference w:id="2627"/>
      </w:r>
      <w:r>
        <w:rPr>
          <w:rFonts w:ascii="Amiri" w:hAnsi="Amiri" w:eastAsia="Amiri" w:cs="Amiri"/>
          <w:color w:val="111111"/>
          <w:sz w:val="28"/>
          <w:sz w:val="28"/>
          <w:szCs w:val="28"/>
          <w:rtl w:val="true"/>
          <w:lang w:bidi="ar-SA"/>
        </w:rPr>
        <w:t>وجوب الاستيناف لو بلغ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بعض هؤلاء على بقاء مقدار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يستظهر ذلك من إطلاق النهاية والتحرير حيث اعتبر سعة الوقت للطهارة </w:t>
      </w:r>
      <w:r>
        <w:rPr>
          <w:rFonts w:eastAsia="Amiri" w:cs="Amiri" w:ascii="Amiri" w:hAnsi="Amiri"/>
          <w:color w:val="111111"/>
          <w:sz w:val="28"/>
          <w:szCs w:val="28"/>
          <w:rtl w:val="true"/>
          <w:lang w:bidi="ar-SA"/>
        </w:rPr>
        <w:t xml:space="preserve">) </w:t>
      </w:r>
      <w:r>
        <w:rPr>
          <w:rStyle w:val="FootnoteAnchor"/>
          <w:rtl w:val="true"/>
        </w:rPr>
        <w:footnoteReference w:id="2629"/>
      </w:r>
      <w:r>
        <w:rPr>
          <w:rFonts w:ascii="Amiri" w:hAnsi="Amiri" w:eastAsia="Amiri" w:cs="Amiri"/>
          <w:color w:val="111111"/>
          <w:sz w:val="28"/>
          <w:sz w:val="28"/>
          <w:szCs w:val="28"/>
          <w:rtl w:val="true"/>
          <w:lang w:bidi="ar-SA"/>
        </w:rPr>
        <w:t>إذا بلغ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والمصرّح به في التذكرة </w:t>
      </w:r>
      <w:r>
        <w:rPr>
          <w:rStyle w:val="FootnoteAnchor"/>
          <w:rtl w:val="true"/>
        </w:rPr>
        <w:footnoteReference w:id="2630"/>
      </w:r>
      <w:r>
        <w:rPr>
          <w:rFonts w:ascii="Amiri" w:hAnsi="Amiri" w:eastAsia="Amiri" w:cs="Amiri"/>
          <w:color w:val="111111"/>
          <w:sz w:val="28"/>
          <w:sz w:val="28"/>
          <w:szCs w:val="28"/>
          <w:rtl w:val="true"/>
          <w:lang w:bidi="ar-SA"/>
        </w:rPr>
        <w:t>فيمن بلغ في الوقت أن اعتبار اتّساع الوقت للطهارة مقصور على ما إذا لم تكن متطهّرا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أنه لو قيل بصحة عباداته لزم القول بالصحة في الطهارة والصلاة ، فكيف </w:t>
      </w:r>
    </w:p>
    <w:p>
      <w:pPr>
        <w:pStyle w:val="BookText"/>
        <w:rPr/>
      </w:pPr>
      <w:r>
        <w:rPr>
          <w:rFonts w:ascii="Amiri" w:hAnsi="Amiri" w:eastAsia="Amiri" w:cs="Amiri"/>
          <w:color w:val="111111"/>
          <w:sz w:val="28"/>
          <w:sz w:val="28"/>
          <w:szCs w:val="28"/>
          <w:rtl w:val="true"/>
          <w:lang w:bidi="ar-SA"/>
        </w:rPr>
        <w:t xml:space="preserve">نصّ على لزوم إعادة الصلاة ، ولا وجب القول بالفساد فيهما فكيف يكتفى بالطهارة </w:t>
      </w:r>
      <w:r>
        <w:rPr>
          <w:rStyle w:val="FootnoteAnchor"/>
          <w:rtl w:val="true"/>
        </w:rPr>
        <w:footnoteReference w:id="263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في المبسوط </w:t>
      </w:r>
      <w:r>
        <w:rPr>
          <w:rStyle w:val="FootnoteAnchor"/>
          <w:rtl w:val="true"/>
        </w:rPr>
        <w:footnoteReference w:id="2633"/>
      </w:r>
      <w:r>
        <w:rPr>
          <w:rFonts w:ascii="Amiri" w:hAnsi="Amiri" w:eastAsia="Amiri" w:cs="Amiri"/>
          <w:color w:val="111111"/>
          <w:sz w:val="28"/>
          <w:sz w:val="28"/>
          <w:szCs w:val="28"/>
          <w:rtl w:val="true"/>
          <w:lang w:bidi="ar-SA"/>
        </w:rPr>
        <w:t xml:space="preserve">وموضع من التحرير </w:t>
      </w:r>
      <w:r>
        <w:rPr>
          <w:rStyle w:val="FootnoteAnchor"/>
          <w:rtl w:val="true"/>
        </w:rPr>
        <w:footnoteReference w:id="2634"/>
      </w:r>
      <w:r>
        <w:rPr>
          <w:rFonts w:ascii="Amiri" w:hAnsi="Amiri" w:eastAsia="Amiri" w:cs="Amiri"/>
          <w:color w:val="111111"/>
          <w:sz w:val="28"/>
          <w:sz w:val="28"/>
          <w:szCs w:val="28"/>
          <w:rtl w:val="true"/>
          <w:lang w:bidi="ar-SA"/>
        </w:rPr>
        <w:t>بأنه يتمّ ما بقي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في نهاية الإحكام </w:t>
      </w:r>
      <w:r>
        <w:rPr>
          <w:rStyle w:val="FootnoteAnchor"/>
          <w:rtl w:val="true"/>
        </w:rPr>
        <w:footnoteReference w:id="2635"/>
      </w:r>
      <w:r>
        <w:rPr>
          <w:rFonts w:ascii="Amiri" w:hAnsi="Amiri" w:eastAsia="Amiri" w:cs="Amiri"/>
          <w:color w:val="111111"/>
          <w:sz w:val="28"/>
          <w:sz w:val="28"/>
          <w:szCs w:val="28"/>
          <w:rtl w:val="true"/>
          <w:lang w:bidi="ar-SA"/>
        </w:rPr>
        <w:t>وظاهره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يحتجّ له بحرمة قطع العمل ، فهو مأمور بالإتمام ، وهو يقضي بحصول الامتثال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التذكرة </w:t>
      </w:r>
      <w:r>
        <w:rPr>
          <w:rStyle w:val="FootnoteAnchor"/>
          <w:rtl w:val="true"/>
        </w:rPr>
        <w:footnoteReference w:id="2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في أثناء الصلاة بغير المفسد استحب له أن </w:t>
      </w:r>
      <w:r>
        <w:rPr>
          <w:rStyle w:val="FootnoteAnchor"/>
          <w:rtl w:val="true"/>
        </w:rPr>
        <w:footnoteReference w:id="2637"/>
      </w:r>
      <w:r>
        <w:rPr>
          <w:rFonts w:ascii="Amiri" w:hAnsi="Amiri" w:eastAsia="Amiri" w:cs="Amiri"/>
          <w:color w:val="111111"/>
          <w:sz w:val="28"/>
          <w:sz w:val="28"/>
          <w:szCs w:val="28"/>
          <w:rtl w:val="true"/>
          <w:lang w:bidi="ar-SA"/>
        </w:rPr>
        <w:t>يتمّ ويعيد بعد ذلك إن كان الوقت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المقصود فيه استحباب الإتمام بالخصوص إن وجب عنده الإعادة كما هو قضية حكمه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عليه عبارة المبسوط والتحرير ، فيرجع إلى القول الأول إلا أنّه لا داعي له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الأول أنه إنما تعلّق به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البلوغ فيجب عليه امتثال ما كلّف به وما أتى به أولا إنما كان قبل تعلق الكليف فلا ثمرة له في حصول الامتثال وهو قوي إلا أنا لأظهر ابتناء المسألة على كون عبادات الصبي شرعية مندوبة بحسب الشريعة لتتصف بالصحة الشرعية أو أنها تمرينية محضة فعلى الأول كما هو الأظهر إن كان ما أتى به جامعا لشرائط الصحة قوي الاكتفاء به إذ المطلوب منه إيقاع الصلاة اليومية وقد أتى به على النحو المشروع فصار مسقطا فلا يتعلق به أمر بعد الإتمام حتى يفتقر إلى تحصيل الامتثال لوقوع الفعل منه على الوجه الصحيح ولا يظهر من الشرع مطلوبية إيقاع الصلاة الصحيحة مرتين في المقام ، فالمطلوب منه </w:t>
      </w:r>
    </w:p>
    <w:p>
      <w:pPr>
        <w:pStyle w:val="BookText"/>
        <w:rPr/>
      </w:pPr>
      <w:r>
        <w:rPr>
          <w:rFonts w:ascii="Amiri" w:hAnsi="Amiri" w:eastAsia="Amiri" w:cs="Amiri"/>
          <w:color w:val="111111"/>
          <w:sz w:val="28"/>
          <w:sz w:val="28"/>
          <w:szCs w:val="28"/>
          <w:rtl w:val="true"/>
          <w:lang w:bidi="ar-SA"/>
        </w:rPr>
        <w:t>صلاة واحدة يتصف قبل البلوغ بالندب وبعده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الوجوب في الأثناء اتصف الفعل بالوجوب بعد اتصافه بالندب ولا داعي إلى الإبطال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يعدل بالنية إن قلنا بوجوب نية الوجه ولو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فلا ينبغي التأمل في وجوب الإعادة عليه بل وتركها والاستيناف لو بلغ في الأثناء وليس ذلك من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نسلم شمول ما دل على المنع منه لمثله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الكركي </w:t>
      </w:r>
      <w:r>
        <w:rPr>
          <w:rStyle w:val="FootnoteAnchor"/>
          <w:rtl w:val="true"/>
        </w:rPr>
        <w:footnoteReference w:id="2638"/>
      </w:r>
      <w:r>
        <w:rPr>
          <w:rFonts w:ascii="Amiri" w:hAnsi="Amiri" w:eastAsia="Amiri" w:cs="Amiri"/>
          <w:color w:val="111111"/>
          <w:sz w:val="28"/>
          <w:sz w:val="28"/>
          <w:szCs w:val="28"/>
          <w:rtl w:val="true"/>
          <w:lang w:bidi="ar-SA"/>
        </w:rPr>
        <w:t xml:space="preserve">في ابتناء المسألة على ذلك وتبعه صاحب المدارك </w:t>
      </w:r>
      <w:r>
        <w:rPr>
          <w:rStyle w:val="FootnoteAnchor"/>
          <w:rtl w:val="true"/>
        </w:rPr>
        <w:footnoteReference w:id="2639"/>
      </w:r>
      <w:r>
        <w:rPr>
          <w:rFonts w:ascii="Amiri" w:hAnsi="Amiri" w:eastAsia="Amiri" w:cs="Amiri"/>
          <w:color w:val="111111"/>
          <w:sz w:val="28"/>
          <w:sz w:val="28"/>
          <w:szCs w:val="28"/>
          <w:rtl w:val="true"/>
          <w:lang w:bidi="ar-SA"/>
        </w:rPr>
        <w:t xml:space="preserve">، وعلّله في جامع المقاصد </w:t>
      </w:r>
      <w:r>
        <w:rPr>
          <w:rStyle w:val="FootnoteAnchor"/>
          <w:rtl w:val="true"/>
        </w:rPr>
        <w:footnoteReference w:id="2640"/>
      </w:r>
      <w:r>
        <w:rPr>
          <w:rFonts w:ascii="Amiri" w:hAnsi="Amiri" w:eastAsia="Amiri" w:cs="Amiri"/>
          <w:color w:val="111111"/>
          <w:sz w:val="28"/>
          <w:sz w:val="28"/>
          <w:szCs w:val="28"/>
          <w:rtl w:val="true"/>
          <w:lang w:bidi="ar-SA"/>
        </w:rPr>
        <w:t>بأنه يجب عليه الاستيناف على القولين أما على التمرين فظاهر وأما على المشروعية فلعدم وجوبه عليه قبل البلوغ فلا يجتزى به عن الواجب مضافا إلى عدم تعلق التكليف به بعد فلا يعقل حصول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تفصيل التذكرة </w:t>
      </w:r>
      <w:r>
        <w:rPr>
          <w:rStyle w:val="FootnoteAnchor"/>
          <w:rtl w:val="true"/>
        </w:rPr>
        <w:footnoteReference w:id="2641"/>
      </w:r>
      <w:r>
        <w:rPr>
          <w:rFonts w:ascii="Amiri" w:hAnsi="Amiri" w:eastAsia="Amiri" w:cs="Amiri"/>
          <w:color w:val="111111"/>
          <w:sz w:val="28"/>
          <w:sz w:val="28"/>
          <w:szCs w:val="28"/>
          <w:rtl w:val="true"/>
          <w:lang w:bidi="ar-SA"/>
        </w:rPr>
        <w:t>بين الطهارة والصلاة لارتفاع الحدث بالطهارة المندوبة ومعه لا يجب إعادة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 إذ تعلق الخطاب بالصلاة مع ذلك غير معلوم بل الظاهر خلافه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الأصل عدمه مضافا إلى أن الظاهر من الشرع عدم تعلق الخطاب بصلاتين كذلك حسبما قرّرناه</w:t>
      </w:r>
      <w:r>
        <w:rPr>
          <w:rFonts w:eastAsia="Amiri" w:cs="Amiri" w:ascii="Amiri" w:hAnsi="Amiri"/>
          <w:color w:val="111111"/>
          <w:sz w:val="28"/>
          <w:szCs w:val="28"/>
          <w:rtl w:val="true"/>
          <w:lang w:bidi="ar-SA"/>
        </w:rPr>
        <w:t xml:space="preserve">. </w:t>
      </w:r>
      <w:bookmarkStart w:id="496" w:name="pg15839_361159"/>
    </w:p>
    <w:p>
      <w:pPr>
        <w:pStyle w:val="Heading4"/>
        <w:numPr>
          <w:ilvl w:val="3"/>
          <w:numId w:val="1"/>
        </w:numPr>
        <w:rPr/>
      </w:pPr>
      <w:bookmarkStart w:id="497" w:name="__RefHeading___Toc14338661_2142443653"/>
      <w:bookmarkStart w:id="498" w:name="_Toc183"/>
      <w:bookmarkEnd w:id="496"/>
      <w:bookmarkEnd w:id="497"/>
      <w:r>
        <w:rPr>
          <w:rtl w:val="true"/>
        </w:rPr>
        <w:t>تبصرة</w:t>
      </w:r>
      <w:r>
        <w:rPr>
          <w:rtl w:val="true"/>
        </w:rPr>
        <w:t xml:space="preserve">: [ </w:t>
      </w:r>
      <w:r>
        <w:rPr>
          <w:rtl w:val="true"/>
        </w:rPr>
        <w:t xml:space="preserve">في الإتيان بالنافلة في وقت الفريضة </w:t>
      </w:r>
      <w:r>
        <w:rPr>
          <w:rtl w:val="true"/>
        </w:rPr>
        <w:t>]</w:t>
      </w:r>
      <w:bookmarkEnd w:id="498"/>
    </w:p>
    <w:p>
      <w:pPr>
        <w:pStyle w:val="BookText"/>
        <w:rPr/>
      </w:pPr>
      <w:r>
        <w:rPr>
          <w:rFonts w:ascii="Amiri" w:hAnsi="Amiri" w:eastAsia="Amiri" w:cs="Amiri"/>
          <w:color w:val="111111"/>
          <w:sz w:val="28"/>
          <w:sz w:val="28"/>
          <w:szCs w:val="28"/>
          <w:rtl w:val="true"/>
          <w:lang w:bidi="ar-SA"/>
        </w:rPr>
        <w:t>اختلف الأصحاب في الإتيان بالنافلة في وقت الفريضة ما عدا الرواتب اليومية في أوقاتها المقررة كالذراع والذراعين بالنسبة إلى نوافل الظهرين بناء على التحديد بهما ، فالمعروف من مذهب المتقدمين على ما يستفاد من كلام جماعة من الأصحاب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وأسنده في المعتبر </w:t>
      </w:r>
      <w:r>
        <w:rPr>
          <w:rStyle w:val="FootnoteAnchor"/>
          <w:rtl w:val="true"/>
        </w:rPr>
        <w:footnoteReference w:id="2642"/>
      </w:r>
      <w:r>
        <w:rPr>
          <w:rFonts w:ascii="Amiri" w:hAnsi="Amiri" w:eastAsia="Amiri" w:cs="Amiri"/>
          <w:color w:val="111111"/>
          <w:sz w:val="28"/>
          <w:sz w:val="28"/>
          <w:szCs w:val="28"/>
          <w:rtl w:val="true"/>
          <w:lang w:bidi="ar-SA"/>
        </w:rPr>
        <w:t>إلى علمائنا مؤذنا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الشهيدان </w:t>
      </w:r>
      <w:r>
        <w:rPr>
          <w:rStyle w:val="FootnoteAnchor"/>
          <w:rtl w:val="true"/>
        </w:rPr>
        <w:footnoteReference w:id="2643"/>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644"/>
      </w:r>
      <w:r>
        <w:rPr>
          <w:rFonts w:ascii="Amiri" w:hAnsi="Amiri" w:eastAsia="Amiri" w:cs="Amiri"/>
          <w:color w:val="111111"/>
          <w:sz w:val="28"/>
          <w:sz w:val="28"/>
          <w:szCs w:val="28"/>
          <w:rtl w:val="true"/>
          <w:lang w:bidi="ar-SA"/>
        </w:rPr>
        <w:t>عليه الشهرة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تعليق المدارك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بالمنع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القول به عن الشيخين </w:t>
      </w:r>
      <w:r>
        <w:rPr>
          <w:rStyle w:val="FootnoteAnchor"/>
          <w:rtl w:val="true"/>
        </w:rPr>
        <w:footnoteReference w:id="2646"/>
      </w:r>
      <w:r>
        <w:rPr>
          <w:rFonts w:ascii="Amiri" w:hAnsi="Amiri" w:eastAsia="Amiri" w:cs="Amiri"/>
          <w:color w:val="111111"/>
          <w:sz w:val="28"/>
          <w:sz w:val="28"/>
          <w:szCs w:val="28"/>
          <w:rtl w:val="true"/>
          <w:lang w:bidi="ar-SA"/>
        </w:rPr>
        <w:t xml:space="preserve">والطوسي </w:t>
      </w:r>
      <w:r>
        <w:rPr>
          <w:rStyle w:val="FootnoteAnchor"/>
          <w:rtl w:val="true"/>
        </w:rPr>
        <w:footnoteReference w:id="2647"/>
      </w:r>
      <w:r>
        <w:rPr>
          <w:rFonts w:ascii="Amiri" w:hAnsi="Amiri" w:eastAsia="Amiri" w:cs="Amiri"/>
          <w:color w:val="111111"/>
          <w:sz w:val="28"/>
          <w:sz w:val="28"/>
          <w:szCs w:val="28"/>
          <w:rtl w:val="true"/>
          <w:lang w:bidi="ar-SA"/>
        </w:rPr>
        <w:t xml:space="preserve">والحلي </w:t>
      </w:r>
      <w:r>
        <w:rPr>
          <w:rStyle w:val="FootnoteAnchor"/>
          <w:rtl w:val="true"/>
        </w:rPr>
        <w:footnoteReference w:id="2648"/>
      </w:r>
      <w:r>
        <w:rPr>
          <w:rFonts w:ascii="IRNazanin" w:hAnsi="IRNazanin" w:eastAsia="IRNazanin"/>
          <w:color w:val="111111"/>
          <w:sz w:val="28"/>
          <w:sz w:val="28"/>
          <w:szCs w:val="28"/>
          <w:rtl w:val="true"/>
          <w:lang w:bidi="fa-IR"/>
        </w:rPr>
        <w:t xml:space="preserve">والمحقق </w:t>
      </w:r>
      <w:r>
        <w:rPr>
          <w:rStyle w:val="FootnoteAnchor"/>
          <w:rtl w:val="true"/>
        </w:rPr>
        <w:footnoteReference w:id="2649"/>
      </w:r>
      <w:r>
        <w:rPr>
          <w:rFonts w:ascii="Amiri" w:hAnsi="Amiri" w:eastAsia="Amiri" w:cs="Amiri"/>
          <w:color w:val="111111"/>
          <w:sz w:val="28"/>
          <w:sz w:val="28"/>
          <w:szCs w:val="28"/>
          <w:rtl w:val="true"/>
          <w:lang w:bidi="ar-SA"/>
        </w:rPr>
        <w:t xml:space="preserve">والعلامة </w:t>
      </w:r>
      <w:r>
        <w:rPr>
          <w:rStyle w:val="FootnoteAnchor"/>
          <w:rtl w:val="true"/>
        </w:rPr>
        <w:footnoteReference w:id="2650"/>
      </w:r>
      <w:r>
        <w:rPr>
          <w:rFonts w:ascii="Amiri" w:hAnsi="Amiri" w:eastAsia="Amiri" w:cs="Amiri"/>
          <w:color w:val="111111"/>
          <w:sz w:val="28"/>
          <w:sz w:val="28"/>
          <w:szCs w:val="28"/>
          <w:rtl w:val="true"/>
          <w:lang w:bidi="ar-SA"/>
        </w:rPr>
        <w:t>في أكثر كتبه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الشهيدين </w:t>
      </w:r>
      <w:r>
        <w:rPr>
          <w:rStyle w:val="FootnoteAnchor"/>
          <w:rtl w:val="true"/>
        </w:rPr>
        <w:footnoteReference w:id="2651"/>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652"/>
      </w:r>
      <w:r>
        <w:rPr>
          <w:rFonts w:ascii="Amiri" w:hAnsi="Amiri" w:eastAsia="Amiri" w:cs="Amiri"/>
          <w:color w:val="111111"/>
          <w:sz w:val="28"/>
          <w:sz w:val="28"/>
          <w:szCs w:val="28"/>
          <w:rtl w:val="true"/>
          <w:lang w:bidi="ar-SA"/>
        </w:rPr>
        <w:t xml:space="preserve">والفاضل الأردبيلي </w:t>
      </w:r>
      <w:r>
        <w:rPr>
          <w:rStyle w:val="FootnoteAnchor"/>
          <w:rtl w:val="true"/>
        </w:rPr>
        <w:footnoteReference w:id="2653"/>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بانعقاد </w:t>
      </w:r>
    </w:p>
    <w:p>
      <w:pPr>
        <w:pStyle w:val="BookText"/>
        <w:rPr/>
      </w:pPr>
      <w:r>
        <w:rPr>
          <w:rFonts w:ascii="Amiri" w:hAnsi="Amiri" w:eastAsia="Amiri" w:cs="Amiri"/>
          <w:color w:val="111111"/>
          <w:sz w:val="28"/>
          <w:sz w:val="28"/>
          <w:szCs w:val="28"/>
          <w:rtl w:val="true"/>
          <w:lang w:bidi="ar-SA"/>
        </w:rPr>
        <w:t>النافلة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بعضهم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Style w:val="FootnoteAnchor"/>
          <w:rtl w:val="true"/>
        </w:rPr>
        <w:footnoteReference w:id="2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انعقاد النافلة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2655"/>
      </w:r>
      <w:r>
        <w:rPr>
          <w:rFonts w:ascii="Amiri" w:hAnsi="Amiri" w:eastAsia="Amiri" w:cs="Amiri"/>
          <w:color w:val="111111"/>
          <w:sz w:val="28"/>
          <w:sz w:val="28"/>
          <w:szCs w:val="28"/>
          <w:rtl w:val="true"/>
          <w:lang w:bidi="ar-SA"/>
        </w:rPr>
        <w:t xml:space="preserve">عند بيان حكم التنفل بعد العصر والصبح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بين المانعين في أن النهي عن الصلاة بعد العصر متعلّق بفعل الصلاة حتى لم يصل لم يكره له التنفل وإن صلّى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بعد الصبح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ذلك إلى عدم علمه بمخالف في جواز النافلة من غير كراهة قبل فعل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والأظهر بملاحظة الأخبار هو القول بالجواز وانعقاد النافلة إلا إذا تضيق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المعتبرة المستفيضة المؤيّدة بالأصل بناء على إجراء الأصل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الرواية التي يروون أنه لا تطوّع في وقت فريضة ، ما حدّ هذا الوقت؟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المقيم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يختلفون في الإقامة؟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المقيم الذي يصلي معه </w:t>
      </w:r>
      <w:r>
        <w:rPr>
          <w:rFonts w:eastAsia="Amiri" w:cs="Amiri" w:ascii="Amiri" w:hAnsi="Amiri"/>
          <w:color w:val="111111"/>
          <w:sz w:val="28"/>
          <w:szCs w:val="28"/>
          <w:rtl w:val="true"/>
          <w:lang w:bidi="ar-SA"/>
        </w:rPr>
        <w:t xml:space="preserve">» </w:t>
      </w:r>
      <w:r>
        <w:rPr>
          <w:rStyle w:val="FootnoteAnchor"/>
          <w:rtl w:val="true"/>
        </w:rPr>
        <w:footnoteReference w:id="2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ظاهرة على جواز التطوع مطلقا قبل إقامة المقيم للجماعة التي يصلي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وقت فريضة نافلة؟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أول الوقت إذا كنت مع إمام يقتدى به فإذا كنت وحدك بدأت بالمكتوبة </w:t>
      </w:r>
      <w:r>
        <w:rPr>
          <w:rFonts w:eastAsia="Amiri" w:cs="Amiri" w:ascii="Amiri" w:hAnsi="Amiri"/>
          <w:color w:val="111111"/>
          <w:sz w:val="28"/>
          <w:szCs w:val="28"/>
          <w:rtl w:val="true"/>
          <w:lang w:bidi="ar-SA"/>
        </w:rPr>
        <w:t xml:space="preserve">»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أيضا كالرواية المتقدمة </w:t>
      </w:r>
      <w:r>
        <w:rPr>
          <w:rFonts w:eastAsia="Amiri" w:cs="Amiri" w:ascii="Amiri" w:hAnsi="Amiri"/>
          <w:color w:val="111111"/>
          <w:sz w:val="28"/>
          <w:szCs w:val="28"/>
          <w:rtl w:val="true"/>
          <w:lang w:bidi="ar-SA"/>
        </w:rPr>
        <w:t xml:space="preserve">) </w:t>
      </w:r>
      <w:r>
        <w:rPr>
          <w:rStyle w:val="FootnoteAnchor"/>
          <w:rtl w:val="true"/>
        </w:rPr>
        <w:footnoteReference w:id="2658"/>
      </w:r>
      <w:r>
        <w:rPr>
          <w:rFonts w:ascii="Amiri" w:hAnsi="Amiri" w:eastAsia="Amiri" w:cs="Amiri"/>
          <w:color w:val="111111"/>
          <w:sz w:val="28"/>
          <w:sz w:val="28"/>
          <w:szCs w:val="28"/>
          <w:rtl w:val="true"/>
          <w:lang w:bidi="ar-SA"/>
        </w:rPr>
        <w:t>دلالة واضحة على أن مجرد وجود الفريضة في الذمة لا يقضي بالمنع من النافلة أو بمجرد تأخير الفريضة لأجل إدراك الجماعة حكم بتسويغ النافلة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الرجل يأتي المسجد وقد صلّى أهله أيبتدئ بالمكتوبة أو يتطوع؟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حسن فلا بأس بالتطوع قبل الفريضة ، وإن كان خاف الفوت </w:t>
      </w:r>
    </w:p>
    <w:p>
      <w:pPr>
        <w:pStyle w:val="BookText"/>
        <w:rPr/>
      </w:pPr>
      <w:r>
        <w:rPr>
          <w:rFonts w:ascii="Amiri" w:hAnsi="Amiri" w:eastAsia="Amiri" w:cs="Amiri"/>
          <w:color w:val="111111"/>
          <w:sz w:val="28"/>
          <w:sz w:val="28"/>
          <w:szCs w:val="28"/>
          <w:rtl w:val="true"/>
          <w:lang w:bidi="ar-SA"/>
        </w:rPr>
        <w:t>من أجل ما مضى من الوقت فليبدأ بالفريضة ، وهو حقّ اللّه ، ثم ليتطوّع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هو موسّع أن يصلي الانسان في أول دخول وقت الفريضة النوافل إلا أن يخاف فوت </w:t>
      </w:r>
      <w:r>
        <w:rPr>
          <w:rStyle w:val="FootnoteAnchor"/>
          <w:rtl w:val="true"/>
        </w:rPr>
        <w:footnoteReference w:id="2659"/>
      </w:r>
      <w:r>
        <w:rPr>
          <w:rFonts w:ascii="Amiri" w:hAnsi="Amiri" w:eastAsia="Amiri" w:cs="Amiri"/>
          <w:color w:val="111111"/>
          <w:sz w:val="28"/>
          <w:sz w:val="28"/>
          <w:szCs w:val="28"/>
          <w:rtl w:val="true"/>
          <w:lang w:bidi="ar-SA"/>
        </w:rPr>
        <w:t xml:space="preserve">الفريضة ، والفضل إذا صلّى الإنسان وحده أن يبدأ بالفريضة إذا دخل وقتها فيكون فضل أول الوقت للفريضة ، فليس </w:t>
      </w:r>
      <w:r>
        <w:rPr>
          <w:rStyle w:val="FootnoteAnchor"/>
          <w:rtl w:val="true"/>
        </w:rPr>
        <w:footnoteReference w:id="2660"/>
      </w:r>
      <w:r>
        <w:rPr>
          <w:rFonts w:ascii="Amiri" w:hAnsi="Amiri" w:eastAsia="Amiri" w:cs="Amiri"/>
          <w:color w:val="111111"/>
          <w:sz w:val="28"/>
          <w:sz w:val="28"/>
          <w:szCs w:val="28"/>
          <w:rtl w:val="true"/>
          <w:lang w:bidi="ar-SA"/>
        </w:rPr>
        <w:t xml:space="preserve">بمحظور عليه أن يصلي النوافل في أول الوقت إلى قريب من آخر الوقت </w:t>
      </w:r>
      <w:r>
        <w:rPr>
          <w:rFonts w:eastAsia="Amiri" w:cs="Amiri" w:ascii="Amiri" w:hAnsi="Amiri"/>
          <w:color w:val="111111"/>
          <w:sz w:val="28"/>
          <w:szCs w:val="28"/>
          <w:rtl w:val="true"/>
          <w:lang w:bidi="ar-SA"/>
        </w:rPr>
        <w:t xml:space="preserve">»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الموثقة بيّنة الدلالة على المقصود ، وحمله على خصوص الرواتب لا شاهد عليه سيّما مع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ليتطوع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مطلق النوافل </w:t>
      </w:r>
      <w:r>
        <w:rPr>
          <w:rStyle w:val="FootnoteAnchor"/>
          <w:rtl w:val="true"/>
        </w:rPr>
        <w:footnoteReference w:id="2662"/>
      </w:r>
      <w:r>
        <w:rPr>
          <w:rFonts w:ascii="Amiri" w:hAnsi="Amiri" w:eastAsia="Amiri" w:cs="Amiri"/>
          <w:color w:val="111111"/>
          <w:sz w:val="28"/>
          <w:sz w:val="28"/>
          <w:szCs w:val="28"/>
          <w:rtl w:val="true"/>
          <w:lang w:bidi="ar-SA"/>
        </w:rPr>
        <w:t>؛ إذ التزامه لها حدّ معلوم لا يتقدّر بمشيّة الفاعل ، على أنها لو حملت على الرواتب كانت معارضة بالأخبار الكثيرة المشتملة على تحديد الرواتب بالذراع والذراعين والقدم والقدمين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تقديم النبيّ صلى‌اللّه‌عليه‌وآله نافلة الفجر على أدائها بعد فوتها </w:t>
      </w:r>
      <w:r>
        <w:rPr>
          <w:rStyle w:val="FootnoteAnchor"/>
          <w:rtl w:val="true"/>
        </w:rPr>
        <w:footnoteReference w:id="2663"/>
      </w:r>
      <w:r>
        <w:rPr>
          <w:rFonts w:ascii="Amiri" w:hAnsi="Amiri" w:eastAsia="Amiri" w:cs="Amiri"/>
          <w:color w:val="111111"/>
          <w:sz w:val="28"/>
          <w:sz w:val="28"/>
          <w:szCs w:val="28"/>
          <w:rtl w:val="true"/>
          <w:lang w:bidi="ar-SA"/>
        </w:rPr>
        <w:t xml:space="preserve">ووقود عنها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قد غلبته عيناه فلم يستيقظ حتى آذاه حرّ الشمس ثم استيقظ وركع ركعتين ثم صلّى الصبح </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بمعناه الشهيد في الذكرى </w:t>
      </w:r>
      <w:r>
        <w:rPr>
          <w:rStyle w:val="FootnoteAnchor"/>
          <w:rtl w:val="true"/>
        </w:rPr>
        <w:footnoteReference w:id="2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 عن زرارة ، عن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جواز قضاء النافلة قبل قضاء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تقديم قضاء النافلة على قضاء الفريضة كالموثق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الصلاة حتى طلعت الشمس؟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ركعتين ثم يصلي الغداة </w:t>
      </w:r>
      <w:r>
        <w:rPr>
          <w:rFonts w:eastAsia="Amiri" w:cs="Amiri" w:ascii="Amiri" w:hAnsi="Amiri"/>
          <w:color w:val="111111"/>
          <w:sz w:val="28"/>
          <w:szCs w:val="28"/>
          <w:rtl w:val="true"/>
          <w:lang w:bidi="ar-SA"/>
        </w:rPr>
        <w:t xml:space="preserve">»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أن تقضي شيئا من الصلاة مكتوبة أو غيرها فلا تصلّ شيئا </w:t>
      </w:r>
    </w:p>
    <w:p>
      <w:pPr>
        <w:pStyle w:val="BookText"/>
        <w:rPr/>
      </w:pPr>
      <w:r>
        <w:rPr>
          <w:rFonts w:ascii="Amiri" w:hAnsi="Amiri" w:eastAsia="Amiri" w:cs="Amiri"/>
          <w:color w:val="111111"/>
          <w:sz w:val="28"/>
          <w:sz w:val="28"/>
          <w:szCs w:val="28"/>
          <w:rtl w:val="true"/>
          <w:lang w:bidi="ar-SA"/>
        </w:rPr>
        <w:t xml:space="preserve">حتى تبدأ وتصلي قبل الفريضة التي حضرت ركعتين نافلة لها ثم اقض ما شئت </w:t>
      </w:r>
      <w:r>
        <w:rPr>
          <w:rFonts w:eastAsia="Amiri" w:cs="Amiri" w:ascii="Amiri" w:hAnsi="Amiri"/>
          <w:color w:val="111111"/>
          <w:sz w:val="28"/>
          <w:szCs w:val="28"/>
          <w:rtl w:val="true"/>
          <w:lang w:bidi="ar-SA"/>
        </w:rPr>
        <w:t xml:space="preserve">»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بالنافلة مع دخول وقت الفريضة وثبوت الغاية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ترجيح صلاة الليل على الاشتغال بالقضاء مع ضيق الوقت ، فروى السيد في رسالة المواسعة عن كتاب حريز ، عن زرارة ،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دين من صلاة ، قام يقضيه فخاف أن يدركه الصبح ولم يصلّ صلاة ليلته تلك؟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يؤخر القضاء ويصلي صلاة ليلته تلك </w:t>
      </w:r>
      <w:r>
        <w:rPr>
          <w:rFonts w:eastAsia="Amiri" w:cs="Amiri" w:ascii="Amiri" w:hAnsi="Amiri"/>
          <w:color w:val="111111"/>
          <w:sz w:val="28"/>
          <w:szCs w:val="28"/>
          <w:rtl w:val="true"/>
          <w:lang w:bidi="ar-SA"/>
        </w:rPr>
        <w:t xml:space="preserve">»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دين من صلاة </w:t>
      </w:r>
      <w:r>
        <w:rPr>
          <w:rFonts w:eastAsia="Amiri" w:cs="Amiri" w:ascii="Amiri" w:hAnsi="Amiri"/>
          <w:color w:val="111111"/>
          <w:sz w:val="28"/>
          <w:szCs w:val="28"/>
          <w:rtl w:val="true"/>
          <w:lang w:bidi="ar-SA"/>
        </w:rPr>
        <w:t xml:space="preserve">» </w:t>
      </w:r>
      <w:r>
        <w:rPr>
          <w:rStyle w:val="FootnoteAnchor"/>
          <w:rtl w:val="true"/>
        </w:rPr>
        <w:footnoteReference w:id="2669"/>
      </w:r>
      <w:r>
        <w:rPr>
          <w:rFonts w:ascii="Amiri" w:hAnsi="Amiri" w:eastAsia="Amiri" w:cs="Amiri"/>
          <w:color w:val="111111"/>
          <w:sz w:val="28"/>
          <w:sz w:val="28"/>
          <w:szCs w:val="28"/>
          <w:rtl w:val="true"/>
          <w:lang w:bidi="ar-SA"/>
        </w:rPr>
        <w:t>ظاهر في وجوبها عليه ، ولو سلّم الإطلاق ففي ترك الاستفصال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قضاء النوافل في </w:t>
      </w:r>
      <w:r>
        <w:rPr>
          <w:rStyle w:val="FootnoteAnchor"/>
          <w:rtl w:val="true"/>
        </w:rPr>
        <w:footnoteReference w:id="2670"/>
      </w:r>
      <w:r>
        <w:rPr>
          <w:rFonts w:ascii="Amiri" w:hAnsi="Amiri" w:eastAsia="Amiri" w:cs="Amiri"/>
          <w:color w:val="111111"/>
          <w:sz w:val="28"/>
          <w:sz w:val="28"/>
          <w:szCs w:val="28"/>
          <w:rtl w:val="true"/>
          <w:lang w:bidi="ar-SA"/>
        </w:rPr>
        <w:t xml:space="preserve">وقت الفريضة ، 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فاتك شي‌ء من تطوّع الليل والنهار فاقضه عند زوال الشمس وبعد الظهر وعند العصر وبعد المغرب وبعد العتمة ومن آخر السحر </w:t>
      </w:r>
      <w:r>
        <w:rPr>
          <w:rFonts w:eastAsia="Amiri" w:cs="Amiri" w:ascii="Amiri" w:hAnsi="Amiri"/>
          <w:color w:val="111111"/>
          <w:sz w:val="28"/>
          <w:szCs w:val="28"/>
          <w:rtl w:val="true"/>
          <w:lang w:bidi="ar-SA"/>
        </w:rPr>
        <w:t xml:space="preserve">»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صلاة الليل ، متى أقضيها؟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 ساعة شئت من ليل أو نهار </w:t>
      </w:r>
      <w:r>
        <w:rPr>
          <w:rFonts w:eastAsia="Amiri" w:cs="Amiri" w:ascii="Amiri" w:hAnsi="Amiri"/>
          <w:color w:val="111111"/>
          <w:sz w:val="28"/>
          <w:szCs w:val="28"/>
          <w:rtl w:val="true"/>
          <w:lang w:bidi="ar-SA"/>
        </w:rPr>
        <w:t xml:space="preserve">»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اخرى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النوافل؟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طلوع الشمس إلى غروبها </w:t>
      </w:r>
      <w:r>
        <w:rPr>
          <w:rFonts w:eastAsia="Amiri" w:cs="Amiri" w:ascii="Amiri" w:hAnsi="Amiri"/>
          <w:color w:val="111111"/>
          <w:sz w:val="28"/>
          <w:szCs w:val="28"/>
          <w:rtl w:val="true"/>
          <w:lang w:bidi="ar-SA"/>
        </w:rPr>
        <w:t xml:space="preserve">»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وورد </w:t>
      </w:r>
      <w:r>
        <w:rPr>
          <w:rStyle w:val="FootnoteAnchor"/>
          <w:rtl w:val="true"/>
        </w:rPr>
        <w:footnoteReference w:id="2674"/>
      </w:r>
      <w:r>
        <w:rPr>
          <w:rFonts w:ascii="Amiri" w:hAnsi="Amiri" w:eastAsia="Amiri" w:cs="Amiri"/>
          <w:color w:val="111111"/>
          <w:sz w:val="28"/>
          <w:sz w:val="28"/>
          <w:szCs w:val="28"/>
          <w:rtl w:val="true"/>
          <w:lang w:bidi="ar-SA"/>
        </w:rPr>
        <w:t xml:space="preserve">في غير واحد من الأخبار </w:t>
      </w:r>
      <w:r>
        <w:rPr>
          <w:rStyle w:val="FootnoteAnchor"/>
          <w:rtl w:val="true"/>
        </w:rPr>
        <w:footnoteReference w:id="2675"/>
      </w:r>
      <w:r>
        <w:rPr>
          <w:rFonts w:ascii="Amiri" w:hAnsi="Amiri" w:eastAsia="Amiri" w:cs="Amiri"/>
          <w:color w:val="111111"/>
          <w:sz w:val="28"/>
          <w:sz w:val="28"/>
          <w:szCs w:val="28"/>
          <w:rtl w:val="true"/>
          <w:lang w:bidi="ar-SA"/>
        </w:rPr>
        <w:t>قضاء صلاة النهار في أيّ ساعة شاء من ليل أو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676"/>
      </w:r>
      <w:r>
        <w:rPr>
          <w:rFonts w:ascii="Amiri" w:hAnsi="Amiri" w:eastAsia="Amiri" w:cs="Amiri"/>
          <w:color w:val="111111"/>
          <w:sz w:val="28"/>
          <w:sz w:val="28"/>
          <w:szCs w:val="28"/>
          <w:rtl w:val="true"/>
          <w:lang w:bidi="ar-SA"/>
        </w:rPr>
        <w:t>نحوها أيضا روايات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دلالة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رجحان نوافل مخصوصة بعد دخول وقت الفريضة في مواضع معيّنة ، وهي كثيرة جدّا ، وربما يدّعى تواترها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طاوس في كتاب الاستخارات ، عن أحمد بن محمد بن يحيى ، عن جعفر بن محمد عليه‌السلام ، في بيان نوع من الاستخارة وهي 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خرجت الرقعة التي لم تكتب على ظهرها شيئا فتوقف إلى أن تحضر صلاة مفروضة ، ثم قم فصلّ ركعتين كما وصفت لك ثمّ صلّ الصلاة المفروضة أو صلاهما بعد الفرض ما لم يكن الفجر أو العصر ، فإما الفجر فعليك بالايماء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العصر فصليها حينها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خرجت الرقعة التي ليس فيها شي‌ء مكتوب على ظهرها فتوقف إلى صلاة مكتوبة كما أمرتك إلى أن يخرج ما تعمل عليه إن شاء اللّه </w:t>
      </w:r>
      <w:r>
        <w:rPr>
          <w:rFonts w:eastAsia="Amiri" w:cs="Amiri" w:ascii="Amiri" w:hAnsi="Amiri"/>
          <w:color w:val="111111"/>
          <w:sz w:val="28"/>
          <w:szCs w:val="28"/>
          <w:rtl w:val="true"/>
          <w:lang w:bidi="ar-SA"/>
        </w:rPr>
        <w:t xml:space="preserve">»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موسى بن جعفر عليه‌السلام ، ورواه الشيخ مرسلا أنه سئل بعد خلاصه من حبس الرشيد وجائزته له عن سبب ذلك؟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صلى‌اللّه‌عليه‌وآله ليلة الأربعاء في النوم فقال </w:t>
      </w:r>
      <w:r>
        <w:rPr>
          <w:rStyle w:val="FootnoteAnchor"/>
          <w:rtl w:val="true"/>
        </w:rPr>
        <w:footnoteReference w:id="2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صائما وأتبعه بصيام الخميس والجمعة ، فإذا كان وقت الإفطار فصلّ اثنا عشر ركعة تقرأ في كلّ ركعة الحمد مرّة واثنا عشر مرة قل هو اللّه أحد ، فإذا صلّيت منها أربع ركعات </w:t>
      </w:r>
    </w:p>
    <w:p>
      <w:pPr>
        <w:pStyle w:val="BookText"/>
        <w:rPr/>
      </w:pPr>
      <w:r>
        <w:rPr>
          <w:rFonts w:ascii="Amiri" w:hAnsi="Amiri" w:eastAsia="Amiri" w:cs="Amiri"/>
          <w:color w:val="111111"/>
          <w:sz w:val="28"/>
          <w:sz w:val="28"/>
          <w:szCs w:val="28"/>
          <w:rtl w:val="true"/>
          <w:lang w:bidi="ar-SA"/>
        </w:rPr>
        <w:t xml:space="preserve">فاسجد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الدعاء </w:t>
      </w:r>
      <w:r>
        <w:rPr>
          <w:rStyle w:val="FootnoteAnchor"/>
          <w:rtl w:val="true"/>
        </w:rPr>
        <w:footnoteReference w:id="2680"/>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استحباب صلاتي </w:t>
      </w:r>
      <w:r>
        <w:rPr>
          <w:rStyle w:val="FootnoteAnchor"/>
          <w:rtl w:val="true"/>
        </w:rPr>
        <w:footnoteReference w:id="2681"/>
      </w:r>
      <w:r>
        <w:rPr>
          <w:rFonts w:ascii="Amiri" w:hAnsi="Amiri" w:eastAsia="Amiri" w:cs="Amiri"/>
          <w:color w:val="111111"/>
          <w:sz w:val="28"/>
          <w:sz w:val="28"/>
          <w:szCs w:val="28"/>
          <w:rtl w:val="true"/>
          <w:lang w:bidi="ar-SA"/>
        </w:rPr>
        <w:t xml:space="preserve">العشاءين مطلقا ، فروى الشيخان في المرسل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المغرب وبعدها أربع ركعات ولم يتكلّم حتى يصلّي عشر ركعات يقرء في كلّ ركعة بالحمد وقل هو اللّه أحد كانت عدل عشر رقاب </w:t>
      </w:r>
      <w:r>
        <w:rPr>
          <w:rFonts w:eastAsia="Amiri" w:cs="Amiri" w:ascii="Amiri" w:hAnsi="Amiri"/>
          <w:color w:val="111111"/>
          <w:sz w:val="28"/>
          <w:szCs w:val="28"/>
          <w:rtl w:val="true"/>
          <w:lang w:bidi="ar-SA"/>
        </w:rPr>
        <w:t xml:space="preserve">»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بعضهم عليهم‌السلام صلاة ركعتين بعد المغرب ، وذكر له كيفية مخصوصة مطولة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واظب عليه كتب له بكلّ صلاة ستمائة ألف حجة </w:t>
      </w:r>
      <w:r>
        <w:rPr>
          <w:rFonts w:eastAsia="Amiri" w:cs="Amiri" w:ascii="Amiri" w:hAnsi="Amiri"/>
          <w:color w:val="111111"/>
          <w:sz w:val="28"/>
          <w:szCs w:val="28"/>
          <w:rtl w:val="true"/>
          <w:lang w:bidi="ar-SA"/>
        </w:rPr>
        <w:t xml:space="preserve">»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المصباح </w:t>
      </w:r>
      <w:r>
        <w:rPr>
          <w:rStyle w:val="FootnoteAnchor"/>
          <w:rtl w:val="true"/>
        </w:rPr>
        <w:footnoteReference w:id="2684"/>
      </w:r>
      <w:r>
        <w:rPr>
          <w:rFonts w:ascii="Amiri" w:hAnsi="Amiri" w:eastAsia="Amiri" w:cs="Amiri"/>
          <w:color w:val="111111"/>
          <w:sz w:val="28"/>
          <w:sz w:val="28"/>
          <w:szCs w:val="28"/>
          <w:rtl w:val="true"/>
          <w:lang w:bidi="ar-SA"/>
        </w:rPr>
        <w:t xml:space="preserve">بإسناده عن الصادق عليه‌السلام عن آبائه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بركعتين بين العشاءين يقرء في الاولى الحمد وإذا زلزلت الأرض ثلاث عشر مرة ، وفي الثانية الحمد وقل هو اللّه أحد خمس عشر مرة </w:t>
      </w:r>
      <w:r>
        <w:rPr>
          <w:rFonts w:eastAsia="Amiri" w:cs="Amiri" w:ascii="Amiri" w:hAnsi="Amiri"/>
          <w:color w:val="111111"/>
          <w:sz w:val="28"/>
          <w:szCs w:val="28"/>
          <w:rtl w:val="true"/>
          <w:lang w:bidi="ar-SA"/>
        </w:rPr>
        <w:t xml:space="preserve">» </w:t>
      </w:r>
      <w:r>
        <w:rPr>
          <w:rStyle w:val="FootnoteAnchor"/>
          <w:rtl w:val="true"/>
        </w:rPr>
        <w:footnoteReference w:id="2685"/>
      </w:r>
      <w:r>
        <w:rPr>
          <w:rFonts w:ascii="Amiri" w:hAnsi="Amiri" w:eastAsia="Amiri" w:cs="Amiri"/>
          <w:color w:val="111111"/>
          <w:sz w:val="28"/>
          <w:sz w:val="28"/>
          <w:szCs w:val="28"/>
          <w:rtl w:val="true"/>
          <w:lang w:bidi="ar-SA"/>
        </w:rPr>
        <w:t>وذكر له فضيلة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صلاة الغفيلة ما ورد إن جعلناها مغايرة للرواية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التنفّل بين العشاءين في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في مصباح </w:t>
      </w:r>
      <w:r>
        <w:rPr>
          <w:rStyle w:val="FootnoteAnchor"/>
          <w:rtl w:val="true"/>
        </w:rPr>
        <w:footnoteReference w:id="2686"/>
      </w:r>
      <w:r>
        <w:rPr>
          <w:rFonts w:ascii="Amiri" w:hAnsi="Amiri" w:eastAsia="Amiri" w:cs="Amiri"/>
          <w:color w:val="111111"/>
          <w:sz w:val="28"/>
          <w:sz w:val="28"/>
          <w:szCs w:val="28"/>
          <w:rtl w:val="true"/>
          <w:lang w:bidi="ar-SA"/>
        </w:rPr>
        <w:t xml:space="preserve">الزائرين </w:t>
      </w:r>
      <w:r>
        <w:rPr>
          <w:rStyle w:val="FootnoteAnchor"/>
          <w:rtl w:val="true"/>
        </w:rPr>
        <w:footnoteReference w:id="2687"/>
      </w:r>
      <w:r>
        <w:rPr>
          <w:rFonts w:ascii="Amiri" w:hAnsi="Amiri" w:eastAsia="Amiri" w:cs="Amiri"/>
          <w:color w:val="111111"/>
          <w:sz w:val="28"/>
          <w:sz w:val="28"/>
          <w:szCs w:val="28"/>
          <w:rtl w:val="true"/>
          <w:lang w:bidi="ar-SA"/>
        </w:rPr>
        <w:t xml:space="preserve">عن سلمان الفارسي ، عن النبي صلى‌اللّه‌عليه‌وآله </w:t>
      </w:r>
      <w:r>
        <w:rPr>
          <w:rStyle w:val="FootnoteAnchor"/>
          <w:rtl w:val="true"/>
        </w:rPr>
        <w:footnoteReference w:id="2688"/>
      </w:r>
      <w:r>
        <w:rPr>
          <w:rFonts w:ascii="Amiri" w:hAnsi="Amiri" w:eastAsia="Amiri" w:cs="Amiri"/>
          <w:color w:val="111111"/>
          <w:sz w:val="28"/>
          <w:sz w:val="28"/>
          <w:szCs w:val="28"/>
          <w:rtl w:val="true"/>
          <w:lang w:bidi="ar-SA"/>
        </w:rPr>
        <w:t xml:space="preserve">لكلّ من الليالي من شهر رجب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الخامسة والعشرين عشرين بين العشاءين بالحمد وآمن الرسول السورة حفظه اللّه في نفسه </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الإقبال نقلا ، عن كتاب روضة العابدين ،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w:t>
      </w:r>
    </w:p>
    <w:p>
      <w:pPr>
        <w:pStyle w:val="BookText"/>
        <w:rPr/>
      </w:pPr>
      <w:r>
        <w:rPr>
          <w:rFonts w:ascii="Amiri" w:hAnsi="Amiri" w:eastAsia="Amiri" w:cs="Amiri"/>
          <w:color w:val="111111"/>
          <w:sz w:val="28"/>
          <w:sz w:val="28"/>
          <w:szCs w:val="28"/>
          <w:rtl w:val="true"/>
          <w:lang w:bidi="ar-SA"/>
        </w:rPr>
        <w:t xml:space="preserve">المغرب أول ليلة من رجب ثم يصلي بعدها عشرين ركعة يقرأ في أول ركعة فاتحة الكتاب وقل هو اللّه أحد مرة ، ويسلّم بين كل ركعتين حفظه اللّه </w:t>
      </w:r>
      <w:r>
        <w:rPr>
          <w:rStyle w:val="FootnoteAnchor"/>
          <w:rtl w:val="true"/>
        </w:rPr>
        <w:footnoteReference w:id="2690"/>
      </w:r>
      <w:r>
        <w:rPr>
          <w:rFonts w:ascii="Amiri" w:hAnsi="Amiri" w:eastAsia="Amiri" w:cs="Amiri"/>
          <w:color w:val="111111"/>
          <w:sz w:val="28"/>
          <w:sz w:val="28"/>
          <w:szCs w:val="28"/>
          <w:rtl w:val="true"/>
          <w:lang w:bidi="ar-SA"/>
        </w:rPr>
        <w:t xml:space="preserve">في نفسه وماله وأهله وولده ، وأجير من عذاب القبر ، وجاز على الصراط كالبرق الخاطف من غير حساب </w:t>
      </w:r>
      <w:r>
        <w:rPr>
          <w:rFonts w:eastAsia="Amiri" w:cs="Amiri" w:ascii="Amiri" w:hAnsi="Amiri"/>
          <w:color w:val="111111"/>
          <w:sz w:val="28"/>
          <w:szCs w:val="28"/>
          <w:rtl w:val="true"/>
          <w:lang w:bidi="ar-SA"/>
        </w:rPr>
        <w:t xml:space="preserve">»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في إجازته لبني زهرة بإسناد ذكره عن النبي صلى‌اللّه‌عليه‌وآله ، وكذا ابن طاوس </w:t>
      </w:r>
      <w:r>
        <w:rPr>
          <w:rStyle w:val="FootnoteAnchor"/>
          <w:rtl w:val="true"/>
        </w:rPr>
        <w:footnoteReference w:id="2692"/>
      </w:r>
      <w:r>
        <w:rPr>
          <w:rFonts w:ascii="Amiri" w:hAnsi="Amiri" w:eastAsia="Amiri" w:cs="Amiri"/>
          <w:color w:val="111111"/>
          <w:sz w:val="28"/>
          <w:sz w:val="28"/>
          <w:szCs w:val="28"/>
          <w:rtl w:val="true"/>
          <w:lang w:bidi="ar-SA"/>
        </w:rPr>
        <w:t>مرسلا عنه فضيلة صوم رجب وليلة الرغائب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يقوم يوم الخميس أول خمس </w:t>
      </w:r>
      <w:r>
        <w:rPr>
          <w:rStyle w:val="FootnoteAnchor"/>
          <w:rtl w:val="true"/>
        </w:rPr>
        <w:footnoteReference w:id="2693"/>
      </w:r>
      <w:r>
        <w:rPr>
          <w:rFonts w:ascii="Amiri" w:hAnsi="Amiri" w:eastAsia="Amiri" w:cs="Amiri"/>
          <w:color w:val="111111"/>
          <w:sz w:val="28"/>
          <w:sz w:val="28"/>
          <w:szCs w:val="28"/>
          <w:rtl w:val="true"/>
          <w:lang w:bidi="ar-SA"/>
        </w:rPr>
        <w:t xml:space="preserve">من رجب ثم يصلي ما بين العشاء والعتمة اثنى عشر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يصلّي عبد أو أمة هذه الصلاة إلا غفر له جميع ذنوبه ولو كانت مثل زبد البحر ويشفع يوم القيامة </w:t>
      </w:r>
      <w:r>
        <w:rPr>
          <w:rStyle w:val="FootnoteAnchor"/>
          <w:rtl w:val="true"/>
        </w:rPr>
        <w:footnoteReference w:id="2694"/>
      </w:r>
      <w:r>
        <w:rPr>
          <w:rFonts w:ascii="Amiri" w:hAnsi="Amiri" w:eastAsia="Amiri" w:cs="Amiri"/>
          <w:color w:val="111111"/>
          <w:sz w:val="28"/>
          <w:sz w:val="28"/>
          <w:szCs w:val="28"/>
          <w:rtl w:val="true"/>
          <w:lang w:bidi="ar-SA"/>
        </w:rPr>
        <w:t xml:space="preserve">سبعمائة من أهل بيته ممن استوجب النار </w:t>
      </w:r>
      <w:r>
        <w:rPr>
          <w:rFonts w:eastAsia="Amiri" w:cs="Amiri" w:ascii="Amiri" w:hAnsi="Amiri"/>
          <w:color w:val="111111"/>
          <w:sz w:val="28"/>
          <w:szCs w:val="28"/>
          <w:rtl w:val="true"/>
          <w:lang w:bidi="ar-SA"/>
        </w:rPr>
        <w:t xml:space="preserve">»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التنفّل بين العشاءين في شهر شعبان ، فروى السيد في الأمالي </w:t>
      </w:r>
      <w:r>
        <w:rPr>
          <w:rStyle w:val="FootnoteAnchor"/>
          <w:rtl w:val="true"/>
        </w:rPr>
        <w:footnoteReference w:id="2696"/>
      </w:r>
      <w:r>
        <w:rPr>
          <w:rFonts w:ascii="Amiri" w:hAnsi="Amiri" w:eastAsia="Amiri" w:cs="Amiri"/>
          <w:color w:val="111111"/>
          <w:sz w:val="28"/>
          <w:sz w:val="28"/>
          <w:szCs w:val="28"/>
          <w:rtl w:val="true"/>
          <w:lang w:bidi="ar-SA"/>
        </w:rPr>
        <w:t xml:space="preserve">، والكفعمي في المصباح </w:t>
      </w:r>
      <w:r>
        <w:rPr>
          <w:rStyle w:val="FootnoteAnchor"/>
          <w:rtl w:val="true"/>
        </w:rPr>
        <w:footnoteReference w:id="2697"/>
      </w:r>
      <w:r>
        <w:rPr>
          <w:rFonts w:ascii="Amiri" w:hAnsi="Amiri" w:eastAsia="Amiri" w:cs="Amiri"/>
          <w:color w:val="111111"/>
          <w:sz w:val="28"/>
          <w:sz w:val="28"/>
          <w:szCs w:val="28"/>
          <w:rtl w:val="true"/>
          <w:lang w:bidi="ar-SA"/>
        </w:rPr>
        <w:t xml:space="preserve">، عن النبي صلى‌اللّه‌عليه‌وآله صلاة لكلّ ليلة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الخامسة عشر أربعا بين العشاءين بالحمد والتوحيد عشرا </w:t>
      </w:r>
      <w:r>
        <w:rPr>
          <w:rFonts w:eastAsia="Amiri" w:cs="Amiri" w:ascii="Amiri" w:hAnsi="Amiri"/>
          <w:color w:val="111111"/>
          <w:sz w:val="28"/>
          <w:szCs w:val="28"/>
          <w:rtl w:val="true"/>
          <w:lang w:bidi="ar-SA"/>
        </w:rPr>
        <w:t xml:space="preserve">.. » </w:t>
      </w:r>
      <w:r>
        <w:rPr>
          <w:rStyle w:val="FootnoteAnchor"/>
          <w:rtl w:val="true"/>
        </w:rPr>
        <w:footnoteReference w:id="2698"/>
      </w:r>
      <w:r>
        <w:rPr>
          <w:rFonts w:ascii="Amiri" w:hAnsi="Amiri" w:eastAsia="Amiri" w:cs="Amiri"/>
          <w:color w:val="111111"/>
          <w:sz w:val="28"/>
          <w:sz w:val="28"/>
          <w:szCs w:val="28"/>
          <w:rtl w:val="true"/>
          <w:lang w:bidi="ar-SA"/>
        </w:rPr>
        <w:t>وذكر دعاء بعدهما وذكر فضله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صلاة الهدية للوالدين بعد العشاءين ، فروى الشيخ عن ابن مسعود ،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ليلة الخميس بين المغرب والعشاء الآخرة ركعتين يقرأ في كل ركعة فاتحة الكتاب مرة وآية الكرسي خمس مرات وقل هو اللّه أحد وقل يا أيها </w:t>
      </w:r>
    </w:p>
    <w:p>
      <w:pPr>
        <w:pStyle w:val="BookText"/>
        <w:rPr/>
      </w:pPr>
      <w:r>
        <w:rPr>
          <w:rFonts w:ascii="Amiri" w:hAnsi="Amiri" w:eastAsia="Amiri" w:cs="Amiri"/>
          <w:color w:val="111111"/>
          <w:sz w:val="28"/>
          <w:sz w:val="28"/>
          <w:szCs w:val="28"/>
          <w:rtl w:val="true"/>
          <w:lang w:bidi="ar-SA"/>
        </w:rPr>
        <w:t xml:space="preserve">الكافرون والمعوذتين كلّ واحد منها خمس مرات ، فإذا فرغ من صلاته استغفر اللّه خمس عشر مرة وجعل ثوابه لوالديه ، فقد أدّى حقّ والديه </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الصلاة بين الظهرين ، فروى الشيخ عن ابن مسعود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يوم الخميس ما بين الظهر والعصر ركعتين يقرأ في الركعة الأولى فاتحة الكتاب وآية الكرسي مائة مرة ، وفي الركعة الثانية بفاتحة الكتاب وقل هو اللّه أحد مائة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من مقامه </w:t>
      </w:r>
      <w:r>
        <w:rPr>
          <w:rStyle w:val="FootnoteAnchor"/>
          <w:rtl w:val="true"/>
        </w:rPr>
        <w:footnoteReference w:id="2700"/>
      </w:r>
      <w:r>
        <w:rPr>
          <w:rFonts w:ascii="Amiri" w:hAnsi="Amiri" w:eastAsia="Amiri" w:cs="Amiri"/>
          <w:color w:val="111111"/>
          <w:sz w:val="28"/>
          <w:sz w:val="28"/>
          <w:szCs w:val="28"/>
          <w:rtl w:val="true"/>
          <w:lang w:bidi="ar-SA"/>
        </w:rPr>
        <w:t xml:space="preserve">يغفر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الواردة في هذا أيضا ممّا يقف عليه المتتبّع في الآثار ، وكلّها تشهد بجواز تلك الصلاة مع دخول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 يضعّف ظاهر القول المشهور من المنع المطلق ، على أن فيها إشارة إلى جواز النافلة مطلقا مع دخول وقت الفريضة ؛ إذ لا يظهر من شي‌ء منها خصوصية الجواز </w:t>
      </w:r>
      <w:r>
        <w:rPr>
          <w:rStyle w:val="FootnoteAnchor"/>
          <w:rtl w:val="true"/>
        </w:rPr>
        <w:footnoteReference w:id="2702"/>
      </w:r>
      <w:r>
        <w:rPr>
          <w:rFonts w:ascii="Amiri" w:hAnsi="Amiri" w:eastAsia="Amiri" w:cs="Amiri"/>
          <w:color w:val="111111"/>
          <w:sz w:val="28"/>
          <w:sz w:val="28"/>
          <w:szCs w:val="28"/>
          <w:rtl w:val="true"/>
          <w:lang w:bidi="ar-SA"/>
        </w:rPr>
        <w:t>بالصلاة المذكورة ، ولو كان كذلك لقضى المقام بالإشارة إليه ، مع أنه لا إشارة إليه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المطلقة الدالّة على استحباب صلاة معيّنة أو مطلقة كصلاة الاستخارات والزيارات وقضاء الحاجات ونحوها الشاملة بإطلاقها لأوقات الفرائض وغيرها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بالمنع عدّة من الروايات المستفيضة المشتملة على عدّة من الصحاح وغيرها ، وقد انتهت عدّة منها إلى زرارة ، عن الباقر عليه‌السلام ، ففي الصحيح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ركعتي الفجر قبل الفجر أو بعد الفجر؟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الفجر أنهما من صلاة الليل ثلاثة عشر ركعة صلاة الليل أتريد أن يقايس لو كان عليك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تتطوع إذا دخل </w:t>
      </w:r>
    </w:p>
    <w:p>
      <w:pPr>
        <w:pStyle w:val="BookText"/>
        <w:rPr/>
      </w:pPr>
      <w:r>
        <w:rPr>
          <w:rFonts w:ascii="Amiri" w:hAnsi="Amiri" w:eastAsia="Amiri" w:cs="Amiri"/>
          <w:color w:val="111111"/>
          <w:sz w:val="28"/>
          <w:sz w:val="28"/>
          <w:szCs w:val="28"/>
          <w:rtl w:val="true"/>
          <w:lang w:bidi="ar-SA"/>
        </w:rPr>
        <w:t xml:space="preserve">عليك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2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الاخرى عنه عليه‌السلام </w:t>
      </w:r>
      <w:r>
        <w:rPr>
          <w:rFonts w:eastAsia="Amiri" w:cs="Amiri" w:ascii="Amiri" w:hAnsi="Amiri"/>
          <w:color w:val="111111"/>
          <w:sz w:val="28"/>
          <w:szCs w:val="28"/>
          <w:rtl w:val="true"/>
          <w:lang w:bidi="ar-SA"/>
        </w:rPr>
        <w:t xml:space="preserve">: « .. </w:t>
      </w:r>
      <w:r>
        <w:rPr>
          <w:rStyle w:val="FootnoteAnchor"/>
          <w:rtl w:val="true"/>
        </w:rPr>
        <w:footnoteReference w:id="2704"/>
      </w:r>
      <w:r>
        <w:rPr>
          <w:rFonts w:ascii="Amiri" w:hAnsi="Amiri" w:eastAsia="Amiri" w:cs="Amiri"/>
          <w:color w:val="111111"/>
          <w:sz w:val="28"/>
          <w:sz w:val="28"/>
          <w:szCs w:val="28"/>
          <w:rtl w:val="true"/>
          <w:lang w:bidi="ar-SA"/>
        </w:rPr>
        <w:t xml:space="preserve">رجل صلّى صلاة بغير طهور أو نسي صلاة لم يصلها أو نام عنها؟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يقضيها إذا 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تتطوع بركعة حتى يقضي الفريضة </w:t>
      </w:r>
      <w:r>
        <w:rPr>
          <w:rFonts w:eastAsia="Amiri" w:cs="Amiri" w:ascii="Amiri" w:hAnsi="Amiri"/>
          <w:color w:val="111111"/>
          <w:sz w:val="28"/>
          <w:szCs w:val="28"/>
          <w:rtl w:val="true"/>
          <w:lang w:bidi="ar-SA"/>
        </w:rPr>
        <w:t xml:space="preserve">»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له ثالثة رواها الحلي في المستطرفات عن كتاب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من النافلة شيئا في وقت فريضة ، فإنه لا يقضي نافلة في وقت فريضة ، فإذا دخل وقت الفريضة فابدأ بالفريضة </w:t>
      </w:r>
      <w:r>
        <w:rPr>
          <w:rFonts w:eastAsia="Amiri" w:cs="Amiri" w:ascii="Amiri" w:hAnsi="Amiri"/>
          <w:color w:val="111111"/>
          <w:sz w:val="28"/>
          <w:szCs w:val="28"/>
          <w:rtl w:val="true"/>
          <w:lang w:bidi="ar-SA"/>
        </w:rPr>
        <w:t xml:space="preserve">»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له رابعة رواها الشهيد عنه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صلاة مكتوبة فلا صلاة نافلة حتى يبدأ بالمكتوبة </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الصحيحة له خامسة 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نافلة وعليّ فريضة أو في وقت فريضة؟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إنه لا يصلّى نافلة في وقت فريضة ، أرأيت لو كان عليك من شهر رمضان أكان ذلك </w:t>
      </w:r>
      <w:r>
        <w:rPr>
          <w:rStyle w:val="FootnoteAnchor"/>
          <w:rtl w:val="true"/>
        </w:rPr>
        <w:footnoteReference w:id="2708"/>
      </w:r>
      <w:r>
        <w:rPr>
          <w:rFonts w:ascii="Amiri" w:hAnsi="Amiri" w:eastAsia="Amiri" w:cs="Amiri"/>
          <w:color w:val="111111"/>
          <w:sz w:val="28"/>
          <w:sz w:val="28"/>
          <w:szCs w:val="28"/>
          <w:rtl w:val="true"/>
          <w:lang w:bidi="ar-SA"/>
        </w:rPr>
        <w:t xml:space="preserve">أن تتطوع حتى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فقايسني وما كان يقايسني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يعقوب بن شعيب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الغداة حتى تنزع الشمس ، أيصلي حتى يستيقظ أو يفطر حتى تبسط الشمس؟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حتى يستيقظ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أو يصلي الركعتين؟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يبتدأ بالفريضة </w:t>
      </w:r>
      <w:r>
        <w:rPr>
          <w:rFonts w:eastAsia="Amiri" w:cs="Amiri" w:ascii="Amiri" w:hAnsi="Amiri"/>
          <w:color w:val="111111"/>
          <w:sz w:val="28"/>
          <w:szCs w:val="28"/>
          <w:rtl w:val="true"/>
          <w:lang w:bidi="ar-SA"/>
        </w:rPr>
        <w:t xml:space="preserve">»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رجل من أهل المدينة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لا أراك تتطوع بين الأذان والإقامة كما يصنع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أردنا نتطوّع كان تطوعنا في غير وقت فريضة ، فإذا دخلت الفريضة فلا تطوّع </w:t>
      </w:r>
      <w:r>
        <w:rPr>
          <w:rFonts w:eastAsia="Amiri" w:cs="Amiri" w:ascii="Amiri" w:hAnsi="Amiri"/>
          <w:color w:val="111111"/>
          <w:sz w:val="28"/>
          <w:szCs w:val="28"/>
          <w:rtl w:val="true"/>
          <w:lang w:bidi="ar-SA"/>
        </w:rPr>
        <w:t xml:space="preserve">»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نجية عن الباقر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تدركني الصلاة أو يدخل وقتها على فائدة بالنافلة؟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ابدأ بالمكتوبة اقض النافلة </w:t>
      </w:r>
      <w:r>
        <w:rPr>
          <w:rFonts w:eastAsia="Amiri" w:cs="Amiri" w:ascii="Amiri" w:hAnsi="Amiri"/>
          <w:color w:val="111111"/>
          <w:sz w:val="28"/>
          <w:szCs w:val="28"/>
          <w:rtl w:val="true"/>
          <w:lang w:bidi="ar-SA"/>
        </w:rPr>
        <w:t xml:space="preserve">»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الخصال ، بإسناده عن علي عليه‌السلام في حديث الأربعمائة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الرجل نافلة في وقت فريضة إلا من عذر ، ولكن يقضي بعدها ذلك إذا أمكنه القضاء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4"/>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يقضى النافلة في وقت فريضة ابدأ بالفريضة ثم صلّ ما بدا لك </w:t>
      </w:r>
      <w:r>
        <w:rPr>
          <w:rFonts w:eastAsia="Amiri" w:cs="Amiri" w:ascii="Amiri" w:hAnsi="Amiri"/>
          <w:color w:val="111111"/>
          <w:sz w:val="28"/>
          <w:szCs w:val="28"/>
          <w:rtl w:val="true"/>
          <w:lang w:bidi="ar-SA"/>
        </w:rPr>
        <w:t xml:space="preserve">»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أديم بن الحرّ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يتنفّل الرجل إذا دخل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الفريضة فابدأ بها </w:t>
      </w:r>
      <w:r>
        <w:rPr>
          <w:rFonts w:eastAsia="Amiri" w:cs="Amiri" w:ascii="Amiri" w:hAnsi="Amiri"/>
          <w:color w:val="111111"/>
          <w:sz w:val="28"/>
          <w:szCs w:val="28"/>
          <w:rtl w:val="true"/>
          <w:lang w:bidi="ar-SA"/>
        </w:rPr>
        <w:t xml:space="preserve">»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بكر الحضرمي ، عنه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وقت الفريضة فلا تطوع </w:t>
      </w:r>
      <w:r>
        <w:rPr>
          <w:rFonts w:eastAsia="Amiri" w:cs="Amiri" w:ascii="Amiri" w:hAnsi="Amiri"/>
          <w:color w:val="111111"/>
          <w:sz w:val="28"/>
          <w:szCs w:val="28"/>
          <w:rtl w:val="true"/>
          <w:lang w:bidi="ar-SA"/>
        </w:rPr>
        <w:t xml:space="preserve">» </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اعتضاد هذه الأخبار المستفيضة بعمل كثير من المتقدمين وتلقّيهم لها بالقبول ، وشهرة العمل بمضمونها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أيضا بالأصل بناء على ما ذهب إليه جماعة من المحقّقين من كون العبادات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أسامي للصحيحة ؛ إذ الأصل على هذا القول في كل ما يشكّ في شرطيّته أو مانعيّته أن يكون شرطا في الظاهر مانعا عن الصحة ، فحينئذ إذا شكّ في مانعية دخول وقت الفريضة لصحة النافلة ، فلا ينبغي البناء على الفساد إلى أن يعلم انتفاء المانع </w:t>
      </w:r>
      <w:r>
        <w:rPr>
          <w:rFonts w:eastAsia="Amiri" w:cs="Amiri" w:ascii="Amiri" w:hAnsi="Amiri"/>
          <w:color w:val="111111"/>
          <w:sz w:val="28"/>
          <w:szCs w:val="28"/>
          <w:rtl w:val="true"/>
          <w:lang w:bidi="ar-SA"/>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5839_361171"/>
      <w:bookmarkStart w:id="500" w:name="pg15839_361171"/>
      <w:bookmarkEnd w:id="500"/>
    </w:p>
    <w:p>
      <w:pPr>
        <w:pStyle w:val="Heading2"/>
        <w:numPr>
          <w:ilvl w:val="1"/>
          <w:numId w:val="1"/>
        </w:numPr>
        <w:rPr/>
      </w:pPr>
      <w:bookmarkStart w:id="501" w:name="pg15839_361171"/>
      <w:bookmarkStart w:id="502" w:name="__RefHeading___Toc14338663_2142443653"/>
      <w:bookmarkStart w:id="503" w:name="_Toc184"/>
      <w:bookmarkEnd w:id="501"/>
      <w:bookmarkEnd w:id="502"/>
      <w:r>
        <w:rPr>
          <w:rtl w:val="true"/>
        </w:rPr>
        <w:t>فهرس المواضيع الجزء الثاني</w:t>
      </w:r>
      <w:bookmarkEnd w:id="503"/>
    </w:p>
    <w:p>
      <w:pPr>
        <w:pStyle w:val="BookText"/>
        <w:rPr/>
      </w:pPr>
      <w:r>
        <w:rPr>
          <w:rFonts w:ascii="Amiri" w:hAnsi="Amiri" w:eastAsia="Amiri" w:cs="Amiri"/>
          <w:color w:val="111111"/>
          <w:sz w:val="28"/>
          <w:sz w:val="28"/>
          <w:szCs w:val="28"/>
          <w:rtl w:val="true"/>
          <w:lang w:bidi="ar-SA"/>
        </w:rPr>
        <w:t>البحث الثالث في شرائط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البدء من الأعلى في الغسلات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المباشرة في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مراعاة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طهورية ماء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جواز التصرف في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إباحة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أعضاء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الإسلام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البحث الرابع في مندوبات الوضوء ومكروهاته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مندوباته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البحث الخامس في الوضوء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مقطوع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إتيان الفعل على غير النحو المشروع من جهة </w:t>
      </w:r>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الفعل المعمول على جهة التقيّة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التمكن من إيصال الماء إلى تمام العضو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المسلوس والمبطون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تأخّر الطهارة أو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كون الناقض أصغر أو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يتحقّق به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الجنابة بالإنزال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الجنابة بإدخال الحشفة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قراءة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اللبث في المساجد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وضع شي‌ء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 كتابة القرآن واسم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تغسيل الجنب ليلا لأجل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المكروهات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غسل الجنابة من واجباتها ومندوبها وما يتعلّق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الارتماسي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البشرة والتخليل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حول الارتماس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شرائط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الاستبراء قبل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 على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اليد قبل إدخالها في الإناء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البحث في بيان 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غسل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عيد الفطر وعيد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الاغتسال لقتل الوزع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الاغتسال لرؤية المصلوب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تأخّر الأغسال 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تجديد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الغسل بأحد أسبابها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امتداد وقت الأغسال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التيمّم وغاياته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يسوغ التيمّم معه ويوجب انتقال الحكم من الوضوء والغسل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الوصول إلى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الضرر من استعمال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تتمة في القروح والجروح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المسوغ للتيمّم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خوف العطش لو استعمل الماء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الأمور التي يصحّ معها التيمّم مع الاختيار أو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بغبار الثوب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واجد الثلج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طهارة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بالمغصوب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بالممتزج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فاقد الطهورين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 قصد البدلية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اليدين على 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الضرب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علوق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الضربات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قبل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المرض والاحتضار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على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 والإنابة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المؤمن إلى القبلة حال الاحتضار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البول والغائط مما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الكافر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سائر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يعفى عنه نجاسته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ثوب المرأة المربّية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ملاقي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بالمرة في غسل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كتاب الصّلاة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الفرائض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اليقين بدخول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التعويل على الظن مع عدم تمكن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قبل دخول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المكلّف من أول وقت الصلاة بمقدار 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 آخر الوقت بمقدار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الإتيان بالنافلة في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الوضوء وجملة من أحكامه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النهى عن استعمال الماء الجديد لمسح الرأس والرجلين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فأسدلها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الوضوء وجملة من أحكامه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أبواب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والذراعين وكيف يغسل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يفيضه على المرفق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الغسل 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الخفّين والنصوص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الصفحات الآتية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توجد فيها واو العطف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الكلام في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السند في شرح الرسالة ، ولم أجده منقولا عن الشهيد الثاني ، فافحص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الشغل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صب الماء على أعلى الوجه ثم اتباعه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سمه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فأعد غسل وجهك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الإعادة على ما يحصل معه الترتيب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التحرير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الترتيب في الوضوء وجواز مسح الرجلين معا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لظاهر تلك الأخبار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الوضوء وكيفيته وأحكام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باعتبار التتابع من الاحتياط والرجوع إلى الأخبار البائنة وكذا ما استند إليه القائل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يدور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اشتراط طهارة الماء في الوضوء والغسل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المجهول نجاسته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النجاسة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ما يغير أحد أوصاف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ادخال الجنب يده في الماء قبل الغسل المستحبة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الذي تكون فيه قلة والماء الذي في الجيف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الماء إذا ولغ فيه الكلب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طهور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قضيّة حرمة الغصب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جهله لموضوع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اشتراطه مع قطعه بعدم 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اشتراطه إباحة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يكلّف معه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وجه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الماء هو طهارته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مضافا إلى خروج ذلك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الاستثناء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بالأمكنة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الأغسال وكيفية الغسل من الجنابة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وجهه بيمينه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يمينه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يجب أن يسمّى اللّه تعالى عند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والاستنجاء ومن نسيه والتسمية عند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الشروع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واو العطف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سقطت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ببعض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ذيها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والذراعين وكيف يغسل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التقية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بمجرّد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مبتور هنا في النسخ المخطوطة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التقيّة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التقية في المسح على الخفّين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ممّا لم نجده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ويا ليتها كانت هذه النسخة في أيدينا بدو الأمر ، لا بعد ما أكملنا العمل فوجدناها ، وهي أصح النسخ وأتقنها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ينزع الجبائر ولا يعبث بجراحته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الوضوء وترتيبه وثوابه ،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الكسير والمجدور ومن به الجراحات وتصيبهم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الأمر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المعرف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المسح على الجبائر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يعيدان الأمر من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المريض والمغمى عليه والضعيف والمبطون ،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المضطر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خلاصه حديث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وما يجب منه إعادة الصلاة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 عدم الجفاف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الاضمار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صلى ركعة أو ثنتين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تحصيل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سادسها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الوضوء ومن نسيه أو قدم أو أخر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الزمان الواحد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عدم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إخراجه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لصراحة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فالمتعيّن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علمهما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يفيده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بعيده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يتقين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النادبة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مظهرا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وجهين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التعمد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احتلام الرجل والمرأة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أنزلت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المرأة إذا أنزلت وجب عليها الغسل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وجدت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المريض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احتلام الرجل والمرأة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والمرأة يغتسلان من الجنابة ثم يخرج منهما شي‌ء بعد الغسل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البلل المشتبه الخارج بعد البول والمني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والمرأة يغتسلان من الجنابة ثم يخرج منهما شي‌ء بعد الغسل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البلل المشتبه بعد الغسل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الشيخان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ترى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البلل المشتبه الخارج بعد البول والمني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هو ماء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والمرأة يغتسلان من الجنابة ثم يخرج منهما شي‌ء بعد الغسل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احتلام الرجل والمرأة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يرى في ثوبه المني ولم يذكر الاحتلام ، ح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الرافع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بالجهل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مبتنيا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قدوة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الأخير وقيل فيه أيضا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حشف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الغسل على الرجل والمرأة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غسل الجنابة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أدخله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يوجب الغسل على الرجل والمرأة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يجامع المرأة في ما دون الفرج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الغسل على الرجل والمرأة بالجماع في الفرج حتى تغيب الحشفة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نوجب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غسل الجنابة ،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النوم فالقول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ثبتا لزم القول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يجامع المرأة في ما دون الفرج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ففيما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النكاح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غسل الجنابة ،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كالإطلاقات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أنّه خارج عن مدلول النصوص سوى قول أمير المؤمنين عليه‌السلام وكفى به حجّة بعد الإجماع عليه مطلقا كما عرفت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اللواط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روايات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جنبا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وجوب الطهور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قراءة الجنب والحائض والنفساء القرآن ما عدا العزائم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ويقرأن من القرآن ما شاء إلا السجدة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والحائض يقرآن القرآن ، ح </w:t>
      </w:r>
      <w:r>
        <w:rPr>
          <w:rFonts w:eastAsia="IRNazanin" w:cs="IRNazanin"/>
          <w:b w:val="false"/>
          <w:bCs w:val="false"/>
          <w:i w:val="false"/>
          <w:iCs w:val="false"/>
          <w:color w:val="333333"/>
          <w:sz w:val="20"/>
          <w:szCs w:val="20"/>
        </w:rPr>
        <w:t>6384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قراءة الجنب والحائض والنفساء القرآن ما عدا العزائم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يقرءا ما شاءا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تغيرهم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ويدخل المسجد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واحكامه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أنها مروية عن محمد بن القاسم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مرور الجنب والحائض في المساجد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الحمل على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يأكل ويشرب ويقرأ ويدخل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محمل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مرور الجنب ولحائض في المساجد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زيادات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مرور الجنب والحائض في المساجد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في آداب العشرة مع الامام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دخول الجنب بيوت النبي صلى‌اللّه‌عليه‌وآله والأئمة عليهم‌السلام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وقفيّة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جواز وضع الجنب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الوضع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روزانه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دلالة المنع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الجنب لا يمس المصحف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عنها محقق البحراني في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الموثّق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لا يمس الدراهم عليها اسم اللّه تعالى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لمس الجنب شيئا عليه اسم اللّه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التفصيل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إليه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وجوب الطهور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الإيمان مبثوث لجوارح البدن كلها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تر الدم وهي جنب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اختلاف يسير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المرأة الجنب تحيض عليها 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غسلان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غاية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ويدفعها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الكلام في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الأكل والشرب للجنب الا بعد الوضوء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غسل الجنابة ،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الأغسال وكيفية الغسل من الجنابة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الإطلاقات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يدان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غسل الجنابة ،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النوم للجنب الا بعد الوضوء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الكراهة بارتفاع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بهم في الأنس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يتوفى الأنفس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غسل الجنابة ،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القراءة وأوقاتها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الطهارة لقراءة القرآن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خضاب الجنب والحائض والنفساء وجنابة المختضب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خضاب الجنب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الانتفاء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الانتفاء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ويدخل المسجد ويختضب ويدهن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إتيان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 ، وما أدرجناه من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الترتيب في غسل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العماني أيضا عطف الأيمن على الأيسر بالواو ، وعلى نحو الإخبار ، وليس شي‌ء من ذلك صريحا في عدم اعتبار الترتيب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 نص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مثل غسل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يعلم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لزوم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والرجل يغتسل في مكان غير طيب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الحائض ويجزئها من الماء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للمتقى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ما حكى عنه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مختصا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يقرأ 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للتقوى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احتمل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على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سقوط فرض الوضوء عند الغسل من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غسل الجنابة وارتماسا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الغسل والوضوء قبله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ومنعه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وضعه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المدّعي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 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أدرجت في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تنجّسه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فيبقى غيرها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الشيخ ، هو الشيخ الطوسي ، وقد كرّره المصنّف قدس‌سره فيما يلي ، ونقل ذلك عنه في المبسوط كما بيّنا في الهامش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هو الصحيح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اختار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أسافل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التسمية والادعية المستحبة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بن الفضيل أو عن العلاء ، عن الفضيل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عن الفضيل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تأكد استحباب التسمية والدعاء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لاستحبابه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مجمل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يدخل يده في الاناء قبل أن يغسلها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المطلق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يصيب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الميت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الجنب يغتسل يبدأ فيغسل يديه الى المرفقين قبل أن يغمسهما في الماء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طهّر قلبي وزكّ عملي واجعل ما عندك خيرا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قدس‌سره أنّه يستحبّ أن يقول عند الغسل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طهّرني و </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باب غسل الزيارة ، أما غسل الجنابة فورد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تطهر قلبى وذكّ عملي وتقبل سعيى واجعل ما عندك خيرا لي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الدعاء بالمأثور عند الغسل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فقهاء ، بدلا من علما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غسل الجنابة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وعليه فيجب أن يكون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واللام ، مع أنه لا يلائم المقام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بيده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في الماء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استنجى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الإستبصار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في النسخ المخطوطة الثلاثة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أدرجناه من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معنى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غسل يوم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حصر انواع الغسل واقسامه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الأغسال وثوابها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متمماة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غسل الجمعة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انواع الغسل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غسل الجمعة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بداية وقت غسل الجمعة طلوع الفجر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تزين يوم الجمعة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نهاية وقت غسل الجمعة هي الزوال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ما بين الهلالين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أدرجناه زيادة من المصدر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الوجهين الأخيرين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الجمعة في السفر والحضر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أدرجناه زيادة 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غسل الجمعة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نقص أو سقط في النسخ المخطوطة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وقتي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أولهما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الاغتسال وكيفية الغسل من الجنابة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مجرّد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الرجل ينسى أن يغتسل يوم العيد حتّى يصلّي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وقت فعليه أن يغتسل ويعيد الصلاة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يوم عرفة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الغدير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حوائج الآخرة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توفيقة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مولد النبي صلى‌اللّه‌عليه‌وآله ووفاته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ليلة النصف من شعبان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الاغسال في شهر رمضان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الاغسال في شهر رمضان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حصر أنواعها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الأغسال المسنونة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وأقسامها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الأغسال في شهر رمضان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فما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ويوميه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يوم النيروز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غسل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الاغسال في شهر رمضان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مما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أدرجناه من المصدر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باجتناب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حصر انواعها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واقسامها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لعقد الاحرام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ذكرناه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مكة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كالصدوق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خباك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بنمرة ؛ ونمرة هي بطن عرنة دون الموقف ودون عرفة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وحدودها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الغدو الى عرفات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شئت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زيارة النبي صلى‌اللّه‌عليه‌وآله والأئمة وفاطمة عليهم‌السلام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زيارة قبور النبي صلى‌اللّه‌عليه‌وآله والأئمة عليهم‌السلام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الزيارات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يستحب لمن أراد زيارت الحسين عليه‌السلام أن يصوم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 ليس اطهر أطمارك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غسل الاستخارة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مذكور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انواع الغسل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المباهلة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تصليها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فاستيقنت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يستيقظ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فيتوقف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فرضنا تكافؤهما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الاطلاق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فليطهر لي بدنه وثيابه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الغناء ،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في كلا المصدرين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لقاضي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للتطهّر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الجماعة و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الاغسال وثوابها وأقسامها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صريحة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للجاني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للرؤية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يعد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التعيين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غسل الميت وغسل من مس ميتا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قعده بحمل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تعذّره محمل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التأمّل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والعامل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حصر أنواعها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وأقسامها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الولادة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الحاملة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ذلك بناء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النفسيّة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من غسل الإحرام وما لا يجزئ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من غسل الإحرام وما لا يجزئ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الاحرام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أدرجناه من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بيديه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فيتعيّن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الناظرة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للمرفوعة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مراعاة العدالة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بناء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يصيبه الجنابة فلا يجد الا الثلج أو الماء الجامد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الفلوات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الفلوات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والمفروض من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ومن تيمم ثم وجد الماء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لا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إمكان حفظه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يورد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والوجدان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الإزالة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كلمة غير واضحة لم نفهمها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ومن تيمم ثم وجد الماء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الكلمة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ومن تيمم ثم وجد الماء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الاعتبار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موذونا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الآتية وإطلاقات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وإطلاقات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أيضا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المصنف بالمعنى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فأحدث أو ذكر أنه على غير وضوء و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ما بين الهلالين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واضفناها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ظاهراه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خوف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انتقاء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المحدود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تحمّل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فتوى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إذا تيمم وصلى هل تجب عليه الإعادة أم 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الكسير والمجدور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التعمد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عدة من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والعبرة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إجزاء المسح على الجبائر في الوضوء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فاسقا أو كافرا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غيرها من النسخ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بالضرر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صغيفه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ويستبقي الماء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صبيّا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التنجيس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إحداهما إلّا أن عليها إشارة تحكي وجود كلمة محذوفة في النسخة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تخلّفه عن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ولا وجه لها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الصعيد و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وحكى الطبرسيّ عن الزجّاج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خلافا بين أهل اللّغة في أنّ الصعيد وجه الأرض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ابن دريد في الجمهرة عن أبي عبيدة أنّه التراب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الشرائع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التي تجوز الصلاة فيها ، 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أيتيمم بالصفا البالية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بالصفا النابت في الأرض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كمقابلة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فقدان الجفاف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يقاوم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لنتمّ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الكلام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جنيد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ذكرنا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كفى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قضى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النسخة الوحيدة التي نقلنا عنه هذه المواضع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قضية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مما أضفناها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توجد إلّا فيها ، فاغتنمها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يقض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يسجد عليه وما يكره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تيمّم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بالمعتبر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ثوب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بالطين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التيمّم عند الضرورة بغبار الثوب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يكون معه الماء القليل في السفر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فرش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الواو وزيدت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 فراجع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في الارض الوحلة والطين والماء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البردعة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في الأرض الوحلة والطين والماء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التطينيّة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فبمقتضى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يحصل في أرض غطاها الثلج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يجزئ للوضوء والغسل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يحصل في أرض عطاها الثلج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يحصل في أرض عطاها الثلج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خصوص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بإجرائه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يصيبه الجنابة فلا يجد إلا الثلج أو الماء الجامد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الشارع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تحمل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بطهورية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التيمّم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الغالب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يستلزم تيمّمه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الخروج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دخول في الصلاة بغير طهارة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الأحبار في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في 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الجمال ،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اقعد رجل من الأخيار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جادلوك مائة جلدة من عذاب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أطيقها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يزالوا به حتى انتهوا إلى جلدة واحدة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منها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تجلدوني فيها؟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صلّيت يوما بغير وضوء ومررت على ضعيف فلم تنصره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الاستحباب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مقايسة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أيّد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بين يدي الآن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الإطلاقات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وقضائها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بالعذر فيه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قضاء ما فات بسبب الاغماء المستوعب للوقت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قضاء ما فات بسبب الاغماء المستوعب للوقت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التي تصلي في كل وقت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متى يجب عليه التقصير أو التمام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وأحكامه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محكيّ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فساده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التيمّم وجملة من أحكامه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التيمّم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التوجّه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التوجّه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جواز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يلتزم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عرفت من تفسير التيمّم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والضرب تمام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وتعيّن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والنفلية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الشهيد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وأنّها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التشويه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يأتي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البقاء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المتيمم إذا وجد الماء لا يجب عليه إعادة الصلاة ، 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 وفي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أبكم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 وفي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مره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عدد الضربات في التيمّم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قابل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الغرّيّة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فيكتفى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والحلّي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المرآت في التيمّم ،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مسح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 مرتين للوجه واليدين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الصادق عليه‌السلام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لفظة الواو</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أوضح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صحيحة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ولاء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والأدلة وقد يقال إنّه بعد التعارض بين الأخبار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فيتقيّد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يستند في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مذاهب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لظهور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لظهورها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التيمّم وأحكام المحدثين منه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يؤثم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يؤتم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الوضوء ،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يؤمم بالصعيد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الشهيدان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أنّ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عدد المرات في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رواها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كرّر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الجبينين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بحمل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فيه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إطلاق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بالشغل اليقين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صحّتها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دخوله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الذي يوجب التيمّم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موثقة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المتيمم إذا وجد الماء لا يجب عليه اعادة الصلاة ، 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تمّت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المتيمم إذا وجد الماء لا يجب عليه اعادة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المتيمم إذا وجد الماء لا يجب عليه إعادة الصلاة ،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وجوب إعادة الصلاة الواقعة بالتيمم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واحكامه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ليتوضّأ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 المتيمم إذا وجد الماء لا يجب عليه اعادة الصلاة ،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دخل في الصلاة يتيمم ثم وجد الماء ،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إذا تيمم وصلى هل تجب عليه الإعادة أم لا ،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يكون معه الماء القليل في السفر ويخاف العطش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ومجرّد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مبتورة في النسخ المخطوطة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احتساب المريض والصبر عليه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خطيئة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ينغّي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المرض والصبر عليه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يوقع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المؤمن إذا حم حمى واحدة تناثرت الذنوب منه كورق الشجر </w:t>
      </w:r>
      <w:r>
        <w:rPr>
          <w:rFonts w:eastAsia="IRNazanin" w:cs="IRNazanin"/>
          <w:b w:val="false"/>
          <w:bCs w:val="false"/>
          <w:i w:val="false"/>
          <w:iCs w:val="false"/>
          <w:color w:val="333333"/>
          <w:sz w:val="20"/>
          <w:szCs w:val="20"/>
          <w:rtl w:val="true"/>
        </w:rPr>
        <w:t>...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مولانا أمير المؤمنين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الوجف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الدعاة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احتساب المرض والصبر عليه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فراش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يجاهد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مسقاما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احتساب المرض والصبر عليه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المرض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اعواده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الشكاية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وعكت البارحة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التشكي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وجعا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نزلت بك نازلة فلا تشكها إلى أحد من أهل الخلاف ولكن اذكرها لبعض اخوانك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وينبغي له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الداء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ترك المداواة مع إمكان الصبر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ادفعوا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مشى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يستسقي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وسألته عن ذلك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السعي في قضاء حاجة الضرير والمريض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شهوته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متشعث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أترى هذا الخلق كله من الناس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تأكد استحباب العيادة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مشاعا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يمحى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يصبر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عياده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خصال التي توجب التخلص من شدائد القيامة وأهوالها ،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كلهم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ولنتم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اجنازهم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النهى عن مراودة الكافر ومعاشرتهم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زيادة هذا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الجنائز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ويريده ويسأله ذلك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كم يعاد المريض وقدر ما يجلس عنده وتمام العيادة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فعن علي عليه‌السلام ان من تمام العيادة أن يضع العائد احدى يديه على الأخرى أو على جبهته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فسأل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أنساك اللّه العافية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عوذة الحمى وأنواعها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التماس العائد دعاء المريض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الهلالين غير مذكورة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طالت العلة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ويوما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كغيبته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عيادة المريض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لا ينبغي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والعبارة ناقصة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يأمر أحدا بمباشرة ذلك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الإتيان به على أمره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الوصية تمام ما نقص من الزكاة ح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وإنما وجدناه في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الملك عن أبي بكر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أتدري لأي شي‌ء وضع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إن كان في الفريضة نقصان قضيت النافلة على الفريضة حتى تتم </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وجوب غسل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الوصية بما بقي في الذمة من الزكاة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بالثلث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لا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لم يوص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حسن الوصية عند الموت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وبحكمه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حيّى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صحة التوبة في آخر العمر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حسن الظن باللّه عند الموت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عزوجل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منبره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w:t>
      </w:r>
      <w:r>
        <w:rPr>
          <w:rFonts w:eastAsia="IRNazanin" w:cs="IRNazanin"/>
          <w:b w:val="false"/>
          <w:bCs w:val="false"/>
          <w:i w:val="false"/>
          <w:iCs w:val="false"/>
          <w:color w:val="333333"/>
          <w:sz w:val="20"/>
          <w:szCs w:val="20"/>
          <w:rtl w:val="true"/>
        </w:rPr>
        <w:t>..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الاحتضار واحكامه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استعدادا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هادم اللذات فإنه لا يكون في كثير الا قلله ولا في قليل إلّا أجزأه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وكيف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فقه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ذم الدنيا والزهد فيها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يكثر إنسان ذكر الموت إلّا زهد في الدنيا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الماضين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توجيه الميت إلى القبلة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للموت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أعم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فسبحوه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توجيه الميت إلى القبلة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غسل يحفر له موضع المغتسل تجاه القبلة فيكون مستقبلا بباطن قدميه </w:t>
      </w:r>
      <w:r>
        <w:rPr>
          <w:rFonts w:eastAsia="IRNazanin" w:cs="IRNazanin"/>
          <w:b w:val="false"/>
          <w:bCs w:val="false"/>
          <w:i w:val="false"/>
          <w:iCs w:val="false"/>
          <w:color w:val="333333"/>
          <w:sz w:val="20"/>
          <w:szCs w:val="20"/>
          <w:rtl w:val="true"/>
        </w:rPr>
        <w:t>...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بصحيحة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قال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معرضا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يجعله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الاستقبال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وضع كما يوضع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إطلاق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فالظاهر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مشخصا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أدخل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غيرهما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يموت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أنت العفو الغفور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لامرأته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أفساخطة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حفف عنه حتى أسأله ، فافاق الرجل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صفحتين من العبارات الماضية حتى الباب الآتي ، إلّا أن الناسخ التفت إلى الزيادة فكتب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مكرّر في النسخة </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أبوال الدواب وأرواثها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بنجاستها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خصوص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أبوال الدواب وأرواثها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الطيور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يظفر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منقلبة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ناقصة ، فتدبّر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نجاسة الدم وأقسامه وأحكامه ،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استثناء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وهاهنا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الحرمة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لانبثاث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الانبساط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الواو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أصالة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المصنف قدس‌سره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المتيقّن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ناقص ؛ إذ لم يبحث عنه ولم يدخل في الفروع والأقوال كما هي عادته ، ولم يذكر أيضا أعداد النجاسات برمّتها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لإصلاح العبارة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لجهل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في النسختين الأخريين أيضا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سابعها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تعليظ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التعليط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التحقيق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تخلو عن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يشترط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تتم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خطّه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حكايته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 لها إلا قميص لها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العضو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التعذر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عبارة المصنف قدس‌سره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سهولة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لليل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فراغ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يتضح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البدن والثياب من النجاسات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ينجس الثوب والجسد من المياه المخرجة من الإنسان ،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لم يكتف في 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لم ينقل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بسراية </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وجدنا العبارة في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صاحب المفاتيح ، فراجع</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يوهمه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تطهير غيرها </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ومن لم يجد الماء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أوراق النسخ المخطوطة مشوّشة خلط بعضها ببعض ، أصلحناها ، والحمد لله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يمسح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للمتنجس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يصيب الثوب أو الجسد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يده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ثوبة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الذكر </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بين النسخ المخطوطة اختلاف في الأوراق ، أصلحناها بحسب ترتيب المطالب</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المتنجس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نجسته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نجسته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والمكان وما لا يجوز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قد أدرج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الأوراق الماضية ظاهرها الربط وواقعها التضادّ ، أصلحناها على حسب الوسع ، والحمد لله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تدعوه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نوجب </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بحسب </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أظفر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عدولا </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الطلاء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ورعا مأمونا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بياض الأصل في نسخة المصنف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في النسختين الأخريين أيضا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بالنسبة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العرش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التشكيك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احتمل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الخلاف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اعتبار ذكر 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شك في ثبوته بالنسبة إلى الرد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والمفروض عدمه على أنّه إن سلّم الوجوب فعلى غير المخبر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فكيف مقدّمه على غير من وجب عليه على أن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يتفرّع وجوب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يصلى في الثوب وهو غير طاهر عالما أو جاهلا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رجل أعار رجلا ثوبا فصلّى فيه وهو لا يصلي فيه؟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أعلمه؟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يعيد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بالأولى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الالتباس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التبست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مأخوذة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إلّا فيها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مرّ ، و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يصلى في الثوب وهو غير طاهر عالما أو جاهلا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والاستنجاء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حتى ينقى مأثمة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الثياب وغيرها من النجاسات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لمرة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وأدرجناها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لأصحّيّتها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وقعتا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تعقبه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اجزاء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 </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يقطع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الأصل ، الى هنا وجد بخطه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في النسختين الأخريين أيضا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الصلاة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من تهاون بالصلاة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المفطر </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وآخرها وأفضلها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لصحيحة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وآخرها وأفضلها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وقف صلاة الفجر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 تعمّد ذلك ليخالف السنة </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لأحد أن يتخذ آخر الوقت وقتا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وعلامة كل وقت منها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وآخرها وأفضلها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فعجل بالخير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وآخرها وأفضلها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أولها وآخرها وأفضلها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كفضل الآخرة على الدنيا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يؤخر صلاة العصر متعمدا؟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خدعوك عن شي‌ء فلا يخدعوك في العصر صلها والشمس بيضاء نقية فإن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الموتور أهله وماله المضيع لصلاة العصر 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الموتور أهله وماله؟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له في الجنة أهل ولا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تضييعها؟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يدعها واللّه حتى تصفر الشمس وتغيب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الكثيرة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وقت صلاة الظهرين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الفضيلة والإجزاء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وقت الظهر والعصر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وقت الظهر والعصر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الفضيلة </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الزوال فإن صليت قبل ذلك لم يجزك وبعضهم يقول يجزي ، ولكن الفضل في انتظار القدمين والأربعة أقدام </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وقت الظهر والعصر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ساقط بعض عن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ساقط من عين الاعتبار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قدمين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فذلك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الظهر والعصر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الشتاء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الشتاء</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فأمره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للمصدر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الضعف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موافق للمصدر</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الفضيلة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 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الفضيلة للظهر والعصر ونافلتهما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اوقات الصلاة وعلامة كل وقت منها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علي عليه‌السلام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التفاوت </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الروايتان الأخيرتان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بمقداره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الظهر والعصر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دلّ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فاتته صلاة فريضة فدخل عليه وقت صلاة اخرى فريضة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صلاة الظهرين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صلاة الظهرين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بالتقيّد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الظهر </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مما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عجيب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إنّ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توجد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كل قدمين ذراعا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المضيع</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السيدين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تشتبك </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تشتبك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انسد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تأكد استحباب تقديم المغرب في أول وقتها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الليل </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السفر والجمع بين الصلاتين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وعلامة كل وقت منها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السفر والجمع بين الصلاتين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تأخير المغرب حتى يغيب الشفق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بصير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والشيخين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واو العطف</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مع اختلاف يسير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صحيحة بكير بن محمد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فيسقط الشفق؟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لعلة لا بأس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فانّه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إطلاقان المتقدمان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واو العطف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كتابي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ألّا أن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تنقل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أيضا وقوّاه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وأدرجناه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فاتته الفريضة ودخل عليه وقت صلاة أخرى فريضة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صلى إلى غير القبلة ثم تبين بعد ذلك قبل انقضاء الوقت بعده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فاتته الفريضة ودخل عليه وقت صلاة أخرى فريضة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الحائض تطهر عند وقت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والعشاء الآخرة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الحائض تطهر عند وقت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إليه</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في المبسوط عن بعض الأصحاب ، ويظهر من الصدوق </w:t>
      </w:r>
      <w:r>
        <w:rPr>
          <w:rFonts w:eastAsia="IRNazanin" w:cs="IRNazanin"/>
          <w:b w:val="false"/>
          <w:bCs w:val="false"/>
          <w:i w:val="false"/>
          <w:iCs w:val="false"/>
          <w:color w:val="333333"/>
          <w:sz w:val="20"/>
          <w:szCs w:val="20"/>
          <w:rtl w:val="true"/>
        </w:rPr>
        <w:t>... ».</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كلام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لجميع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وبقاء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والذكرى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ارشال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وقت الظهر والعصر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أيركعهما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امتداد وقت ركعتي الفجر بعد طلوعه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اذ لا قائل </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يراد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الحدائق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حاصل </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الفجر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اول وقت الظهر والعصر ،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الصلوات الخمس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أفلسنا في وقت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تأكد استحباب تأخير العشاء حتى تذهب الحمرة المغربية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وصلوا بهم الغداة والرجل يعرف وجه صاحبه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مقارنة </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يخلف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لا </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لحمرة </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يعرف به زوال الشمس من زيادت الظلل بعد نقصانه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الصلوات الخمس وجملة من أحكامها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ابن أبي عقيل العماني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السبق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والمفاتيح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نغض </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الإفاضة من عرفات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وتتفقد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جازت قمة الرأس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المصدر</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بجريانه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تدخل </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بوادي الاجفر </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تأكد استحباب تقديم المغرب في أول وقتها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وعلامة كل وقت منها ،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لكل صلاة وقتين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جيدا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 الآخرة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زوال الليل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لأبعد </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العلم بدخول الوقت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اوقات الصلاة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استبنت الزيادة فصلّ الظهر </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للمكانية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وغيره ، وفي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يثبته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المصدر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الفجر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اللّه تبارك وتعالى لم يجعل خلقه في شبهة من هذا فقال </w:t>
      </w:r>
      <w:r>
        <w:rPr>
          <w:rFonts w:eastAsia="IRNazanin" w:cs="IRNazanin"/>
          <w:b w:val="false"/>
          <w:bCs w:val="false"/>
          <w:i w:val="false"/>
          <w:iCs w:val="false"/>
          <w:color w:val="333333"/>
          <w:sz w:val="20"/>
          <w:szCs w:val="20"/>
          <w:rtl w:val="true"/>
        </w:rPr>
        <w:t>..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ثقة يعلم منه الاستظهار قلده لقوله عليه‌السلام</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تلده </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التعديل في دخول الوقت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التعويل في دخول الوقت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ممنوعة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الريح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الصائم يصبح جنبا أو يحتلم نهارا 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غيم فافطر </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هليت </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أعد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الطيور التي عندكم بالعراق </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والريح ومن صلّى لغير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الحاصل </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وأراد </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وحملها </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اوقات الزكاة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اوقات الزكاة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والريح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صلاة له </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من المفروض والمسنون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 أن تزول </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الاندراج </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بمصادفته </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مستندا </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الأصل</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والسيّد </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جماعة ممن </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الريح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والغنية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الصلاة في يوم الغيم والريح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أوقات الصلاة وعلامة كل وقت منها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أنك قد </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الواردة </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مذاهب </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لظاهر </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بكونه </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أن دخل عليها وقت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تطمث </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أن دخل عليها وقت الصلاة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يخل </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والصلاة </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توهم </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تأمل في سقوطها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طرو أحد </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جهة </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إذا كان مضافا </w:t>
      </w:r>
      <w:r>
        <w:rPr>
          <w:rFonts w:eastAsia="IRNazanin" w:cs="IRNazanin"/>
          <w:b w:val="false"/>
          <w:bCs w:val="false"/>
          <w:i w:val="false"/>
          <w:iCs w:val="false"/>
          <w:color w:val="333333"/>
          <w:sz w:val="20"/>
          <w:szCs w:val="20"/>
          <w:rtl w:val="true"/>
        </w:rPr>
        <w:t>...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لنفس </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فاتفق </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وكذا إلى أو </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وكذا إلى أوجب </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إن </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بالحال </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حكايته </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احكام الحيض</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الحيض والنفاس ،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حملهما </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أظهر ؛ إذ المؤلف قدس‌سره صرّح في أول البحث أن الكلام يقع في مقامين ، فلاحظ</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يصلي </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هو الصحيح بقرينة قوله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يستحبان </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أضفناها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فيترجّح </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 </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أضفناها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والأخبار </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والصلاة </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في الدم اكثر </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قبل أن تصليها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قبل أن تصليها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لنتمّم </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المرأة تحيض بعد دخول وقت الصلاة قبل أن تصليها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والمحقق </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هو المناط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اتّساعه </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مأخوذة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صلاة الفجر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وفتوى الأصحاب </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فعن </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يكتفى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بطهارة </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أن </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في المكتبة الرضويه </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الجماعة وفضلها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والساعات التى لا يصلى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البلوغ فيجب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غير مذكور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فاغتنم</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التطوع في وقت الفريضة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نافلة </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فوتهما </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من فاتته صلاة الفريضة هل يجوز له أن ينتفل أم لا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مرويّة عن عبد اللّه بن سنان</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من فاتته صلاة الفريضة هل يجوز له أن ينتفل أم لا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التطوع بالنافلة أداء وقضاء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هذه الرواية عن كتاب غياث سلطان الورى</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التطوع بالنافلة أداء وقضاء لمن عليه فريضة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تعجيل قضاء ما فات نهارا ولو بالليل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وتأخيرها وقضائها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قضاء ما فات من النوافل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تحقيق في اوقات التى تكره فيها الصلاة 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الاستخارة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بالرقاع وكيفيتها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صلاتين </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فاطمة سلام اللّه عليها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فاطمة سلام اللّه عليها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صلاة ركعتي الوصية بين المغرب والعشاء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للكفعمى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صلاة كل ليلة من رجب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حفظ واللّه </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خميس </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صلاة الرغائب ليلة أول جمعة من رجب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صلاة كل ليلة من شعبان وكيفيتها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صلاة كل يوم وليلة من الاسبوع وكيفيتها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للجواز </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ركعتي الفجر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أو سهى عنها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جواز التطوع بالنافلة أداء وقضاء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من فاتته صلاة الفريضة هل يجوز له أن ينتقل أم لا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والعصر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ذكره في الصلاة من المفروض والمسنون ،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الَّذِينَ هُمْ عَلى صَلاتِهِمْ دائِمُونَ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صلاتهم دائمون</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ذكره في الصلاة من المفروض والمسنون ،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ذكره في الصلاة من المفروض والمسنون ،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بياض الاصل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النسخ الأخرى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115924</Words>
  <Characters>475144</Characters>
  <CharactersWithSpaces>586816</CharactersWithSpaces>
  <Paragraphs>4838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2026-08-25T05:06:47Z</dcterms:created>
  <dc:creator>ghaemiyeh.com</dc:creator>
  <dc:description/>
  <dc:language>en-US</dc:language>
  <cp:lastModifiedBy/>
  <dcterms:modified xsi:type="dcterms:W3CDTF">2026-08-25T08:37:13Z</dcterms:modified>
  <cp:revision>1</cp:revision>
  <dc:subject/>
  <dc:title>تبصرة الفقهاء جلد 2</dc:title>
</cp:coreProperties>
</file>

<file path=docProps/custom.xml><?xml version="1.0" encoding="utf-8"?>
<Properties xmlns="http://schemas.openxmlformats.org/officeDocument/2006/custom-properties" xmlns:vt="http://schemas.openxmlformats.org/officeDocument/2006/docPropsVTypes"/>
</file>