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عقاید و مذاهب اسلامی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9542_173825534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119544_1738255347">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119546_1738255347">
            <w:r>
              <w:rPr>
                <w:webHidden/>
                <w:rStyle w:val="IndexLink"/>
                <w:rtl w:val="true"/>
              </w:rPr>
              <w:t>فرقۀ ماتریدیه</w:t>
            </w:r>
            <w:r>
              <w:rPr>
                <w:rStyle w:val="IndexLink"/>
                <w:rtl w:val="true"/>
              </w:rPr>
              <w:tab/>
            </w:r>
            <w:r>
              <w:rPr>
                <w:rStyle w:val="IndexLink"/>
              </w:rPr>
              <w:t>12</w:t>
            </w:r>
          </w:hyperlink>
        </w:p>
        <w:p>
          <w:pPr>
            <w:pStyle w:val="Contents3"/>
            <w:tabs>
              <w:tab w:val="clear" w:pos="8459"/>
              <w:tab w:val="right" w:pos="9026" w:leader="dot"/>
            </w:tabs>
            <w:rPr/>
          </w:pPr>
          <w:hyperlink w:anchor="__RefHeading___Toc1119548_173825534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119550_1738255347">
            <w:r>
              <w:rPr>
                <w:webHidden/>
                <w:rStyle w:val="IndexLink"/>
                <w:rtl w:val="true"/>
              </w:rPr>
              <w:t>زندگانی ماتریدی</w:t>
            </w:r>
            <w:r>
              <w:rPr>
                <w:rStyle w:val="IndexLink"/>
                <w:rtl w:val="true"/>
              </w:rPr>
              <w:tab/>
            </w:r>
            <w:r>
              <w:rPr>
                <w:rStyle w:val="IndexLink"/>
              </w:rPr>
              <w:t>15</w:t>
            </w:r>
          </w:hyperlink>
        </w:p>
        <w:p>
          <w:pPr>
            <w:pStyle w:val="Contents4"/>
            <w:tabs>
              <w:tab w:val="clear" w:pos="8176"/>
              <w:tab w:val="right" w:pos="9026" w:leader="dot"/>
            </w:tabs>
            <w:rPr/>
          </w:pPr>
          <w:hyperlink w:anchor="__RefHeading___Toc1119552_1738255347">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119554_1738255347">
            <w:r>
              <w:rPr>
                <w:webHidden/>
                <w:rStyle w:val="IndexLink"/>
                <w:rtl w:val="true"/>
              </w:rPr>
              <w:t>تاریخ تولد</w:t>
            </w:r>
            <w:r>
              <w:rPr>
                <w:rStyle w:val="IndexLink"/>
                <w:rtl w:val="true"/>
              </w:rPr>
              <w:tab/>
            </w:r>
            <w:r>
              <w:rPr>
                <w:rStyle w:val="IndexLink"/>
              </w:rPr>
              <w:t>16</w:t>
            </w:r>
          </w:hyperlink>
        </w:p>
        <w:p>
          <w:pPr>
            <w:pStyle w:val="Contents4"/>
            <w:tabs>
              <w:tab w:val="clear" w:pos="8176"/>
              <w:tab w:val="right" w:pos="9026" w:leader="dot"/>
            </w:tabs>
            <w:rPr/>
          </w:pPr>
          <w:hyperlink w:anchor="__RefHeading___Toc1119556_1738255347">
            <w:r>
              <w:rPr>
                <w:webHidden/>
                <w:rStyle w:val="IndexLink"/>
                <w:rtl w:val="true"/>
              </w:rPr>
              <w:t>زادگاه او</w:t>
            </w:r>
            <w:r>
              <w:rPr>
                <w:rStyle w:val="IndexLink"/>
                <w:rtl w:val="true"/>
              </w:rPr>
              <w:tab/>
            </w:r>
            <w:r>
              <w:rPr>
                <w:rStyle w:val="IndexLink"/>
              </w:rPr>
              <w:t>17</w:t>
            </w:r>
          </w:hyperlink>
        </w:p>
        <w:p>
          <w:pPr>
            <w:pStyle w:val="Contents4"/>
            <w:tabs>
              <w:tab w:val="clear" w:pos="8176"/>
              <w:tab w:val="right" w:pos="9026" w:leader="dot"/>
            </w:tabs>
            <w:rPr/>
          </w:pPr>
          <w:hyperlink w:anchor="__RefHeading___Toc1119558_1738255347">
            <w:r>
              <w:rPr>
                <w:webHidden/>
                <w:rStyle w:val="IndexLink"/>
                <w:rtl w:val="true"/>
              </w:rPr>
              <w:t>تحصیلات او</w:t>
            </w:r>
            <w:r>
              <w:rPr>
                <w:rStyle w:val="IndexLink"/>
                <w:rtl w:val="true"/>
              </w:rPr>
              <w:tab/>
            </w:r>
            <w:r>
              <w:rPr>
                <w:rStyle w:val="IndexLink"/>
              </w:rPr>
              <w:t>17</w:t>
            </w:r>
          </w:hyperlink>
        </w:p>
        <w:p>
          <w:pPr>
            <w:pStyle w:val="Contents4"/>
            <w:tabs>
              <w:tab w:val="clear" w:pos="8176"/>
              <w:tab w:val="right" w:pos="9026" w:leader="dot"/>
            </w:tabs>
            <w:rPr/>
          </w:pPr>
          <w:hyperlink w:anchor="__RefHeading___Toc1119560_1738255347">
            <w:r>
              <w:rPr>
                <w:webHidden/>
                <w:rStyle w:val="IndexLink"/>
                <w:rtl w:val="true"/>
              </w:rPr>
              <w:t>شاگردان او</w:t>
            </w:r>
            <w:r>
              <w:rPr>
                <w:rStyle w:val="IndexLink"/>
                <w:rtl w:val="true"/>
              </w:rPr>
              <w:tab/>
            </w:r>
            <w:r>
              <w:rPr>
                <w:rStyle w:val="IndexLink"/>
              </w:rPr>
              <w:t>18</w:t>
            </w:r>
          </w:hyperlink>
        </w:p>
        <w:p>
          <w:pPr>
            <w:pStyle w:val="Contents4"/>
            <w:tabs>
              <w:tab w:val="clear" w:pos="8176"/>
              <w:tab w:val="right" w:pos="9026" w:leader="dot"/>
            </w:tabs>
            <w:rPr/>
          </w:pPr>
          <w:hyperlink w:anchor="__RefHeading___Toc1119562_1738255347">
            <w:r>
              <w:rPr>
                <w:webHidden/>
                <w:rStyle w:val="IndexLink"/>
              </w:rPr>
              <w:t>1</w:t>
            </w:r>
            <w:r>
              <w:rPr>
                <w:rStyle w:val="IndexLink"/>
                <w:rtl w:val="true"/>
              </w:rPr>
              <w:t xml:space="preserve"> - </w:t>
            </w:r>
            <w:r>
              <w:rPr>
                <w:rStyle w:val="IndexLink"/>
                <w:rtl w:val="true"/>
              </w:rPr>
              <w:t>آثار ماتریدی</w:t>
            </w:r>
            <w:r>
              <w:rPr>
                <w:rStyle w:val="IndexLink"/>
                <w:rtl w:val="true"/>
              </w:rPr>
              <w:tab/>
            </w:r>
            <w:r>
              <w:rPr>
                <w:rStyle w:val="IndexLink"/>
              </w:rPr>
              <w:t>18</w:t>
            </w:r>
          </w:hyperlink>
        </w:p>
        <w:p>
          <w:pPr>
            <w:pStyle w:val="Contents3"/>
            <w:tabs>
              <w:tab w:val="clear" w:pos="8459"/>
              <w:tab w:val="right" w:pos="9026" w:leader="dot"/>
            </w:tabs>
            <w:rPr/>
          </w:pPr>
          <w:hyperlink w:anchor="__RefHeading___Toc1119564_1738255347">
            <w:r>
              <w:rPr>
                <w:webHidden/>
                <w:rStyle w:val="IndexLink"/>
                <w:rtl w:val="true"/>
              </w:rPr>
              <w:t>تفاوت دو مکتب</w:t>
            </w:r>
            <w:r>
              <w:rPr>
                <w:rStyle w:val="IndexLink"/>
                <w:rtl w:val="true"/>
              </w:rPr>
              <w:t xml:space="preserve">: </w:t>
            </w:r>
            <w:r>
              <w:rPr>
                <w:rStyle w:val="IndexLink"/>
                <w:rtl w:val="true"/>
              </w:rPr>
              <w:t>اشعری و ماتریدی</w:t>
            </w:r>
            <w:r>
              <w:rPr>
                <w:rStyle w:val="IndexLink"/>
                <w:rtl w:val="true"/>
              </w:rPr>
              <w:tab/>
            </w:r>
            <w:r>
              <w:rPr>
                <w:rStyle w:val="IndexLink"/>
              </w:rPr>
              <w:t>19</w:t>
            </w:r>
          </w:hyperlink>
        </w:p>
        <w:p>
          <w:pPr>
            <w:pStyle w:val="Contents3"/>
            <w:tabs>
              <w:tab w:val="clear" w:pos="8459"/>
              <w:tab w:val="right" w:pos="9026" w:leader="dot"/>
            </w:tabs>
            <w:rPr/>
          </w:pPr>
          <w:hyperlink w:anchor="__RefHeading___Toc1119566_1738255347">
            <w:r>
              <w:rPr>
                <w:webHidden/>
                <w:rStyle w:val="IndexLink"/>
                <w:rtl w:val="true"/>
              </w:rPr>
              <w:t>امتیازات و ویژگیهای دو مکتب</w:t>
            </w:r>
            <w:r>
              <w:rPr>
                <w:rStyle w:val="IndexLink"/>
                <w:rtl w:val="true"/>
              </w:rPr>
              <w:tab/>
            </w:r>
            <w:r>
              <w:rPr>
                <w:rStyle w:val="IndexLink"/>
              </w:rPr>
              <w:t>23</w:t>
            </w:r>
          </w:hyperlink>
        </w:p>
        <w:p>
          <w:pPr>
            <w:pStyle w:val="Contents4"/>
            <w:tabs>
              <w:tab w:val="clear" w:pos="8176"/>
              <w:tab w:val="right" w:pos="9026" w:leader="dot"/>
            </w:tabs>
            <w:rPr/>
          </w:pPr>
          <w:hyperlink w:anchor="__RefHeading___Toc1119568_1738255347">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119570_1738255347">
            <w:r>
              <w:rPr>
                <w:webHidden/>
                <w:rStyle w:val="IndexLink"/>
              </w:rPr>
              <w:t>1</w:t>
            </w:r>
            <w:r>
              <w:rPr>
                <w:rStyle w:val="IndexLink"/>
                <w:rtl w:val="true"/>
              </w:rPr>
              <w:t xml:space="preserve"> - </w:t>
            </w:r>
            <w:r>
              <w:rPr>
                <w:rStyle w:val="IndexLink"/>
                <w:rtl w:val="true"/>
              </w:rPr>
              <w:t>معرفت خدا قبل از بعثت پیامبران</w:t>
            </w:r>
            <w:r>
              <w:rPr>
                <w:rStyle w:val="IndexLink"/>
                <w:rtl w:val="true"/>
              </w:rPr>
              <w:tab/>
            </w:r>
            <w:r>
              <w:rPr>
                <w:rStyle w:val="IndexLink"/>
              </w:rPr>
              <w:t>24</w:t>
            </w:r>
          </w:hyperlink>
        </w:p>
        <w:p>
          <w:pPr>
            <w:pStyle w:val="Contents4"/>
            <w:tabs>
              <w:tab w:val="clear" w:pos="8176"/>
              <w:tab w:val="right" w:pos="9026" w:leader="dot"/>
            </w:tabs>
            <w:rPr/>
          </w:pPr>
          <w:hyperlink w:anchor="__RefHeading___Toc1119572_1738255347">
            <w:r>
              <w:rPr>
                <w:webHidden/>
                <w:rStyle w:val="IndexLink"/>
              </w:rPr>
              <w:t>2</w:t>
            </w:r>
            <w:r>
              <w:rPr>
                <w:rStyle w:val="IndexLink"/>
                <w:rtl w:val="true"/>
              </w:rPr>
              <w:t xml:space="preserve"> - </w:t>
            </w:r>
            <w:r>
              <w:rPr>
                <w:rStyle w:val="IndexLink"/>
                <w:rtl w:val="true"/>
              </w:rPr>
              <w:t>حسن و قبح عقلی</w:t>
            </w:r>
            <w:r>
              <w:rPr>
                <w:rStyle w:val="IndexLink"/>
                <w:rtl w:val="true"/>
              </w:rPr>
              <w:tab/>
            </w:r>
            <w:r>
              <w:rPr>
                <w:rStyle w:val="IndexLink"/>
              </w:rPr>
              <w:t>24</w:t>
            </w:r>
          </w:hyperlink>
        </w:p>
        <w:p>
          <w:pPr>
            <w:pStyle w:val="Contents4"/>
            <w:tabs>
              <w:tab w:val="clear" w:pos="8176"/>
              <w:tab w:val="right" w:pos="9026" w:leader="dot"/>
            </w:tabs>
            <w:rPr/>
          </w:pPr>
          <w:hyperlink w:anchor="__RefHeading___Toc1119574_1738255347">
            <w:r>
              <w:rPr>
                <w:webHidden/>
                <w:rStyle w:val="IndexLink"/>
              </w:rPr>
              <w:t>3</w:t>
            </w:r>
            <w:r>
              <w:rPr>
                <w:rStyle w:val="IndexLink"/>
                <w:rtl w:val="true"/>
              </w:rPr>
              <w:t xml:space="preserve"> - </w:t>
            </w:r>
            <w:r>
              <w:rPr>
                <w:rStyle w:val="IndexLink"/>
                <w:rtl w:val="true"/>
              </w:rPr>
              <w:t>تکلیف به بیش از توانایی</w:t>
            </w:r>
            <w:r>
              <w:rPr>
                <w:rStyle w:val="IndexLink"/>
                <w:rtl w:val="true"/>
              </w:rPr>
              <w:tab/>
            </w:r>
            <w:r>
              <w:rPr>
                <w:rStyle w:val="IndexLink"/>
              </w:rPr>
              <w:t>25</w:t>
            </w:r>
          </w:hyperlink>
        </w:p>
        <w:p>
          <w:pPr>
            <w:pStyle w:val="Contents4"/>
            <w:tabs>
              <w:tab w:val="clear" w:pos="8176"/>
              <w:tab w:val="right" w:pos="9026" w:leader="dot"/>
            </w:tabs>
            <w:rPr/>
          </w:pPr>
          <w:hyperlink w:anchor="__RefHeading___Toc1119576_1738255347">
            <w:r>
              <w:rPr>
                <w:webHidden/>
                <w:rStyle w:val="IndexLink"/>
              </w:rPr>
              <w:t>4</w:t>
            </w:r>
            <w:r>
              <w:rPr>
                <w:rStyle w:val="IndexLink"/>
                <w:rtl w:val="true"/>
              </w:rPr>
              <w:t xml:space="preserve"> - </w:t>
            </w:r>
            <w:r>
              <w:rPr>
                <w:rStyle w:val="IndexLink"/>
                <w:rtl w:val="true"/>
              </w:rPr>
              <w:t>افعال خدا در گرو اغراض و غایات است</w:t>
            </w:r>
            <w:r>
              <w:rPr>
                <w:rStyle w:val="IndexLink"/>
                <w:rtl w:val="true"/>
              </w:rPr>
              <w:tab/>
            </w:r>
            <w:r>
              <w:rPr>
                <w:rStyle w:val="IndexLink"/>
              </w:rPr>
              <w:t>26</w:t>
            </w:r>
          </w:hyperlink>
        </w:p>
        <w:p>
          <w:pPr>
            <w:pStyle w:val="Contents4"/>
            <w:tabs>
              <w:tab w:val="clear" w:pos="8176"/>
              <w:tab w:val="right" w:pos="9026" w:leader="dot"/>
            </w:tabs>
            <w:rPr/>
          </w:pPr>
          <w:hyperlink w:anchor="__RefHeading___Toc1119578_1738255347">
            <w:r>
              <w:rPr>
                <w:webHidden/>
                <w:rStyle w:val="IndexLink"/>
              </w:rPr>
              <w:t>5</w:t>
            </w:r>
            <w:r>
              <w:rPr>
                <w:rStyle w:val="IndexLink"/>
                <w:rtl w:val="true"/>
              </w:rPr>
              <w:t xml:space="preserve"> - </w:t>
            </w:r>
            <w:r>
              <w:rPr>
                <w:rStyle w:val="IndexLink"/>
                <w:rtl w:val="true"/>
              </w:rPr>
              <w:t>استطاعت پیش از فعل است، یا همراه آن؟</w:t>
            </w:r>
            <w:r>
              <w:rPr>
                <w:rStyle w:val="IndexLink"/>
                <w:rtl w:val="true"/>
              </w:rPr>
              <w:tab/>
            </w:r>
            <w:r>
              <w:rPr>
                <w:rStyle w:val="IndexLink"/>
              </w:rPr>
              <w:t>27</w:t>
            </w:r>
          </w:hyperlink>
        </w:p>
        <w:p>
          <w:pPr>
            <w:pStyle w:val="Contents4"/>
            <w:tabs>
              <w:tab w:val="clear" w:pos="8176"/>
              <w:tab w:val="right" w:pos="9026" w:leader="dot"/>
            </w:tabs>
            <w:rPr/>
          </w:pPr>
          <w:hyperlink w:anchor="__RefHeading___Toc1119580_1738255347">
            <w:r>
              <w:rPr>
                <w:webHidden/>
                <w:rStyle w:val="IndexLink"/>
              </w:rPr>
              <w:t>6</w:t>
            </w:r>
            <w:r>
              <w:rPr>
                <w:rStyle w:val="IndexLink"/>
                <w:rtl w:val="true"/>
              </w:rPr>
              <w:t xml:space="preserve"> - </w:t>
            </w:r>
            <w:r>
              <w:rPr>
                <w:rStyle w:val="IndexLink"/>
                <w:rtl w:val="true"/>
              </w:rPr>
              <w:t>قدرت نسبت به فعل و ترک یکسان است</w:t>
            </w:r>
            <w:r>
              <w:rPr>
                <w:rStyle w:val="IndexLink"/>
                <w:rtl w:val="true"/>
              </w:rPr>
              <w:tab/>
            </w:r>
            <w:r>
              <w:rPr>
                <w:rStyle w:val="IndexLink"/>
              </w:rPr>
              <w:t>28</w:t>
            </w:r>
          </w:hyperlink>
        </w:p>
        <w:p>
          <w:pPr>
            <w:pStyle w:val="Contents4"/>
            <w:tabs>
              <w:tab w:val="clear" w:pos="8176"/>
              <w:tab w:val="right" w:pos="9026" w:leader="dot"/>
            </w:tabs>
            <w:rPr/>
          </w:pPr>
          <w:hyperlink w:anchor="__RefHeading___Toc1119582_1738255347">
            <w:r>
              <w:rPr>
                <w:webHidden/>
                <w:rStyle w:val="IndexLink"/>
              </w:rPr>
              <w:t>7</w:t>
            </w:r>
            <w:r>
              <w:rPr>
                <w:rStyle w:val="IndexLink"/>
                <w:rtl w:val="true"/>
              </w:rPr>
              <w:t xml:space="preserve"> - </w:t>
            </w:r>
            <w:r>
              <w:rPr>
                <w:rStyle w:val="IndexLink"/>
                <w:rtl w:val="true"/>
              </w:rPr>
              <w:t>افعال بندگان فعل مستقیم خداست</w:t>
            </w:r>
            <w:r>
              <w:rPr>
                <w:rStyle w:val="IndexLink"/>
                <w:rtl w:val="true"/>
              </w:rPr>
              <w:tab/>
            </w:r>
            <w:r>
              <w:rPr>
                <w:rStyle w:val="IndexLink"/>
              </w:rPr>
              <w:t>28</w:t>
            </w:r>
          </w:hyperlink>
        </w:p>
        <w:p>
          <w:pPr>
            <w:pStyle w:val="Contents4"/>
            <w:tabs>
              <w:tab w:val="clear" w:pos="8176"/>
              <w:tab w:val="right" w:pos="9026" w:leader="dot"/>
            </w:tabs>
            <w:rPr/>
          </w:pPr>
          <w:hyperlink w:anchor="__RefHeading___Toc1119584_1738255347">
            <w:r>
              <w:rPr>
                <w:webHidden/>
                <w:rStyle w:val="IndexLink"/>
              </w:rPr>
              <w:t>8</w:t>
            </w:r>
            <w:r>
              <w:rPr>
                <w:rStyle w:val="IndexLink"/>
                <w:rtl w:val="true"/>
              </w:rPr>
              <w:t xml:space="preserve"> - </w:t>
            </w:r>
            <w:r>
              <w:rPr>
                <w:rStyle w:val="IndexLink"/>
                <w:rtl w:val="true"/>
              </w:rPr>
              <w:t>صفات خدا عین ذات اوست</w:t>
            </w:r>
            <w:r>
              <w:rPr>
                <w:rStyle w:val="IndexLink"/>
                <w:rtl w:val="true"/>
              </w:rPr>
              <w:tab/>
            </w:r>
            <w:r>
              <w:rPr>
                <w:rStyle w:val="IndexLink"/>
              </w:rPr>
              <w:t>30</w:t>
            </w:r>
          </w:hyperlink>
        </w:p>
        <w:p>
          <w:pPr>
            <w:pStyle w:val="Contents4"/>
            <w:tabs>
              <w:tab w:val="clear" w:pos="8176"/>
              <w:tab w:val="right" w:pos="9026" w:leader="dot"/>
            </w:tabs>
            <w:rPr/>
          </w:pPr>
          <w:hyperlink w:anchor="__RefHeading___Toc1119586_1738255347">
            <w:r>
              <w:rPr>
                <w:webHidden/>
                <w:rStyle w:val="IndexLink"/>
              </w:rPr>
              <w:t>9</w:t>
            </w:r>
            <w:r>
              <w:rPr>
                <w:rStyle w:val="IndexLink"/>
                <w:rtl w:val="true"/>
              </w:rPr>
              <w:t xml:space="preserve"> - </w:t>
            </w:r>
            <w:r>
              <w:rPr>
                <w:rStyle w:val="IndexLink"/>
                <w:rtl w:val="true"/>
              </w:rPr>
              <w:t>تفسیر صفات خبری</w:t>
            </w:r>
            <w:r>
              <w:rPr>
                <w:rStyle w:val="IndexLink"/>
                <w:rtl w:val="true"/>
              </w:rPr>
              <w:tab/>
            </w:r>
            <w:r>
              <w:rPr>
                <w:rStyle w:val="IndexLink"/>
              </w:rPr>
              <w:t>31</w:t>
            </w:r>
          </w:hyperlink>
        </w:p>
        <w:p>
          <w:pPr>
            <w:pStyle w:val="Contents3"/>
            <w:tabs>
              <w:tab w:val="clear" w:pos="8459"/>
              <w:tab w:val="right" w:pos="9026" w:leader="dot"/>
            </w:tabs>
            <w:rPr/>
          </w:pPr>
          <w:hyperlink w:anchor="__RefHeading___Toc1119588_1738255347">
            <w:r>
              <w:rPr>
                <w:webHidden/>
                <w:rStyle w:val="IndexLink"/>
                <w:rtl w:val="true"/>
              </w:rPr>
              <w:t>برخی از پیروان ابو منصور ماتریدی</w:t>
            </w:r>
            <w:r>
              <w:rPr>
                <w:rStyle w:val="IndexLink"/>
                <w:rtl w:val="true"/>
              </w:rPr>
              <w:tab/>
            </w:r>
            <w:r>
              <w:rPr>
                <w:rStyle w:val="IndexLink"/>
              </w:rPr>
              <w:t>32</w:t>
            </w:r>
          </w:hyperlink>
        </w:p>
        <w:p>
          <w:pPr>
            <w:pStyle w:val="Contents4"/>
            <w:tabs>
              <w:tab w:val="clear" w:pos="8176"/>
              <w:tab w:val="right" w:pos="9026" w:leader="dot"/>
            </w:tabs>
            <w:rPr/>
          </w:pPr>
          <w:hyperlink w:anchor="__RefHeading___Toc1119590_1738255347">
            <w:r>
              <w:rPr>
                <w:webHidden/>
                <w:rStyle w:val="IndexLink"/>
                <w:rtl w:val="true"/>
              </w:rPr>
              <w:t xml:space="preserve">- </w:t>
            </w:r>
            <w:r>
              <w:rPr>
                <w:rStyle w:val="IndexLink"/>
              </w:rPr>
              <w:t>1</w:t>
            </w:r>
            <w:r>
              <w:rPr>
                <w:rStyle w:val="IndexLink"/>
                <w:rtl w:val="true"/>
              </w:rPr>
              <w:t xml:space="preserve"> - </w:t>
            </w:r>
            <w:r>
              <w:rPr>
                <w:rStyle w:val="IndexLink"/>
                <w:rtl w:val="true"/>
              </w:rPr>
              <w:t xml:space="preserve">أبو الیسر محمد بزدوی </w:t>
            </w:r>
            <w:r>
              <w:rPr>
                <w:rStyle w:val="IndexLink"/>
                <w:rtl w:val="true"/>
              </w:rPr>
              <w:t>(</w:t>
            </w:r>
            <w:r>
              <w:rPr>
                <w:rStyle w:val="IndexLink"/>
              </w:rPr>
              <w:t>421</w:t>
            </w:r>
            <w:r>
              <w:rPr>
                <w:rStyle w:val="IndexLink"/>
                <w:rtl w:val="true"/>
              </w:rPr>
              <w:t>-</w:t>
            </w:r>
            <w:r>
              <w:rPr>
                <w:rStyle w:val="IndexLink"/>
              </w:rPr>
              <w:t>493</w:t>
            </w:r>
            <w:r>
              <w:rPr>
                <w:rStyle w:val="IndexLink"/>
                <w:rtl w:val="true"/>
              </w:rPr>
              <w:t>)</w:t>
              <w:tab/>
            </w:r>
            <w:r>
              <w:rPr>
                <w:rStyle w:val="IndexLink"/>
              </w:rPr>
              <w:t>32</w:t>
            </w:r>
          </w:hyperlink>
        </w:p>
        <w:p>
          <w:pPr>
            <w:pStyle w:val="Contents4"/>
            <w:tabs>
              <w:tab w:val="clear" w:pos="8176"/>
              <w:tab w:val="right" w:pos="9026" w:leader="dot"/>
            </w:tabs>
            <w:rPr/>
          </w:pPr>
          <w:hyperlink w:anchor="__RefHeading___Toc1119592_1738255347">
            <w:r>
              <w:rPr>
                <w:webHidden/>
                <w:rStyle w:val="IndexLink"/>
              </w:rPr>
              <w:t>2</w:t>
            </w:r>
            <w:r>
              <w:rPr>
                <w:rStyle w:val="IndexLink"/>
                <w:rtl w:val="true"/>
              </w:rPr>
              <w:t xml:space="preserve"> - </w:t>
            </w:r>
            <w:r>
              <w:rPr>
                <w:rStyle w:val="IndexLink"/>
                <w:rtl w:val="true"/>
              </w:rPr>
              <w:t xml:space="preserve">نسفی میمون بن محمد </w:t>
            </w:r>
            <w:r>
              <w:rPr>
                <w:rStyle w:val="IndexLink"/>
                <w:rtl w:val="true"/>
              </w:rPr>
              <w:t>(</w:t>
            </w:r>
            <w:r>
              <w:rPr>
                <w:rStyle w:val="IndexLink"/>
              </w:rPr>
              <w:t>418</w:t>
            </w:r>
            <w:r>
              <w:rPr>
                <w:rStyle w:val="IndexLink"/>
                <w:rtl w:val="true"/>
              </w:rPr>
              <w:t>-</w:t>
            </w:r>
            <w:r>
              <w:rPr>
                <w:rStyle w:val="IndexLink"/>
              </w:rPr>
              <w:t>508</w:t>
            </w:r>
            <w:r>
              <w:rPr>
                <w:rStyle w:val="IndexLink"/>
                <w:rtl w:val="true"/>
              </w:rPr>
              <w:t>)</w:t>
              <w:tab/>
            </w:r>
            <w:r>
              <w:rPr>
                <w:rStyle w:val="IndexLink"/>
              </w:rPr>
              <w:t>33</w:t>
            </w:r>
          </w:hyperlink>
        </w:p>
        <w:p>
          <w:pPr>
            <w:pStyle w:val="Contents4"/>
            <w:tabs>
              <w:tab w:val="clear" w:pos="8176"/>
              <w:tab w:val="right" w:pos="9026" w:leader="dot"/>
            </w:tabs>
            <w:rPr/>
          </w:pPr>
          <w:hyperlink w:anchor="__RefHeading___Toc1119594_1738255347">
            <w:r>
              <w:rPr>
                <w:webHidden/>
                <w:rStyle w:val="IndexLink"/>
              </w:rPr>
              <w:t>3</w:t>
            </w:r>
            <w:r>
              <w:rPr>
                <w:rStyle w:val="IndexLink"/>
                <w:rtl w:val="true"/>
              </w:rPr>
              <w:t xml:space="preserve"> - </w:t>
            </w:r>
            <w:r>
              <w:rPr>
                <w:rStyle w:val="IndexLink"/>
                <w:rtl w:val="true"/>
              </w:rPr>
              <w:t xml:space="preserve">عمر بن محمد النسفی </w:t>
            </w:r>
            <w:r>
              <w:rPr>
                <w:rStyle w:val="IndexLink"/>
                <w:rtl w:val="true"/>
              </w:rPr>
              <w:t>(</w:t>
            </w:r>
            <w:r>
              <w:rPr>
                <w:rStyle w:val="IndexLink"/>
              </w:rPr>
              <w:t>360</w:t>
            </w:r>
            <w:r>
              <w:rPr>
                <w:rStyle w:val="IndexLink"/>
                <w:rtl w:val="true"/>
              </w:rPr>
              <w:t>-</w:t>
            </w:r>
            <w:r>
              <w:rPr>
                <w:rStyle w:val="IndexLink"/>
              </w:rPr>
              <w:t>537</w:t>
            </w:r>
            <w:r>
              <w:rPr>
                <w:rStyle w:val="IndexLink"/>
                <w:rtl w:val="true"/>
              </w:rPr>
              <w:t>)</w:t>
              <w:tab/>
            </w:r>
            <w:r>
              <w:rPr>
                <w:rStyle w:val="IndexLink"/>
              </w:rPr>
              <w:t>34</w:t>
            </w:r>
          </w:hyperlink>
        </w:p>
        <w:p>
          <w:pPr>
            <w:pStyle w:val="Contents4"/>
            <w:tabs>
              <w:tab w:val="clear" w:pos="8176"/>
              <w:tab w:val="right" w:pos="9026" w:leader="dot"/>
            </w:tabs>
            <w:rPr/>
          </w:pPr>
          <w:hyperlink w:anchor="__RefHeading___Toc1119596_1738255347">
            <w:r>
              <w:rPr>
                <w:webHidden/>
                <w:rStyle w:val="IndexLink"/>
              </w:rPr>
              <w:t>4</w:t>
            </w:r>
            <w:r>
              <w:rPr>
                <w:rStyle w:val="IndexLink"/>
                <w:rtl w:val="true"/>
              </w:rPr>
              <w:t xml:space="preserve"> - </w:t>
            </w:r>
            <w:r>
              <w:rPr>
                <w:rStyle w:val="IndexLink"/>
                <w:rtl w:val="true"/>
              </w:rPr>
              <w:t xml:space="preserve">ابن الهمام، محمد بن عبد الواحد </w:t>
            </w:r>
            <w:r>
              <w:rPr>
                <w:rStyle w:val="IndexLink"/>
                <w:rtl w:val="true"/>
              </w:rPr>
              <w:t>(</w:t>
            </w:r>
            <w:r>
              <w:rPr>
                <w:rStyle w:val="IndexLink"/>
              </w:rPr>
              <w:t>790</w:t>
            </w:r>
            <w:r>
              <w:rPr>
                <w:rStyle w:val="IndexLink"/>
                <w:rtl w:val="true"/>
              </w:rPr>
              <w:t>-</w:t>
            </w:r>
            <w:r>
              <w:rPr>
                <w:rStyle w:val="IndexLink"/>
              </w:rPr>
              <w:t>860</w:t>
            </w:r>
            <w:r>
              <w:rPr>
                <w:rStyle w:val="IndexLink"/>
                <w:rtl w:val="true"/>
              </w:rPr>
              <w:t>)</w:t>
              <w:tab/>
            </w:r>
            <w:r>
              <w:rPr>
                <w:rStyle w:val="IndexLink"/>
              </w:rPr>
              <w:t>34</w:t>
            </w:r>
          </w:hyperlink>
        </w:p>
        <w:p>
          <w:pPr>
            <w:pStyle w:val="Contents4"/>
            <w:tabs>
              <w:tab w:val="clear" w:pos="8176"/>
              <w:tab w:val="right" w:pos="9026" w:leader="dot"/>
            </w:tabs>
            <w:rPr/>
          </w:pPr>
          <w:hyperlink w:anchor="__RefHeading___Toc1119598_1738255347">
            <w:r>
              <w:rPr>
                <w:webHidden/>
                <w:rStyle w:val="IndexLink"/>
              </w:rPr>
              <w:t>5</w:t>
            </w:r>
            <w:r>
              <w:rPr>
                <w:rStyle w:val="IndexLink"/>
                <w:rtl w:val="true"/>
              </w:rPr>
              <w:t xml:space="preserve"> - </w:t>
            </w:r>
            <w:r>
              <w:rPr>
                <w:rStyle w:val="IndexLink"/>
                <w:rtl w:val="true"/>
              </w:rPr>
              <w:t>البیاضی، کمال الدین احمد بن حسن رومی حنفی</w:t>
            </w:r>
            <w:r>
              <w:rPr>
                <w:rStyle w:val="IndexLink"/>
                <w:rtl w:val="true"/>
              </w:rPr>
              <w:tab/>
            </w:r>
            <w:r>
              <w:rPr>
                <w:rStyle w:val="IndexLink"/>
              </w:rPr>
              <w:t>35</w:t>
            </w:r>
          </w:hyperlink>
        </w:p>
        <w:p>
          <w:pPr>
            <w:pStyle w:val="Contents2"/>
            <w:tabs>
              <w:tab w:val="clear" w:pos="8743"/>
              <w:tab w:val="right" w:pos="9026" w:leader="dot"/>
            </w:tabs>
            <w:rPr/>
          </w:pPr>
          <w:hyperlink w:anchor="__RefHeading___Toc1119600_1738255347">
            <w:r>
              <w:rPr>
                <w:webHidden/>
                <w:rStyle w:val="IndexLink"/>
                <w:rtl w:val="true"/>
              </w:rPr>
              <w:t>معتزله</w:t>
            </w:r>
            <w:r>
              <w:rPr>
                <w:rStyle w:val="IndexLink"/>
                <w:rtl w:val="true"/>
              </w:rPr>
              <w:tab/>
            </w:r>
            <w:r>
              <w:rPr>
                <w:rStyle w:val="IndexLink"/>
              </w:rPr>
              <w:t>36</w:t>
            </w:r>
          </w:hyperlink>
        </w:p>
        <w:p>
          <w:pPr>
            <w:pStyle w:val="Contents3"/>
            <w:tabs>
              <w:tab w:val="clear" w:pos="8459"/>
              <w:tab w:val="right" w:pos="9026" w:leader="dot"/>
            </w:tabs>
            <w:rPr/>
          </w:pPr>
          <w:hyperlink w:anchor="__RefHeading___Toc1119602_1738255347">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119604_1738255347">
            <w:r>
              <w:rPr>
                <w:webHidden/>
                <w:rStyle w:val="IndexLink"/>
                <w:rtl w:val="true"/>
              </w:rPr>
              <w:t>داوریهای نادرست دربارۀ معتزله</w:t>
            </w:r>
            <w:r>
              <w:rPr>
                <w:rStyle w:val="IndexLink"/>
                <w:rtl w:val="true"/>
              </w:rPr>
              <w:tab/>
            </w:r>
            <w:r>
              <w:rPr>
                <w:rStyle w:val="IndexLink"/>
              </w:rPr>
              <w:t>37</w:t>
            </w:r>
          </w:hyperlink>
        </w:p>
        <w:p>
          <w:pPr>
            <w:pStyle w:val="Contents3"/>
            <w:tabs>
              <w:tab w:val="clear" w:pos="8459"/>
              <w:tab w:val="right" w:pos="9026" w:leader="dot"/>
            </w:tabs>
            <w:rPr/>
          </w:pPr>
          <w:hyperlink w:anchor="__RefHeading___Toc1119606_1738255347">
            <w:r>
              <w:rPr>
                <w:webHidden/>
                <w:rStyle w:val="IndexLink"/>
                <w:rtl w:val="true"/>
              </w:rPr>
              <w:t>علت توجه به مکتب اعتزال در عصر ما</w:t>
            </w:r>
            <w:r>
              <w:rPr>
                <w:rStyle w:val="IndexLink"/>
                <w:rtl w:val="true"/>
              </w:rPr>
              <w:tab/>
            </w:r>
            <w:r>
              <w:rPr>
                <w:rStyle w:val="IndexLink"/>
              </w:rPr>
              <w:t>37</w:t>
            </w:r>
          </w:hyperlink>
        </w:p>
        <w:p>
          <w:pPr>
            <w:pStyle w:val="Contents3"/>
            <w:tabs>
              <w:tab w:val="clear" w:pos="8459"/>
              <w:tab w:val="right" w:pos="9026" w:leader="dot"/>
            </w:tabs>
            <w:rPr/>
          </w:pPr>
          <w:hyperlink w:anchor="__RefHeading___Toc1119608_1738255347">
            <w:r>
              <w:rPr>
                <w:webHidden/>
                <w:rStyle w:val="IndexLink"/>
                <w:rtl w:val="true"/>
              </w:rPr>
              <w:t>معتزله اصل توحید و عدل را از علی علیه السّلام گرفته است</w:t>
            </w:r>
            <w:r>
              <w:rPr>
                <w:rStyle w:val="IndexLink"/>
                <w:rtl w:val="true"/>
              </w:rPr>
              <w:tab/>
            </w:r>
            <w:r>
              <w:rPr>
                <w:rStyle w:val="IndexLink"/>
              </w:rPr>
              <w:t>41</w:t>
            </w:r>
          </w:hyperlink>
        </w:p>
        <w:p>
          <w:pPr>
            <w:pStyle w:val="Contents4"/>
            <w:tabs>
              <w:tab w:val="clear" w:pos="8176"/>
              <w:tab w:val="right" w:pos="9026" w:leader="dot"/>
            </w:tabs>
            <w:rPr/>
          </w:pPr>
          <w:hyperlink w:anchor="__RefHeading___Toc1119610_1738255347">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119612_1738255347">
            <w:r>
              <w:rPr>
                <w:webHidden/>
                <w:rStyle w:val="IndexLink"/>
                <w:rtl w:val="true"/>
              </w:rPr>
              <w:t>تصریح سران معتزله بر این مطلب</w:t>
            </w:r>
            <w:r>
              <w:rPr>
                <w:rStyle w:val="IndexLink"/>
                <w:rtl w:val="true"/>
              </w:rPr>
              <w:tab/>
            </w:r>
            <w:r>
              <w:rPr>
                <w:rStyle w:val="IndexLink"/>
              </w:rPr>
              <w:t>42</w:t>
            </w:r>
          </w:hyperlink>
        </w:p>
        <w:p>
          <w:pPr>
            <w:pStyle w:val="Contents3"/>
            <w:tabs>
              <w:tab w:val="clear" w:pos="8459"/>
              <w:tab w:val="right" w:pos="9026" w:leader="dot"/>
            </w:tabs>
            <w:rPr/>
          </w:pPr>
          <w:hyperlink w:anchor="__RefHeading___Toc1119614_1738255347">
            <w:r>
              <w:rPr>
                <w:webHidden/>
                <w:rStyle w:val="IndexLink"/>
                <w:rtl w:val="true"/>
              </w:rPr>
              <w:t>چرا معتزله می‌نامند؟</w:t>
            </w:r>
            <w:r>
              <w:rPr>
                <w:rStyle w:val="IndexLink"/>
                <w:rtl w:val="true"/>
              </w:rPr>
              <w:tab/>
            </w:r>
            <w:r>
              <w:rPr>
                <w:rStyle w:val="IndexLink"/>
              </w:rPr>
              <w:t>46</w:t>
            </w:r>
          </w:hyperlink>
        </w:p>
        <w:p>
          <w:pPr>
            <w:pStyle w:val="Contents3"/>
            <w:tabs>
              <w:tab w:val="clear" w:pos="8459"/>
              <w:tab w:val="right" w:pos="9026" w:leader="dot"/>
            </w:tabs>
            <w:rPr/>
          </w:pPr>
          <w:hyperlink w:anchor="__RefHeading___Toc1119616_1738255347">
            <w:r>
              <w:rPr>
                <w:webHidden/>
                <w:rStyle w:val="IndexLink"/>
                <w:rtl w:val="true"/>
              </w:rPr>
              <w:t>القاب معتزله</w:t>
            </w:r>
            <w:r>
              <w:rPr>
                <w:rStyle w:val="IndexLink"/>
                <w:rtl w:val="true"/>
              </w:rPr>
              <w:tab/>
            </w:r>
            <w:r>
              <w:rPr>
                <w:rStyle w:val="IndexLink"/>
              </w:rPr>
              <w:t>49</w:t>
            </w:r>
          </w:hyperlink>
        </w:p>
        <w:p>
          <w:pPr>
            <w:pStyle w:val="Contents3"/>
            <w:tabs>
              <w:tab w:val="clear" w:pos="8459"/>
              <w:tab w:val="right" w:pos="9026" w:leader="dot"/>
            </w:tabs>
            <w:rPr/>
          </w:pPr>
          <w:hyperlink w:anchor="__RefHeading___Toc1119618_1738255347">
            <w:r>
              <w:rPr>
                <w:webHidden/>
                <w:rStyle w:val="IndexLink"/>
                <w:rtl w:val="true"/>
              </w:rPr>
              <w:t>اصالت کلام شیعه و نظریۀ احمد امین</w:t>
            </w:r>
            <w:r>
              <w:rPr>
                <w:rStyle w:val="IndexLink"/>
                <w:rtl w:val="true"/>
              </w:rPr>
              <w:tab/>
            </w:r>
            <w:r>
              <w:rPr>
                <w:rStyle w:val="IndexLink"/>
              </w:rPr>
              <w:t>51</w:t>
            </w:r>
          </w:hyperlink>
        </w:p>
        <w:p>
          <w:pPr>
            <w:pStyle w:val="Contents3"/>
            <w:tabs>
              <w:tab w:val="clear" w:pos="8459"/>
              <w:tab w:val="right" w:pos="9026" w:leader="dot"/>
            </w:tabs>
            <w:rPr/>
          </w:pPr>
          <w:hyperlink w:anchor="__RefHeading___Toc1119620_1738255347">
            <w:r>
              <w:rPr>
                <w:webHidden/>
                <w:rStyle w:val="IndexLink"/>
                <w:rtl w:val="true"/>
              </w:rPr>
              <w:t>تفاوتهای کلام شیعی و معتزلی</w:t>
            </w:r>
            <w:r>
              <w:rPr>
                <w:rStyle w:val="IndexLink"/>
                <w:rtl w:val="true"/>
              </w:rPr>
              <w:tab/>
            </w:r>
            <w:r>
              <w:rPr>
                <w:rStyle w:val="IndexLink"/>
              </w:rPr>
              <w:t>55</w:t>
            </w:r>
          </w:hyperlink>
        </w:p>
        <w:p>
          <w:pPr>
            <w:pStyle w:val="Contents2"/>
            <w:tabs>
              <w:tab w:val="clear" w:pos="8743"/>
              <w:tab w:val="right" w:pos="9026" w:leader="dot"/>
            </w:tabs>
            <w:rPr/>
          </w:pPr>
          <w:hyperlink w:anchor="__RefHeading___Toc1119622_1738255347">
            <w:r>
              <w:rPr>
                <w:webHidden/>
                <w:rStyle w:val="IndexLink"/>
                <w:rtl w:val="true"/>
              </w:rPr>
              <w:t>اصول پنجگانۀ معتزله</w:t>
            </w:r>
            <w:r>
              <w:rPr>
                <w:rStyle w:val="IndexLink"/>
                <w:rtl w:val="true"/>
              </w:rPr>
              <w:tab/>
            </w:r>
            <w:r>
              <w:rPr>
                <w:rStyle w:val="IndexLink"/>
              </w:rPr>
              <w:t>58</w:t>
            </w:r>
          </w:hyperlink>
        </w:p>
        <w:p>
          <w:pPr>
            <w:pStyle w:val="Contents3"/>
            <w:tabs>
              <w:tab w:val="clear" w:pos="8459"/>
              <w:tab w:val="right" w:pos="9026" w:leader="dot"/>
            </w:tabs>
            <w:rPr/>
          </w:pPr>
          <w:hyperlink w:anchor="__RefHeading___Toc1119624_1738255347">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119626_1738255347">
            <w:r>
              <w:rPr>
                <w:webHidden/>
                <w:rStyle w:val="IndexLink"/>
                <w:rtl w:val="true"/>
              </w:rPr>
              <w:t>عقاید اسلامی را از آرای کلامی جدا سازیم</w:t>
            </w:r>
            <w:r>
              <w:rPr>
                <w:rStyle w:val="IndexLink"/>
                <w:rtl w:val="true"/>
              </w:rPr>
              <w:tab/>
            </w:r>
            <w:r>
              <w:rPr>
                <w:rStyle w:val="IndexLink"/>
              </w:rPr>
              <w:t>61</w:t>
            </w:r>
          </w:hyperlink>
        </w:p>
        <w:p>
          <w:pPr>
            <w:pStyle w:val="Contents3"/>
            <w:tabs>
              <w:tab w:val="clear" w:pos="8459"/>
              <w:tab w:val="right" w:pos="9026" w:leader="dot"/>
            </w:tabs>
            <w:rPr/>
          </w:pPr>
          <w:hyperlink w:anchor="__RefHeading___Toc1119628_1738255347">
            <w:r>
              <w:rPr>
                <w:webHidden/>
                <w:rStyle w:val="IndexLink"/>
                <w:rtl w:val="true"/>
              </w:rPr>
              <w:t xml:space="preserve">* </w:t>
            </w:r>
            <w:r>
              <w:rPr>
                <w:rStyle w:val="IndexLink"/>
                <w:rtl w:val="true"/>
              </w:rPr>
              <w:t xml:space="preserve">اصل نخست </w:t>
            </w:r>
            <w:r>
              <w:rPr>
                <w:rStyle w:val="IndexLink"/>
                <w:rtl w:val="true"/>
              </w:rPr>
              <w:t>*</w:t>
              <w:tab/>
            </w:r>
            <w:r>
              <w:rPr>
                <w:rStyle w:val="IndexLink"/>
              </w:rPr>
              <w:t>62</w:t>
            </w:r>
          </w:hyperlink>
        </w:p>
        <w:p>
          <w:pPr>
            <w:pStyle w:val="Contents4"/>
            <w:tabs>
              <w:tab w:val="clear" w:pos="8176"/>
              <w:tab w:val="right" w:pos="9026" w:leader="dot"/>
            </w:tabs>
            <w:rPr/>
          </w:pPr>
          <w:hyperlink w:anchor="__RefHeading___Toc1119630_1738255347">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119632_1738255347">
            <w:r>
              <w:rPr>
                <w:webHidden/>
                <w:rStyle w:val="IndexLink"/>
                <w:rtl w:val="true"/>
              </w:rPr>
              <w:t>توحید در ابعاد مختلف</w:t>
            </w:r>
            <w:r>
              <w:rPr>
                <w:rStyle w:val="IndexLink"/>
                <w:rtl w:val="true"/>
              </w:rPr>
              <w:tab/>
            </w:r>
            <w:r>
              <w:rPr>
                <w:rStyle w:val="IndexLink"/>
              </w:rPr>
              <w:t>63</w:t>
            </w:r>
          </w:hyperlink>
        </w:p>
        <w:p>
          <w:pPr>
            <w:pStyle w:val="Contents4"/>
            <w:tabs>
              <w:tab w:val="clear" w:pos="8176"/>
              <w:tab w:val="right" w:pos="9026" w:leader="dot"/>
            </w:tabs>
            <w:rPr/>
          </w:pPr>
          <w:hyperlink w:anchor="__RefHeading___Toc1119634_1738255347">
            <w:r>
              <w:rPr>
                <w:webHidden/>
                <w:rStyle w:val="IndexLink"/>
                <w:rtl w:val="true"/>
              </w:rPr>
              <w:t>ثمرات اصل نخست</w:t>
            </w:r>
            <w:r>
              <w:rPr>
                <w:rStyle w:val="IndexLink"/>
                <w:rtl w:val="true"/>
              </w:rPr>
              <w:t xml:space="preserve">: </w:t>
            </w:r>
            <w:r>
              <w:rPr>
                <w:rStyle w:val="IndexLink"/>
                <w:rtl w:val="true"/>
              </w:rPr>
              <w:t>توحید</w:t>
            </w:r>
            <w:r>
              <w:rPr>
                <w:rStyle w:val="IndexLink"/>
                <w:rtl w:val="true"/>
              </w:rPr>
              <w:tab/>
            </w:r>
            <w:r>
              <w:rPr>
                <w:rStyle w:val="IndexLink"/>
              </w:rPr>
              <w:t>65</w:t>
            </w:r>
          </w:hyperlink>
        </w:p>
        <w:p>
          <w:pPr>
            <w:pStyle w:val="Contents5"/>
            <w:tabs>
              <w:tab w:val="clear" w:pos="7892"/>
              <w:tab w:val="right" w:pos="9026" w:leader="dot"/>
            </w:tabs>
            <w:rPr/>
          </w:pPr>
          <w:hyperlink w:anchor="__RefHeading___Toc1119636_1738255347">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119638_1738255347">
            <w:r>
              <w:rPr>
                <w:webHidden/>
                <w:rStyle w:val="IndexLink"/>
                <w:rtl w:val="true"/>
              </w:rPr>
              <w:t>پاسخ اشاعره از تعدد قدما</w:t>
            </w:r>
            <w:r>
              <w:rPr>
                <w:rStyle w:val="IndexLink"/>
                <w:rtl w:val="true"/>
              </w:rPr>
              <w:tab/>
            </w:r>
            <w:r>
              <w:rPr>
                <w:rStyle w:val="IndexLink"/>
              </w:rPr>
              <w:t>66</w:t>
            </w:r>
          </w:hyperlink>
        </w:p>
        <w:p>
          <w:pPr>
            <w:pStyle w:val="Contents5"/>
            <w:tabs>
              <w:tab w:val="clear" w:pos="7892"/>
              <w:tab w:val="right" w:pos="9026" w:leader="dot"/>
            </w:tabs>
            <w:rPr/>
          </w:pPr>
          <w:hyperlink w:anchor="__RefHeading___Toc1119640_1738255347">
            <w:r>
              <w:rPr>
                <w:webHidden/>
                <w:rStyle w:val="IndexLink"/>
                <w:rtl w:val="true"/>
              </w:rPr>
              <w:t>اتهام معتزله به الحاد در مورد نفی صفات زاید</w:t>
            </w:r>
            <w:r>
              <w:rPr>
                <w:rStyle w:val="IndexLink"/>
                <w:rtl w:val="true"/>
              </w:rPr>
              <w:tab/>
            </w:r>
            <w:r>
              <w:rPr>
                <w:rStyle w:val="IndexLink"/>
              </w:rPr>
              <w:t>67</w:t>
            </w:r>
          </w:hyperlink>
        </w:p>
        <w:p>
          <w:pPr>
            <w:pStyle w:val="Contents4"/>
            <w:tabs>
              <w:tab w:val="clear" w:pos="8176"/>
              <w:tab w:val="right" w:pos="9026" w:leader="dot"/>
            </w:tabs>
            <w:rPr/>
          </w:pPr>
          <w:hyperlink w:anchor="__RefHeading___Toc1119642_1738255347">
            <w:r>
              <w:rPr>
                <w:webHidden/>
                <w:rStyle w:val="IndexLink"/>
                <w:rtl w:val="true"/>
              </w:rPr>
              <w:t>ثمرات اصل نخست</w:t>
            </w:r>
            <w:r>
              <w:rPr>
                <w:rStyle w:val="IndexLink"/>
                <w:rtl w:val="true"/>
              </w:rPr>
              <w:t xml:space="preserve">: </w:t>
            </w:r>
            <w:r>
              <w:rPr>
                <w:rStyle w:val="IndexLink"/>
                <w:rtl w:val="true"/>
              </w:rPr>
              <w:t>توحید</w:t>
            </w:r>
            <w:r>
              <w:rPr>
                <w:rStyle w:val="IndexLink"/>
                <w:rtl w:val="true"/>
              </w:rPr>
              <w:tab/>
            </w:r>
            <w:r>
              <w:rPr>
                <w:rStyle w:val="IndexLink"/>
              </w:rPr>
              <w:t>72</w:t>
            </w:r>
          </w:hyperlink>
        </w:p>
        <w:p>
          <w:pPr>
            <w:pStyle w:val="Contents5"/>
            <w:tabs>
              <w:tab w:val="clear" w:pos="7892"/>
              <w:tab w:val="right" w:pos="9026" w:leader="dot"/>
            </w:tabs>
            <w:rPr/>
          </w:pPr>
          <w:hyperlink w:anchor="__RefHeading___Toc1119644_1738255347">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119646_1738255347">
            <w:r>
              <w:rPr>
                <w:webHidden/>
                <w:rStyle w:val="IndexLink"/>
                <w:rtl w:val="true"/>
              </w:rPr>
              <w:t>تأویل مقبول غیر از تأویل مردود است</w:t>
            </w:r>
            <w:r>
              <w:rPr>
                <w:rStyle w:val="IndexLink"/>
                <w:rtl w:val="true"/>
              </w:rPr>
              <w:tab/>
            </w:r>
            <w:r>
              <w:rPr>
                <w:rStyle w:val="IndexLink"/>
              </w:rPr>
              <w:t>74</w:t>
            </w:r>
          </w:hyperlink>
        </w:p>
        <w:p>
          <w:pPr>
            <w:pStyle w:val="Contents5"/>
            <w:tabs>
              <w:tab w:val="clear" w:pos="7892"/>
              <w:tab w:val="right" w:pos="9026" w:leader="dot"/>
            </w:tabs>
            <w:rPr/>
          </w:pPr>
          <w:hyperlink w:anchor="__RefHeading___Toc1119648_1738255347">
            <w:r>
              <w:rPr>
                <w:webHidden/>
                <w:rStyle w:val="IndexLink"/>
                <w:rtl w:val="true"/>
              </w:rPr>
              <w:t>نمونه‌ای برای تأویل مقبول</w:t>
            </w:r>
            <w:r>
              <w:rPr>
                <w:rStyle w:val="IndexLink"/>
                <w:rtl w:val="true"/>
              </w:rPr>
              <w:tab/>
            </w:r>
            <w:r>
              <w:rPr>
                <w:rStyle w:val="IndexLink"/>
              </w:rPr>
              <w:t>75</w:t>
            </w:r>
          </w:hyperlink>
        </w:p>
        <w:p>
          <w:pPr>
            <w:pStyle w:val="Contents6"/>
            <w:tabs>
              <w:tab w:val="clear" w:pos="7609"/>
              <w:tab w:val="right" w:pos="9026" w:leader="dot"/>
            </w:tabs>
            <w:rPr/>
          </w:pPr>
          <w:hyperlink w:anchor="__RefHeading___Toc1119650_1738255347">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1119652_1738255347">
            <w:r>
              <w:rPr>
                <w:webHidden/>
                <w:rStyle w:val="IndexLink"/>
                <w:rtl w:val="true"/>
              </w:rPr>
              <w:t>مقصود از آفرینش آدم با دو دست خدا چیست؟</w:t>
            </w:r>
            <w:r>
              <w:rPr>
                <w:rStyle w:val="IndexLink"/>
                <w:rtl w:val="true"/>
              </w:rPr>
              <w:tab/>
            </w:r>
            <w:r>
              <w:rPr>
                <w:rStyle w:val="IndexLink"/>
              </w:rPr>
              <w:t>75</w:t>
            </w:r>
          </w:hyperlink>
        </w:p>
        <w:p>
          <w:pPr>
            <w:pStyle w:val="Contents5"/>
            <w:tabs>
              <w:tab w:val="clear" w:pos="7892"/>
              <w:tab w:val="right" w:pos="9026" w:leader="dot"/>
            </w:tabs>
            <w:rPr/>
          </w:pPr>
          <w:hyperlink w:anchor="__RefHeading___Toc1119654_1738255347">
            <w:r>
              <w:rPr>
                <w:webHidden/>
                <w:rStyle w:val="IndexLink"/>
                <w:rtl w:val="true"/>
              </w:rPr>
              <w:t>نمونۀ دوم برای تأویل مقبول</w:t>
            </w:r>
            <w:r>
              <w:rPr>
                <w:rStyle w:val="IndexLink"/>
                <w:rtl w:val="true"/>
              </w:rPr>
              <w:tab/>
            </w:r>
            <w:r>
              <w:rPr>
                <w:rStyle w:val="IndexLink"/>
              </w:rPr>
              <w:t>77</w:t>
            </w:r>
          </w:hyperlink>
        </w:p>
        <w:p>
          <w:pPr>
            <w:pStyle w:val="Contents6"/>
            <w:tabs>
              <w:tab w:val="clear" w:pos="7609"/>
              <w:tab w:val="right" w:pos="9026" w:leader="dot"/>
            </w:tabs>
            <w:rPr/>
          </w:pPr>
          <w:hyperlink w:anchor="__RefHeading___Toc1119656_1738255347">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1119658_1738255347">
            <w:r>
              <w:rPr>
                <w:webHidden/>
                <w:rStyle w:val="IndexLink"/>
                <w:rtl w:val="true"/>
              </w:rPr>
              <w:t>مقصود از استواء در آیۀ إنّ اللّه علی العرش استوی چیست؟</w:t>
            </w:r>
            <w:r>
              <w:rPr>
                <w:rStyle w:val="IndexLink"/>
                <w:rtl w:val="true"/>
              </w:rPr>
              <w:tab/>
            </w:r>
            <w:r>
              <w:rPr>
                <w:rStyle w:val="IndexLink"/>
              </w:rPr>
              <w:t>78</w:t>
            </w:r>
          </w:hyperlink>
        </w:p>
        <w:p>
          <w:pPr>
            <w:pStyle w:val="Contents6"/>
            <w:tabs>
              <w:tab w:val="clear" w:pos="7609"/>
              <w:tab w:val="right" w:pos="9026" w:leader="dot"/>
            </w:tabs>
            <w:rPr/>
          </w:pPr>
          <w:hyperlink w:anchor="__RefHeading___Toc1119660_1738255347">
            <w:r>
              <w:rPr>
                <w:webHidden/>
                <w:rStyle w:val="IndexLink"/>
              </w:rPr>
              <w:t>1</w:t>
            </w:r>
            <w:r>
              <w:rPr>
                <w:rStyle w:val="IndexLink"/>
                <w:rtl w:val="true"/>
              </w:rPr>
              <w:t xml:space="preserve"> - </w:t>
            </w:r>
            <w:r>
              <w:rPr>
                <w:rStyle w:val="IndexLink"/>
                <w:rtl w:val="true"/>
              </w:rPr>
              <w:t>معنی استواء در قرآن و لغت</w:t>
            </w:r>
            <w:r>
              <w:rPr>
                <w:rStyle w:val="IndexLink"/>
                <w:rtl w:val="true"/>
              </w:rPr>
              <w:tab/>
            </w:r>
            <w:r>
              <w:rPr>
                <w:rStyle w:val="IndexLink"/>
              </w:rPr>
              <w:t>79</w:t>
            </w:r>
          </w:hyperlink>
        </w:p>
        <w:p>
          <w:pPr>
            <w:pStyle w:val="Contents6"/>
            <w:tabs>
              <w:tab w:val="clear" w:pos="7609"/>
              <w:tab w:val="right" w:pos="9026" w:leader="dot"/>
            </w:tabs>
            <w:rPr/>
          </w:pPr>
          <w:hyperlink w:anchor="__RefHeading___Toc1119662_1738255347">
            <w:r>
              <w:rPr>
                <w:webHidden/>
                <w:rStyle w:val="IndexLink"/>
              </w:rPr>
              <w:t>2</w:t>
            </w:r>
            <w:r>
              <w:rPr>
                <w:rStyle w:val="IndexLink"/>
                <w:rtl w:val="true"/>
              </w:rPr>
              <w:t xml:space="preserve"> - </w:t>
            </w:r>
            <w:r>
              <w:rPr>
                <w:rStyle w:val="IndexLink"/>
                <w:rtl w:val="true"/>
              </w:rPr>
              <w:t>معنی عرش در لغت و عرف</w:t>
            </w:r>
            <w:r>
              <w:rPr>
                <w:rStyle w:val="IndexLink"/>
                <w:rtl w:val="true"/>
              </w:rPr>
              <w:tab/>
            </w:r>
            <w:r>
              <w:rPr>
                <w:rStyle w:val="IndexLink"/>
              </w:rPr>
              <w:t>82</w:t>
            </w:r>
          </w:hyperlink>
        </w:p>
        <w:p>
          <w:pPr>
            <w:pStyle w:val="Contents6"/>
            <w:tabs>
              <w:tab w:val="clear" w:pos="7609"/>
              <w:tab w:val="right" w:pos="9026" w:leader="dot"/>
            </w:tabs>
            <w:rPr/>
          </w:pPr>
          <w:hyperlink w:anchor="__RefHeading___Toc1119664_1738255347">
            <w:r>
              <w:rPr>
                <w:webHidden/>
                <w:rStyle w:val="IndexLink"/>
              </w:rPr>
              <w:t>3</w:t>
            </w:r>
            <w:r>
              <w:rPr>
                <w:rStyle w:val="IndexLink"/>
                <w:rtl w:val="true"/>
              </w:rPr>
              <w:t xml:space="preserve"> - </w:t>
            </w:r>
            <w:r>
              <w:rPr>
                <w:rStyle w:val="IndexLink"/>
                <w:rtl w:val="true"/>
              </w:rPr>
              <w:t>بیان مظاهر قدرت در آیات هفنگانه</w:t>
            </w:r>
            <w:r>
              <w:rPr>
                <w:rStyle w:val="IndexLink"/>
                <w:rtl w:val="true"/>
              </w:rPr>
              <w:tab/>
            </w:r>
            <w:r>
              <w:rPr>
                <w:rStyle w:val="IndexLink"/>
              </w:rPr>
              <w:t>84</w:t>
            </w:r>
          </w:hyperlink>
        </w:p>
        <w:p>
          <w:pPr>
            <w:pStyle w:val="Contents4"/>
            <w:tabs>
              <w:tab w:val="clear" w:pos="8176"/>
              <w:tab w:val="right" w:pos="9026" w:leader="dot"/>
            </w:tabs>
            <w:rPr/>
          </w:pPr>
          <w:hyperlink w:anchor="__RefHeading___Toc1119666_1738255347">
            <w:r>
              <w:rPr>
                <w:webHidden/>
                <w:rStyle w:val="IndexLink"/>
                <w:rtl w:val="true"/>
              </w:rPr>
              <w:t>ثمرات اصل نخست</w:t>
            </w:r>
            <w:r>
              <w:rPr>
                <w:rStyle w:val="IndexLink"/>
                <w:rtl w:val="true"/>
              </w:rPr>
              <w:t xml:space="preserve">: </w:t>
            </w:r>
            <w:r>
              <w:rPr>
                <w:rStyle w:val="IndexLink"/>
                <w:rtl w:val="true"/>
              </w:rPr>
              <w:t>توحید</w:t>
            </w:r>
            <w:r>
              <w:rPr>
                <w:rStyle w:val="IndexLink"/>
                <w:rtl w:val="true"/>
              </w:rPr>
              <w:tab/>
            </w:r>
            <w:r>
              <w:rPr>
                <w:rStyle w:val="IndexLink"/>
              </w:rPr>
              <w:t>88</w:t>
            </w:r>
          </w:hyperlink>
        </w:p>
        <w:p>
          <w:pPr>
            <w:pStyle w:val="Contents5"/>
            <w:tabs>
              <w:tab w:val="clear" w:pos="7892"/>
              <w:tab w:val="right" w:pos="9026" w:leader="dot"/>
            </w:tabs>
            <w:rPr/>
          </w:pPr>
          <w:hyperlink w:anchor="__RefHeading___Toc1119668_1738255347">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119670_1738255347">
            <w:r>
              <w:rPr>
                <w:webHidden/>
                <w:rStyle w:val="IndexLink"/>
                <w:rtl w:val="true"/>
              </w:rPr>
              <w:t>دلایل نقلی مسأله</w:t>
            </w:r>
            <w:r>
              <w:rPr>
                <w:rStyle w:val="IndexLink"/>
                <w:rtl w:val="true"/>
              </w:rPr>
              <w:tab/>
            </w:r>
            <w:r>
              <w:rPr>
                <w:rStyle w:val="IndexLink"/>
              </w:rPr>
              <w:t>89</w:t>
            </w:r>
          </w:hyperlink>
        </w:p>
        <w:p>
          <w:pPr>
            <w:pStyle w:val="Contents5"/>
            <w:tabs>
              <w:tab w:val="clear" w:pos="7892"/>
              <w:tab w:val="right" w:pos="9026" w:leader="dot"/>
            </w:tabs>
            <w:rPr/>
          </w:pPr>
          <w:hyperlink w:anchor="__RefHeading___Toc1119672_1738255347">
            <w:r>
              <w:rPr>
                <w:webHidden/>
                <w:rStyle w:val="IndexLink"/>
                <w:rtl w:val="true"/>
              </w:rPr>
              <w:t>استدلالهای عقلی مجوزین رؤیت</w:t>
            </w:r>
            <w:r>
              <w:rPr>
                <w:rStyle w:val="IndexLink"/>
                <w:rtl w:val="true"/>
              </w:rPr>
              <w:tab/>
            </w:r>
            <w:r>
              <w:rPr>
                <w:rStyle w:val="IndexLink"/>
              </w:rPr>
              <w:t>92</w:t>
            </w:r>
          </w:hyperlink>
        </w:p>
        <w:p>
          <w:pPr>
            <w:pStyle w:val="Contents4"/>
            <w:tabs>
              <w:tab w:val="clear" w:pos="8176"/>
              <w:tab w:val="right" w:pos="9026" w:leader="dot"/>
            </w:tabs>
            <w:rPr/>
          </w:pPr>
          <w:hyperlink w:anchor="__RefHeading___Toc1119674_1738255347">
            <w:r>
              <w:rPr>
                <w:webHidden/>
                <w:rStyle w:val="IndexLink"/>
                <w:rtl w:val="true"/>
              </w:rPr>
              <w:t>ثمرات اصل نخست</w:t>
            </w:r>
            <w:r>
              <w:rPr>
                <w:rStyle w:val="IndexLink"/>
                <w:rtl w:val="true"/>
              </w:rPr>
              <w:t xml:space="preserve">: </w:t>
            </w:r>
            <w:r>
              <w:rPr>
                <w:rStyle w:val="IndexLink"/>
                <w:rtl w:val="true"/>
              </w:rPr>
              <w:t>توحید</w:t>
            </w:r>
            <w:r>
              <w:rPr>
                <w:rStyle w:val="IndexLink"/>
                <w:rtl w:val="true"/>
              </w:rPr>
              <w:tab/>
            </w:r>
            <w:r>
              <w:rPr>
                <w:rStyle w:val="IndexLink"/>
              </w:rPr>
              <w:t>94</w:t>
            </w:r>
          </w:hyperlink>
        </w:p>
        <w:p>
          <w:pPr>
            <w:pStyle w:val="Contents5"/>
            <w:tabs>
              <w:tab w:val="clear" w:pos="7892"/>
              <w:tab w:val="right" w:pos="9026" w:leader="dot"/>
            </w:tabs>
            <w:rPr/>
          </w:pPr>
          <w:hyperlink w:anchor="__RefHeading___Toc1119676_1738255347">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1119678_1738255347">
            <w:r>
              <w:rPr>
                <w:webHidden/>
                <w:rStyle w:val="IndexLink"/>
              </w:rPr>
              <w:t>1</w:t>
            </w:r>
            <w:r>
              <w:rPr>
                <w:rStyle w:val="IndexLink"/>
                <w:rtl w:val="true"/>
              </w:rPr>
              <w:t xml:space="preserve"> - </w:t>
            </w:r>
            <w:r>
              <w:rPr>
                <w:rStyle w:val="IndexLink"/>
                <w:rtl w:val="true"/>
              </w:rPr>
              <w:t>تاریخچۀ پیدایش مسأله</w:t>
            </w:r>
            <w:r>
              <w:rPr>
                <w:rStyle w:val="IndexLink"/>
                <w:rtl w:val="true"/>
              </w:rPr>
              <w:tab/>
            </w:r>
            <w:r>
              <w:rPr>
                <w:rStyle w:val="IndexLink"/>
              </w:rPr>
              <w:t>94</w:t>
            </w:r>
          </w:hyperlink>
        </w:p>
        <w:p>
          <w:pPr>
            <w:pStyle w:val="Contents5"/>
            <w:tabs>
              <w:tab w:val="clear" w:pos="7892"/>
              <w:tab w:val="right" w:pos="9026" w:leader="dot"/>
            </w:tabs>
            <w:rPr/>
          </w:pPr>
          <w:hyperlink w:anchor="__RefHeading___Toc1119680_1738255347">
            <w:r>
              <w:rPr>
                <w:webHidden/>
                <w:rStyle w:val="IndexLink"/>
              </w:rPr>
              <w:t>2</w:t>
            </w:r>
            <w:r>
              <w:rPr>
                <w:rStyle w:val="IndexLink"/>
                <w:rtl w:val="true"/>
              </w:rPr>
              <w:t xml:space="preserve"> - </w:t>
            </w:r>
            <w:r>
              <w:rPr>
                <w:rStyle w:val="IndexLink"/>
                <w:rtl w:val="true"/>
              </w:rPr>
              <w:t>شایستۀ اهل حدیث در این مسأله</w:t>
            </w:r>
            <w:r>
              <w:rPr>
                <w:rStyle w:val="IndexLink"/>
                <w:rtl w:val="true"/>
              </w:rPr>
              <w:tab/>
            </w:r>
            <w:r>
              <w:rPr>
                <w:rStyle w:val="IndexLink"/>
              </w:rPr>
              <w:t>98</w:t>
            </w:r>
          </w:hyperlink>
        </w:p>
        <w:p>
          <w:pPr>
            <w:pStyle w:val="Contents5"/>
            <w:tabs>
              <w:tab w:val="clear" w:pos="7892"/>
              <w:tab w:val="right" w:pos="9026" w:leader="dot"/>
            </w:tabs>
            <w:rPr/>
          </w:pPr>
          <w:hyperlink w:anchor="__RefHeading___Toc1119682_1738255347">
            <w:r>
              <w:rPr>
                <w:webHidden/>
                <w:rStyle w:val="IndexLink"/>
              </w:rPr>
              <w:t>3</w:t>
            </w:r>
            <w:r>
              <w:rPr>
                <w:rStyle w:val="IndexLink"/>
                <w:rtl w:val="true"/>
              </w:rPr>
              <w:t xml:space="preserve"> - </w:t>
            </w:r>
            <w:r>
              <w:rPr>
                <w:rStyle w:val="IndexLink"/>
                <w:rtl w:val="true"/>
              </w:rPr>
              <w:t>مسأله از شاخه‌های توحید است</w:t>
            </w:r>
            <w:r>
              <w:rPr>
                <w:rStyle w:val="IndexLink"/>
                <w:rtl w:val="true"/>
              </w:rPr>
              <w:tab/>
            </w:r>
            <w:r>
              <w:rPr>
                <w:rStyle w:val="IndexLink"/>
              </w:rPr>
              <w:t>99</w:t>
            </w:r>
          </w:hyperlink>
        </w:p>
        <w:p>
          <w:pPr>
            <w:pStyle w:val="Contents5"/>
            <w:tabs>
              <w:tab w:val="clear" w:pos="7892"/>
              <w:tab w:val="right" w:pos="9026" w:leader="dot"/>
            </w:tabs>
            <w:rPr/>
          </w:pPr>
          <w:hyperlink w:anchor="__RefHeading___Toc1119684_1738255347">
            <w:r>
              <w:rPr>
                <w:webHidden/>
                <w:rStyle w:val="IndexLink"/>
              </w:rPr>
              <w:t>3</w:t>
            </w:r>
            <w:r>
              <w:rPr>
                <w:rStyle w:val="IndexLink"/>
                <w:rtl w:val="true"/>
              </w:rPr>
              <w:t xml:space="preserve"> - </w:t>
            </w:r>
            <w:r>
              <w:rPr>
                <w:rStyle w:val="IndexLink"/>
                <w:rtl w:val="true"/>
              </w:rPr>
              <w:t>موضوع حدوث و قدم چیست؟</w:t>
            </w:r>
            <w:r>
              <w:rPr>
                <w:rStyle w:val="IndexLink"/>
                <w:rtl w:val="true"/>
              </w:rPr>
              <w:tab/>
            </w:r>
            <w:r>
              <w:rPr>
                <w:rStyle w:val="IndexLink"/>
              </w:rPr>
              <w:t>101</w:t>
            </w:r>
          </w:hyperlink>
        </w:p>
        <w:p>
          <w:pPr>
            <w:pStyle w:val="Contents5"/>
            <w:tabs>
              <w:tab w:val="clear" w:pos="7892"/>
              <w:tab w:val="right" w:pos="9026" w:leader="dot"/>
            </w:tabs>
            <w:rPr/>
          </w:pPr>
          <w:hyperlink w:anchor="__RefHeading___Toc1119686_1738255347">
            <w:r>
              <w:rPr>
                <w:webHidden/>
                <w:rStyle w:val="IndexLink"/>
                <w:rtl w:val="true"/>
              </w:rPr>
              <w:t xml:space="preserve">* </w:t>
            </w:r>
            <w:r>
              <w:rPr>
                <w:rStyle w:val="IndexLink"/>
                <w:rtl w:val="true"/>
              </w:rPr>
              <w:t>بازی با الفاظ</w:t>
            </w:r>
            <w:r>
              <w:rPr>
                <w:rStyle w:val="IndexLink"/>
                <w:rtl w:val="true"/>
              </w:rPr>
              <w:tab/>
            </w:r>
            <w:r>
              <w:rPr>
                <w:rStyle w:val="IndexLink"/>
              </w:rPr>
              <w:t>105</w:t>
            </w:r>
          </w:hyperlink>
        </w:p>
        <w:p>
          <w:pPr>
            <w:pStyle w:val="Contents3"/>
            <w:tabs>
              <w:tab w:val="clear" w:pos="8459"/>
              <w:tab w:val="right" w:pos="9026" w:leader="dot"/>
            </w:tabs>
            <w:rPr/>
          </w:pPr>
          <w:hyperlink w:anchor="__RefHeading___Toc1119688_1738255347">
            <w:r>
              <w:rPr>
                <w:webHidden/>
                <w:rStyle w:val="IndexLink"/>
                <w:rtl w:val="true"/>
              </w:rPr>
              <w:t xml:space="preserve">* </w:t>
            </w:r>
            <w:r>
              <w:rPr>
                <w:rStyle w:val="IndexLink"/>
                <w:rtl w:val="true"/>
              </w:rPr>
              <w:t xml:space="preserve">اصل دوم </w:t>
            </w:r>
            <w:r>
              <w:rPr>
                <w:rStyle w:val="IndexLink"/>
                <w:rtl w:val="true"/>
              </w:rPr>
              <w:t>*</w:t>
              <w:tab/>
            </w:r>
            <w:r>
              <w:rPr>
                <w:rStyle w:val="IndexLink"/>
              </w:rPr>
              <w:t>106</w:t>
            </w:r>
          </w:hyperlink>
        </w:p>
        <w:p>
          <w:pPr>
            <w:pStyle w:val="Contents4"/>
            <w:tabs>
              <w:tab w:val="clear" w:pos="8176"/>
              <w:tab w:val="right" w:pos="9026" w:leader="dot"/>
            </w:tabs>
            <w:rPr/>
          </w:pPr>
          <w:hyperlink w:anchor="__RefHeading___Toc1119690_1738255347">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119692_1738255347">
            <w:r>
              <w:rPr>
                <w:webHidden/>
                <w:rStyle w:val="IndexLink"/>
                <w:rtl w:val="true"/>
              </w:rPr>
              <w:t>سه مقدمه برای اثبات عدل الهی</w:t>
            </w:r>
            <w:r>
              <w:rPr>
                <w:rStyle w:val="IndexLink"/>
                <w:rtl w:val="true"/>
              </w:rPr>
              <w:tab/>
            </w:r>
            <w:r>
              <w:rPr>
                <w:rStyle w:val="IndexLink"/>
              </w:rPr>
              <w:t>107</w:t>
            </w:r>
          </w:hyperlink>
        </w:p>
        <w:p>
          <w:pPr>
            <w:pStyle w:val="Contents5"/>
            <w:tabs>
              <w:tab w:val="clear" w:pos="7892"/>
              <w:tab w:val="right" w:pos="9026" w:leader="dot"/>
            </w:tabs>
            <w:rPr/>
          </w:pPr>
          <w:hyperlink w:anchor="__RefHeading___Toc1119694_1738255347">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1119696_1738255347">
            <w:r>
              <w:rPr>
                <w:webHidden/>
                <w:rStyle w:val="IndexLink"/>
                <w:rtl w:val="true"/>
              </w:rPr>
              <w:t xml:space="preserve">الف </w:t>
            </w:r>
            <w:r>
              <w:rPr>
                <w:rStyle w:val="IndexLink"/>
                <w:rtl w:val="true"/>
              </w:rPr>
              <w:t xml:space="preserve">- </w:t>
            </w:r>
            <w:r>
              <w:rPr>
                <w:rStyle w:val="IndexLink"/>
                <w:rtl w:val="true"/>
              </w:rPr>
              <w:t>خرد و درک حسن و قبح افعال</w:t>
            </w:r>
            <w:r>
              <w:rPr>
                <w:rStyle w:val="IndexLink"/>
                <w:rtl w:val="true"/>
              </w:rPr>
              <w:t>:</w:t>
              <w:tab/>
            </w:r>
            <w:r>
              <w:rPr>
                <w:rStyle w:val="IndexLink"/>
              </w:rPr>
              <w:t>108</w:t>
            </w:r>
          </w:hyperlink>
        </w:p>
        <w:p>
          <w:pPr>
            <w:pStyle w:val="Contents6"/>
            <w:tabs>
              <w:tab w:val="clear" w:pos="7609"/>
              <w:tab w:val="right" w:pos="9026" w:leader="dot"/>
            </w:tabs>
            <w:rPr/>
          </w:pPr>
          <w:hyperlink w:anchor="__RefHeading___Toc1119698_1738255347">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1119700_1738255347">
            <w:r>
              <w:rPr>
                <w:webHidden/>
                <w:rStyle w:val="IndexLink"/>
                <w:rtl w:val="true"/>
              </w:rPr>
              <w:t>ملاک صدق و کذب در قضایای حکمت عملی</w:t>
            </w:r>
            <w:r>
              <w:rPr>
                <w:rStyle w:val="IndexLink"/>
                <w:rtl w:val="true"/>
              </w:rPr>
              <w:tab/>
            </w:r>
            <w:r>
              <w:rPr>
                <w:rStyle w:val="IndexLink"/>
              </w:rPr>
              <w:t>110</w:t>
            </w:r>
          </w:hyperlink>
        </w:p>
        <w:p>
          <w:pPr>
            <w:pStyle w:val="Contents5"/>
            <w:tabs>
              <w:tab w:val="clear" w:pos="7892"/>
              <w:tab w:val="right" w:pos="9026" w:leader="dot"/>
            </w:tabs>
            <w:rPr/>
          </w:pPr>
          <w:hyperlink w:anchor="__RefHeading___Toc1119702_1738255347">
            <w:r>
              <w:rPr>
                <w:webHidden/>
                <w:rStyle w:val="IndexLink"/>
                <w:rtl w:val="true"/>
              </w:rPr>
              <w:t xml:space="preserve">ب </w:t>
            </w:r>
            <w:r>
              <w:rPr>
                <w:rStyle w:val="IndexLink"/>
                <w:rtl w:val="true"/>
              </w:rPr>
              <w:t xml:space="preserve">- </w:t>
            </w:r>
            <w:r>
              <w:rPr>
                <w:rStyle w:val="IndexLink"/>
                <w:rtl w:val="true"/>
              </w:rPr>
              <w:t>خدا از صفات افعال، آگاه است</w:t>
            </w:r>
            <w:r>
              <w:rPr>
                <w:rStyle w:val="IndexLink"/>
                <w:rtl w:val="true"/>
              </w:rPr>
              <w:tab/>
            </w:r>
            <w:r>
              <w:rPr>
                <w:rStyle w:val="IndexLink"/>
              </w:rPr>
              <w:t>113</w:t>
            </w:r>
          </w:hyperlink>
        </w:p>
        <w:p>
          <w:pPr>
            <w:pStyle w:val="Contents5"/>
            <w:tabs>
              <w:tab w:val="clear" w:pos="7892"/>
              <w:tab w:val="right" w:pos="9026" w:leader="dot"/>
            </w:tabs>
            <w:rPr/>
          </w:pPr>
          <w:hyperlink w:anchor="__RefHeading___Toc1119704_1738255347">
            <w:r>
              <w:rPr>
                <w:webHidden/>
                <w:rStyle w:val="IndexLink"/>
                <w:rtl w:val="true"/>
              </w:rPr>
              <w:t xml:space="preserve">ج </w:t>
            </w:r>
            <w:r>
              <w:rPr>
                <w:rStyle w:val="IndexLink"/>
                <w:rtl w:val="true"/>
              </w:rPr>
              <w:t xml:space="preserve">- </w:t>
            </w:r>
            <w:r>
              <w:rPr>
                <w:rStyle w:val="IndexLink"/>
                <w:rtl w:val="true"/>
              </w:rPr>
              <w:t>از خدا فعل قبیح سر نمی‌زند</w:t>
            </w:r>
            <w:r>
              <w:rPr>
                <w:rStyle w:val="IndexLink"/>
                <w:rtl w:val="true"/>
              </w:rPr>
              <w:tab/>
            </w:r>
            <w:r>
              <w:rPr>
                <w:rStyle w:val="IndexLink"/>
              </w:rPr>
              <w:t>113</w:t>
            </w:r>
          </w:hyperlink>
        </w:p>
        <w:p>
          <w:pPr>
            <w:pStyle w:val="Contents4"/>
            <w:tabs>
              <w:tab w:val="clear" w:pos="8176"/>
              <w:tab w:val="right" w:pos="9026" w:leader="dot"/>
            </w:tabs>
            <w:rPr/>
          </w:pPr>
          <w:hyperlink w:anchor="__RefHeading___Toc1119706_1738255347">
            <w:r>
              <w:rPr>
                <w:webHidden/>
                <w:rStyle w:val="IndexLink"/>
                <w:rtl w:val="true"/>
              </w:rPr>
              <w:t>ثمرات اصلی دوم</w:t>
            </w:r>
            <w:r>
              <w:rPr>
                <w:rStyle w:val="IndexLink"/>
                <w:rtl w:val="true"/>
              </w:rPr>
              <w:t xml:space="preserve">: </w:t>
            </w:r>
            <w:r>
              <w:rPr>
                <w:rStyle w:val="IndexLink"/>
                <w:rtl w:val="true"/>
              </w:rPr>
              <w:t>عدل</w:t>
            </w:r>
            <w:r>
              <w:rPr>
                <w:rStyle w:val="IndexLink"/>
                <w:rtl w:val="true"/>
              </w:rPr>
              <w:tab/>
            </w:r>
            <w:r>
              <w:rPr>
                <w:rStyle w:val="IndexLink"/>
              </w:rPr>
              <w:t>116</w:t>
            </w:r>
          </w:hyperlink>
        </w:p>
        <w:p>
          <w:pPr>
            <w:pStyle w:val="Contents5"/>
            <w:tabs>
              <w:tab w:val="clear" w:pos="7892"/>
              <w:tab w:val="right" w:pos="9026" w:leader="dot"/>
            </w:tabs>
            <w:rPr/>
          </w:pPr>
          <w:hyperlink w:anchor="__RefHeading___Toc1119708_1738255347">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119710_1738255347">
            <w:r>
              <w:rPr>
                <w:webHidden/>
                <w:rStyle w:val="IndexLink"/>
                <w:rtl w:val="true"/>
              </w:rPr>
              <w:t>تحلیلی از نظریۀ تفویض</w:t>
            </w:r>
            <w:r>
              <w:rPr>
                <w:rStyle w:val="IndexLink"/>
                <w:rtl w:val="true"/>
              </w:rPr>
              <w:tab/>
            </w:r>
            <w:r>
              <w:rPr>
                <w:rStyle w:val="IndexLink"/>
              </w:rPr>
              <w:t>126</w:t>
            </w:r>
          </w:hyperlink>
        </w:p>
        <w:p>
          <w:pPr>
            <w:pStyle w:val="Contents5"/>
            <w:tabs>
              <w:tab w:val="clear" w:pos="7892"/>
              <w:tab w:val="right" w:pos="9026" w:leader="dot"/>
            </w:tabs>
            <w:rPr/>
          </w:pPr>
          <w:hyperlink w:anchor="__RefHeading___Toc1119712_1738255347">
            <w:r>
              <w:rPr>
                <w:webHidden/>
                <w:rStyle w:val="IndexLink"/>
                <w:rtl w:val="true"/>
              </w:rPr>
              <w:t>ابطال تفویض از نظر براهین عقلی</w:t>
            </w:r>
            <w:r>
              <w:rPr>
                <w:rStyle w:val="IndexLink"/>
                <w:rtl w:val="true"/>
              </w:rPr>
              <w:tab/>
            </w:r>
            <w:r>
              <w:rPr>
                <w:rStyle w:val="IndexLink"/>
              </w:rPr>
              <w:t>128</w:t>
            </w:r>
          </w:hyperlink>
        </w:p>
        <w:p>
          <w:pPr>
            <w:pStyle w:val="Contents6"/>
            <w:tabs>
              <w:tab w:val="clear" w:pos="7609"/>
              <w:tab w:val="right" w:pos="9026" w:leader="dot"/>
            </w:tabs>
            <w:rPr/>
          </w:pPr>
          <w:hyperlink w:anchor="__RefHeading___Toc1119714_1738255347">
            <w:r>
              <w:rPr>
                <w:webHidden/>
                <w:rStyle w:val="IndexLink"/>
              </w:rPr>
              <w:t>1</w:t>
            </w:r>
            <w:r>
              <w:rPr>
                <w:rStyle w:val="IndexLink"/>
                <w:rtl w:val="true"/>
              </w:rPr>
              <w:t xml:space="preserve"> - </w:t>
            </w:r>
            <w:r>
              <w:rPr>
                <w:rStyle w:val="IndexLink"/>
                <w:rtl w:val="true"/>
              </w:rPr>
              <w:t>نسبت ممکن به واجب نسبت معنی حرفی است</w:t>
            </w:r>
            <w:r>
              <w:rPr>
                <w:rStyle w:val="IndexLink"/>
                <w:rtl w:val="true"/>
              </w:rPr>
              <w:tab/>
            </w:r>
            <w:r>
              <w:rPr>
                <w:rStyle w:val="IndexLink"/>
              </w:rPr>
              <w:t>128</w:t>
            </w:r>
          </w:hyperlink>
        </w:p>
        <w:p>
          <w:pPr>
            <w:pStyle w:val="Contents6"/>
            <w:tabs>
              <w:tab w:val="clear" w:pos="7609"/>
              <w:tab w:val="right" w:pos="9026" w:leader="dot"/>
            </w:tabs>
            <w:rPr/>
          </w:pPr>
          <w:hyperlink w:anchor="__RefHeading___Toc1119716_1738255347">
            <w:r>
              <w:rPr>
                <w:webHidden/>
                <w:rStyle w:val="IndexLink"/>
              </w:rPr>
              <w:t>2</w:t>
            </w:r>
            <w:r>
              <w:rPr>
                <w:rStyle w:val="IndexLink"/>
                <w:rtl w:val="true"/>
              </w:rPr>
              <w:t xml:space="preserve"> - </w:t>
            </w:r>
            <w:r>
              <w:rPr>
                <w:rStyle w:val="IndexLink"/>
                <w:rtl w:val="true"/>
              </w:rPr>
              <w:t>تبعیض بین بعد زمانی و مکانی نارواست</w:t>
            </w:r>
            <w:r>
              <w:rPr>
                <w:rStyle w:val="IndexLink"/>
                <w:rtl w:val="true"/>
              </w:rPr>
              <w:tab/>
            </w:r>
            <w:r>
              <w:rPr>
                <w:rStyle w:val="IndexLink"/>
              </w:rPr>
              <w:t>129</w:t>
            </w:r>
          </w:hyperlink>
        </w:p>
        <w:p>
          <w:pPr>
            <w:pStyle w:val="Contents5"/>
            <w:tabs>
              <w:tab w:val="clear" w:pos="7892"/>
              <w:tab w:val="right" w:pos="9026" w:leader="dot"/>
            </w:tabs>
            <w:rPr/>
          </w:pPr>
          <w:hyperlink w:anchor="__RefHeading___Toc1119718_1738255347">
            <w:r>
              <w:rPr>
                <w:webHidden/>
                <w:rStyle w:val="IndexLink"/>
                <w:rtl w:val="true"/>
              </w:rPr>
              <w:t>استقلال در ایجاد، مایۀ استقلال در وجود است</w:t>
            </w:r>
            <w:r>
              <w:rPr>
                <w:rStyle w:val="IndexLink"/>
                <w:rtl w:val="true"/>
              </w:rPr>
              <w:tab/>
            </w:r>
            <w:r>
              <w:rPr>
                <w:rStyle w:val="IndexLink"/>
              </w:rPr>
              <w:t>130</w:t>
            </w:r>
          </w:hyperlink>
        </w:p>
        <w:p>
          <w:pPr>
            <w:pStyle w:val="Contents5"/>
            <w:tabs>
              <w:tab w:val="clear" w:pos="7892"/>
              <w:tab w:val="right" w:pos="9026" w:leader="dot"/>
            </w:tabs>
            <w:rPr/>
          </w:pPr>
          <w:hyperlink w:anchor="__RefHeading___Toc1119720_1738255347">
            <w:r>
              <w:rPr>
                <w:webHidden/>
                <w:rStyle w:val="IndexLink"/>
                <w:rtl w:val="true"/>
              </w:rPr>
              <w:t>نظریۀ تفویض یک نوع اندیشۀ ثنوی است</w:t>
            </w:r>
            <w:r>
              <w:rPr>
                <w:rStyle w:val="IndexLink"/>
                <w:rtl w:val="true"/>
              </w:rPr>
              <w:tab/>
            </w:r>
            <w:r>
              <w:rPr>
                <w:rStyle w:val="IndexLink"/>
              </w:rPr>
              <w:t>130</w:t>
            </w:r>
          </w:hyperlink>
        </w:p>
        <w:p>
          <w:pPr>
            <w:pStyle w:val="Contents4"/>
            <w:tabs>
              <w:tab w:val="clear" w:pos="8176"/>
              <w:tab w:val="right" w:pos="9026" w:leader="dot"/>
            </w:tabs>
            <w:rPr/>
          </w:pPr>
          <w:hyperlink w:anchor="__RefHeading___Toc1119722_1738255347">
            <w:r>
              <w:rPr>
                <w:webHidden/>
                <w:rStyle w:val="IndexLink"/>
                <w:rtl w:val="true"/>
              </w:rPr>
              <w:t>ثمرات اصل دوم</w:t>
            </w:r>
            <w:r>
              <w:rPr>
                <w:rStyle w:val="IndexLink"/>
                <w:rtl w:val="true"/>
              </w:rPr>
              <w:t xml:space="preserve">: </w:t>
            </w:r>
            <w:r>
              <w:rPr>
                <w:rStyle w:val="IndexLink"/>
                <w:rtl w:val="true"/>
              </w:rPr>
              <w:t>عدل</w:t>
            </w:r>
            <w:r>
              <w:rPr>
                <w:rStyle w:val="IndexLink"/>
                <w:rtl w:val="true"/>
              </w:rPr>
              <w:tab/>
            </w:r>
            <w:r>
              <w:rPr>
                <w:rStyle w:val="IndexLink"/>
              </w:rPr>
              <w:t>131</w:t>
            </w:r>
          </w:hyperlink>
        </w:p>
        <w:p>
          <w:pPr>
            <w:pStyle w:val="Contents4"/>
            <w:tabs>
              <w:tab w:val="clear" w:pos="8176"/>
              <w:tab w:val="right" w:pos="9026" w:leader="dot"/>
            </w:tabs>
            <w:rPr/>
          </w:pPr>
          <w:hyperlink w:anchor="__RefHeading___Toc1119724_1738255347">
            <w:r>
              <w:rPr>
                <w:webHidden/>
                <w:rStyle w:val="IndexLink"/>
                <w:rtl w:val="true"/>
              </w:rPr>
              <w:t>ثمرات اصل دوم</w:t>
            </w:r>
            <w:r>
              <w:rPr>
                <w:rStyle w:val="IndexLink"/>
                <w:rtl w:val="true"/>
              </w:rPr>
              <w:t xml:space="preserve">: </w:t>
            </w:r>
            <w:r>
              <w:rPr>
                <w:rStyle w:val="IndexLink"/>
                <w:rtl w:val="true"/>
              </w:rPr>
              <w:t>عدل</w:t>
            </w:r>
            <w:r>
              <w:rPr>
                <w:rStyle w:val="IndexLink"/>
                <w:rtl w:val="true"/>
              </w:rPr>
              <w:tab/>
            </w:r>
            <w:r>
              <w:rPr>
                <w:rStyle w:val="IndexLink"/>
              </w:rPr>
              <w:t>132</w:t>
            </w:r>
          </w:hyperlink>
        </w:p>
        <w:p>
          <w:pPr>
            <w:pStyle w:val="Contents4"/>
            <w:tabs>
              <w:tab w:val="clear" w:pos="8176"/>
              <w:tab w:val="right" w:pos="9026" w:leader="dot"/>
            </w:tabs>
            <w:rPr/>
          </w:pPr>
          <w:hyperlink w:anchor="__RefHeading___Toc1119726_1738255347">
            <w:r>
              <w:rPr>
                <w:webHidden/>
                <w:rStyle w:val="IndexLink"/>
                <w:rtl w:val="true"/>
              </w:rPr>
              <w:t>ثمرات اصل دوم</w:t>
            </w:r>
            <w:r>
              <w:rPr>
                <w:rStyle w:val="IndexLink"/>
                <w:rtl w:val="true"/>
              </w:rPr>
              <w:t xml:space="preserve">: </w:t>
            </w:r>
            <w:r>
              <w:rPr>
                <w:rStyle w:val="IndexLink"/>
                <w:rtl w:val="true"/>
              </w:rPr>
              <w:t>عدل</w:t>
            </w:r>
            <w:r>
              <w:rPr>
                <w:rStyle w:val="IndexLink"/>
                <w:rtl w:val="true"/>
              </w:rPr>
              <w:tab/>
            </w:r>
            <w:r>
              <w:rPr>
                <w:rStyle w:val="IndexLink"/>
              </w:rPr>
              <w:t>136</w:t>
            </w:r>
          </w:hyperlink>
        </w:p>
        <w:p>
          <w:pPr>
            <w:pStyle w:val="Contents5"/>
            <w:tabs>
              <w:tab w:val="clear" w:pos="7892"/>
              <w:tab w:val="right" w:pos="9026" w:leader="dot"/>
            </w:tabs>
            <w:rPr/>
          </w:pPr>
          <w:hyperlink w:anchor="__RefHeading___Toc1119728_1738255347">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1119730_1738255347">
            <w:r>
              <w:rPr>
                <w:webHidden/>
                <w:rStyle w:val="IndexLink"/>
                <w:rtl w:val="true"/>
              </w:rPr>
              <w:t>لطف محصل</w:t>
            </w:r>
            <w:r>
              <w:rPr>
                <w:rStyle w:val="IndexLink"/>
                <w:rtl w:val="true"/>
              </w:rPr>
              <w:tab/>
            </w:r>
            <w:r>
              <w:rPr>
                <w:rStyle w:val="IndexLink"/>
              </w:rPr>
              <w:t>136</w:t>
            </w:r>
          </w:hyperlink>
        </w:p>
        <w:p>
          <w:pPr>
            <w:pStyle w:val="Contents5"/>
            <w:tabs>
              <w:tab w:val="clear" w:pos="7892"/>
              <w:tab w:val="right" w:pos="9026" w:leader="dot"/>
            </w:tabs>
            <w:rPr/>
          </w:pPr>
          <w:hyperlink w:anchor="__RefHeading___Toc1119732_1738255347">
            <w:r>
              <w:rPr>
                <w:webHidden/>
                <w:rStyle w:val="IndexLink"/>
                <w:rtl w:val="true"/>
              </w:rPr>
              <w:t>لطف مقرب</w:t>
            </w:r>
            <w:r>
              <w:rPr>
                <w:rStyle w:val="IndexLink"/>
                <w:rtl w:val="true"/>
              </w:rPr>
              <w:tab/>
            </w:r>
            <w:r>
              <w:rPr>
                <w:rStyle w:val="IndexLink"/>
              </w:rPr>
              <w:t>138</w:t>
            </w:r>
          </w:hyperlink>
        </w:p>
        <w:p>
          <w:pPr>
            <w:pStyle w:val="Contents5"/>
            <w:tabs>
              <w:tab w:val="clear" w:pos="7892"/>
              <w:tab w:val="right" w:pos="9026" w:leader="dot"/>
            </w:tabs>
            <w:rPr/>
          </w:pPr>
          <w:hyperlink w:anchor="__RefHeading___Toc1119734_1738255347">
            <w:r>
              <w:rPr>
                <w:webHidden/>
                <w:rStyle w:val="IndexLink"/>
                <w:rtl w:val="true"/>
              </w:rPr>
              <w:t>منطق مخالفان لطف</w:t>
            </w:r>
            <w:r>
              <w:rPr>
                <w:rStyle w:val="IndexLink"/>
                <w:rtl w:val="true"/>
              </w:rPr>
              <w:tab/>
            </w:r>
            <w:r>
              <w:rPr>
                <w:rStyle w:val="IndexLink"/>
              </w:rPr>
              <w:t>142</w:t>
            </w:r>
          </w:hyperlink>
        </w:p>
        <w:p>
          <w:pPr>
            <w:pStyle w:val="Contents4"/>
            <w:tabs>
              <w:tab w:val="clear" w:pos="8176"/>
              <w:tab w:val="right" w:pos="9026" w:leader="dot"/>
            </w:tabs>
            <w:rPr/>
          </w:pPr>
          <w:hyperlink w:anchor="__RefHeading___Toc1119736_1738255347">
            <w:r>
              <w:rPr>
                <w:webHidden/>
                <w:rStyle w:val="IndexLink"/>
                <w:rtl w:val="true"/>
              </w:rPr>
              <w:t>ثمرات اصل دوم</w:t>
            </w:r>
            <w:r>
              <w:rPr>
                <w:rStyle w:val="IndexLink"/>
                <w:rtl w:val="true"/>
              </w:rPr>
              <w:t xml:space="preserve">: </w:t>
            </w:r>
            <w:r>
              <w:rPr>
                <w:rStyle w:val="IndexLink"/>
                <w:rtl w:val="true"/>
              </w:rPr>
              <w:t>عدل</w:t>
            </w:r>
            <w:r>
              <w:rPr>
                <w:rStyle w:val="IndexLink"/>
                <w:rtl w:val="true"/>
              </w:rPr>
              <w:tab/>
            </w:r>
            <w:r>
              <w:rPr>
                <w:rStyle w:val="IndexLink"/>
              </w:rPr>
              <w:t>144</w:t>
            </w:r>
          </w:hyperlink>
        </w:p>
        <w:p>
          <w:pPr>
            <w:pStyle w:val="Contents4"/>
            <w:tabs>
              <w:tab w:val="clear" w:pos="8176"/>
              <w:tab w:val="right" w:pos="9026" w:leader="dot"/>
            </w:tabs>
            <w:rPr/>
          </w:pPr>
          <w:hyperlink w:anchor="__RefHeading___Toc1119738_1738255347">
            <w:r>
              <w:rPr>
                <w:webHidden/>
                <w:rStyle w:val="IndexLink"/>
                <w:rtl w:val="true"/>
              </w:rPr>
              <w:t>ثمرات اصل دوم</w:t>
            </w:r>
            <w:r>
              <w:rPr>
                <w:rStyle w:val="IndexLink"/>
                <w:rtl w:val="true"/>
              </w:rPr>
              <w:t xml:space="preserve">: </w:t>
            </w:r>
            <w:r>
              <w:rPr>
                <w:rStyle w:val="IndexLink"/>
                <w:rtl w:val="true"/>
              </w:rPr>
              <w:t>عدل</w:t>
            </w:r>
            <w:r>
              <w:rPr>
                <w:rStyle w:val="IndexLink"/>
                <w:rtl w:val="true"/>
              </w:rPr>
              <w:tab/>
            </w:r>
            <w:r>
              <w:rPr>
                <w:rStyle w:val="IndexLink"/>
              </w:rPr>
              <w:t>149</w:t>
            </w:r>
          </w:hyperlink>
        </w:p>
        <w:p>
          <w:pPr>
            <w:pStyle w:val="Contents5"/>
            <w:tabs>
              <w:tab w:val="clear" w:pos="7892"/>
              <w:tab w:val="right" w:pos="9026" w:leader="dot"/>
            </w:tabs>
            <w:rPr/>
          </w:pPr>
          <w:hyperlink w:anchor="__RefHeading___Toc1119740_1738255347">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119742_1738255347">
            <w:r>
              <w:rPr>
                <w:webHidden/>
                <w:rStyle w:val="IndexLink"/>
                <w:rtl w:val="true"/>
              </w:rPr>
              <w:t>جبر در اندیشۀ صحابه</w:t>
            </w:r>
            <w:r>
              <w:rPr>
                <w:rStyle w:val="IndexLink"/>
                <w:rtl w:val="true"/>
              </w:rPr>
              <w:tab/>
            </w:r>
            <w:r>
              <w:rPr>
                <w:rStyle w:val="IndexLink"/>
              </w:rPr>
              <w:t>150</w:t>
            </w:r>
          </w:hyperlink>
        </w:p>
        <w:p>
          <w:pPr>
            <w:pStyle w:val="Contents5"/>
            <w:tabs>
              <w:tab w:val="clear" w:pos="7892"/>
              <w:tab w:val="right" w:pos="9026" w:leader="dot"/>
            </w:tabs>
            <w:rPr/>
          </w:pPr>
          <w:hyperlink w:anchor="__RefHeading___Toc1119744_1738255347">
            <w:r>
              <w:rPr>
                <w:webHidden/>
                <w:rStyle w:val="IndexLink"/>
                <w:rtl w:val="true"/>
              </w:rPr>
              <w:t>قضاو قدر در کتاب و سنّت</w:t>
            </w:r>
            <w:r>
              <w:rPr>
                <w:rStyle w:val="IndexLink"/>
                <w:rtl w:val="true"/>
              </w:rPr>
              <w:tab/>
            </w:r>
            <w:r>
              <w:rPr>
                <w:rStyle w:val="IndexLink"/>
              </w:rPr>
              <w:t>154</w:t>
            </w:r>
          </w:hyperlink>
        </w:p>
        <w:p>
          <w:pPr>
            <w:pStyle w:val="Contents5"/>
            <w:tabs>
              <w:tab w:val="clear" w:pos="7892"/>
              <w:tab w:val="right" w:pos="9026" w:leader="dot"/>
            </w:tabs>
            <w:rPr/>
          </w:pPr>
          <w:hyperlink w:anchor="__RefHeading___Toc1119746_1738255347">
            <w:r>
              <w:rPr>
                <w:webHidden/>
                <w:rStyle w:val="IndexLink"/>
                <w:rtl w:val="true"/>
              </w:rPr>
              <w:t>تقدیر و قضاء نزد معتزله</w:t>
            </w:r>
            <w:r>
              <w:rPr>
                <w:rStyle w:val="IndexLink"/>
                <w:rtl w:val="true"/>
              </w:rPr>
              <w:tab/>
            </w:r>
            <w:r>
              <w:rPr>
                <w:rStyle w:val="IndexLink"/>
              </w:rPr>
              <w:t>158</w:t>
            </w:r>
          </w:hyperlink>
        </w:p>
        <w:p>
          <w:pPr>
            <w:pStyle w:val="Contents5"/>
            <w:tabs>
              <w:tab w:val="clear" w:pos="7892"/>
              <w:tab w:val="right" w:pos="9026" w:leader="dot"/>
            </w:tabs>
            <w:rPr/>
          </w:pPr>
          <w:hyperlink w:anchor="__RefHeading___Toc1119748_1738255347">
            <w:r>
              <w:rPr>
                <w:webHidden/>
                <w:rStyle w:val="IndexLink"/>
                <w:rtl w:val="true"/>
              </w:rPr>
              <w:t>برداشت معتزله از قضاء و قدر</w:t>
            </w:r>
            <w:r>
              <w:rPr>
                <w:rStyle w:val="IndexLink"/>
                <w:rtl w:val="true"/>
              </w:rPr>
              <w:tab/>
            </w:r>
            <w:r>
              <w:rPr>
                <w:rStyle w:val="IndexLink"/>
              </w:rPr>
              <w:t>159</w:t>
            </w:r>
          </w:hyperlink>
        </w:p>
        <w:p>
          <w:pPr>
            <w:pStyle w:val="Contents5"/>
            <w:tabs>
              <w:tab w:val="clear" w:pos="7892"/>
              <w:tab w:val="right" w:pos="9026" w:leader="dot"/>
            </w:tabs>
            <w:rPr/>
          </w:pPr>
          <w:hyperlink w:anchor="__RefHeading___Toc1119750_1738255347">
            <w:r>
              <w:rPr>
                <w:webHidden/>
                <w:rStyle w:val="IndexLink"/>
                <w:rtl w:val="true"/>
              </w:rPr>
              <w:t>دوری معتزله از واقع قضا و قدر</w:t>
            </w:r>
            <w:r>
              <w:rPr>
                <w:rStyle w:val="IndexLink"/>
                <w:rtl w:val="true"/>
              </w:rPr>
              <w:tab/>
            </w:r>
            <w:r>
              <w:rPr>
                <w:rStyle w:val="IndexLink"/>
              </w:rPr>
              <w:t>162</w:t>
            </w:r>
          </w:hyperlink>
        </w:p>
        <w:p>
          <w:pPr>
            <w:pStyle w:val="Contents5"/>
            <w:tabs>
              <w:tab w:val="clear" w:pos="7892"/>
              <w:tab w:val="right" w:pos="9026" w:leader="dot"/>
            </w:tabs>
            <w:rPr/>
          </w:pPr>
          <w:hyperlink w:anchor="__RefHeading___Toc1119752_1738255347">
            <w:r>
              <w:rPr>
                <w:webHidden/>
                <w:rStyle w:val="IndexLink"/>
                <w:rtl w:val="true"/>
              </w:rPr>
              <w:t>تفسیر قدر و قضاء در افعال بندگان</w:t>
            </w:r>
            <w:r>
              <w:rPr>
                <w:rStyle w:val="IndexLink"/>
                <w:rtl w:val="true"/>
              </w:rPr>
              <w:tab/>
            </w:r>
            <w:r>
              <w:rPr>
                <w:rStyle w:val="IndexLink"/>
              </w:rPr>
              <w:t>162</w:t>
            </w:r>
          </w:hyperlink>
        </w:p>
        <w:p>
          <w:pPr>
            <w:pStyle w:val="Contents5"/>
            <w:tabs>
              <w:tab w:val="clear" w:pos="7892"/>
              <w:tab w:val="right" w:pos="9026" w:leader="dot"/>
            </w:tabs>
            <w:rPr/>
          </w:pPr>
          <w:hyperlink w:anchor="__RefHeading___Toc1119754_1738255347">
            <w:r>
              <w:rPr>
                <w:webHidden/>
                <w:rStyle w:val="IndexLink"/>
                <w:rtl w:val="true"/>
              </w:rPr>
              <w:t>قضاء و قدر به صورت جزئی</w:t>
            </w:r>
            <w:r>
              <w:rPr>
                <w:rStyle w:val="IndexLink"/>
                <w:rtl w:val="true"/>
              </w:rPr>
              <w:tab/>
            </w:r>
            <w:r>
              <w:rPr>
                <w:rStyle w:val="IndexLink"/>
              </w:rPr>
              <w:t>165</w:t>
            </w:r>
          </w:hyperlink>
        </w:p>
        <w:p>
          <w:pPr>
            <w:pStyle w:val="Contents5"/>
            <w:tabs>
              <w:tab w:val="clear" w:pos="7892"/>
              <w:tab w:val="right" w:pos="9026" w:leader="dot"/>
            </w:tabs>
            <w:rPr/>
          </w:pPr>
          <w:hyperlink w:anchor="__RefHeading___Toc1119756_1738255347">
            <w:r>
              <w:rPr>
                <w:webHidden/>
                <w:rStyle w:val="IndexLink"/>
                <w:rtl w:val="true"/>
              </w:rPr>
              <w:t>حل مشکل اراده ازلی</w:t>
            </w:r>
            <w:r>
              <w:rPr>
                <w:rStyle w:val="IndexLink"/>
                <w:rtl w:val="true"/>
              </w:rPr>
              <w:tab/>
            </w:r>
            <w:r>
              <w:rPr>
                <w:rStyle w:val="IndexLink"/>
              </w:rPr>
              <w:t>167</w:t>
            </w:r>
          </w:hyperlink>
        </w:p>
        <w:p>
          <w:pPr>
            <w:pStyle w:val="Contents3"/>
            <w:tabs>
              <w:tab w:val="clear" w:pos="8459"/>
              <w:tab w:val="right" w:pos="9026" w:leader="dot"/>
            </w:tabs>
            <w:rPr/>
          </w:pPr>
          <w:hyperlink w:anchor="__RefHeading___Toc1119758_1738255347">
            <w:r>
              <w:rPr>
                <w:webHidden/>
                <w:rStyle w:val="IndexLink"/>
                <w:rtl w:val="true"/>
              </w:rPr>
              <w:t xml:space="preserve">* </w:t>
            </w:r>
            <w:r>
              <w:rPr>
                <w:rStyle w:val="IndexLink"/>
                <w:rtl w:val="true"/>
              </w:rPr>
              <w:t xml:space="preserve">اصل سوم </w:t>
            </w:r>
            <w:r>
              <w:rPr>
                <w:rStyle w:val="IndexLink"/>
                <w:rtl w:val="true"/>
              </w:rPr>
              <w:t>*</w:t>
              <w:tab/>
            </w:r>
            <w:r>
              <w:rPr>
                <w:rStyle w:val="IndexLink"/>
              </w:rPr>
              <w:t>170</w:t>
            </w:r>
          </w:hyperlink>
        </w:p>
        <w:p>
          <w:pPr>
            <w:pStyle w:val="Contents4"/>
            <w:tabs>
              <w:tab w:val="clear" w:pos="8176"/>
              <w:tab w:val="right" w:pos="9026" w:leader="dot"/>
            </w:tabs>
            <w:rPr/>
          </w:pPr>
          <w:hyperlink w:anchor="__RefHeading___Toc1119760_1738255347">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119762_1738255347">
            <w:r>
              <w:rPr>
                <w:webHidden/>
                <w:rStyle w:val="IndexLink"/>
                <w:rtl w:val="true"/>
              </w:rPr>
              <w:t>ثمرات اصل سوم</w:t>
            </w:r>
            <w:r>
              <w:rPr>
                <w:rStyle w:val="IndexLink"/>
                <w:rtl w:val="true"/>
              </w:rPr>
              <w:t xml:space="preserve">: </w:t>
            </w:r>
            <w:r>
              <w:rPr>
                <w:rStyle w:val="IndexLink"/>
                <w:rtl w:val="true"/>
              </w:rPr>
              <w:t>وعد و وعید</w:t>
            </w:r>
            <w:r>
              <w:rPr>
                <w:rStyle w:val="IndexLink"/>
                <w:rtl w:val="true"/>
              </w:rPr>
              <w:tab/>
            </w:r>
            <w:r>
              <w:rPr>
                <w:rStyle w:val="IndexLink"/>
              </w:rPr>
              <w:t>173</w:t>
            </w:r>
          </w:hyperlink>
        </w:p>
        <w:p>
          <w:pPr>
            <w:pStyle w:val="Contents5"/>
            <w:tabs>
              <w:tab w:val="clear" w:pos="7892"/>
              <w:tab w:val="right" w:pos="9026" w:leader="dot"/>
            </w:tabs>
            <w:rPr/>
          </w:pPr>
          <w:hyperlink w:anchor="__RefHeading___Toc1119764_1738255347">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1119766_1738255347">
            <w:r>
              <w:rPr>
                <w:webHidden/>
                <w:rStyle w:val="IndexLink"/>
                <w:rtl w:val="true"/>
              </w:rPr>
              <w:t>ادلۀ معتزله در اثبات این لزوم و نقد آنها</w:t>
            </w:r>
            <w:r>
              <w:rPr>
                <w:rStyle w:val="IndexLink"/>
                <w:rtl w:val="true"/>
              </w:rPr>
              <w:tab/>
            </w:r>
            <w:r>
              <w:rPr>
                <w:rStyle w:val="IndexLink"/>
              </w:rPr>
              <w:t>173</w:t>
            </w:r>
          </w:hyperlink>
        </w:p>
        <w:p>
          <w:pPr>
            <w:pStyle w:val="Contents6"/>
            <w:tabs>
              <w:tab w:val="clear" w:pos="7609"/>
              <w:tab w:val="right" w:pos="9026" w:leader="dot"/>
            </w:tabs>
            <w:rPr/>
          </w:pPr>
          <w:hyperlink w:anchor="__RefHeading___Toc1119768_1738255347">
            <w:r>
              <w:rPr>
                <w:webHidden/>
                <w:rStyle w:val="IndexLink"/>
              </w:rPr>
              <w:t>1</w:t>
            </w:r>
            <w:r>
              <w:rPr>
                <w:rStyle w:val="IndexLink"/>
                <w:rtl w:val="true"/>
              </w:rPr>
              <w:t xml:space="preserve"> - </w:t>
            </w:r>
            <w:r>
              <w:rPr>
                <w:rStyle w:val="IndexLink"/>
                <w:rtl w:val="true"/>
              </w:rPr>
              <w:t>عقاب مقتضای لطف است</w:t>
            </w:r>
            <w:r>
              <w:rPr>
                <w:rStyle w:val="IndexLink"/>
                <w:rtl w:val="true"/>
              </w:rPr>
              <w:tab/>
            </w:r>
            <w:r>
              <w:rPr>
                <w:rStyle w:val="IndexLink"/>
              </w:rPr>
              <w:t>173</w:t>
            </w:r>
          </w:hyperlink>
        </w:p>
        <w:p>
          <w:pPr>
            <w:pStyle w:val="Contents6"/>
            <w:tabs>
              <w:tab w:val="clear" w:pos="7609"/>
              <w:tab w:val="right" w:pos="9026" w:leader="dot"/>
            </w:tabs>
            <w:rPr/>
          </w:pPr>
          <w:hyperlink w:anchor="__RefHeading___Toc1119770_1738255347">
            <w:r>
              <w:rPr>
                <w:webHidden/>
                <w:rStyle w:val="IndexLink"/>
              </w:rPr>
              <w:t>2</w:t>
            </w:r>
            <w:r>
              <w:rPr>
                <w:rStyle w:val="IndexLink"/>
                <w:rtl w:val="true"/>
              </w:rPr>
              <w:t xml:space="preserve"> - </w:t>
            </w:r>
            <w:r>
              <w:rPr>
                <w:rStyle w:val="IndexLink"/>
                <w:rtl w:val="true"/>
              </w:rPr>
              <w:t>تجویز عفو، تخلف است</w:t>
            </w:r>
            <w:r>
              <w:rPr>
                <w:rStyle w:val="IndexLink"/>
                <w:rtl w:val="true"/>
              </w:rPr>
              <w:tab/>
            </w:r>
            <w:r>
              <w:rPr>
                <w:rStyle w:val="IndexLink"/>
              </w:rPr>
              <w:t>175</w:t>
            </w:r>
          </w:hyperlink>
        </w:p>
        <w:p>
          <w:pPr>
            <w:pStyle w:val="Contents6"/>
            <w:tabs>
              <w:tab w:val="clear" w:pos="7609"/>
              <w:tab w:val="right" w:pos="9026" w:leader="dot"/>
            </w:tabs>
            <w:rPr/>
          </w:pPr>
          <w:hyperlink w:anchor="__RefHeading___Toc1119772_1738255347">
            <w:r>
              <w:rPr>
                <w:webHidden/>
                <w:rStyle w:val="IndexLink"/>
              </w:rPr>
              <w:t>3</w:t>
            </w:r>
            <w:r>
              <w:rPr>
                <w:rStyle w:val="IndexLink"/>
                <w:rtl w:val="true"/>
              </w:rPr>
              <w:t xml:space="preserve"> - </w:t>
            </w:r>
            <w:r>
              <w:rPr>
                <w:rStyle w:val="IndexLink"/>
                <w:rtl w:val="true"/>
              </w:rPr>
              <w:t>تجویز عفو مایۀ جرأت است</w:t>
            </w:r>
            <w:r>
              <w:rPr>
                <w:rStyle w:val="IndexLink"/>
                <w:rtl w:val="true"/>
              </w:rPr>
              <w:tab/>
            </w:r>
            <w:r>
              <w:rPr>
                <w:rStyle w:val="IndexLink"/>
              </w:rPr>
              <w:t>176</w:t>
            </w:r>
          </w:hyperlink>
        </w:p>
        <w:p>
          <w:pPr>
            <w:pStyle w:val="Contents4"/>
            <w:tabs>
              <w:tab w:val="clear" w:pos="8176"/>
              <w:tab w:val="right" w:pos="9026" w:leader="dot"/>
            </w:tabs>
            <w:rPr/>
          </w:pPr>
          <w:hyperlink w:anchor="__RefHeading___Toc1119774_1738255347">
            <w:r>
              <w:rPr>
                <w:webHidden/>
                <w:rStyle w:val="IndexLink"/>
                <w:rtl w:val="true"/>
              </w:rPr>
              <w:t>ثمرات اصل سوم</w:t>
            </w:r>
            <w:r>
              <w:rPr>
                <w:rStyle w:val="IndexLink"/>
                <w:rtl w:val="true"/>
              </w:rPr>
              <w:t xml:space="preserve">: </w:t>
            </w:r>
            <w:r>
              <w:rPr>
                <w:rStyle w:val="IndexLink"/>
                <w:rtl w:val="true"/>
              </w:rPr>
              <w:t>وعد و وعید</w:t>
            </w:r>
            <w:r>
              <w:rPr>
                <w:rStyle w:val="IndexLink"/>
                <w:rtl w:val="true"/>
              </w:rPr>
              <w:tab/>
            </w:r>
            <w:r>
              <w:rPr>
                <w:rStyle w:val="IndexLink"/>
              </w:rPr>
              <w:t>179</w:t>
            </w:r>
          </w:hyperlink>
        </w:p>
        <w:p>
          <w:pPr>
            <w:pStyle w:val="Contents5"/>
            <w:tabs>
              <w:tab w:val="clear" w:pos="7892"/>
              <w:tab w:val="right" w:pos="9026" w:leader="dot"/>
            </w:tabs>
            <w:rPr/>
          </w:pPr>
          <w:hyperlink w:anchor="__RefHeading___Toc1119776_1738255347">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1119778_1738255347">
            <w:r>
              <w:rPr>
                <w:webHidden/>
                <w:rStyle w:val="IndexLink"/>
                <w:rtl w:val="true"/>
              </w:rPr>
              <w:t>تحلیل دلائل قائلان به خلود گنهکاران در آتش</w:t>
            </w:r>
            <w:r>
              <w:rPr>
                <w:rStyle w:val="IndexLink"/>
                <w:rtl w:val="true"/>
              </w:rPr>
              <w:tab/>
            </w:r>
            <w:r>
              <w:rPr>
                <w:rStyle w:val="IndexLink"/>
              </w:rPr>
              <w:t>179</w:t>
            </w:r>
          </w:hyperlink>
        </w:p>
        <w:p>
          <w:pPr>
            <w:pStyle w:val="Contents6"/>
            <w:tabs>
              <w:tab w:val="clear" w:pos="7609"/>
              <w:tab w:val="right" w:pos="9026" w:leader="dot"/>
            </w:tabs>
            <w:rPr/>
          </w:pPr>
          <w:hyperlink w:anchor="__RefHeading___Toc1119780_1738255347">
            <w:r>
              <w:rPr>
                <w:webHidden/>
                <w:rStyle w:val="IndexLink"/>
                <w:rtl w:val="true"/>
              </w:rPr>
              <w:t>آیۀ نخست</w:t>
            </w:r>
            <w:r>
              <w:rPr>
                <w:rStyle w:val="IndexLink"/>
                <w:rtl w:val="true"/>
              </w:rPr>
              <w:tab/>
            </w:r>
            <w:r>
              <w:rPr>
                <w:rStyle w:val="IndexLink"/>
              </w:rPr>
              <w:t>179</w:t>
            </w:r>
          </w:hyperlink>
        </w:p>
        <w:p>
          <w:pPr>
            <w:pStyle w:val="Contents6"/>
            <w:tabs>
              <w:tab w:val="clear" w:pos="7609"/>
              <w:tab w:val="right" w:pos="9026" w:leader="dot"/>
            </w:tabs>
            <w:rPr/>
          </w:pPr>
          <w:hyperlink w:anchor="__RefHeading___Toc1119782_1738255347">
            <w:r>
              <w:rPr>
                <w:webHidden/>
                <w:rStyle w:val="IndexLink"/>
                <w:rtl w:val="true"/>
              </w:rPr>
              <w:t>پاسخ</w:t>
            </w:r>
            <w:r>
              <w:rPr>
                <w:rStyle w:val="IndexLink"/>
                <w:rtl w:val="true"/>
              </w:rPr>
              <w:tab/>
            </w:r>
            <w:r>
              <w:rPr>
                <w:rStyle w:val="IndexLink"/>
              </w:rPr>
              <w:t>180</w:t>
            </w:r>
          </w:hyperlink>
        </w:p>
        <w:p>
          <w:pPr>
            <w:pStyle w:val="Contents6"/>
            <w:tabs>
              <w:tab w:val="clear" w:pos="7609"/>
              <w:tab w:val="right" w:pos="9026" w:leader="dot"/>
            </w:tabs>
            <w:rPr/>
          </w:pPr>
          <w:hyperlink w:anchor="__RefHeading___Toc1119784_1738255347">
            <w:r>
              <w:rPr>
                <w:webHidden/>
                <w:rStyle w:val="IndexLink"/>
                <w:rtl w:val="true"/>
              </w:rPr>
              <w:t>آیۀ دوم</w:t>
            </w:r>
            <w:r>
              <w:rPr>
                <w:rStyle w:val="IndexLink"/>
                <w:rtl w:val="true"/>
              </w:rPr>
              <w:tab/>
            </w:r>
            <w:r>
              <w:rPr>
                <w:rStyle w:val="IndexLink"/>
              </w:rPr>
              <w:t>181</w:t>
            </w:r>
          </w:hyperlink>
        </w:p>
        <w:p>
          <w:pPr>
            <w:pStyle w:val="Contents6"/>
            <w:tabs>
              <w:tab w:val="clear" w:pos="7609"/>
              <w:tab w:val="right" w:pos="9026" w:leader="dot"/>
            </w:tabs>
            <w:rPr/>
          </w:pPr>
          <w:hyperlink w:anchor="__RefHeading___Toc1119786_1738255347">
            <w:r>
              <w:rPr>
                <w:webHidden/>
                <w:rStyle w:val="IndexLink"/>
                <w:rtl w:val="true"/>
              </w:rPr>
              <w:t>پاسخ</w:t>
            </w:r>
            <w:r>
              <w:rPr>
                <w:rStyle w:val="IndexLink"/>
                <w:rtl w:val="true"/>
              </w:rPr>
              <w:tab/>
            </w:r>
            <w:r>
              <w:rPr>
                <w:rStyle w:val="IndexLink"/>
              </w:rPr>
              <w:t>182</w:t>
            </w:r>
          </w:hyperlink>
        </w:p>
        <w:p>
          <w:pPr>
            <w:pStyle w:val="Contents6"/>
            <w:tabs>
              <w:tab w:val="clear" w:pos="7609"/>
              <w:tab w:val="right" w:pos="9026" w:leader="dot"/>
            </w:tabs>
            <w:rPr/>
          </w:pPr>
          <w:hyperlink w:anchor="__RefHeading___Toc1119788_1738255347">
            <w:r>
              <w:rPr>
                <w:webHidden/>
                <w:rStyle w:val="IndexLink"/>
                <w:rtl w:val="true"/>
              </w:rPr>
              <w:t>آیۀ سوم</w:t>
            </w:r>
            <w:r>
              <w:rPr>
                <w:rStyle w:val="IndexLink"/>
                <w:rtl w:val="true"/>
              </w:rPr>
              <w:tab/>
            </w:r>
            <w:r>
              <w:rPr>
                <w:rStyle w:val="IndexLink"/>
              </w:rPr>
              <w:t>182</w:t>
            </w:r>
          </w:hyperlink>
        </w:p>
        <w:p>
          <w:pPr>
            <w:pStyle w:val="Contents6"/>
            <w:tabs>
              <w:tab w:val="clear" w:pos="7609"/>
              <w:tab w:val="right" w:pos="9026" w:leader="dot"/>
            </w:tabs>
            <w:rPr/>
          </w:pPr>
          <w:hyperlink w:anchor="__RefHeading___Toc1119790_1738255347">
            <w:r>
              <w:rPr>
                <w:webHidden/>
                <w:rStyle w:val="IndexLink"/>
                <w:rtl w:val="true"/>
              </w:rPr>
              <w:t>پاسخ</w:t>
            </w:r>
            <w:r>
              <w:rPr>
                <w:rStyle w:val="IndexLink"/>
                <w:rtl w:val="true"/>
              </w:rPr>
              <w:tab/>
            </w:r>
            <w:r>
              <w:rPr>
                <w:rStyle w:val="IndexLink"/>
              </w:rPr>
              <w:t>183</w:t>
            </w:r>
          </w:hyperlink>
        </w:p>
        <w:p>
          <w:pPr>
            <w:pStyle w:val="Contents6"/>
            <w:tabs>
              <w:tab w:val="clear" w:pos="7609"/>
              <w:tab w:val="right" w:pos="9026" w:leader="dot"/>
            </w:tabs>
            <w:rPr/>
          </w:pPr>
          <w:hyperlink w:anchor="__RefHeading___Toc1119792_1738255347">
            <w:r>
              <w:rPr>
                <w:webHidden/>
                <w:rStyle w:val="IndexLink"/>
                <w:rtl w:val="true"/>
              </w:rPr>
              <w:t>آیۀ چهارم</w:t>
            </w:r>
            <w:r>
              <w:rPr>
                <w:rStyle w:val="IndexLink"/>
                <w:rtl w:val="true"/>
              </w:rPr>
              <w:tab/>
            </w:r>
            <w:r>
              <w:rPr>
                <w:rStyle w:val="IndexLink"/>
              </w:rPr>
              <w:t>183</w:t>
            </w:r>
          </w:hyperlink>
        </w:p>
        <w:p>
          <w:pPr>
            <w:pStyle w:val="Contents6"/>
            <w:tabs>
              <w:tab w:val="clear" w:pos="7609"/>
              <w:tab w:val="right" w:pos="9026" w:leader="dot"/>
            </w:tabs>
            <w:rPr/>
          </w:pPr>
          <w:hyperlink w:anchor="__RefHeading___Toc1119794_1738255347">
            <w:r>
              <w:rPr>
                <w:webHidden/>
                <w:rStyle w:val="IndexLink"/>
                <w:rtl w:val="true"/>
              </w:rPr>
              <w:t>پاسخ</w:t>
            </w:r>
            <w:r>
              <w:rPr>
                <w:rStyle w:val="IndexLink"/>
                <w:rtl w:val="true"/>
              </w:rPr>
              <w:tab/>
            </w:r>
            <w:r>
              <w:rPr>
                <w:rStyle w:val="IndexLink"/>
              </w:rPr>
              <w:t>183</w:t>
            </w:r>
          </w:hyperlink>
        </w:p>
        <w:p>
          <w:pPr>
            <w:pStyle w:val="Contents5"/>
            <w:tabs>
              <w:tab w:val="clear" w:pos="7892"/>
              <w:tab w:val="right" w:pos="9026" w:leader="dot"/>
            </w:tabs>
            <w:rPr/>
          </w:pPr>
          <w:hyperlink w:anchor="__RefHeading___Toc1119796_1738255347">
            <w:r>
              <w:rPr>
                <w:webHidden/>
                <w:rStyle w:val="IndexLink"/>
                <w:rtl w:val="true"/>
              </w:rPr>
              <w:t>دلایل مخالفان خلود</w:t>
            </w:r>
            <w:r>
              <w:rPr>
                <w:rStyle w:val="IndexLink"/>
                <w:rtl w:val="true"/>
              </w:rPr>
              <w:tab/>
            </w:r>
            <w:r>
              <w:rPr>
                <w:rStyle w:val="IndexLink"/>
              </w:rPr>
              <w:t>184</w:t>
            </w:r>
          </w:hyperlink>
        </w:p>
        <w:p>
          <w:pPr>
            <w:pStyle w:val="Contents4"/>
            <w:tabs>
              <w:tab w:val="clear" w:pos="8176"/>
              <w:tab w:val="right" w:pos="9026" w:leader="dot"/>
            </w:tabs>
            <w:rPr/>
          </w:pPr>
          <w:hyperlink w:anchor="__RefHeading___Toc1119798_1738255347">
            <w:r>
              <w:rPr>
                <w:webHidden/>
                <w:rStyle w:val="IndexLink"/>
                <w:rtl w:val="true"/>
              </w:rPr>
              <w:t>ثمرات اصل سوم</w:t>
            </w:r>
            <w:r>
              <w:rPr>
                <w:rStyle w:val="IndexLink"/>
                <w:rtl w:val="true"/>
              </w:rPr>
              <w:t xml:space="preserve">: </w:t>
            </w:r>
            <w:r>
              <w:rPr>
                <w:rStyle w:val="IndexLink"/>
                <w:rtl w:val="true"/>
              </w:rPr>
              <w:t>وعد و وعید</w:t>
            </w:r>
            <w:r>
              <w:rPr>
                <w:rStyle w:val="IndexLink"/>
                <w:rtl w:val="true"/>
              </w:rPr>
              <w:tab/>
            </w:r>
            <w:r>
              <w:rPr>
                <w:rStyle w:val="IndexLink"/>
              </w:rPr>
              <w:t>188</w:t>
            </w:r>
          </w:hyperlink>
        </w:p>
        <w:p>
          <w:pPr>
            <w:pStyle w:val="Contents5"/>
            <w:tabs>
              <w:tab w:val="clear" w:pos="7892"/>
              <w:tab w:val="right" w:pos="9026" w:leader="dot"/>
            </w:tabs>
            <w:rPr/>
          </w:pPr>
          <w:hyperlink w:anchor="__RefHeading___Toc1119800_1738255347">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1119802_1738255347">
            <w:r>
              <w:rPr>
                <w:webHidden/>
                <w:rStyle w:val="IndexLink"/>
                <w:rtl w:val="true"/>
              </w:rPr>
              <w:t>با دلایل معتزله در تفسیر شفاعت آشنا شویم</w:t>
            </w:r>
            <w:r>
              <w:rPr>
                <w:rStyle w:val="IndexLink"/>
                <w:rtl w:val="true"/>
              </w:rPr>
              <w:tab/>
            </w:r>
            <w:r>
              <w:rPr>
                <w:rStyle w:val="IndexLink"/>
              </w:rPr>
              <w:t>190</w:t>
            </w:r>
          </w:hyperlink>
        </w:p>
        <w:p>
          <w:pPr>
            <w:pStyle w:val="Contents5"/>
            <w:tabs>
              <w:tab w:val="clear" w:pos="7892"/>
              <w:tab w:val="right" w:pos="9026" w:leader="dot"/>
            </w:tabs>
            <w:rPr/>
          </w:pPr>
          <w:hyperlink w:anchor="__RefHeading___Toc1119804_1738255347">
            <w:r>
              <w:rPr>
                <w:webHidden/>
                <w:rStyle w:val="IndexLink"/>
                <w:rtl w:val="true"/>
              </w:rPr>
              <w:t>تفاوت مرجئه و وراجیه</w:t>
            </w:r>
            <w:r>
              <w:rPr>
                <w:rStyle w:val="IndexLink"/>
                <w:rtl w:val="true"/>
              </w:rPr>
              <w:tab/>
            </w:r>
            <w:r>
              <w:rPr>
                <w:rStyle w:val="IndexLink"/>
              </w:rPr>
              <w:t>192</w:t>
            </w:r>
          </w:hyperlink>
        </w:p>
        <w:p>
          <w:pPr>
            <w:pStyle w:val="Contents4"/>
            <w:tabs>
              <w:tab w:val="clear" w:pos="8176"/>
              <w:tab w:val="right" w:pos="9026" w:leader="dot"/>
            </w:tabs>
            <w:rPr/>
          </w:pPr>
          <w:hyperlink w:anchor="__RefHeading___Toc1119806_1738255347">
            <w:r>
              <w:rPr>
                <w:webHidden/>
                <w:rStyle w:val="IndexLink"/>
                <w:rtl w:val="true"/>
              </w:rPr>
              <w:t>ثمرات اصل سوم</w:t>
            </w:r>
            <w:r>
              <w:rPr>
                <w:rStyle w:val="IndexLink"/>
                <w:rtl w:val="true"/>
              </w:rPr>
              <w:t xml:space="preserve">: </w:t>
            </w:r>
            <w:r>
              <w:rPr>
                <w:rStyle w:val="IndexLink"/>
                <w:rtl w:val="true"/>
              </w:rPr>
              <w:t>وعد و وعید</w:t>
            </w:r>
            <w:r>
              <w:rPr>
                <w:rStyle w:val="IndexLink"/>
                <w:rtl w:val="true"/>
              </w:rPr>
              <w:tab/>
            </w:r>
            <w:r>
              <w:rPr>
                <w:rStyle w:val="IndexLink"/>
              </w:rPr>
              <w:t>194</w:t>
            </w:r>
          </w:hyperlink>
        </w:p>
        <w:p>
          <w:pPr>
            <w:pStyle w:val="Contents5"/>
            <w:tabs>
              <w:tab w:val="clear" w:pos="7892"/>
              <w:tab w:val="right" w:pos="9026" w:leader="dot"/>
            </w:tabs>
            <w:rPr/>
          </w:pPr>
          <w:hyperlink w:anchor="__RefHeading___Toc1119808_1738255347">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1119810_1738255347">
            <w:r>
              <w:rPr>
                <w:webHidden/>
                <w:rStyle w:val="IndexLink"/>
                <w:rtl w:val="true"/>
              </w:rPr>
              <w:t>مقیاس در احباط چیست؟</w:t>
            </w:r>
            <w:r>
              <w:rPr>
                <w:rStyle w:val="IndexLink"/>
                <w:rtl w:val="true"/>
              </w:rPr>
              <w:tab/>
            </w:r>
            <w:r>
              <w:rPr>
                <w:rStyle w:val="IndexLink"/>
              </w:rPr>
              <w:t>195</w:t>
            </w:r>
          </w:hyperlink>
        </w:p>
        <w:p>
          <w:pPr>
            <w:pStyle w:val="Contents5"/>
            <w:tabs>
              <w:tab w:val="clear" w:pos="7892"/>
              <w:tab w:val="right" w:pos="9026" w:leader="dot"/>
            </w:tabs>
            <w:rPr/>
          </w:pPr>
          <w:hyperlink w:anchor="__RefHeading___Toc1119812_1738255347">
            <w:r>
              <w:rPr>
                <w:webHidden/>
                <w:rStyle w:val="IndexLink"/>
                <w:rtl w:val="true"/>
              </w:rPr>
              <w:t>احباط در کشاکش جواز و منع</w:t>
            </w:r>
            <w:r>
              <w:rPr>
                <w:rStyle w:val="IndexLink"/>
                <w:rtl w:val="true"/>
              </w:rPr>
              <w:tab/>
            </w:r>
            <w:r>
              <w:rPr>
                <w:rStyle w:val="IndexLink"/>
              </w:rPr>
              <w:t>196</w:t>
            </w:r>
          </w:hyperlink>
        </w:p>
        <w:p>
          <w:pPr>
            <w:pStyle w:val="Contents5"/>
            <w:tabs>
              <w:tab w:val="clear" w:pos="7892"/>
              <w:tab w:val="right" w:pos="9026" w:leader="dot"/>
            </w:tabs>
            <w:rPr/>
          </w:pPr>
          <w:hyperlink w:anchor="__RefHeading___Toc1119814_1738255347">
            <w:r>
              <w:rPr>
                <w:webHidden/>
                <w:rStyle w:val="IndexLink"/>
                <w:rtl w:val="true"/>
              </w:rPr>
              <w:t>دلیل نافیان احباط</w:t>
            </w:r>
            <w:r>
              <w:rPr>
                <w:rStyle w:val="IndexLink"/>
                <w:rtl w:val="true"/>
              </w:rPr>
              <w:tab/>
            </w:r>
            <w:r>
              <w:rPr>
                <w:rStyle w:val="IndexLink"/>
              </w:rPr>
              <w:t>198</w:t>
            </w:r>
          </w:hyperlink>
        </w:p>
        <w:p>
          <w:pPr>
            <w:pStyle w:val="Contents5"/>
            <w:tabs>
              <w:tab w:val="clear" w:pos="7892"/>
              <w:tab w:val="right" w:pos="9026" w:leader="dot"/>
            </w:tabs>
            <w:rPr/>
          </w:pPr>
          <w:hyperlink w:anchor="__RefHeading___Toc1119816_1738255347">
            <w:r>
              <w:rPr>
                <w:webHidden/>
                <w:rStyle w:val="IndexLink"/>
                <w:rtl w:val="true"/>
              </w:rPr>
              <w:t>پرسش و پاسخ</w:t>
            </w:r>
            <w:r>
              <w:rPr>
                <w:rStyle w:val="IndexLink"/>
                <w:rtl w:val="true"/>
              </w:rPr>
              <w:tab/>
            </w:r>
            <w:r>
              <w:rPr>
                <w:rStyle w:val="IndexLink"/>
              </w:rPr>
              <w:t>199</w:t>
            </w:r>
          </w:hyperlink>
        </w:p>
        <w:p>
          <w:pPr>
            <w:pStyle w:val="Contents6"/>
            <w:tabs>
              <w:tab w:val="clear" w:pos="7609"/>
              <w:tab w:val="right" w:pos="9026" w:leader="dot"/>
            </w:tabs>
            <w:rPr/>
          </w:pPr>
          <w:hyperlink w:anchor="__RefHeading___Toc1119818_1738255347">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1119820_1738255347">
            <w:r>
              <w:rPr>
                <w:webHidden/>
                <w:rStyle w:val="IndexLink"/>
                <w:rtl w:val="true"/>
              </w:rPr>
              <w:t>پاسخ</w:t>
            </w:r>
            <w:r>
              <w:rPr>
                <w:rStyle w:val="IndexLink"/>
                <w:rtl w:val="true"/>
              </w:rPr>
              <w:tab/>
            </w:r>
            <w:r>
              <w:rPr>
                <w:rStyle w:val="IndexLink"/>
              </w:rPr>
              <w:t>200</w:t>
            </w:r>
          </w:hyperlink>
        </w:p>
        <w:p>
          <w:pPr>
            <w:pStyle w:val="Contents5"/>
            <w:tabs>
              <w:tab w:val="clear" w:pos="7892"/>
              <w:tab w:val="right" w:pos="9026" w:leader="dot"/>
            </w:tabs>
            <w:rPr/>
          </w:pPr>
          <w:hyperlink w:anchor="__RefHeading___Toc1119822_1738255347">
            <w:r>
              <w:rPr>
                <w:webHidden/>
                <w:rStyle w:val="IndexLink"/>
                <w:rtl w:val="true"/>
              </w:rPr>
              <w:t>موارد احباط در قرآن</w:t>
            </w:r>
            <w:r>
              <w:rPr>
                <w:rStyle w:val="IndexLink"/>
                <w:rtl w:val="true"/>
              </w:rPr>
              <w:tab/>
            </w:r>
            <w:r>
              <w:rPr>
                <w:rStyle w:val="IndexLink"/>
              </w:rPr>
              <w:t>200</w:t>
            </w:r>
          </w:hyperlink>
        </w:p>
        <w:p>
          <w:pPr>
            <w:pStyle w:val="Contents6"/>
            <w:tabs>
              <w:tab w:val="clear" w:pos="7609"/>
              <w:tab w:val="right" w:pos="9026" w:leader="dot"/>
            </w:tabs>
            <w:rPr/>
          </w:pPr>
          <w:hyperlink w:anchor="__RefHeading___Toc1119824_1738255347">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1119826_1738255347">
            <w:r>
              <w:rPr>
                <w:webHidden/>
                <w:rStyle w:val="IndexLink"/>
              </w:rPr>
              <w:t>1</w:t>
            </w:r>
            <w:r>
              <w:rPr>
                <w:rStyle w:val="IndexLink"/>
                <w:rtl w:val="true"/>
              </w:rPr>
              <w:t xml:space="preserve"> - </w:t>
            </w:r>
            <w:r>
              <w:rPr>
                <w:rStyle w:val="IndexLink"/>
                <w:rtl w:val="true"/>
              </w:rPr>
              <w:t>ارتداد پس از اسلام</w:t>
            </w:r>
            <w:r>
              <w:rPr>
                <w:rStyle w:val="IndexLink"/>
                <w:rtl w:val="true"/>
              </w:rPr>
              <w:tab/>
            </w:r>
            <w:r>
              <w:rPr>
                <w:rStyle w:val="IndexLink"/>
              </w:rPr>
              <w:t>201</w:t>
            </w:r>
          </w:hyperlink>
        </w:p>
        <w:p>
          <w:pPr>
            <w:pStyle w:val="Contents6"/>
            <w:tabs>
              <w:tab w:val="clear" w:pos="7609"/>
              <w:tab w:val="right" w:pos="9026" w:leader="dot"/>
            </w:tabs>
            <w:rPr/>
          </w:pPr>
          <w:hyperlink w:anchor="__RefHeading___Toc1119828_1738255347">
            <w:r>
              <w:rPr>
                <w:webHidden/>
                <w:rStyle w:val="IndexLink"/>
              </w:rPr>
              <w:t>2</w:t>
            </w:r>
            <w:r>
              <w:rPr>
                <w:rStyle w:val="IndexLink"/>
                <w:rtl w:val="true"/>
              </w:rPr>
              <w:t xml:space="preserve"> - </w:t>
            </w:r>
            <w:r>
              <w:rPr>
                <w:rStyle w:val="IndexLink"/>
                <w:rtl w:val="true"/>
              </w:rPr>
              <w:t>شرک مقارن عمل صالح</w:t>
            </w:r>
            <w:r>
              <w:rPr>
                <w:rStyle w:val="IndexLink"/>
                <w:rtl w:val="true"/>
              </w:rPr>
              <w:tab/>
            </w:r>
            <w:r>
              <w:rPr>
                <w:rStyle w:val="IndexLink"/>
              </w:rPr>
              <w:t>201</w:t>
            </w:r>
          </w:hyperlink>
        </w:p>
        <w:p>
          <w:pPr>
            <w:pStyle w:val="Contents6"/>
            <w:tabs>
              <w:tab w:val="clear" w:pos="7609"/>
              <w:tab w:val="right" w:pos="9026" w:leader="dot"/>
            </w:tabs>
            <w:rPr/>
          </w:pPr>
          <w:hyperlink w:anchor="__RefHeading___Toc1119830_1738255347">
            <w:r>
              <w:rPr>
                <w:webHidden/>
                <w:rStyle w:val="IndexLink"/>
              </w:rPr>
              <w:t>3</w:t>
            </w:r>
            <w:r>
              <w:rPr>
                <w:rStyle w:val="IndexLink"/>
                <w:rtl w:val="true"/>
              </w:rPr>
              <w:t xml:space="preserve"> - </w:t>
            </w:r>
            <w:r>
              <w:rPr>
                <w:rStyle w:val="IndexLink"/>
                <w:rtl w:val="true"/>
              </w:rPr>
              <w:t>ناخوشایندی از دستورات خدا</w:t>
            </w:r>
            <w:r>
              <w:rPr>
                <w:rStyle w:val="IndexLink"/>
                <w:rtl w:val="true"/>
              </w:rPr>
              <w:tab/>
            </w:r>
            <w:r>
              <w:rPr>
                <w:rStyle w:val="IndexLink"/>
              </w:rPr>
              <w:t>202</w:t>
            </w:r>
          </w:hyperlink>
        </w:p>
        <w:p>
          <w:pPr>
            <w:pStyle w:val="Contents6"/>
            <w:tabs>
              <w:tab w:val="clear" w:pos="7609"/>
              <w:tab w:val="right" w:pos="9026" w:leader="dot"/>
            </w:tabs>
            <w:rPr/>
          </w:pPr>
          <w:hyperlink w:anchor="__RefHeading___Toc1119832_1738255347">
            <w:r>
              <w:rPr>
                <w:webHidden/>
                <w:rStyle w:val="IndexLink"/>
              </w:rPr>
              <w:t>4</w:t>
            </w:r>
            <w:r>
              <w:rPr>
                <w:rStyle w:val="IndexLink"/>
                <w:rtl w:val="true"/>
              </w:rPr>
              <w:t xml:space="preserve"> - </w:t>
            </w:r>
            <w:r>
              <w:rPr>
                <w:rStyle w:val="IndexLink"/>
                <w:rtl w:val="true"/>
              </w:rPr>
              <w:t>کفر</w:t>
            </w:r>
            <w:r>
              <w:rPr>
                <w:rStyle w:val="IndexLink"/>
                <w:rtl w:val="true"/>
              </w:rPr>
              <w:tab/>
            </w:r>
            <w:r>
              <w:rPr>
                <w:rStyle w:val="IndexLink"/>
              </w:rPr>
              <w:t>202</w:t>
            </w:r>
          </w:hyperlink>
        </w:p>
        <w:p>
          <w:pPr>
            <w:pStyle w:val="Contents6"/>
            <w:tabs>
              <w:tab w:val="clear" w:pos="7609"/>
              <w:tab w:val="right" w:pos="9026" w:leader="dot"/>
            </w:tabs>
            <w:rPr/>
          </w:pPr>
          <w:hyperlink w:anchor="__RefHeading___Toc1119834_1738255347">
            <w:r>
              <w:rPr>
                <w:webHidden/>
                <w:rStyle w:val="IndexLink"/>
              </w:rPr>
              <w:t>5</w:t>
            </w:r>
            <w:r>
              <w:rPr>
                <w:rStyle w:val="IndexLink"/>
                <w:rtl w:val="true"/>
              </w:rPr>
              <w:t xml:space="preserve"> - </w:t>
            </w:r>
            <w:r>
              <w:rPr>
                <w:rStyle w:val="IndexLink"/>
                <w:rtl w:val="true"/>
              </w:rPr>
              <w:t>بازداشتن مردم از راه خدا</w:t>
            </w:r>
            <w:r>
              <w:rPr>
                <w:rStyle w:val="IndexLink"/>
                <w:rtl w:val="true"/>
              </w:rPr>
              <w:tab/>
            </w:r>
            <w:r>
              <w:rPr>
                <w:rStyle w:val="IndexLink"/>
              </w:rPr>
              <w:t>202</w:t>
            </w:r>
          </w:hyperlink>
        </w:p>
        <w:p>
          <w:pPr>
            <w:pStyle w:val="Contents6"/>
            <w:tabs>
              <w:tab w:val="clear" w:pos="7609"/>
              <w:tab w:val="right" w:pos="9026" w:leader="dot"/>
            </w:tabs>
            <w:rPr/>
          </w:pPr>
          <w:hyperlink w:anchor="__RefHeading___Toc1119836_1738255347">
            <w:r>
              <w:rPr>
                <w:webHidden/>
                <w:rStyle w:val="IndexLink"/>
              </w:rPr>
              <w:t>6</w:t>
            </w:r>
            <w:r>
              <w:rPr>
                <w:rStyle w:val="IndexLink"/>
                <w:rtl w:val="true"/>
              </w:rPr>
              <w:t xml:space="preserve"> - </w:t>
            </w:r>
            <w:r>
              <w:rPr>
                <w:rStyle w:val="IndexLink"/>
                <w:rtl w:val="true"/>
              </w:rPr>
              <w:t>مخالفت با پیامبر</w:t>
            </w:r>
            <w:r>
              <w:rPr>
                <w:rStyle w:val="IndexLink"/>
                <w:rtl w:val="true"/>
              </w:rPr>
              <w:tab/>
            </w:r>
            <w:r>
              <w:rPr>
                <w:rStyle w:val="IndexLink"/>
              </w:rPr>
              <w:t>202</w:t>
            </w:r>
          </w:hyperlink>
        </w:p>
        <w:p>
          <w:pPr>
            <w:pStyle w:val="Contents6"/>
            <w:tabs>
              <w:tab w:val="clear" w:pos="7609"/>
              <w:tab w:val="right" w:pos="9026" w:leader="dot"/>
            </w:tabs>
            <w:rPr/>
          </w:pPr>
          <w:hyperlink w:anchor="__RefHeading___Toc1119838_1738255347">
            <w:r>
              <w:rPr>
                <w:webHidden/>
                <w:rStyle w:val="IndexLink"/>
              </w:rPr>
              <w:t>7</w:t>
            </w:r>
            <w:r>
              <w:rPr>
                <w:rStyle w:val="IndexLink"/>
                <w:rtl w:val="true"/>
              </w:rPr>
              <w:t xml:space="preserve"> - </w:t>
            </w:r>
            <w:r>
              <w:rPr>
                <w:rStyle w:val="IndexLink"/>
                <w:rtl w:val="true"/>
              </w:rPr>
              <w:t>قتل پیامبران</w:t>
            </w:r>
            <w:r>
              <w:rPr>
                <w:rStyle w:val="IndexLink"/>
                <w:rtl w:val="true"/>
              </w:rPr>
              <w:tab/>
            </w:r>
            <w:r>
              <w:rPr>
                <w:rStyle w:val="IndexLink"/>
              </w:rPr>
              <w:t>203</w:t>
            </w:r>
          </w:hyperlink>
        </w:p>
        <w:p>
          <w:pPr>
            <w:pStyle w:val="Contents6"/>
            <w:tabs>
              <w:tab w:val="clear" w:pos="7609"/>
              <w:tab w:val="right" w:pos="9026" w:leader="dot"/>
            </w:tabs>
            <w:rPr/>
          </w:pPr>
          <w:hyperlink w:anchor="__RefHeading___Toc1119840_1738255347">
            <w:r>
              <w:rPr>
                <w:webHidden/>
                <w:rStyle w:val="IndexLink"/>
              </w:rPr>
              <w:t>8</w:t>
            </w:r>
            <w:r>
              <w:rPr>
                <w:rStyle w:val="IndexLink"/>
                <w:rtl w:val="true"/>
              </w:rPr>
              <w:t xml:space="preserve"> - </w:t>
            </w:r>
            <w:r>
              <w:rPr>
                <w:rStyle w:val="IndexLink"/>
                <w:rtl w:val="true"/>
              </w:rPr>
              <w:t>قتل امر کنندگان به قسط و عدل</w:t>
            </w:r>
            <w:r>
              <w:rPr>
                <w:rStyle w:val="IndexLink"/>
                <w:rtl w:val="true"/>
              </w:rPr>
              <w:tab/>
            </w:r>
            <w:r>
              <w:rPr>
                <w:rStyle w:val="IndexLink"/>
              </w:rPr>
              <w:t>203</w:t>
            </w:r>
          </w:hyperlink>
        </w:p>
        <w:p>
          <w:pPr>
            <w:pStyle w:val="Contents6"/>
            <w:tabs>
              <w:tab w:val="clear" w:pos="7609"/>
              <w:tab w:val="right" w:pos="9026" w:leader="dot"/>
            </w:tabs>
            <w:rPr/>
          </w:pPr>
          <w:hyperlink w:anchor="__RefHeading___Toc1119842_1738255347">
            <w:r>
              <w:rPr>
                <w:webHidden/>
                <w:rStyle w:val="IndexLink"/>
              </w:rPr>
              <w:t>9</w:t>
            </w:r>
            <w:r>
              <w:rPr>
                <w:rStyle w:val="IndexLink"/>
                <w:rtl w:val="true"/>
              </w:rPr>
              <w:t xml:space="preserve"> - </w:t>
            </w:r>
            <w:r>
              <w:rPr>
                <w:rStyle w:val="IndexLink"/>
                <w:rtl w:val="true"/>
              </w:rPr>
              <w:t>اسائۀ ادب با پیامبر</w:t>
            </w:r>
            <w:r>
              <w:rPr>
                <w:rStyle w:val="IndexLink"/>
                <w:rtl w:val="true"/>
              </w:rPr>
              <w:tab/>
            </w:r>
            <w:r>
              <w:rPr>
                <w:rStyle w:val="IndexLink"/>
              </w:rPr>
              <w:t>203</w:t>
            </w:r>
          </w:hyperlink>
        </w:p>
        <w:p>
          <w:pPr>
            <w:pStyle w:val="Contents6"/>
            <w:tabs>
              <w:tab w:val="clear" w:pos="7609"/>
              <w:tab w:val="right" w:pos="9026" w:leader="dot"/>
            </w:tabs>
            <w:rPr/>
          </w:pPr>
          <w:hyperlink w:anchor="__RefHeading___Toc1119844_1738255347">
            <w:r>
              <w:rPr>
                <w:webHidden/>
                <w:rStyle w:val="IndexLink"/>
              </w:rPr>
              <w:t>10</w:t>
            </w:r>
            <w:r>
              <w:rPr>
                <w:rStyle w:val="IndexLink"/>
                <w:rtl w:val="true"/>
              </w:rPr>
              <w:t xml:space="preserve"> - </w:t>
            </w:r>
            <w:r>
              <w:rPr>
                <w:rStyle w:val="IndexLink"/>
                <w:rtl w:val="true"/>
              </w:rPr>
              <w:t>اقبال به دنیا و اعراض از سرای دیگر</w:t>
            </w:r>
            <w:r>
              <w:rPr>
                <w:rStyle w:val="IndexLink"/>
                <w:rtl w:val="true"/>
              </w:rPr>
              <w:tab/>
            </w:r>
            <w:r>
              <w:rPr>
                <w:rStyle w:val="IndexLink"/>
              </w:rPr>
              <w:t>204</w:t>
            </w:r>
          </w:hyperlink>
        </w:p>
        <w:p>
          <w:pPr>
            <w:pStyle w:val="Contents6"/>
            <w:tabs>
              <w:tab w:val="clear" w:pos="7609"/>
              <w:tab w:val="right" w:pos="9026" w:leader="dot"/>
            </w:tabs>
            <w:rPr/>
          </w:pPr>
          <w:hyperlink w:anchor="__RefHeading___Toc1119846_1738255347">
            <w:r>
              <w:rPr>
                <w:webHidden/>
                <w:rStyle w:val="IndexLink"/>
              </w:rPr>
              <w:t>11</w:t>
            </w:r>
            <w:r>
              <w:rPr>
                <w:rStyle w:val="IndexLink"/>
                <w:rtl w:val="true"/>
              </w:rPr>
              <w:t xml:space="preserve"> - </w:t>
            </w:r>
            <w:r>
              <w:rPr>
                <w:rStyle w:val="IndexLink"/>
                <w:rtl w:val="true"/>
              </w:rPr>
              <w:t>انکار آخرت</w:t>
            </w:r>
            <w:r>
              <w:rPr>
                <w:rStyle w:val="IndexLink"/>
                <w:rtl w:val="true"/>
              </w:rPr>
              <w:tab/>
            </w:r>
            <w:r>
              <w:rPr>
                <w:rStyle w:val="IndexLink"/>
              </w:rPr>
              <w:t>204</w:t>
            </w:r>
          </w:hyperlink>
        </w:p>
        <w:p>
          <w:pPr>
            <w:pStyle w:val="Contents6"/>
            <w:tabs>
              <w:tab w:val="clear" w:pos="7609"/>
              <w:tab w:val="right" w:pos="9026" w:leader="dot"/>
            </w:tabs>
            <w:rPr/>
          </w:pPr>
          <w:hyperlink w:anchor="__RefHeading___Toc1119848_1738255347">
            <w:r>
              <w:rPr>
                <w:webHidden/>
                <w:rStyle w:val="IndexLink"/>
              </w:rPr>
              <w:t>12</w:t>
            </w:r>
            <w:r>
              <w:rPr>
                <w:rStyle w:val="IndexLink"/>
                <w:rtl w:val="true"/>
              </w:rPr>
              <w:t xml:space="preserve"> - </w:t>
            </w:r>
            <w:r>
              <w:rPr>
                <w:rStyle w:val="IndexLink"/>
                <w:rtl w:val="true"/>
              </w:rPr>
              <w:t>نفاق</w:t>
            </w:r>
            <w:r>
              <w:rPr>
                <w:rStyle w:val="IndexLink"/>
                <w:rtl w:val="true"/>
              </w:rPr>
              <w:tab/>
            </w:r>
            <w:r>
              <w:rPr>
                <w:rStyle w:val="IndexLink"/>
              </w:rPr>
              <w:t>205</w:t>
            </w:r>
          </w:hyperlink>
        </w:p>
        <w:p>
          <w:pPr>
            <w:pStyle w:val="Contents5"/>
            <w:tabs>
              <w:tab w:val="clear" w:pos="7892"/>
              <w:tab w:val="right" w:pos="9026" w:leader="dot"/>
            </w:tabs>
            <w:rPr/>
          </w:pPr>
          <w:hyperlink w:anchor="__RefHeading___Toc1119850_1738255347">
            <w:r>
              <w:rPr>
                <w:webHidden/>
                <w:rStyle w:val="IndexLink"/>
                <w:rtl w:val="true"/>
              </w:rPr>
              <w:t>تکفیر</w:t>
            </w:r>
            <w:r>
              <w:rPr>
                <w:rStyle w:val="IndexLink"/>
                <w:rtl w:val="true"/>
              </w:rPr>
              <w:tab/>
            </w:r>
            <w:r>
              <w:rPr>
                <w:rStyle w:val="IndexLink"/>
              </w:rPr>
              <w:t>205</w:t>
            </w:r>
          </w:hyperlink>
        </w:p>
        <w:p>
          <w:pPr>
            <w:pStyle w:val="Contents3"/>
            <w:tabs>
              <w:tab w:val="clear" w:pos="8459"/>
              <w:tab w:val="right" w:pos="9026" w:leader="dot"/>
            </w:tabs>
            <w:rPr/>
          </w:pPr>
          <w:hyperlink w:anchor="__RefHeading___Toc1119852_1738255347">
            <w:r>
              <w:rPr>
                <w:webHidden/>
                <w:rStyle w:val="IndexLink"/>
                <w:rtl w:val="true"/>
              </w:rPr>
              <w:t xml:space="preserve">* </w:t>
            </w:r>
            <w:r>
              <w:rPr>
                <w:rStyle w:val="IndexLink"/>
                <w:rtl w:val="true"/>
              </w:rPr>
              <w:t xml:space="preserve">اصل چهارم </w:t>
            </w:r>
            <w:r>
              <w:rPr>
                <w:rStyle w:val="IndexLink"/>
                <w:rtl w:val="true"/>
              </w:rPr>
              <w:t>*</w:t>
              <w:tab/>
            </w:r>
            <w:r>
              <w:rPr>
                <w:rStyle w:val="IndexLink"/>
              </w:rPr>
              <w:t>207</w:t>
            </w:r>
          </w:hyperlink>
        </w:p>
        <w:p>
          <w:pPr>
            <w:pStyle w:val="Contents4"/>
            <w:tabs>
              <w:tab w:val="clear" w:pos="8176"/>
              <w:tab w:val="right" w:pos="9026" w:leader="dot"/>
            </w:tabs>
            <w:rPr/>
          </w:pPr>
          <w:hyperlink w:anchor="__RefHeading___Toc1119854_1738255347">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1119856_1738255347">
            <w:r>
              <w:rPr>
                <w:webHidden/>
                <w:rStyle w:val="IndexLink"/>
                <w:rtl w:val="true"/>
              </w:rPr>
              <w:t>مرتکب کبیره کافر است</w:t>
            </w:r>
            <w:r>
              <w:rPr>
                <w:rStyle w:val="IndexLink"/>
                <w:rtl w:val="true"/>
              </w:rPr>
              <w:tab/>
            </w:r>
            <w:r>
              <w:rPr>
                <w:rStyle w:val="IndexLink"/>
              </w:rPr>
              <w:t>208</w:t>
            </w:r>
          </w:hyperlink>
        </w:p>
        <w:p>
          <w:pPr>
            <w:pStyle w:val="Contents4"/>
            <w:tabs>
              <w:tab w:val="clear" w:pos="8176"/>
              <w:tab w:val="right" w:pos="9026" w:leader="dot"/>
            </w:tabs>
            <w:rPr/>
          </w:pPr>
          <w:hyperlink w:anchor="__RefHeading___Toc1119858_1738255347">
            <w:r>
              <w:rPr>
                <w:webHidden/>
                <w:rStyle w:val="IndexLink"/>
                <w:rtl w:val="true"/>
              </w:rPr>
              <w:t>مرتکب کبیره مؤمن فاسق است</w:t>
            </w:r>
            <w:r>
              <w:rPr>
                <w:rStyle w:val="IndexLink"/>
                <w:rtl w:val="true"/>
              </w:rPr>
              <w:tab/>
            </w:r>
            <w:r>
              <w:rPr>
                <w:rStyle w:val="IndexLink"/>
              </w:rPr>
              <w:t>208</w:t>
            </w:r>
          </w:hyperlink>
        </w:p>
        <w:p>
          <w:pPr>
            <w:pStyle w:val="Contents4"/>
            <w:tabs>
              <w:tab w:val="clear" w:pos="8176"/>
              <w:tab w:val="right" w:pos="9026" w:leader="dot"/>
            </w:tabs>
            <w:rPr/>
          </w:pPr>
          <w:hyperlink w:anchor="__RefHeading___Toc1119860_1738255347">
            <w:r>
              <w:rPr>
                <w:webHidden/>
                <w:rStyle w:val="IndexLink"/>
                <w:rtl w:val="true"/>
              </w:rPr>
              <w:t>مرتکب کبیره نه مؤمن است نه کافر بلکه در منزلتی بین آن دو</w:t>
            </w:r>
            <w:r>
              <w:rPr>
                <w:rStyle w:val="IndexLink"/>
                <w:rtl w:val="true"/>
              </w:rPr>
              <w:tab/>
            </w:r>
            <w:r>
              <w:rPr>
                <w:rStyle w:val="IndexLink"/>
              </w:rPr>
              <w:t>209</w:t>
            </w:r>
          </w:hyperlink>
        </w:p>
        <w:p>
          <w:pPr>
            <w:pStyle w:val="Contents5"/>
            <w:tabs>
              <w:tab w:val="clear" w:pos="7892"/>
              <w:tab w:val="right" w:pos="9026" w:leader="dot"/>
            </w:tabs>
            <w:rPr/>
          </w:pPr>
          <w:hyperlink w:anchor="__RefHeading___Toc1119862_1738255347">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1119864_1738255347">
            <w:r>
              <w:rPr>
                <w:webHidden/>
                <w:rStyle w:val="IndexLink"/>
                <w:rtl w:val="true"/>
              </w:rPr>
              <w:t xml:space="preserve">- </w:t>
            </w:r>
            <w:r>
              <w:rPr>
                <w:rStyle w:val="IndexLink"/>
                <w:rtl w:val="true"/>
              </w:rPr>
              <w:t>دلائل معتزله بر عقیده خویش و نقد آن</w:t>
            </w:r>
            <w:r>
              <w:rPr>
                <w:rStyle w:val="IndexLink"/>
                <w:rtl w:val="true"/>
              </w:rPr>
              <w:tab/>
            </w:r>
            <w:r>
              <w:rPr>
                <w:rStyle w:val="IndexLink"/>
              </w:rPr>
              <w:t>209</w:t>
            </w:r>
          </w:hyperlink>
        </w:p>
        <w:p>
          <w:pPr>
            <w:pStyle w:val="Contents3"/>
            <w:tabs>
              <w:tab w:val="clear" w:pos="8459"/>
              <w:tab w:val="right" w:pos="9026" w:leader="dot"/>
            </w:tabs>
            <w:rPr/>
          </w:pPr>
          <w:hyperlink w:anchor="__RefHeading___Toc1119866_1738255347">
            <w:r>
              <w:rPr>
                <w:webHidden/>
                <w:rStyle w:val="IndexLink"/>
                <w:rtl w:val="true"/>
              </w:rPr>
              <w:t xml:space="preserve">* </w:t>
            </w:r>
            <w:r>
              <w:rPr>
                <w:rStyle w:val="IndexLink"/>
                <w:rtl w:val="true"/>
              </w:rPr>
              <w:t xml:space="preserve">اصل پنجم اصل </w:t>
            </w:r>
            <w:r>
              <w:rPr>
                <w:rStyle w:val="IndexLink"/>
                <w:rtl w:val="true"/>
              </w:rPr>
              <w:t>*</w:t>
              <w:tab/>
            </w:r>
            <w:r>
              <w:rPr>
                <w:rStyle w:val="IndexLink"/>
              </w:rPr>
              <w:t>212</w:t>
            </w:r>
          </w:hyperlink>
        </w:p>
        <w:p>
          <w:pPr>
            <w:pStyle w:val="Contents4"/>
            <w:tabs>
              <w:tab w:val="clear" w:pos="8176"/>
              <w:tab w:val="right" w:pos="9026" w:leader="dot"/>
            </w:tabs>
            <w:rPr/>
          </w:pPr>
          <w:hyperlink w:anchor="__RefHeading___Toc1119868_1738255347">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1119870_1738255347">
            <w:r>
              <w:rPr>
                <w:webHidden/>
                <w:rStyle w:val="IndexLink"/>
              </w:rPr>
              <w:t>1</w:t>
            </w:r>
            <w:r>
              <w:rPr>
                <w:rStyle w:val="IndexLink"/>
                <w:rtl w:val="true"/>
              </w:rPr>
              <w:t xml:space="preserve"> - </w:t>
            </w:r>
            <w:r>
              <w:rPr>
                <w:rStyle w:val="IndexLink"/>
                <w:rtl w:val="true"/>
              </w:rPr>
              <w:t>وجوب امر به معروف و نهی از منکر</w:t>
            </w:r>
            <w:r>
              <w:rPr>
                <w:rStyle w:val="IndexLink"/>
                <w:rtl w:val="true"/>
              </w:rPr>
              <w:tab/>
            </w:r>
            <w:r>
              <w:rPr>
                <w:rStyle w:val="IndexLink"/>
              </w:rPr>
              <w:t>213</w:t>
            </w:r>
          </w:hyperlink>
        </w:p>
        <w:p>
          <w:pPr>
            <w:pStyle w:val="Contents4"/>
            <w:tabs>
              <w:tab w:val="clear" w:pos="8176"/>
              <w:tab w:val="right" w:pos="9026" w:leader="dot"/>
            </w:tabs>
            <w:rPr/>
          </w:pPr>
          <w:hyperlink w:anchor="__RefHeading___Toc1119872_1738255347">
            <w:r>
              <w:rPr>
                <w:webHidden/>
                <w:rStyle w:val="IndexLink"/>
              </w:rPr>
              <w:t>2</w:t>
            </w:r>
            <w:r>
              <w:rPr>
                <w:rStyle w:val="IndexLink"/>
                <w:rtl w:val="true"/>
              </w:rPr>
              <w:t xml:space="preserve"> - </w:t>
            </w:r>
            <w:r>
              <w:rPr>
                <w:rStyle w:val="IndexLink"/>
                <w:rtl w:val="true"/>
              </w:rPr>
              <w:t>وجوب آن عقلی است یا شرعی</w:t>
            </w:r>
            <w:r>
              <w:rPr>
                <w:rStyle w:val="IndexLink"/>
                <w:rtl w:val="true"/>
              </w:rPr>
              <w:tab/>
            </w:r>
            <w:r>
              <w:rPr>
                <w:rStyle w:val="IndexLink"/>
              </w:rPr>
              <w:t>215</w:t>
            </w:r>
          </w:hyperlink>
        </w:p>
        <w:p>
          <w:pPr>
            <w:pStyle w:val="Contents4"/>
            <w:tabs>
              <w:tab w:val="clear" w:pos="8176"/>
              <w:tab w:val="right" w:pos="9026" w:leader="dot"/>
            </w:tabs>
            <w:rPr/>
          </w:pPr>
          <w:hyperlink w:anchor="__RefHeading___Toc1119874_1738255347">
            <w:r>
              <w:rPr>
                <w:webHidden/>
                <w:rStyle w:val="IndexLink"/>
              </w:rPr>
              <w:t>3</w:t>
            </w:r>
            <w:r>
              <w:rPr>
                <w:rStyle w:val="IndexLink"/>
                <w:rtl w:val="true"/>
              </w:rPr>
              <w:t xml:space="preserve"> - </w:t>
            </w:r>
            <w:r>
              <w:rPr>
                <w:rStyle w:val="IndexLink"/>
                <w:rtl w:val="true"/>
              </w:rPr>
              <w:t>شرایط وجوب امر به معروف</w:t>
            </w:r>
            <w:r>
              <w:rPr>
                <w:rStyle w:val="IndexLink"/>
                <w:rtl w:val="true"/>
              </w:rPr>
              <w:tab/>
            </w:r>
            <w:r>
              <w:rPr>
                <w:rStyle w:val="IndexLink"/>
              </w:rPr>
              <w:t>218</w:t>
            </w:r>
          </w:hyperlink>
        </w:p>
        <w:p>
          <w:pPr>
            <w:pStyle w:val="Contents4"/>
            <w:tabs>
              <w:tab w:val="clear" w:pos="8176"/>
              <w:tab w:val="right" w:pos="9026" w:leader="dot"/>
            </w:tabs>
            <w:rPr/>
          </w:pPr>
          <w:hyperlink w:anchor="__RefHeading___Toc1119876_1738255347">
            <w:r>
              <w:rPr>
                <w:webHidden/>
                <w:rStyle w:val="IndexLink"/>
              </w:rPr>
              <w:t>4</w:t>
            </w:r>
            <w:r>
              <w:rPr>
                <w:rStyle w:val="IndexLink"/>
                <w:rtl w:val="true"/>
              </w:rPr>
              <w:t xml:space="preserve"> - </w:t>
            </w:r>
            <w:r>
              <w:rPr>
                <w:rStyle w:val="IndexLink"/>
                <w:rtl w:val="true"/>
              </w:rPr>
              <w:t>واجب عینی است یا کفایی</w:t>
            </w:r>
            <w:r>
              <w:rPr>
                <w:rStyle w:val="IndexLink"/>
                <w:rtl w:val="true"/>
              </w:rPr>
              <w:tab/>
            </w:r>
            <w:r>
              <w:rPr>
                <w:rStyle w:val="IndexLink"/>
              </w:rPr>
              <w:t>218</w:t>
            </w:r>
          </w:hyperlink>
        </w:p>
        <w:p>
          <w:pPr>
            <w:pStyle w:val="Contents4"/>
            <w:tabs>
              <w:tab w:val="clear" w:pos="8176"/>
              <w:tab w:val="right" w:pos="9026" w:leader="dot"/>
            </w:tabs>
            <w:rPr/>
          </w:pPr>
          <w:hyperlink w:anchor="__RefHeading___Toc1119878_1738255347">
            <w:r>
              <w:rPr>
                <w:webHidden/>
                <w:rStyle w:val="IndexLink"/>
              </w:rPr>
              <w:t>5</w:t>
            </w:r>
            <w:r>
              <w:rPr>
                <w:rStyle w:val="IndexLink"/>
                <w:rtl w:val="true"/>
              </w:rPr>
              <w:t xml:space="preserve"> - </w:t>
            </w:r>
            <w:r>
              <w:rPr>
                <w:rStyle w:val="IndexLink"/>
                <w:rtl w:val="true"/>
              </w:rPr>
              <w:t>مراتب آن دو</w:t>
            </w:r>
            <w:r>
              <w:rPr>
                <w:rStyle w:val="IndexLink"/>
                <w:rtl w:val="true"/>
              </w:rPr>
              <w:tab/>
            </w:r>
            <w:r>
              <w:rPr>
                <w:rStyle w:val="IndexLink"/>
              </w:rPr>
              <w:t>219</w:t>
            </w:r>
          </w:hyperlink>
        </w:p>
        <w:p>
          <w:pPr>
            <w:pStyle w:val="Contents2"/>
            <w:tabs>
              <w:tab w:val="clear" w:pos="8743"/>
              <w:tab w:val="right" w:pos="9026" w:leader="dot"/>
            </w:tabs>
            <w:rPr/>
          </w:pPr>
          <w:hyperlink w:anchor="__RefHeading___Toc1119880_1738255347">
            <w:r>
              <w:rPr>
                <w:webHidden/>
                <w:rStyle w:val="IndexLink"/>
                <w:rtl w:val="true"/>
              </w:rPr>
              <w:t>سرگذشت معتزله از پیدایش تا انقراض</w:t>
            </w:r>
            <w:r>
              <w:rPr>
                <w:rStyle w:val="IndexLink"/>
                <w:rtl w:val="true"/>
              </w:rPr>
              <w:tab/>
            </w:r>
            <w:r>
              <w:rPr>
                <w:rStyle w:val="IndexLink"/>
              </w:rPr>
              <w:t>220</w:t>
            </w:r>
          </w:hyperlink>
        </w:p>
        <w:p>
          <w:pPr>
            <w:pStyle w:val="Contents3"/>
            <w:tabs>
              <w:tab w:val="clear" w:pos="8459"/>
              <w:tab w:val="right" w:pos="9026" w:leader="dot"/>
            </w:tabs>
            <w:rPr/>
          </w:pPr>
          <w:hyperlink w:anchor="__RefHeading___Toc1119882_1738255347">
            <w:r>
              <w:rPr>
                <w:webHidden/>
                <w:rStyle w:val="IndexLink"/>
              </w:rPr>
              <w:t>1</w:t>
            </w:r>
            <w:r>
              <w:rPr>
                <w:rStyle w:val="IndexLink"/>
                <w:rtl w:val="true"/>
              </w:rPr>
              <w:tab/>
            </w:r>
            <w:r>
              <w:rPr>
                <w:rStyle w:val="IndexLink"/>
              </w:rPr>
              <w:t>220</w:t>
            </w:r>
          </w:hyperlink>
        </w:p>
        <w:p>
          <w:pPr>
            <w:pStyle w:val="Contents4"/>
            <w:tabs>
              <w:tab w:val="clear" w:pos="8176"/>
              <w:tab w:val="right" w:pos="9026" w:leader="dot"/>
            </w:tabs>
            <w:rPr/>
          </w:pPr>
          <w:hyperlink w:anchor="__RefHeading___Toc1119884_1738255347">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119886_1738255347">
            <w:r>
              <w:rPr>
                <w:webHidden/>
                <w:rStyle w:val="IndexLink"/>
              </w:rPr>
              <w:t>1</w:t>
            </w:r>
            <w:r>
              <w:rPr>
                <w:rStyle w:val="IndexLink"/>
                <w:rtl w:val="true"/>
              </w:rPr>
              <w:t xml:space="preserve"> - </w:t>
            </w:r>
            <w:r>
              <w:rPr>
                <w:rStyle w:val="IndexLink"/>
                <w:rtl w:val="true"/>
              </w:rPr>
              <w:t>معتزله و اتهام به آلودگی اخلاقی</w:t>
            </w:r>
            <w:r>
              <w:rPr>
                <w:rStyle w:val="IndexLink"/>
                <w:rtl w:val="true"/>
              </w:rPr>
              <w:tab/>
            </w:r>
            <w:r>
              <w:rPr>
                <w:rStyle w:val="IndexLink"/>
              </w:rPr>
              <w:t>220</w:t>
            </w:r>
          </w:hyperlink>
        </w:p>
        <w:p>
          <w:pPr>
            <w:pStyle w:val="Contents4"/>
            <w:tabs>
              <w:tab w:val="clear" w:pos="8176"/>
              <w:tab w:val="right" w:pos="9026" w:leader="dot"/>
            </w:tabs>
            <w:rPr/>
          </w:pPr>
          <w:hyperlink w:anchor="__RefHeading___Toc1119888_1738255347">
            <w:r>
              <w:rPr>
                <w:webHidden/>
                <w:rStyle w:val="IndexLink"/>
                <w:rtl w:val="true"/>
              </w:rPr>
              <w:t>معتزله در اوج قدرت</w:t>
            </w:r>
            <w:r>
              <w:rPr>
                <w:rStyle w:val="IndexLink"/>
                <w:rtl w:val="true"/>
              </w:rPr>
              <w:tab/>
            </w:r>
            <w:r>
              <w:rPr>
                <w:rStyle w:val="IndexLink"/>
              </w:rPr>
              <w:t>223</w:t>
            </w:r>
          </w:hyperlink>
        </w:p>
        <w:p>
          <w:pPr>
            <w:pStyle w:val="Contents4"/>
            <w:tabs>
              <w:tab w:val="clear" w:pos="8176"/>
              <w:tab w:val="right" w:pos="9026" w:leader="dot"/>
            </w:tabs>
            <w:rPr/>
          </w:pPr>
          <w:hyperlink w:anchor="__RefHeading___Toc1119890_1738255347">
            <w:r>
              <w:rPr>
                <w:webHidden/>
                <w:rStyle w:val="IndexLink"/>
                <w:rtl w:val="true"/>
              </w:rPr>
              <w:t>نامه‌های چهارگانه مأمون به رئیس شرطه بغداد</w:t>
            </w:r>
            <w:r>
              <w:rPr>
                <w:rStyle w:val="IndexLink"/>
                <w:rtl w:val="true"/>
              </w:rPr>
              <w:tab/>
            </w:r>
            <w:r>
              <w:rPr>
                <w:rStyle w:val="IndexLink"/>
              </w:rPr>
              <w:t>225</w:t>
            </w:r>
          </w:hyperlink>
        </w:p>
        <w:p>
          <w:pPr>
            <w:pStyle w:val="Contents5"/>
            <w:tabs>
              <w:tab w:val="clear" w:pos="7892"/>
              <w:tab w:val="right" w:pos="9026" w:leader="dot"/>
            </w:tabs>
            <w:rPr/>
          </w:pPr>
          <w:hyperlink w:anchor="__RefHeading___Toc1119892_1738255347">
            <w:r>
              <w:rPr>
                <w:webHidden/>
                <w:rStyle w:val="IndexLink"/>
                <w:rtl w:val="true"/>
              </w:rPr>
              <w:t>نامۀ اول خلیفه</w:t>
            </w:r>
            <w:r>
              <w:rPr>
                <w:rStyle w:val="IndexLink"/>
                <w:rtl w:val="true"/>
              </w:rPr>
              <w:tab/>
            </w:r>
            <w:r>
              <w:rPr>
                <w:rStyle w:val="IndexLink"/>
              </w:rPr>
              <w:t>225</w:t>
            </w:r>
          </w:hyperlink>
        </w:p>
        <w:p>
          <w:pPr>
            <w:pStyle w:val="Contents5"/>
            <w:tabs>
              <w:tab w:val="clear" w:pos="7892"/>
              <w:tab w:val="right" w:pos="9026" w:leader="dot"/>
            </w:tabs>
            <w:rPr/>
          </w:pPr>
          <w:hyperlink w:anchor="__RefHeading___Toc1119894_1738255347">
            <w:r>
              <w:rPr>
                <w:webHidden/>
                <w:rStyle w:val="IndexLink"/>
                <w:rtl w:val="true"/>
              </w:rPr>
              <w:t>نامۀ دوم خلیفه</w:t>
            </w:r>
            <w:r>
              <w:rPr>
                <w:rStyle w:val="IndexLink"/>
                <w:rtl w:val="true"/>
              </w:rPr>
              <w:tab/>
            </w:r>
            <w:r>
              <w:rPr>
                <w:rStyle w:val="IndexLink"/>
              </w:rPr>
              <w:t>225</w:t>
            </w:r>
          </w:hyperlink>
        </w:p>
        <w:p>
          <w:pPr>
            <w:pStyle w:val="Contents5"/>
            <w:tabs>
              <w:tab w:val="clear" w:pos="7892"/>
              <w:tab w:val="right" w:pos="9026" w:leader="dot"/>
            </w:tabs>
            <w:rPr/>
          </w:pPr>
          <w:hyperlink w:anchor="__RefHeading___Toc1119896_1738255347">
            <w:r>
              <w:rPr>
                <w:webHidden/>
                <w:rStyle w:val="IndexLink"/>
                <w:rtl w:val="true"/>
              </w:rPr>
              <w:t>نامه سوم مأمون</w:t>
            </w:r>
            <w:r>
              <w:rPr>
                <w:rStyle w:val="IndexLink"/>
                <w:rtl w:val="true"/>
              </w:rPr>
              <w:tab/>
            </w:r>
            <w:r>
              <w:rPr>
                <w:rStyle w:val="IndexLink"/>
              </w:rPr>
              <w:t>226</w:t>
            </w:r>
          </w:hyperlink>
        </w:p>
        <w:p>
          <w:pPr>
            <w:pStyle w:val="Contents5"/>
            <w:tabs>
              <w:tab w:val="clear" w:pos="7892"/>
              <w:tab w:val="right" w:pos="9026" w:leader="dot"/>
            </w:tabs>
            <w:rPr/>
          </w:pPr>
          <w:hyperlink w:anchor="__RefHeading___Toc1119898_1738255347">
            <w:r>
              <w:rPr>
                <w:webHidden/>
                <w:rStyle w:val="IndexLink"/>
                <w:rtl w:val="true"/>
              </w:rPr>
              <w:t>نامۀ چهارم مأمون</w:t>
            </w:r>
            <w:r>
              <w:rPr>
                <w:rStyle w:val="IndexLink"/>
                <w:rtl w:val="true"/>
              </w:rPr>
              <w:tab/>
            </w:r>
            <w:r>
              <w:rPr>
                <w:rStyle w:val="IndexLink"/>
              </w:rPr>
              <w:t>227</w:t>
            </w:r>
          </w:hyperlink>
        </w:p>
        <w:p>
          <w:pPr>
            <w:pStyle w:val="Contents4"/>
            <w:tabs>
              <w:tab w:val="clear" w:pos="8176"/>
              <w:tab w:val="right" w:pos="9026" w:leader="dot"/>
            </w:tabs>
            <w:rPr/>
          </w:pPr>
          <w:hyperlink w:anchor="__RefHeading___Toc1119900_1738255347">
            <w:r>
              <w:rPr>
                <w:webHidden/>
                <w:rStyle w:val="IndexLink"/>
                <w:rtl w:val="true"/>
              </w:rPr>
              <w:t>محنت احمد</w:t>
            </w:r>
            <w:r>
              <w:rPr>
                <w:rStyle w:val="IndexLink"/>
                <w:rtl w:val="true"/>
              </w:rPr>
              <w:tab/>
            </w:r>
            <w:r>
              <w:rPr>
                <w:rStyle w:val="IndexLink"/>
              </w:rPr>
              <w:t>228</w:t>
            </w:r>
          </w:hyperlink>
        </w:p>
        <w:p>
          <w:pPr>
            <w:pStyle w:val="Contents4"/>
            <w:tabs>
              <w:tab w:val="clear" w:pos="8176"/>
              <w:tab w:val="right" w:pos="9026" w:leader="dot"/>
            </w:tabs>
            <w:rPr/>
          </w:pPr>
          <w:hyperlink w:anchor="__RefHeading___Toc1119902_1738255347">
            <w:r>
              <w:rPr>
                <w:webHidden/>
                <w:rStyle w:val="IndexLink"/>
                <w:rtl w:val="true"/>
              </w:rPr>
              <w:t>پیرامون نامه‌های مأمون</w:t>
            </w:r>
            <w:r>
              <w:rPr>
                <w:rStyle w:val="IndexLink"/>
                <w:rtl w:val="true"/>
              </w:rPr>
              <w:tab/>
            </w:r>
            <w:r>
              <w:rPr>
                <w:rStyle w:val="IndexLink"/>
              </w:rPr>
              <w:t>228</w:t>
            </w:r>
          </w:hyperlink>
        </w:p>
        <w:p>
          <w:pPr>
            <w:pStyle w:val="Contents5"/>
            <w:tabs>
              <w:tab w:val="clear" w:pos="7892"/>
              <w:tab w:val="right" w:pos="9026" w:leader="dot"/>
            </w:tabs>
            <w:rPr/>
          </w:pPr>
          <w:hyperlink w:anchor="__RefHeading___Toc1119904_1738255347">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1119906_1738255347">
            <w:r>
              <w:rPr>
                <w:webHidden/>
                <w:rStyle w:val="IndexLink"/>
                <w:rtl w:val="true"/>
              </w:rPr>
              <w:t>انگیزۀ مأمون از نشر خلقت قرآن چه بود؟</w:t>
            </w:r>
            <w:r>
              <w:rPr>
                <w:rStyle w:val="IndexLink"/>
                <w:rtl w:val="true"/>
              </w:rPr>
              <w:tab/>
            </w:r>
            <w:r>
              <w:rPr>
                <w:rStyle w:val="IndexLink"/>
              </w:rPr>
              <w:t>228</w:t>
            </w:r>
          </w:hyperlink>
        </w:p>
        <w:p>
          <w:pPr>
            <w:pStyle w:val="Contents3"/>
            <w:tabs>
              <w:tab w:val="clear" w:pos="8459"/>
              <w:tab w:val="right" w:pos="9026" w:leader="dot"/>
            </w:tabs>
            <w:rPr/>
          </w:pPr>
          <w:hyperlink w:anchor="__RefHeading___Toc1119908_1738255347">
            <w:r>
              <w:rPr>
                <w:webHidden/>
                <w:rStyle w:val="IndexLink"/>
              </w:rPr>
              <w:t>2</w:t>
            </w:r>
            <w:r>
              <w:rPr>
                <w:rStyle w:val="IndexLink"/>
                <w:rtl w:val="true"/>
              </w:rPr>
              <w:tab/>
            </w:r>
            <w:r>
              <w:rPr>
                <w:rStyle w:val="IndexLink"/>
              </w:rPr>
              <w:t>232</w:t>
            </w:r>
          </w:hyperlink>
        </w:p>
        <w:p>
          <w:pPr>
            <w:pStyle w:val="Contents4"/>
            <w:tabs>
              <w:tab w:val="clear" w:pos="8176"/>
              <w:tab w:val="right" w:pos="9026" w:leader="dot"/>
            </w:tabs>
            <w:rPr/>
          </w:pPr>
          <w:hyperlink w:anchor="__RefHeading___Toc1119910_1738255347">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1119912_1738255347">
            <w:r>
              <w:rPr>
                <w:webHidden/>
                <w:rStyle w:val="IndexLink"/>
                <w:rtl w:val="true"/>
              </w:rPr>
              <w:t>معتزله در عصر معتصم</w:t>
            </w:r>
            <w:r>
              <w:rPr>
                <w:rStyle w:val="IndexLink"/>
                <w:rtl w:val="true"/>
              </w:rPr>
              <w:tab/>
            </w:r>
            <w:r>
              <w:rPr>
                <w:rStyle w:val="IndexLink"/>
              </w:rPr>
              <w:t>232</w:t>
            </w:r>
          </w:hyperlink>
        </w:p>
        <w:p>
          <w:pPr>
            <w:pStyle w:val="Contents4"/>
            <w:tabs>
              <w:tab w:val="clear" w:pos="8176"/>
              <w:tab w:val="right" w:pos="9026" w:leader="dot"/>
            </w:tabs>
            <w:rPr/>
          </w:pPr>
          <w:hyperlink w:anchor="__RefHeading___Toc1119914_1738255347">
            <w:r>
              <w:rPr>
                <w:webHidden/>
                <w:rStyle w:val="IndexLink"/>
                <w:rtl w:val="true"/>
              </w:rPr>
              <w:t>مناظره اسحاق بن ابراهیم با احمد بن حنبل</w:t>
            </w:r>
            <w:r>
              <w:rPr>
                <w:rStyle w:val="IndexLink"/>
                <w:rtl w:val="true"/>
              </w:rPr>
              <w:tab/>
            </w:r>
            <w:r>
              <w:rPr>
                <w:rStyle w:val="IndexLink"/>
              </w:rPr>
              <w:t>232</w:t>
            </w:r>
          </w:hyperlink>
        </w:p>
        <w:p>
          <w:pPr>
            <w:pStyle w:val="Contents4"/>
            <w:tabs>
              <w:tab w:val="clear" w:pos="8176"/>
              <w:tab w:val="right" w:pos="9026" w:leader="dot"/>
            </w:tabs>
            <w:rPr/>
          </w:pPr>
          <w:hyperlink w:anchor="__RefHeading___Toc1119916_1738255347">
            <w:r>
              <w:rPr>
                <w:webHidden/>
                <w:rStyle w:val="IndexLink"/>
                <w:rtl w:val="true"/>
              </w:rPr>
              <w:t>معتزله در عصر واثق باللّه</w:t>
            </w:r>
            <w:r>
              <w:rPr>
                <w:rStyle w:val="IndexLink"/>
                <w:rtl w:val="true"/>
              </w:rPr>
              <w:tab/>
            </w:r>
            <w:r>
              <w:rPr>
                <w:rStyle w:val="IndexLink"/>
              </w:rPr>
              <w:t>234</w:t>
            </w:r>
          </w:hyperlink>
        </w:p>
        <w:p>
          <w:pPr>
            <w:pStyle w:val="Contents4"/>
            <w:tabs>
              <w:tab w:val="clear" w:pos="8176"/>
              <w:tab w:val="right" w:pos="9026" w:leader="dot"/>
            </w:tabs>
            <w:rPr/>
          </w:pPr>
          <w:hyperlink w:anchor="__RefHeading___Toc1119918_1738255347">
            <w:r>
              <w:rPr>
                <w:webHidden/>
                <w:rStyle w:val="IndexLink"/>
                <w:rtl w:val="true"/>
              </w:rPr>
              <w:t>معتزله در سراشیبی ضعف</w:t>
            </w:r>
            <w:r>
              <w:rPr>
                <w:rStyle w:val="IndexLink"/>
                <w:rtl w:val="true"/>
              </w:rPr>
              <w:tab/>
            </w:r>
            <w:r>
              <w:rPr>
                <w:rStyle w:val="IndexLink"/>
              </w:rPr>
              <w:t>236</w:t>
            </w:r>
          </w:hyperlink>
        </w:p>
        <w:p>
          <w:pPr>
            <w:pStyle w:val="Contents4"/>
            <w:tabs>
              <w:tab w:val="clear" w:pos="8176"/>
              <w:tab w:val="right" w:pos="9026" w:leader="dot"/>
            </w:tabs>
            <w:rPr/>
          </w:pPr>
          <w:hyperlink w:anchor="__RefHeading___Toc1119920_1738255347">
            <w:r>
              <w:rPr>
                <w:webHidden/>
                <w:rStyle w:val="IndexLink"/>
                <w:rtl w:val="true"/>
              </w:rPr>
              <w:t>دو ضربۀ کاری دیگر</w:t>
            </w:r>
            <w:r>
              <w:rPr>
                <w:rStyle w:val="IndexLink"/>
                <w:rtl w:val="true"/>
              </w:rPr>
              <w:tab/>
            </w:r>
            <w:r>
              <w:rPr>
                <w:rStyle w:val="IndexLink"/>
              </w:rPr>
              <w:t>238</w:t>
            </w:r>
          </w:hyperlink>
        </w:p>
        <w:p>
          <w:pPr>
            <w:pStyle w:val="Contents5"/>
            <w:tabs>
              <w:tab w:val="clear" w:pos="7892"/>
              <w:tab w:val="right" w:pos="9026" w:leader="dot"/>
            </w:tabs>
            <w:rPr/>
          </w:pPr>
          <w:hyperlink w:anchor="__RefHeading___Toc1119922_1738255347">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1119924_1738255347">
            <w:r>
              <w:rPr>
                <w:webHidden/>
                <w:rStyle w:val="IndexLink"/>
              </w:rPr>
              <w:t>1</w:t>
            </w:r>
            <w:r>
              <w:rPr>
                <w:rStyle w:val="IndexLink"/>
                <w:rtl w:val="true"/>
              </w:rPr>
              <w:t xml:space="preserve"> - </w:t>
            </w:r>
            <w:r>
              <w:rPr>
                <w:rStyle w:val="IndexLink"/>
                <w:rtl w:val="true"/>
              </w:rPr>
              <w:t>فرقه گرایی</w:t>
            </w:r>
            <w:r>
              <w:rPr>
                <w:rStyle w:val="IndexLink"/>
                <w:rtl w:val="true"/>
              </w:rPr>
              <w:tab/>
            </w:r>
            <w:r>
              <w:rPr>
                <w:rStyle w:val="IndexLink"/>
              </w:rPr>
              <w:t>238</w:t>
            </w:r>
          </w:hyperlink>
        </w:p>
        <w:p>
          <w:pPr>
            <w:pStyle w:val="Contents5"/>
            <w:tabs>
              <w:tab w:val="clear" w:pos="7892"/>
              <w:tab w:val="right" w:pos="9026" w:leader="dot"/>
            </w:tabs>
            <w:rPr/>
          </w:pPr>
          <w:hyperlink w:anchor="__RefHeading___Toc1119926_1738255347">
            <w:r>
              <w:rPr>
                <w:webHidden/>
                <w:rStyle w:val="IndexLink"/>
              </w:rPr>
              <w:t>2</w:t>
            </w:r>
            <w:r>
              <w:rPr>
                <w:rStyle w:val="IndexLink"/>
                <w:rtl w:val="true"/>
              </w:rPr>
              <w:t xml:space="preserve"> - </w:t>
            </w:r>
            <w:r>
              <w:rPr>
                <w:rStyle w:val="IndexLink"/>
                <w:rtl w:val="true"/>
              </w:rPr>
              <w:t>رجوع ابو الحسن اشعری از اعتزال</w:t>
            </w:r>
            <w:r>
              <w:rPr>
                <w:rStyle w:val="IndexLink"/>
                <w:rtl w:val="true"/>
              </w:rPr>
              <w:tab/>
            </w:r>
            <w:r>
              <w:rPr>
                <w:rStyle w:val="IndexLink"/>
              </w:rPr>
              <w:t>238</w:t>
            </w:r>
          </w:hyperlink>
        </w:p>
        <w:p>
          <w:pPr>
            <w:pStyle w:val="Contents4"/>
            <w:tabs>
              <w:tab w:val="clear" w:pos="8176"/>
              <w:tab w:val="right" w:pos="9026" w:leader="dot"/>
            </w:tabs>
            <w:rPr/>
          </w:pPr>
          <w:hyperlink w:anchor="__RefHeading___Toc1119928_1738255347">
            <w:r>
              <w:rPr>
                <w:webHidden/>
                <w:rStyle w:val="IndexLink"/>
                <w:rtl w:val="true"/>
              </w:rPr>
              <w:t>تاریخ تکرار می‌شود</w:t>
            </w:r>
            <w:r>
              <w:rPr>
                <w:rStyle w:val="IndexLink"/>
                <w:rtl w:val="true"/>
              </w:rPr>
              <w:tab/>
            </w:r>
            <w:r>
              <w:rPr>
                <w:rStyle w:val="IndexLink"/>
              </w:rPr>
              <w:t>239</w:t>
            </w:r>
          </w:hyperlink>
        </w:p>
        <w:p>
          <w:pPr>
            <w:pStyle w:val="Contents5"/>
            <w:tabs>
              <w:tab w:val="clear" w:pos="7892"/>
              <w:tab w:val="right" w:pos="9026" w:leader="dot"/>
            </w:tabs>
            <w:rPr/>
          </w:pPr>
          <w:hyperlink w:anchor="__RefHeading___Toc1119930_1738255347">
            <w:r>
              <w:rPr>
                <w:webHidden/>
                <w:rStyle w:val="IndexLink"/>
                <w:rtl w:val="true"/>
              </w:rPr>
              <w:t>رساله البیان قادری پیرامون عقائد اهل سنت</w:t>
            </w:r>
            <w:r>
              <w:rPr>
                <w:rStyle w:val="IndexLink"/>
                <w:rtl w:val="true"/>
              </w:rPr>
              <w:tab/>
            </w:r>
            <w:r>
              <w:rPr>
                <w:rStyle w:val="IndexLink"/>
              </w:rPr>
              <w:t>239</w:t>
            </w:r>
          </w:hyperlink>
        </w:p>
        <w:p>
          <w:pPr>
            <w:pStyle w:val="Contents4"/>
            <w:tabs>
              <w:tab w:val="clear" w:pos="8176"/>
              <w:tab w:val="right" w:pos="9026" w:leader="dot"/>
            </w:tabs>
            <w:rPr/>
          </w:pPr>
          <w:hyperlink w:anchor="__RefHeading___Toc1119932_1738255347">
            <w:r>
              <w:rPr>
                <w:webHidden/>
                <w:rStyle w:val="IndexLink"/>
                <w:rtl w:val="true"/>
              </w:rPr>
              <w:t>وصلۀ ناهمرنگ</w:t>
            </w:r>
            <w:r>
              <w:rPr>
                <w:rStyle w:val="IndexLink"/>
                <w:rtl w:val="true"/>
              </w:rPr>
              <w:tab/>
            </w:r>
            <w:r>
              <w:rPr>
                <w:rStyle w:val="IndexLink"/>
              </w:rPr>
              <w:t>240</w:t>
            </w:r>
          </w:hyperlink>
        </w:p>
        <w:p>
          <w:pPr>
            <w:pStyle w:val="Contents2"/>
            <w:tabs>
              <w:tab w:val="clear" w:pos="8743"/>
              <w:tab w:val="right" w:pos="9026" w:leader="dot"/>
            </w:tabs>
            <w:rPr/>
          </w:pPr>
          <w:hyperlink w:anchor="__RefHeading___Toc1119934_1738255347">
            <w:r>
              <w:rPr>
                <w:webHidden/>
                <w:rStyle w:val="IndexLink"/>
                <w:rtl w:val="true"/>
              </w:rPr>
              <w:t>پیشوایان و دانشمندان</w:t>
            </w:r>
            <w:r>
              <w:rPr>
                <w:rStyle w:val="IndexLink"/>
                <w:rtl w:val="true"/>
              </w:rPr>
              <w:tab/>
            </w:r>
            <w:r>
              <w:rPr>
                <w:rStyle w:val="IndexLink"/>
              </w:rPr>
              <w:t>245</w:t>
            </w:r>
          </w:hyperlink>
        </w:p>
        <w:p>
          <w:pPr>
            <w:pStyle w:val="Contents3"/>
            <w:tabs>
              <w:tab w:val="clear" w:pos="8459"/>
              <w:tab w:val="right" w:pos="9026" w:leader="dot"/>
            </w:tabs>
            <w:rPr/>
          </w:pPr>
          <w:hyperlink w:anchor="__RefHeading___Toc1119936_1738255347">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1119938_1738255347">
            <w:r>
              <w:rPr>
                <w:webHidden/>
                <w:rStyle w:val="IndexLink"/>
                <w:rtl w:val="true"/>
              </w:rPr>
              <w:t>پیشوایان معتزله</w:t>
            </w:r>
            <w:r>
              <w:rPr>
                <w:rStyle w:val="IndexLink"/>
                <w:rtl w:val="true"/>
              </w:rPr>
              <w:tab/>
            </w:r>
            <w:r>
              <w:rPr>
                <w:rStyle w:val="IndexLink"/>
              </w:rPr>
              <w:t>246</w:t>
            </w:r>
          </w:hyperlink>
        </w:p>
        <w:p>
          <w:pPr>
            <w:pStyle w:val="Contents3"/>
            <w:tabs>
              <w:tab w:val="clear" w:pos="8459"/>
              <w:tab w:val="right" w:pos="9026" w:leader="dot"/>
            </w:tabs>
            <w:rPr/>
          </w:pPr>
          <w:hyperlink w:anchor="__RefHeading___Toc1119940_1738255347">
            <w:r>
              <w:rPr>
                <w:webHidden/>
                <w:rStyle w:val="IndexLink"/>
                <w:rtl w:val="true"/>
              </w:rPr>
              <w:t>دانشمندان معتزله</w:t>
            </w:r>
            <w:r>
              <w:rPr>
                <w:rStyle w:val="IndexLink"/>
                <w:rtl w:val="true"/>
              </w:rPr>
              <w:tab/>
            </w:r>
            <w:r>
              <w:rPr>
                <w:rStyle w:val="IndexLink"/>
              </w:rPr>
              <w:t>246</w:t>
            </w:r>
          </w:hyperlink>
        </w:p>
        <w:p>
          <w:pPr>
            <w:pStyle w:val="Contents3"/>
            <w:tabs>
              <w:tab w:val="clear" w:pos="8459"/>
              <w:tab w:val="right" w:pos="9026" w:leader="dot"/>
            </w:tabs>
            <w:rPr/>
          </w:pPr>
          <w:hyperlink w:anchor="__RefHeading___Toc1119942_1738255347">
            <w:r>
              <w:rPr>
                <w:webHidden/>
                <w:rStyle w:val="IndexLink"/>
                <w:rtl w:val="true"/>
              </w:rPr>
              <w:t>پیشوایان معتزله</w:t>
            </w:r>
            <w:r>
              <w:rPr>
                <w:rStyle w:val="IndexLink"/>
                <w:rtl w:val="true"/>
              </w:rPr>
              <w:tab/>
            </w:r>
            <w:r>
              <w:rPr>
                <w:rStyle w:val="IndexLink"/>
              </w:rPr>
              <w:t>247</w:t>
            </w:r>
          </w:hyperlink>
        </w:p>
        <w:p>
          <w:pPr>
            <w:pStyle w:val="Contents4"/>
            <w:tabs>
              <w:tab w:val="clear" w:pos="8176"/>
              <w:tab w:val="right" w:pos="9026" w:leader="dot"/>
            </w:tabs>
            <w:rPr/>
          </w:pPr>
          <w:hyperlink w:anchor="__RefHeading___Toc1119944_1738255347">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119946_1738255347">
            <w:r>
              <w:rPr>
                <w:webHidden/>
                <w:rStyle w:val="IndexLink"/>
              </w:rPr>
              <w:t>1</w:t>
            </w:r>
            <w:r>
              <w:rPr>
                <w:rStyle w:val="IndexLink"/>
                <w:rtl w:val="true"/>
              </w:rPr>
              <w:t xml:space="preserve"> - </w:t>
            </w:r>
            <w:r>
              <w:rPr>
                <w:rStyle w:val="IndexLink"/>
                <w:rtl w:val="true"/>
              </w:rPr>
              <w:t xml:space="preserve">و اصل بن عطا </w:t>
            </w:r>
            <w:r>
              <w:rPr>
                <w:rStyle w:val="IndexLink"/>
                <w:rtl w:val="true"/>
              </w:rPr>
              <w:t>(</w:t>
            </w:r>
            <w:r>
              <w:rPr>
                <w:rStyle w:val="IndexLink"/>
              </w:rPr>
              <w:t>80</w:t>
            </w:r>
            <w:r>
              <w:rPr>
                <w:rStyle w:val="IndexLink"/>
                <w:rtl w:val="true"/>
              </w:rPr>
              <w:t>-</w:t>
            </w:r>
            <w:r>
              <w:rPr>
                <w:rStyle w:val="IndexLink"/>
              </w:rPr>
              <w:t>131</w:t>
            </w:r>
            <w:r>
              <w:rPr>
                <w:rStyle w:val="IndexLink"/>
                <w:rtl w:val="true"/>
              </w:rPr>
              <w:t>)</w:t>
              <w:tab/>
            </w:r>
            <w:r>
              <w:rPr>
                <w:rStyle w:val="IndexLink"/>
              </w:rPr>
              <w:t>247</w:t>
            </w:r>
          </w:hyperlink>
        </w:p>
        <w:p>
          <w:pPr>
            <w:pStyle w:val="Contents5"/>
            <w:tabs>
              <w:tab w:val="clear" w:pos="7892"/>
              <w:tab w:val="right" w:pos="9026" w:leader="dot"/>
            </w:tabs>
            <w:rPr/>
          </w:pPr>
          <w:hyperlink w:anchor="__RefHeading___Toc1119948_1738255347">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1119950_1738255347">
            <w:r>
              <w:rPr>
                <w:webHidden/>
                <w:rStyle w:val="IndexLink"/>
                <w:rtl w:val="true"/>
              </w:rPr>
              <w:t>سرگذشت شگفت‌آور واصل با خوارج</w:t>
            </w:r>
            <w:r>
              <w:rPr>
                <w:rStyle w:val="IndexLink"/>
                <w:rtl w:val="true"/>
              </w:rPr>
              <w:tab/>
            </w:r>
            <w:r>
              <w:rPr>
                <w:rStyle w:val="IndexLink"/>
              </w:rPr>
              <w:t>249</w:t>
            </w:r>
          </w:hyperlink>
        </w:p>
        <w:p>
          <w:pPr>
            <w:pStyle w:val="Contents5"/>
            <w:tabs>
              <w:tab w:val="clear" w:pos="7892"/>
              <w:tab w:val="right" w:pos="9026" w:leader="dot"/>
            </w:tabs>
            <w:rPr/>
          </w:pPr>
          <w:hyperlink w:anchor="__RefHeading___Toc1119952_1738255347">
            <w:r>
              <w:rPr>
                <w:webHidden/>
                <w:rStyle w:val="IndexLink"/>
                <w:rtl w:val="true"/>
              </w:rPr>
              <w:t>آثار علمی واصل</w:t>
            </w:r>
            <w:r>
              <w:rPr>
                <w:rStyle w:val="IndexLink"/>
                <w:rtl w:val="true"/>
              </w:rPr>
              <w:tab/>
            </w:r>
            <w:r>
              <w:rPr>
                <w:rStyle w:val="IndexLink"/>
              </w:rPr>
              <w:t>249</w:t>
            </w:r>
          </w:hyperlink>
        </w:p>
        <w:p>
          <w:pPr>
            <w:pStyle w:val="Contents4"/>
            <w:tabs>
              <w:tab w:val="clear" w:pos="8176"/>
              <w:tab w:val="right" w:pos="9026" w:leader="dot"/>
            </w:tabs>
            <w:rPr/>
          </w:pPr>
          <w:hyperlink w:anchor="__RefHeading___Toc1119954_1738255347">
            <w:r>
              <w:rPr>
                <w:webHidden/>
                <w:rStyle w:val="IndexLink"/>
              </w:rPr>
              <w:t>2</w:t>
            </w:r>
            <w:r>
              <w:rPr>
                <w:rStyle w:val="IndexLink"/>
                <w:rtl w:val="true"/>
              </w:rPr>
              <w:t xml:space="preserve"> - </w:t>
            </w:r>
            <w:r>
              <w:rPr>
                <w:rStyle w:val="IndexLink"/>
                <w:rtl w:val="true"/>
              </w:rPr>
              <w:t xml:space="preserve">عمرو بن عبید </w:t>
            </w:r>
            <w:r>
              <w:rPr>
                <w:rStyle w:val="IndexLink"/>
                <w:rtl w:val="true"/>
              </w:rPr>
              <w:t>(</w:t>
            </w:r>
            <w:r>
              <w:rPr>
                <w:rStyle w:val="IndexLink"/>
              </w:rPr>
              <w:t>80</w:t>
            </w:r>
            <w:r>
              <w:rPr>
                <w:rStyle w:val="IndexLink"/>
                <w:rtl w:val="true"/>
              </w:rPr>
              <w:t>-</w:t>
            </w:r>
            <w:r>
              <w:rPr>
                <w:rStyle w:val="IndexLink"/>
              </w:rPr>
              <w:t>143</w:t>
            </w:r>
            <w:r>
              <w:rPr>
                <w:rStyle w:val="IndexLink"/>
                <w:rtl w:val="true"/>
              </w:rPr>
              <w:t>)</w:t>
              <w:tab/>
            </w:r>
            <w:r>
              <w:rPr>
                <w:rStyle w:val="IndexLink"/>
              </w:rPr>
              <w:t>250</w:t>
            </w:r>
          </w:hyperlink>
        </w:p>
        <w:p>
          <w:pPr>
            <w:pStyle w:val="Contents5"/>
            <w:tabs>
              <w:tab w:val="clear" w:pos="7892"/>
              <w:tab w:val="right" w:pos="9026" w:leader="dot"/>
            </w:tabs>
            <w:rPr/>
          </w:pPr>
          <w:hyperlink w:anchor="__RefHeading___Toc1119956_1738255347">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1119958_1738255347">
            <w:r>
              <w:rPr>
                <w:webHidden/>
                <w:rStyle w:val="IndexLink"/>
                <w:rtl w:val="true"/>
              </w:rPr>
              <w:t>مناظره هشام با عمرو بن عبید</w:t>
            </w:r>
            <w:r>
              <w:rPr>
                <w:rStyle w:val="IndexLink"/>
                <w:rtl w:val="true"/>
              </w:rPr>
              <w:tab/>
            </w:r>
            <w:r>
              <w:rPr>
                <w:rStyle w:val="IndexLink"/>
              </w:rPr>
              <w:t>251</w:t>
            </w:r>
          </w:hyperlink>
        </w:p>
        <w:p>
          <w:pPr>
            <w:pStyle w:val="Contents5"/>
            <w:tabs>
              <w:tab w:val="clear" w:pos="7892"/>
              <w:tab w:val="right" w:pos="9026" w:leader="dot"/>
            </w:tabs>
            <w:rPr/>
          </w:pPr>
          <w:hyperlink w:anchor="__RefHeading___Toc1119960_1738255347">
            <w:r>
              <w:rPr>
                <w:webHidden/>
                <w:rStyle w:val="IndexLink"/>
                <w:rtl w:val="true"/>
              </w:rPr>
              <w:t>نمونه‌ای از دانش تفسیری و کلامی او</w:t>
            </w:r>
            <w:r>
              <w:rPr>
                <w:rStyle w:val="IndexLink"/>
                <w:rtl w:val="true"/>
              </w:rPr>
              <w:tab/>
            </w:r>
            <w:r>
              <w:rPr>
                <w:rStyle w:val="IndexLink"/>
              </w:rPr>
              <w:t>252</w:t>
            </w:r>
          </w:hyperlink>
        </w:p>
        <w:p>
          <w:pPr>
            <w:pStyle w:val="Contents5"/>
            <w:tabs>
              <w:tab w:val="clear" w:pos="7892"/>
              <w:tab w:val="right" w:pos="9026" w:leader="dot"/>
            </w:tabs>
            <w:rPr/>
          </w:pPr>
          <w:hyperlink w:anchor="__RefHeading___Toc1119962_1738255347">
            <w:r>
              <w:rPr>
                <w:webHidden/>
                <w:rStyle w:val="IndexLink"/>
                <w:rtl w:val="true"/>
              </w:rPr>
              <w:t>موضع سیاسی عمرو بن عبید</w:t>
            </w:r>
            <w:r>
              <w:rPr>
                <w:rStyle w:val="IndexLink"/>
                <w:rtl w:val="true"/>
              </w:rPr>
              <w:tab/>
            </w:r>
            <w:r>
              <w:rPr>
                <w:rStyle w:val="IndexLink"/>
              </w:rPr>
              <w:t>254</w:t>
            </w:r>
          </w:hyperlink>
        </w:p>
        <w:p>
          <w:pPr>
            <w:pStyle w:val="Contents4"/>
            <w:tabs>
              <w:tab w:val="clear" w:pos="8176"/>
              <w:tab w:val="right" w:pos="9026" w:leader="dot"/>
            </w:tabs>
            <w:rPr/>
          </w:pPr>
          <w:hyperlink w:anchor="__RefHeading___Toc1119964_1738255347">
            <w:r>
              <w:rPr>
                <w:webHidden/>
                <w:rStyle w:val="IndexLink"/>
              </w:rPr>
              <w:t>3</w:t>
            </w:r>
            <w:r>
              <w:rPr>
                <w:rStyle w:val="IndexLink"/>
                <w:rtl w:val="true"/>
              </w:rPr>
              <w:t xml:space="preserve"> - </w:t>
            </w:r>
            <w:r>
              <w:rPr>
                <w:rStyle w:val="IndexLink"/>
                <w:rtl w:val="true"/>
              </w:rPr>
              <w:t xml:space="preserve">ابو الهذیل العلاف </w:t>
            </w:r>
            <w:r>
              <w:rPr>
                <w:rStyle w:val="IndexLink"/>
                <w:rtl w:val="true"/>
              </w:rPr>
              <w:t>(</w:t>
            </w:r>
            <w:r>
              <w:rPr>
                <w:rStyle w:val="IndexLink"/>
              </w:rPr>
              <w:t>135</w:t>
            </w:r>
            <w:r>
              <w:rPr>
                <w:rStyle w:val="IndexLink"/>
                <w:rtl w:val="true"/>
              </w:rPr>
              <w:t>-</w:t>
            </w:r>
            <w:r>
              <w:rPr>
                <w:rStyle w:val="IndexLink"/>
              </w:rPr>
              <w:t>235</w:t>
            </w:r>
            <w:r>
              <w:rPr>
                <w:rStyle w:val="IndexLink"/>
                <w:rtl w:val="true"/>
              </w:rPr>
              <w:t>)</w:t>
              <w:tab/>
            </w:r>
            <w:r>
              <w:rPr>
                <w:rStyle w:val="IndexLink"/>
              </w:rPr>
              <w:t>255</w:t>
            </w:r>
          </w:hyperlink>
        </w:p>
        <w:p>
          <w:pPr>
            <w:pStyle w:val="Contents5"/>
            <w:tabs>
              <w:tab w:val="clear" w:pos="7892"/>
              <w:tab w:val="right" w:pos="9026" w:leader="dot"/>
            </w:tabs>
            <w:rPr/>
          </w:pPr>
          <w:hyperlink w:anchor="__RefHeading___Toc1119966_1738255347">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1119968_1738255347">
            <w:r>
              <w:rPr>
                <w:webHidden/>
                <w:rStyle w:val="IndexLink"/>
                <w:rtl w:val="true"/>
              </w:rPr>
              <w:t>مناظره ابی الهذیل با متکلم یهودی</w:t>
            </w:r>
            <w:r>
              <w:rPr>
                <w:rStyle w:val="IndexLink"/>
                <w:rtl w:val="true"/>
              </w:rPr>
              <w:tab/>
            </w:r>
            <w:r>
              <w:rPr>
                <w:rStyle w:val="IndexLink"/>
              </w:rPr>
              <w:t>256</w:t>
            </w:r>
          </w:hyperlink>
        </w:p>
        <w:p>
          <w:pPr>
            <w:pStyle w:val="Contents5"/>
            <w:tabs>
              <w:tab w:val="clear" w:pos="7892"/>
              <w:tab w:val="right" w:pos="9026" w:leader="dot"/>
            </w:tabs>
            <w:rPr/>
          </w:pPr>
          <w:hyperlink w:anchor="__RefHeading___Toc1119970_1738255347">
            <w:r>
              <w:rPr>
                <w:webHidden/>
                <w:rStyle w:val="IndexLink"/>
                <w:rtl w:val="true"/>
              </w:rPr>
              <w:t>نگارشها و آثار او</w:t>
            </w:r>
            <w:r>
              <w:rPr>
                <w:rStyle w:val="IndexLink"/>
                <w:rtl w:val="true"/>
              </w:rPr>
              <w:tab/>
            </w:r>
            <w:r>
              <w:rPr>
                <w:rStyle w:val="IndexLink"/>
              </w:rPr>
              <w:t>259</w:t>
            </w:r>
          </w:hyperlink>
        </w:p>
        <w:p>
          <w:pPr>
            <w:pStyle w:val="Contents5"/>
            <w:tabs>
              <w:tab w:val="clear" w:pos="7892"/>
              <w:tab w:val="right" w:pos="9026" w:leader="dot"/>
            </w:tabs>
            <w:rPr/>
          </w:pPr>
          <w:hyperlink w:anchor="__RefHeading___Toc1119972_1738255347">
            <w:r>
              <w:rPr>
                <w:webHidden/>
                <w:rStyle w:val="IndexLink"/>
                <w:rtl w:val="true"/>
              </w:rPr>
              <w:t>تهمتهای ناروا</w:t>
            </w:r>
            <w:r>
              <w:rPr>
                <w:rStyle w:val="IndexLink"/>
                <w:rtl w:val="true"/>
              </w:rPr>
              <w:tab/>
            </w:r>
            <w:r>
              <w:rPr>
                <w:rStyle w:val="IndexLink"/>
              </w:rPr>
              <w:t>260</w:t>
            </w:r>
          </w:hyperlink>
        </w:p>
        <w:p>
          <w:pPr>
            <w:pStyle w:val="Contents4"/>
            <w:tabs>
              <w:tab w:val="clear" w:pos="8176"/>
              <w:tab w:val="right" w:pos="9026" w:leader="dot"/>
            </w:tabs>
            <w:rPr/>
          </w:pPr>
          <w:hyperlink w:anchor="__RefHeading___Toc1119974_1738255347">
            <w:r>
              <w:rPr>
                <w:webHidden/>
                <w:rStyle w:val="IndexLink"/>
              </w:rPr>
              <w:t>4</w:t>
            </w:r>
            <w:r>
              <w:rPr>
                <w:rStyle w:val="IndexLink"/>
                <w:rtl w:val="true"/>
              </w:rPr>
              <w:t xml:space="preserve"> - </w:t>
            </w:r>
            <w:r>
              <w:rPr>
                <w:rStyle w:val="IndexLink"/>
                <w:rtl w:val="true"/>
              </w:rPr>
              <w:t xml:space="preserve">ابراهیم بن سیّار معروف به </w:t>
            </w:r>
            <w:r>
              <w:rPr>
                <w:rStyle w:val="IndexLink"/>
                <w:rtl w:val="true"/>
              </w:rPr>
              <w:t>«</w:t>
            </w:r>
            <w:r>
              <w:rPr>
                <w:rStyle w:val="IndexLink"/>
                <w:rtl w:val="true"/>
              </w:rPr>
              <w:t>نظام</w:t>
            </w:r>
            <w:r>
              <w:rPr>
                <w:rStyle w:val="IndexLink"/>
                <w:rtl w:val="true"/>
              </w:rPr>
              <w:t>» (</w:t>
            </w:r>
            <w:r>
              <w:rPr>
                <w:rStyle w:val="IndexLink"/>
              </w:rPr>
              <w:t>160</w:t>
            </w:r>
            <w:r>
              <w:rPr>
                <w:rStyle w:val="IndexLink"/>
                <w:rtl w:val="true"/>
              </w:rPr>
              <w:t>-</w:t>
            </w:r>
            <w:r>
              <w:rPr>
                <w:rStyle w:val="IndexLink"/>
              </w:rPr>
              <w:t>231</w:t>
            </w:r>
            <w:r>
              <w:rPr>
                <w:rStyle w:val="IndexLink"/>
                <w:rtl w:val="true"/>
              </w:rPr>
              <w:t xml:space="preserve"> </w:t>
            </w:r>
            <w:r>
              <w:rPr>
                <w:rStyle w:val="IndexLink"/>
                <w:rtl w:val="true"/>
              </w:rPr>
              <w:t>ه</w:t>
            </w:r>
            <w:r>
              <w:rPr>
                <w:rStyle w:val="IndexLink"/>
                <w:rtl w:val="true"/>
              </w:rPr>
              <w:t>)</w:t>
              <w:tab/>
            </w:r>
            <w:r>
              <w:rPr>
                <w:rStyle w:val="IndexLink"/>
              </w:rPr>
              <w:t>261</w:t>
            </w:r>
          </w:hyperlink>
        </w:p>
        <w:p>
          <w:pPr>
            <w:pStyle w:val="Contents5"/>
            <w:tabs>
              <w:tab w:val="clear" w:pos="7892"/>
              <w:tab w:val="right" w:pos="9026" w:leader="dot"/>
            </w:tabs>
            <w:rPr/>
          </w:pPr>
          <w:hyperlink w:anchor="__RefHeading___Toc1119976_1738255347">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1119978_1738255347">
            <w:r>
              <w:rPr>
                <w:webHidden/>
                <w:rStyle w:val="IndexLink"/>
                <w:rtl w:val="true"/>
              </w:rPr>
              <w:t>نظام در آزمون خلیل بن احمد</w:t>
            </w:r>
            <w:r>
              <w:rPr>
                <w:rStyle w:val="IndexLink"/>
                <w:rtl w:val="true"/>
              </w:rPr>
              <w:tab/>
            </w:r>
            <w:r>
              <w:rPr>
                <w:rStyle w:val="IndexLink"/>
              </w:rPr>
              <w:t>262</w:t>
            </w:r>
          </w:hyperlink>
        </w:p>
        <w:p>
          <w:pPr>
            <w:pStyle w:val="Contents5"/>
            <w:tabs>
              <w:tab w:val="clear" w:pos="7892"/>
              <w:tab w:val="right" w:pos="9026" w:leader="dot"/>
            </w:tabs>
            <w:rPr/>
          </w:pPr>
          <w:hyperlink w:anchor="__RefHeading___Toc1119980_1738255347">
            <w:r>
              <w:rPr>
                <w:webHidden/>
                <w:rStyle w:val="IndexLink"/>
                <w:rtl w:val="true"/>
              </w:rPr>
              <w:t xml:space="preserve">نظام و مذهب </w:t>
            </w:r>
            <w:r>
              <w:rPr>
                <w:rStyle w:val="IndexLink"/>
                <w:rtl w:val="true"/>
              </w:rPr>
              <w:t>«</w:t>
            </w:r>
            <w:r>
              <w:rPr>
                <w:rStyle w:val="IndexLink"/>
                <w:rtl w:val="true"/>
              </w:rPr>
              <w:t>صرفه</w:t>
            </w:r>
            <w:r>
              <w:rPr>
                <w:rStyle w:val="IndexLink"/>
                <w:rtl w:val="true"/>
              </w:rPr>
              <w:t>»</w:t>
              <w:tab/>
            </w:r>
            <w:r>
              <w:rPr>
                <w:rStyle w:val="IndexLink"/>
              </w:rPr>
              <w:t>265</w:t>
            </w:r>
          </w:hyperlink>
        </w:p>
        <w:p>
          <w:pPr>
            <w:pStyle w:val="Contents5"/>
            <w:tabs>
              <w:tab w:val="clear" w:pos="7892"/>
              <w:tab w:val="right" w:pos="9026" w:leader="dot"/>
            </w:tabs>
            <w:rPr/>
          </w:pPr>
          <w:hyperlink w:anchor="__RefHeading___Toc1119982_1738255347">
            <w:r>
              <w:rPr>
                <w:webHidden/>
                <w:rStyle w:val="IndexLink"/>
                <w:rtl w:val="true"/>
              </w:rPr>
              <w:t>آثار نظام</w:t>
            </w:r>
            <w:r>
              <w:rPr>
                <w:rStyle w:val="IndexLink"/>
                <w:rtl w:val="true"/>
              </w:rPr>
              <w:tab/>
            </w:r>
            <w:r>
              <w:rPr>
                <w:rStyle w:val="IndexLink"/>
              </w:rPr>
              <w:t>267</w:t>
            </w:r>
          </w:hyperlink>
        </w:p>
        <w:p>
          <w:pPr>
            <w:pStyle w:val="Contents4"/>
            <w:tabs>
              <w:tab w:val="clear" w:pos="8176"/>
              <w:tab w:val="right" w:pos="9026" w:leader="dot"/>
            </w:tabs>
            <w:rPr/>
          </w:pPr>
          <w:hyperlink w:anchor="__RefHeading___Toc1119984_1738255347">
            <w:r>
              <w:rPr>
                <w:webHidden/>
                <w:rStyle w:val="IndexLink"/>
              </w:rPr>
              <w:t>5</w:t>
            </w:r>
            <w:r>
              <w:rPr>
                <w:rStyle w:val="IndexLink"/>
                <w:rtl w:val="true"/>
              </w:rPr>
              <w:t xml:space="preserve"> - </w:t>
            </w:r>
            <w:r>
              <w:rPr>
                <w:rStyle w:val="IndexLink"/>
                <w:rtl w:val="true"/>
              </w:rPr>
              <w:t xml:space="preserve">ابو علی الجبائی </w:t>
            </w:r>
            <w:r>
              <w:rPr>
                <w:rStyle w:val="IndexLink"/>
                <w:rtl w:val="true"/>
              </w:rPr>
              <w:t>(</w:t>
            </w:r>
            <w:r>
              <w:rPr>
                <w:rStyle w:val="IndexLink"/>
              </w:rPr>
              <w:t>235</w:t>
            </w:r>
            <w:r>
              <w:rPr>
                <w:rStyle w:val="IndexLink"/>
                <w:rtl w:val="true"/>
              </w:rPr>
              <w:t>-</w:t>
            </w:r>
            <w:r>
              <w:rPr>
                <w:rStyle w:val="IndexLink"/>
              </w:rPr>
              <w:t>303</w:t>
            </w:r>
            <w:r>
              <w:rPr>
                <w:rStyle w:val="IndexLink"/>
                <w:rtl w:val="true"/>
              </w:rPr>
              <w:t xml:space="preserve"> </w:t>
            </w:r>
            <w:r>
              <w:rPr>
                <w:rStyle w:val="IndexLink"/>
                <w:rtl w:val="true"/>
              </w:rPr>
              <w:t>ه</w:t>
            </w:r>
            <w:r>
              <w:rPr>
                <w:rStyle w:val="IndexLink"/>
                <w:rtl w:val="true"/>
              </w:rPr>
              <w:t>)</w:t>
              <w:tab/>
            </w:r>
            <w:r>
              <w:rPr>
                <w:rStyle w:val="IndexLink"/>
              </w:rPr>
              <w:t>268</w:t>
            </w:r>
          </w:hyperlink>
        </w:p>
        <w:p>
          <w:pPr>
            <w:pStyle w:val="Contents4"/>
            <w:tabs>
              <w:tab w:val="clear" w:pos="8176"/>
              <w:tab w:val="right" w:pos="9026" w:leader="dot"/>
            </w:tabs>
            <w:rPr/>
          </w:pPr>
          <w:hyperlink w:anchor="__RefHeading___Toc1119986_1738255347">
            <w:r>
              <w:rPr>
                <w:webHidden/>
                <w:rStyle w:val="IndexLink"/>
              </w:rPr>
              <w:t>6</w:t>
            </w:r>
            <w:r>
              <w:rPr>
                <w:rStyle w:val="IndexLink"/>
                <w:rtl w:val="true"/>
              </w:rPr>
              <w:t xml:space="preserve"> - </w:t>
            </w:r>
            <w:r>
              <w:rPr>
                <w:rStyle w:val="IndexLink"/>
                <w:rtl w:val="true"/>
              </w:rPr>
              <w:t xml:space="preserve">ابو هاشم جبایی </w:t>
            </w:r>
            <w:r>
              <w:rPr>
                <w:rStyle w:val="IndexLink"/>
                <w:rtl w:val="true"/>
              </w:rPr>
              <w:t>(</w:t>
            </w:r>
            <w:r>
              <w:rPr>
                <w:rStyle w:val="IndexLink"/>
              </w:rPr>
              <w:t>277</w:t>
            </w:r>
            <w:r>
              <w:rPr>
                <w:rStyle w:val="IndexLink"/>
                <w:rtl w:val="true"/>
              </w:rPr>
              <w:t>-</w:t>
            </w:r>
            <w:r>
              <w:rPr>
                <w:rStyle w:val="IndexLink"/>
              </w:rPr>
              <w:t>321</w:t>
            </w:r>
            <w:r>
              <w:rPr>
                <w:rStyle w:val="IndexLink"/>
                <w:rtl w:val="true"/>
              </w:rPr>
              <w:t xml:space="preserve"> </w:t>
            </w:r>
            <w:r>
              <w:rPr>
                <w:rStyle w:val="IndexLink"/>
                <w:rtl w:val="true"/>
              </w:rPr>
              <w:t>ه</w:t>
            </w:r>
            <w:r>
              <w:rPr>
                <w:rStyle w:val="IndexLink"/>
                <w:rtl w:val="true"/>
              </w:rPr>
              <w:t>)</w:t>
              <w:tab/>
            </w:r>
            <w:r>
              <w:rPr>
                <w:rStyle w:val="IndexLink"/>
              </w:rPr>
              <w:t>270</w:t>
            </w:r>
          </w:hyperlink>
        </w:p>
        <w:p>
          <w:pPr>
            <w:pStyle w:val="Contents5"/>
            <w:tabs>
              <w:tab w:val="clear" w:pos="7892"/>
              <w:tab w:val="right" w:pos="9026" w:leader="dot"/>
            </w:tabs>
            <w:rPr/>
          </w:pPr>
          <w:hyperlink w:anchor="__RefHeading___Toc1119988_1738255347">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1119990_1738255347">
            <w:r>
              <w:rPr>
                <w:webHidden/>
                <w:rStyle w:val="IndexLink"/>
                <w:rtl w:val="true"/>
              </w:rPr>
              <w:t>آثار علمی ابو هاشم</w:t>
            </w:r>
            <w:r>
              <w:rPr>
                <w:rStyle w:val="IndexLink"/>
                <w:rtl w:val="true"/>
              </w:rPr>
              <w:tab/>
            </w:r>
            <w:r>
              <w:rPr>
                <w:rStyle w:val="IndexLink"/>
              </w:rPr>
              <w:t>271</w:t>
            </w:r>
          </w:hyperlink>
        </w:p>
        <w:p>
          <w:pPr>
            <w:pStyle w:val="Contents4"/>
            <w:tabs>
              <w:tab w:val="clear" w:pos="8176"/>
              <w:tab w:val="right" w:pos="9026" w:leader="dot"/>
            </w:tabs>
            <w:rPr/>
          </w:pPr>
          <w:hyperlink w:anchor="__RefHeading___Toc1119992_1738255347">
            <w:r>
              <w:rPr>
                <w:webHidden/>
                <w:rStyle w:val="IndexLink"/>
              </w:rPr>
              <w:t>7</w:t>
            </w:r>
            <w:r>
              <w:rPr>
                <w:rStyle w:val="IndexLink"/>
                <w:rtl w:val="true"/>
              </w:rPr>
              <w:t xml:space="preserve"> - </w:t>
            </w:r>
            <w:r>
              <w:rPr>
                <w:rStyle w:val="IndexLink"/>
                <w:rtl w:val="true"/>
              </w:rPr>
              <w:t xml:space="preserve">قاضی القضاة عبد الجبار بن احمد همدانی </w:t>
            </w:r>
            <w:r>
              <w:rPr>
                <w:rStyle w:val="IndexLink"/>
                <w:rtl w:val="true"/>
              </w:rPr>
              <w:t>(</w:t>
            </w:r>
            <w:r>
              <w:rPr>
                <w:rStyle w:val="IndexLink"/>
              </w:rPr>
              <w:t>324</w:t>
            </w:r>
            <w:r>
              <w:rPr>
                <w:rStyle w:val="IndexLink"/>
                <w:rtl w:val="true"/>
              </w:rPr>
              <w:t>-</w:t>
            </w:r>
            <w:r>
              <w:rPr>
                <w:rStyle w:val="IndexLink"/>
              </w:rPr>
              <w:t>415</w:t>
            </w:r>
            <w:r>
              <w:rPr>
                <w:rStyle w:val="IndexLink"/>
                <w:rtl w:val="true"/>
              </w:rPr>
              <w:t xml:space="preserve"> </w:t>
            </w:r>
            <w:r>
              <w:rPr>
                <w:rStyle w:val="IndexLink"/>
                <w:rtl w:val="true"/>
              </w:rPr>
              <w:t>ه</w:t>
            </w:r>
            <w:r>
              <w:rPr>
                <w:rStyle w:val="IndexLink"/>
                <w:rtl w:val="true"/>
              </w:rPr>
              <w:t>)</w:t>
              <w:tab/>
            </w:r>
            <w:r>
              <w:rPr>
                <w:rStyle w:val="IndexLink"/>
              </w:rPr>
              <w:t>272</w:t>
            </w:r>
          </w:hyperlink>
        </w:p>
        <w:p>
          <w:pPr>
            <w:pStyle w:val="Contents5"/>
            <w:tabs>
              <w:tab w:val="clear" w:pos="7892"/>
              <w:tab w:val="right" w:pos="9026" w:leader="dot"/>
            </w:tabs>
            <w:rPr/>
          </w:pPr>
          <w:hyperlink w:anchor="__RefHeading___Toc1119994_1738255347">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1119996_1738255347">
            <w:r>
              <w:rPr>
                <w:webHidden/>
                <w:rStyle w:val="IndexLink"/>
                <w:rtl w:val="true"/>
              </w:rPr>
              <w:t>آثار علمی قاضی</w:t>
            </w:r>
            <w:r>
              <w:rPr>
                <w:rStyle w:val="IndexLink"/>
                <w:rtl w:val="true"/>
              </w:rPr>
              <w:tab/>
            </w:r>
            <w:r>
              <w:rPr>
                <w:rStyle w:val="IndexLink"/>
              </w:rPr>
              <w:t>273</w:t>
            </w:r>
          </w:hyperlink>
        </w:p>
        <w:p>
          <w:pPr>
            <w:pStyle w:val="Contents3"/>
            <w:tabs>
              <w:tab w:val="clear" w:pos="8459"/>
              <w:tab w:val="right" w:pos="9026" w:leader="dot"/>
            </w:tabs>
            <w:rPr/>
          </w:pPr>
          <w:hyperlink w:anchor="__RefHeading___Toc1119998_1738255347">
            <w:r>
              <w:rPr>
                <w:webHidden/>
                <w:rStyle w:val="IndexLink"/>
                <w:rtl w:val="true"/>
              </w:rPr>
              <w:t>دانشمندان معتزله</w:t>
            </w:r>
            <w:r>
              <w:rPr>
                <w:rStyle w:val="IndexLink"/>
                <w:rtl w:val="true"/>
              </w:rPr>
              <w:tab/>
            </w:r>
            <w:r>
              <w:rPr>
                <w:rStyle w:val="IndexLink"/>
              </w:rPr>
              <w:t>276</w:t>
            </w:r>
          </w:hyperlink>
        </w:p>
        <w:p>
          <w:pPr>
            <w:pStyle w:val="Contents4"/>
            <w:tabs>
              <w:tab w:val="clear" w:pos="8176"/>
              <w:tab w:val="right" w:pos="9026" w:leader="dot"/>
            </w:tabs>
            <w:rPr/>
          </w:pPr>
          <w:hyperlink w:anchor="__RefHeading___Toc1120000_1738255347">
            <w:r>
              <w:rPr>
                <w:webHidden/>
                <w:rStyle w:val="IndexLink"/>
              </w:rPr>
              <w:t>1</w:t>
            </w:r>
            <w:r>
              <w:rPr>
                <w:rStyle w:val="IndexLink"/>
                <w:rtl w:val="true"/>
              </w:rPr>
              <w:t xml:space="preserve"> - </w:t>
            </w:r>
            <w:r>
              <w:rPr>
                <w:rStyle w:val="IndexLink"/>
                <w:rtl w:val="true"/>
              </w:rPr>
              <w:t xml:space="preserve">ابو سهل بشر بن معتمر </w:t>
            </w:r>
            <w:r>
              <w:rPr>
                <w:rStyle w:val="IndexLink"/>
                <w:rtl w:val="true"/>
              </w:rPr>
              <w:t>(</w:t>
            </w:r>
            <w:r>
              <w:rPr>
                <w:rStyle w:val="IndexLink"/>
                <w:rtl w:val="true"/>
              </w:rPr>
              <w:t>م</w:t>
            </w:r>
            <w:r>
              <w:rPr>
                <w:rStyle w:val="IndexLink"/>
                <w:rtl w:val="true"/>
              </w:rPr>
              <w:t xml:space="preserve">/ </w:t>
            </w:r>
            <w:r>
              <w:rPr>
                <w:rStyle w:val="IndexLink"/>
              </w:rPr>
              <w:t>210</w:t>
            </w:r>
            <w:r>
              <w:rPr>
                <w:rStyle w:val="IndexLink"/>
                <w:rtl w:val="true"/>
              </w:rPr>
              <w:t xml:space="preserve"> </w:t>
            </w:r>
            <w:r>
              <w:rPr>
                <w:rStyle w:val="IndexLink"/>
                <w:rtl w:val="true"/>
              </w:rPr>
              <w:t>ه</w:t>
            </w:r>
            <w:r>
              <w:rPr>
                <w:rStyle w:val="IndexLink"/>
                <w:rtl w:val="true"/>
              </w:rPr>
              <w:t>)</w:t>
              <w:tab/>
            </w:r>
            <w:r>
              <w:rPr>
                <w:rStyle w:val="IndexLink"/>
              </w:rPr>
              <w:t>276</w:t>
            </w:r>
          </w:hyperlink>
        </w:p>
        <w:p>
          <w:pPr>
            <w:pStyle w:val="Contents4"/>
            <w:tabs>
              <w:tab w:val="clear" w:pos="8176"/>
              <w:tab w:val="right" w:pos="9026" w:leader="dot"/>
            </w:tabs>
            <w:rPr/>
          </w:pPr>
          <w:hyperlink w:anchor="__RefHeading___Toc1120002_1738255347">
            <w:r>
              <w:rPr>
                <w:webHidden/>
                <w:rStyle w:val="IndexLink"/>
              </w:rPr>
              <w:t>2</w:t>
            </w:r>
            <w:r>
              <w:rPr>
                <w:rStyle w:val="IndexLink"/>
                <w:rtl w:val="true"/>
              </w:rPr>
              <w:t xml:space="preserve"> - </w:t>
            </w:r>
            <w:r>
              <w:rPr>
                <w:rStyle w:val="IndexLink"/>
                <w:rtl w:val="true"/>
              </w:rPr>
              <w:t xml:space="preserve">معمر بن عباد سلمی </w:t>
            </w:r>
            <w:r>
              <w:rPr>
                <w:rStyle w:val="IndexLink"/>
                <w:rtl w:val="true"/>
              </w:rPr>
              <w:t>(</w:t>
            </w:r>
            <w:r>
              <w:rPr>
                <w:rStyle w:val="IndexLink"/>
                <w:rtl w:val="true"/>
              </w:rPr>
              <w:t>م</w:t>
            </w:r>
            <w:r>
              <w:rPr>
                <w:rStyle w:val="IndexLink"/>
                <w:rtl w:val="true"/>
              </w:rPr>
              <w:t xml:space="preserve">/ </w:t>
            </w:r>
            <w:r>
              <w:rPr>
                <w:rStyle w:val="IndexLink"/>
              </w:rPr>
              <w:t>215</w:t>
            </w:r>
            <w:r>
              <w:rPr>
                <w:rStyle w:val="IndexLink"/>
                <w:rtl w:val="true"/>
              </w:rPr>
              <w:t xml:space="preserve"> </w:t>
            </w:r>
            <w:r>
              <w:rPr>
                <w:rStyle w:val="IndexLink"/>
                <w:rtl w:val="true"/>
              </w:rPr>
              <w:t>ه</w:t>
            </w:r>
            <w:r>
              <w:rPr>
                <w:rStyle w:val="IndexLink"/>
                <w:rtl w:val="true"/>
              </w:rPr>
              <w:t>)</w:t>
              <w:tab/>
            </w:r>
            <w:r>
              <w:rPr>
                <w:rStyle w:val="IndexLink"/>
              </w:rPr>
              <w:t>276</w:t>
            </w:r>
          </w:hyperlink>
        </w:p>
        <w:p>
          <w:pPr>
            <w:pStyle w:val="Contents4"/>
            <w:tabs>
              <w:tab w:val="clear" w:pos="8176"/>
              <w:tab w:val="right" w:pos="9026" w:leader="dot"/>
            </w:tabs>
            <w:rPr/>
          </w:pPr>
          <w:hyperlink w:anchor="__RefHeading___Toc1120004_1738255347">
            <w:r>
              <w:rPr>
                <w:webHidden/>
                <w:rStyle w:val="IndexLink"/>
              </w:rPr>
              <w:t>3</w:t>
            </w:r>
            <w:r>
              <w:rPr>
                <w:rStyle w:val="IndexLink"/>
                <w:rtl w:val="true"/>
              </w:rPr>
              <w:t xml:space="preserve"> - </w:t>
            </w:r>
            <w:r>
              <w:rPr>
                <w:rStyle w:val="IndexLink"/>
                <w:rtl w:val="true"/>
              </w:rPr>
              <w:t xml:space="preserve">ثمامة بن اشرس ابو معن نمیری </w:t>
            </w:r>
            <w:r>
              <w:rPr>
                <w:rStyle w:val="IndexLink"/>
                <w:rtl w:val="true"/>
              </w:rPr>
              <w:t>(</w:t>
            </w:r>
            <w:r>
              <w:rPr>
                <w:rStyle w:val="IndexLink"/>
                <w:rtl w:val="true"/>
              </w:rPr>
              <w:t>م</w:t>
            </w:r>
            <w:r>
              <w:rPr>
                <w:rStyle w:val="IndexLink"/>
                <w:rtl w:val="true"/>
              </w:rPr>
              <w:t xml:space="preserve">/ </w:t>
            </w:r>
            <w:r>
              <w:rPr>
                <w:rStyle w:val="IndexLink"/>
              </w:rPr>
              <w:t>213</w:t>
            </w:r>
            <w:r>
              <w:rPr>
                <w:rStyle w:val="IndexLink"/>
                <w:rtl w:val="true"/>
              </w:rPr>
              <w:t xml:space="preserve"> </w:t>
            </w:r>
            <w:r>
              <w:rPr>
                <w:rStyle w:val="IndexLink"/>
                <w:rtl w:val="true"/>
              </w:rPr>
              <w:t>ه</w:t>
            </w:r>
            <w:r>
              <w:rPr>
                <w:rStyle w:val="IndexLink"/>
                <w:rtl w:val="true"/>
              </w:rPr>
              <w:t>)</w:t>
              <w:tab/>
            </w:r>
            <w:r>
              <w:rPr>
                <w:rStyle w:val="IndexLink"/>
              </w:rPr>
              <w:t>279</w:t>
            </w:r>
          </w:hyperlink>
        </w:p>
        <w:p>
          <w:pPr>
            <w:pStyle w:val="Contents4"/>
            <w:tabs>
              <w:tab w:val="clear" w:pos="8176"/>
              <w:tab w:val="right" w:pos="9026" w:leader="dot"/>
            </w:tabs>
            <w:rPr/>
          </w:pPr>
          <w:hyperlink w:anchor="__RefHeading___Toc1120006_1738255347">
            <w:r>
              <w:rPr>
                <w:webHidden/>
                <w:rStyle w:val="IndexLink"/>
              </w:rPr>
              <w:t>4</w:t>
            </w:r>
            <w:r>
              <w:rPr>
                <w:rStyle w:val="IndexLink"/>
                <w:rtl w:val="true"/>
              </w:rPr>
              <w:t xml:space="preserve"> - </w:t>
            </w:r>
            <w:r>
              <w:rPr>
                <w:rStyle w:val="IndexLink"/>
                <w:rtl w:val="true"/>
              </w:rPr>
              <w:t xml:space="preserve">ابو بکر عبد الرحمن بن کیسان الأصم </w:t>
            </w:r>
            <w:r>
              <w:rPr>
                <w:rStyle w:val="IndexLink"/>
                <w:rtl w:val="true"/>
              </w:rPr>
              <w:t>(</w:t>
            </w:r>
            <w:r>
              <w:rPr>
                <w:rStyle w:val="IndexLink"/>
                <w:rtl w:val="true"/>
              </w:rPr>
              <w:t>م</w:t>
            </w:r>
            <w:r>
              <w:rPr>
                <w:rStyle w:val="IndexLink"/>
                <w:rtl w:val="true"/>
              </w:rPr>
              <w:t xml:space="preserve">/ </w:t>
            </w:r>
            <w:r>
              <w:rPr>
                <w:rStyle w:val="IndexLink"/>
              </w:rPr>
              <w:t>225</w:t>
            </w:r>
            <w:r>
              <w:rPr>
                <w:rStyle w:val="IndexLink"/>
                <w:rtl w:val="true"/>
              </w:rPr>
              <w:t xml:space="preserve"> </w:t>
            </w:r>
            <w:r>
              <w:rPr>
                <w:rStyle w:val="IndexLink"/>
                <w:rtl w:val="true"/>
              </w:rPr>
              <w:t>ه</w:t>
            </w:r>
            <w:r>
              <w:rPr>
                <w:rStyle w:val="IndexLink"/>
                <w:rtl w:val="true"/>
              </w:rPr>
              <w:t>)</w:t>
              <w:tab/>
            </w:r>
            <w:r>
              <w:rPr>
                <w:rStyle w:val="IndexLink"/>
              </w:rPr>
              <w:t>281</w:t>
            </w:r>
          </w:hyperlink>
        </w:p>
        <w:p>
          <w:pPr>
            <w:pStyle w:val="Contents4"/>
            <w:tabs>
              <w:tab w:val="clear" w:pos="8176"/>
              <w:tab w:val="right" w:pos="9026" w:leader="dot"/>
            </w:tabs>
            <w:rPr/>
          </w:pPr>
          <w:hyperlink w:anchor="__RefHeading___Toc1120008_1738255347">
            <w:r>
              <w:rPr>
                <w:webHidden/>
                <w:rStyle w:val="IndexLink"/>
              </w:rPr>
              <w:t>5</w:t>
            </w:r>
            <w:r>
              <w:rPr>
                <w:rStyle w:val="IndexLink"/>
                <w:rtl w:val="true"/>
              </w:rPr>
              <w:t xml:space="preserve"> - </w:t>
            </w:r>
            <w:r>
              <w:rPr>
                <w:rStyle w:val="IndexLink"/>
                <w:rtl w:val="true"/>
              </w:rPr>
              <w:t xml:space="preserve">ابو موسی عیسی بن صبیح المزدار </w:t>
            </w:r>
            <w:r>
              <w:rPr>
                <w:rStyle w:val="IndexLink"/>
                <w:rtl w:val="true"/>
              </w:rPr>
              <w:t>(</w:t>
            </w:r>
            <w:r>
              <w:rPr>
                <w:rStyle w:val="IndexLink"/>
                <w:rtl w:val="true"/>
              </w:rPr>
              <w:t>م</w:t>
            </w:r>
            <w:r>
              <w:rPr>
                <w:rStyle w:val="IndexLink"/>
                <w:rtl w:val="true"/>
              </w:rPr>
              <w:t xml:space="preserve">/ </w:t>
            </w:r>
            <w:r>
              <w:rPr>
                <w:rStyle w:val="IndexLink"/>
              </w:rPr>
              <w:t>226</w:t>
            </w:r>
            <w:r>
              <w:rPr>
                <w:rStyle w:val="IndexLink"/>
                <w:rtl w:val="true"/>
              </w:rPr>
              <w:t xml:space="preserve"> </w:t>
            </w:r>
            <w:r>
              <w:rPr>
                <w:rStyle w:val="IndexLink"/>
                <w:rtl w:val="true"/>
              </w:rPr>
              <w:t>ه</w:t>
            </w:r>
            <w:r>
              <w:rPr>
                <w:rStyle w:val="IndexLink"/>
                <w:rtl w:val="true"/>
              </w:rPr>
              <w:t>)</w:t>
              <w:tab/>
            </w:r>
            <w:r>
              <w:rPr>
                <w:rStyle w:val="IndexLink"/>
              </w:rPr>
              <w:t>281</w:t>
            </w:r>
          </w:hyperlink>
        </w:p>
        <w:p>
          <w:pPr>
            <w:pStyle w:val="Contents4"/>
            <w:tabs>
              <w:tab w:val="clear" w:pos="8176"/>
              <w:tab w:val="right" w:pos="9026" w:leader="dot"/>
            </w:tabs>
            <w:rPr/>
          </w:pPr>
          <w:hyperlink w:anchor="__RefHeading___Toc1120010_1738255347">
            <w:r>
              <w:rPr>
                <w:webHidden/>
                <w:rStyle w:val="IndexLink"/>
              </w:rPr>
              <w:t>6</w:t>
            </w:r>
            <w:r>
              <w:rPr>
                <w:rStyle w:val="IndexLink"/>
                <w:rtl w:val="true"/>
              </w:rPr>
              <w:t xml:space="preserve"> - </w:t>
            </w:r>
            <w:r>
              <w:rPr>
                <w:rStyle w:val="IndexLink"/>
                <w:rtl w:val="true"/>
              </w:rPr>
              <w:t xml:space="preserve">أبو جعفر محمد بن عبد الله اسکافی </w:t>
            </w:r>
            <w:r>
              <w:rPr>
                <w:rStyle w:val="IndexLink"/>
                <w:rtl w:val="true"/>
              </w:rPr>
              <w:t>(</w:t>
            </w:r>
            <w:r>
              <w:rPr>
                <w:rStyle w:val="IndexLink"/>
                <w:rtl w:val="true"/>
              </w:rPr>
              <w:t>م</w:t>
            </w:r>
            <w:r>
              <w:rPr>
                <w:rStyle w:val="IndexLink"/>
                <w:rtl w:val="true"/>
              </w:rPr>
              <w:t xml:space="preserve">/ </w:t>
            </w:r>
            <w:r>
              <w:rPr>
                <w:rStyle w:val="IndexLink"/>
              </w:rPr>
              <w:t>240</w:t>
            </w:r>
            <w:r>
              <w:rPr>
                <w:rStyle w:val="IndexLink"/>
                <w:rtl w:val="true"/>
              </w:rPr>
              <w:t xml:space="preserve"> </w:t>
            </w:r>
            <w:r>
              <w:rPr>
                <w:rStyle w:val="IndexLink"/>
                <w:rtl w:val="true"/>
              </w:rPr>
              <w:t>ه</w:t>
            </w:r>
            <w:r>
              <w:rPr>
                <w:rStyle w:val="IndexLink"/>
                <w:rtl w:val="true"/>
              </w:rPr>
              <w:t>)</w:t>
              <w:tab/>
            </w:r>
            <w:r>
              <w:rPr>
                <w:rStyle w:val="IndexLink"/>
              </w:rPr>
              <w:t>282</w:t>
            </w:r>
          </w:hyperlink>
        </w:p>
        <w:p>
          <w:pPr>
            <w:pStyle w:val="Contents4"/>
            <w:tabs>
              <w:tab w:val="clear" w:pos="8176"/>
              <w:tab w:val="right" w:pos="9026" w:leader="dot"/>
            </w:tabs>
            <w:rPr/>
          </w:pPr>
          <w:hyperlink w:anchor="__RefHeading___Toc1120012_1738255347">
            <w:r>
              <w:rPr>
                <w:webHidden/>
                <w:rStyle w:val="IndexLink"/>
              </w:rPr>
              <w:t>7</w:t>
            </w:r>
            <w:r>
              <w:rPr>
                <w:rStyle w:val="IndexLink"/>
                <w:rtl w:val="true"/>
              </w:rPr>
              <w:t xml:space="preserve"> - </w:t>
            </w:r>
            <w:r>
              <w:rPr>
                <w:rStyle w:val="IndexLink"/>
                <w:rtl w:val="true"/>
              </w:rPr>
              <w:t xml:space="preserve">احمد بن أبی دوأد </w:t>
            </w:r>
            <w:r>
              <w:rPr>
                <w:rStyle w:val="IndexLink"/>
                <w:rtl w:val="true"/>
              </w:rPr>
              <w:t>(</w:t>
            </w:r>
            <w:r>
              <w:rPr>
                <w:rStyle w:val="IndexLink"/>
              </w:rPr>
              <w:t>160</w:t>
            </w:r>
            <w:r>
              <w:rPr>
                <w:rStyle w:val="IndexLink"/>
                <w:rtl w:val="true"/>
              </w:rPr>
              <w:t>-</w:t>
            </w:r>
            <w:r>
              <w:rPr>
                <w:rStyle w:val="IndexLink"/>
              </w:rPr>
              <w:t>230</w:t>
            </w:r>
            <w:r>
              <w:rPr>
                <w:rStyle w:val="IndexLink"/>
                <w:rtl w:val="true"/>
              </w:rPr>
              <w:t xml:space="preserve"> </w:t>
            </w:r>
            <w:r>
              <w:rPr>
                <w:rStyle w:val="IndexLink"/>
                <w:rtl w:val="true"/>
              </w:rPr>
              <w:t>ه</w:t>
            </w:r>
            <w:r>
              <w:rPr>
                <w:rStyle w:val="IndexLink"/>
                <w:rtl w:val="true"/>
              </w:rPr>
              <w:t>)</w:t>
              <w:tab/>
            </w:r>
            <w:r>
              <w:rPr>
                <w:rStyle w:val="IndexLink"/>
              </w:rPr>
              <w:t>283</w:t>
            </w:r>
          </w:hyperlink>
        </w:p>
        <w:p>
          <w:pPr>
            <w:pStyle w:val="Contents4"/>
            <w:tabs>
              <w:tab w:val="clear" w:pos="8176"/>
              <w:tab w:val="right" w:pos="9026" w:leader="dot"/>
            </w:tabs>
            <w:rPr/>
          </w:pPr>
          <w:hyperlink w:anchor="__RefHeading___Toc1120014_1738255347">
            <w:r>
              <w:rPr>
                <w:webHidden/>
                <w:rStyle w:val="IndexLink"/>
              </w:rPr>
              <w:t>8</w:t>
            </w:r>
            <w:r>
              <w:rPr>
                <w:rStyle w:val="IndexLink"/>
                <w:rtl w:val="true"/>
              </w:rPr>
              <w:t xml:space="preserve"> - </w:t>
            </w:r>
            <w:r>
              <w:rPr>
                <w:rStyle w:val="IndexLink"/>
                <w:rtl w:val="true"/>
              </w:rPr>
              <w:t xml:space="preserve">ابو عثمان عمرو بن بحر جاحظ </w:t>
            </w:r>
            <w:r>
              <w:rPr>
                <w:rStyle w:val="IndexLink"/>
                <w:rtl w:val="true"/>
              </w:rPr>
              <w:t>(</w:t>
            </w:r>
            <w:r>
              <w:rPr>
                <w:rStyle w:val="IndexLink"/>
                <w:rtl w:val="true"/>
              </w:rPr>
              <w:t>م</w:t>
            </w:r>
            <w:r>
              <w:rPr>
                <w:rStyle w:val="IndexLink"/>
                <w:rtl w:val="true"/>
              </w:rPr>
              <w:t xml:space="preserve">/ </w:t>
            </w:r>
            <w:r>
              <w:rPr>
                <w:rStyle w:val="IndexLink"/>
              </w:rPr>
              <w:t>255</w:t>
            </w:r>
            <w:r>
              <w:rPr>
                <w:rStyle w:val="IndexLink"/>
                <w:rtl w:val="true"/>
              </w:rPr>
              <w:t xml:space="preserve"> </w:t>
            </w:r>
            <w:r>
              <w:rPr>
                <w:rStyle w:val="IndexLink"/>
                <w:rtl w:val="true"/>
              </w:rPr>
              <w:t>ه</w:t>
            </w:r>
            <w:r>
              <w:rPr>
                <w:rStyle w:val="IndexLink"/>
                <w:rtl w:val="true"/>
              </w:rPr>
              <w:t>)</w:t>
              <w:tab/>
            </w:r>
            <w:r>
              <w:rPr>
                <w:rStyle w:val="IndexLink"/>
              </w:rPr>
              <w:t>284</w:t>
            </w:r>
          </w:hyperlink>
        </w:p>
        <w:p>
          <w:pPr>
            <w:pStyle w:val="Contents4"/>
            <w:tabs>
              <w:tab w:val="clear" w:pos="8176"/>
              <w:tab w:val="right" w:pos="9026" w:leader="dot"/>
            </w:tabs>
            <w:rPr/>
          </w:pPr>
          <w:hyperlink w:anchor="__RefHeading___Toc1120016_1738255347">
            <w:r>
              <w:rPr>
                <w:webHidden/>
                <w:rStyle w:val="IndexLink"/>
              </w:rPr>
              <w:t>9</w:t>
            </w:r>
            <w:r>
              <w:rPr>
                <w:rStyle w:val="IndexLink"/>
                <w:rtl w:val="true"/>
              </w:rPr>
              <w:t xml:space="preserve"> - </w:t>
            </w:r>
            <w:r>
              <w:rPr>
                <w:rStyle w:val="IndexLink"/>
                <w:rtl w:val="true"/>
              </w:rPr>
              <w:t xml:space="preserve">ابو الحسین خیاط </w:t>
            </w:r>
            <w:r>
              <w:rPr>
                <w:rStyle w:val="IndexLink"/>
                <w:rtl w:val="true"/>
              </w:rPr>
              <w:t>(</w:t>
            </w:r>
            <w:r>
              <w:rPr>
                <w:rStyle w:val="IndexLink"/>
                <w:rtl w:val="true"/>
              </w:rPr>
              <w:t xml:space="preserve">م </w:t>
            </w:r>
            <w:r>
              <w:rPr>
                <w:rStyle w:val="IndexLink"/>
              </w:rPr>
              <w:t>311</w:t>
            </w:r>
            <w:r>
              <w:rPr>
                <w:rStyle w:val="IndexLink"/>
                <w:rtl w:val="true"/>
              </w:rPr>
              <w:t xml:space="preserve"> </w:t>
            </w:r>
            <w:r>
              <w:rPr>
                <w:rStyle w:val="IndexLink"/>
                <w:rtl w:val="true"/>
              </w:rPr>
              <w:t>ه</w:t>
            </w:r>
            <w:r>
              <w:rPr>
                <w:rStyle w:val="IndexLink"/>
                <w:rtl w:val="true"/>
              </w:rPr>
              <w:t>)</w:t>
              <w:tab/>
            </w:r>
            <w:r>
              <w:rPr>
                <w:rStyle w:val="IndexLink"/>
              </w:rPr>
              <w:t>286</w:t>
            </w:r>
          </w:hyperlink>
        </w:p>
        <w:p>
          <w:pPr>
            <w:pStyle w:val="Contents4"/>
            <w:tabs>
              <w:tab w:val="clear" w:pos="8176"/>
              <w:tab w:val="right" w:pos="9026" w:leader="dot"/>
            </w:tabs>
            <w:rPr/>
          </w:pPr>
          <w:hyperlink w:anchor="__RefHeading___Toc1120018_1738255347">
            <w:r>
              <w:rPr>
                <w:webHidden/>
                <w:rStyle w:val="IndexLink"/>
              </w:rPr>
              <w:t>10</w:t>
            </w:r>
            <w:r>
              <w:rPr>
                <w:rStyle w:val="IndexLink"/>
                <w:rtl w:val="true"/>
              </w:rPr>
              <w:t xml:space="preserve"> - </w:t>
            </w:r>
            <w:r>
              <w:rPr>
                <w:rStyle w:val="IndexLink"/>
                <w:rtl w:val="true"/>
              </w:rPr>
              <w:t xml:space="preserve">ابو القاسم بلخی کعبی </w:t>
            </w:r>
            <w:r>
              <w:rPr>
                <w:rStyle w:val="IndexLink"/>
                <w:rtl w:val="true"/>
              </w:rPr>
              <w:t>(</w:t>
            </w:r>
            <w:r>
              <w:rPr>
                <w:rStyle w:val="IndexLink"/>
              </w:rPr>
              <w:t>273</w:t>
            </w:r>
            <w:r>
              <w:rPr>
                <w:rStyle w:val="IndexLink"/>
                <w:rtl w:val="true"/>
              </w:rPr>
              <w:t>-</w:t>
            </w:r>
            <w:r>
              <w:rPr>
                <w:rStyle w:val="IndexLink"/>
              </w:rPr>
              <w:t>317</w:t>
            </w:r>
            <w:r>
              <w:rPr>
                <w:rStyle w:val="IndexLink"/>
                <w:rtl w:val="true"/>
              </w:rPr>
              <w:t xml:space="preserve"> </w:t>
            </w:r>
            <w:r>
              <w:rPr>
                <w:rStyle w:val="IndexLink"/>
                <w:rtl w:val="true"/>
              </w:rPr>
              <w:t xml:space="preserve">یا </w:t>
            </w:r>
            <w:r>
              <w:rPr>
                <w:rStyle w:val="IndexLink"/>
              </w:rPr>
              <w:t>219</w:t>
            </w:r>
            <w:r>
              <w:rPr>
                <w:rStyle w:val="IndexLink"/>
                <w:rtl w:val="true"/>
              </w:rPr>
              <w:t xml:space="preserve"> </w:t>
            </w:r>
            <w:r>
              <w:rPr>
                <w:rStyle w:val="IndexLink"/>
                <w:rtl w:val="true"/>
              </w:rPr>
              <w:t>ه</w:t>
            </w:r>
            <w:r>
              <w:rPr>
                <w:rStyle w:val="IndexLink"/>
                <w:rtl w:val="true"/>
              </w:rPr>
              <w:t>)</w:t>
              <w:tab/>
            </w:r>
            <w:r>
              <w:rPr>
                <w:rStyle w:val="IndexLink"/>
              </w:rPr>
              <w:t>288</w:t>
            </w:r>
          </w:hyperlink>
        </w:p>
        <w:p>
          <w:pPr>
            <w:pStyle w:val="Contents4"/>
            <w:tabs>
              <w:tab w:val="clear" w:pos="8176"/>
              <w:tab w:val="right" w:pos="9026" w:leader="dot"/>
            </w:tabs>
            <w:rPr/>
          </w:pPr>
          <w:hyperlink w:anchor="__RefHeading___Toc1120020_1738255347">
            <w:r>
              <w:rPr>
                <w:webHidden/>
                <w:rStyle w:val="IndexLink"/>
                <w:rtl w:val="true"/>
              </w:rPr>
              <w:t>طبقات معتزله</w:t>
            </w:r>
            <w:r>
              <w:rPr>
                <w:rStyle w:val="IndexLink"/>
                <w:rtl w:val="true"/>
              </w:rPr>
              <w:tab/>
            </w:r>
            <w:r>
              <w:rPr>
                <w:rStyle w:val="IndexLink"/>
              </w:rPr>
              <w:t>290</w:t>
            </w:r>
          </w:hyperlink>
        </w:p>
        <w:p>
          <w:pPr>
            <w:pStyle w:val="Contents4"/>
            <w:tabs>
              <w:tab w:val="clear" w:pos="8176"/>
              <w:tab w:val="right" w:pos="9026" w:leader="dot"/>
            </w:tabs>
            <w:rPr/>
          </w:pPr>
          <w:hyperlink w:anchor="__RefHeading___Toc1120022_1738255347">
            <w:r>
              <w:rPr>
                <w:webHidden/>
                <w:rStyle w:val="IndexLink"/>
                <w:rtl w:val="true"/>
              </w:rPr>
              <w:t>مشایخ اعتزال بصره</w:t>
            </w:r>
            <w:r>
              <w:rPr>
                <w:rStyle w:val="IndexLink"/>
                <w:rtl w:val="true"/>
              </w:rPr>
              <w:tab/>
            </w:r>
            <w:r>
              <w:rPr>
                <w:rStyle w:val="IndexLink"/>
              </w:rPr>
              <w:t>291</w:t>
            </w:r>
          </w:hyperlink>
        </w:p>
        <w:p>
          <w:pPr>
            <w:pStyle w:val="Contents4"/>
            <w:tabs>
              <w:tab w:val="clear" w:pos="8176"/>
              <w:tab w:val="right" w:pos="9026" w:leader="dot"/>
            </w:tabs>
            <w:rPr/>
          </w:pPr>
          <w:hyperlink w:anchor="__RefHeading___Toc1120024_1738255347">
            <w:r>
              <w:rPr>
                <w:webHidden/>
                <w:rStyle w:val="IndexLink"/>
                <w:rtl w:val="true"/>
              </w:rPr>
              <w:t>مشایخ اعتزال بغداد</w:t>
            </w:r>
            <w:r>
              <w:rPr>
                <w:rStyle w:val="IndexLink"/>
                <w:rtl w:val="true"/>
              </w:rPr>
              <w:tab/>
            </w:r>
            <w:r>
              <w:rPr>
                <w:rStyle w:val="IndexLink"/>
              </w:rPr>
              <w:t>292</w:t>
            </w:r>
          </w:hyperlink>
        </w:p>
        <w:p>
          <w:pPr>
            <w:pStyle w:val="Contents4"/>
            <w:tabs>
              <w:tab w:val="clear" w:pos="8176"/>
              <w:tab w:val="right" w:pos="9026" w:leader="dot"/>
            </w:tabs>
            <w:rPr/>
          </w:pPr>
          <w:hyperlink w:anchor="__RefHeading___Toc1120026_1738255347">
            <w:r>
              <w:rPr>
                <w:webHidden/>
                <w:rStyle w:val="IndexLink"/>
                <w:rtl w:val="true"/>
              </w:rPr>
              <w:t>آثار به جای مانده از معتزله</w:t>
            </w:r>
            <w:r>
              <w:rPr>
                <w:rStyle w:val="IndexLink"/>
                <w:rtl w:val="true"/>
              </w:rPr>
              <w:tab/>
            </w:r>
            <w:r>
              <w:rPr>
                <w:rStyle w:val="IndexLink"/>
              </w:rPr>
              <w:t>293</w:t>
            </w:r>
          </w:hyperlink>
        </w:p>
        <w:p>
          <w:pPr>
            <w:pStyle w:val="Contents2"/>
            <w:tabs>
              <w:tab w:val="clear" w:pos="8743"/>
              <w:tab w:val="right" w:pos="9026" w:leader="dot"/>
            </w:tabs>
            <w:rPr/>
          </w:pPr>
          <w:hyperlink w:anchor="__RefHeading___Toc1120028_1738255347">
            <w:r>
              <w:rPr>
                <w:webHidden/>
                <w:rStyle w:val="IndexLink"/>
                <w:rtl w:val="true"/>
              </w:rPr>
              <w:t>فهرست</w:t>
            </w:r>
            <w:r>
              <w:rPr>
                <w:rStyle w:val="IndexLink"/>
                <w:rtl w:val="true"/>
              </w:rPr>
              <w:tab/>
            </w:r>
            <w:r>
              <w:rPr>
                <w:rStyle w:val="IndexLink"/>
              </w:rPr>
              <w:t>297</w:t>
            </w:r>
          </w:hyperlink>
        </w:p>
        <w:p>
          <w:pPr>
            <w:pStyle w:val="Contents3"/>
            <w:tabs>
              <w:tab w:val="clear" w:pos="8459"/>
              <w:tab w:val="right" w:pos="9026" w:leader="dot"/>
            </w:tabs>
            <w:rPr/>
          </w:pPr>
          <w:hyperlink w:anchor="__RefHeading___Toc1120030_1738255347">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1120032_1738255347">
            <w:r>
              <w:rPr>
                <w:webHidden/>
                <w:rStyle w:val="IndexLink"/>
                <w:rtl w:val="true"/>
              </w:rPr>
              <w:t>فهرست مصادر و مآخذ</w:t>
            </w:r>
            <w:r>
              <w:rPr>
                <w:rStyle w:val="IndexLink"/>
                <w:rtl w:val="true"/>
              </w:rPr>
              <w:tab/>
            </w:r>
            <w:r>
              <w:rPr>
                <w:rStyle w:val="IndexLink"/>
              </w:rPr>
              <w:t>298</w:t>
            </w:r>
          </w:hyperlink>
        </w:p>
        <w:p>
          <w:pPr>
            <w:pStyle w:val="Contents4"/>
            <w:tabs>
              <w:tab w:val="clear" w:pos="8176"/>
              <w:tab w:val="right" w:pos="9026" w:leader="dot"/>
            </w:tabs>
            <w:rPr/>
          </w:pPr>
          <w:hyperlink w:anchor="__RefHeading___Toc1120034_1738255347">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1120036_1738255347">
            <w:r>
              <w:rPr>
                <w:webHidden/>
                <w:rStyle w:val="IndexLink"/>
                <w:rtl w:val="true"/>
              </w:rPr>
              <w:t>الف</w:t>
            </w:r>
            <w:r>
              <w:rPr>
                <w:rStyle w:val="IndexLink"/>
                <w:rtl w:val="true"/>
              </w:rPr>
              <w:tab/>
            </w:r>
            <w:r>
              <w:rPr>
                <w:rStyle w:val="IndexLink"/>
              </w:rPr>
              <w:t>298</w:t>
            </w:r>
          </w:hyperlink>
        </w:p>
        <w:p>
          <w:pPr>
            <w:pStyle w:val="Contents4"/>
            <w:tabs>
              <w:tab w:val="clear" w:pos="8176"/>
              <w:tab w:val="right" w:pos="9026" w:leader="dot"/>
            </w:tabs>
            <w:rPr/>
          </w:pPr>
          <w:hyperlink w:anchor="__RefHeading___Toc1120038_1738255347">
            <w:r>
              <w:rPr>
                <w:webHidden/>
                <w:rStyle w:val="IndexLink"/>
                <w:rtl w:val="true"/>
              </w:rPr>
              <w:t>ب</w:t>
            </w:r>
            <w:r>
              <w:rPr>
                <w:rStyle w:val="IndexLink"/>
                <w:rtl w:val="true"/>
              </w:rPr>
              <w:tab/>
            </w:r>
            <w:r>
              <w:rPr>
                <w:rStyle w:val="IndexLink"/>
              </w:rPr>
              <w:t>299</w:t>
            </w:r>
          </w:hyperlink>
        </w:p>
        <w:p>
          <w:pPr>
            <w:pStyle w:val="Contents4"/>
            <w:tabs>
              <w:tab w:val="clear" w:pos="8176"/>
              <w:tab w:val="right" w:pos="9026" w:leader="dot"/>
            </w:tabs>
            <w:rPr/>
          </w:pPr>
          <w:hyperlink w:anchor="__RefHeading___Toc1120040_1738255347">
            <w:r>
              <w:rPr>
                <w:webHidden/>
                <w:rStyle w:val="IndexLink"/>
                <w:rtl w:val="true"/>
              </w:rPr>
              <w:t>ت</w:t>
            </w:r>
            <w:r>
              <w:rPr>
                <w:rStyle w:val="IndexLink"/>
                <w:rtl w:val="true"/>
              </w:rPr>
              <w:tab/>
            </w:r>
            <w:r>
              <w:rPr>
                <w:rStyle w:val="IndexLink"/>
              </w:rPr>
              <w:t>299</w:t>
            </w:r>
          </w:hyperlink>
        </w:p>
        <w:p>
          <w:pPr>
            <w:pStyle w:val="Contents4"/>
            <w:tabs>
              <w:tab w:val="clear" w:pos="8176"/>
              <w:tab w:val="right" w:pos="9026" w:leader="dot"/>
            </w:tabs>
            <w:rPr/>
          </w:pPr>
          <w:hyperlink w:anchor="__RefHeading___Toc1120042_1738255347">
            <w:r>
              <w:rPr>
                <w:webHidden/>
                <w:rStyle w:val="IndexLink"/>
                <w:rtl w:val="true"/>
              </w:rPr>
              <w:t>ج</w:t>
            </w:r>
            <w:r>
              <w:rPr>
                <w:rStyle w:val="IndexLink"/>
                <w:rtl w:val="true"/>
              </w:rPr>
              <w:tab/>
            </w:r>
            <w:r>
              <w:rPr>
                <w:rStyle w:val="IndexLink"/>
              </w:rPr>
              <w:t>300</w:t>
            </w:r>
          </w:hyperlink>
        </w:p>
        <w:p>
          <w:pPr>
            <w:pStyle w:val="Contents4"/>
            <w:tabs>
              <w:tab w:val="clear" w:pos="8176"/>
              <w:tab w:val="right" w:pos="9026" w:leader="dot"/>
            </w:tabs>
            <w:rPr/>
          </w:pPr>
          <w:hyperlink w:anchor="__RefHeading___Toc1120044_1738255347">
            <w:r>
              <w:rPr>
                <w:webHidden/>
                <w:rStyle w:val="IndexLink"/>
                <w:rtl w:val="true"/>
              </w:rPr>
              <w:t>ح</w:t>
            </w:r>
            <w:r>
              <w:rPr>
                <w:rStyle w:val="IndexLink"/>
                <w:rtl w:val="true"/>
              </w:rPr>
              <w:tab/>
            </w:r>
            <w:r>
              <w:rPr>
                <w:rStyle w:val="IndexLink"/>
              </w:rPr>
              <w:t>300</w:t>
            </w:r>
          </w:hyperlink>
        </w:p>
        <w:p>
          <w:pPr>
            <w:pStyle w:val="Contents4"/>
            <w:tabs>
              <w:tab w:val="clear" w:pos="8176"/>
              <w:tab w:val="right" w:pos="9026" w:leader="dot"/>
            </w:tabs>
            <w:rPr/>
          </w:pPr>
          <w:hyperlink w:anchor="__RefHeading___Toc1120046_1738255347">
            <w:r>
              <w:rPr>
                <w:webHidden/>
                <w:rStyle w:val="IndexLink"/>
                <w:rtl w:val="true"/>
              </w:rPr>
              <w:t>س</w:t>
            </w:r>
            <w:r>
              <w:rPr>
                <w:rStyle w:val="IndexLink"/>
                <w:rtl w:val="true"/>
              </w:rPr>
              <w:tab/>
            </w:r>
            <w:r>
              <w:rPr>
                <w:rStyle w:val="IndexLink"/>
              </w:rPr>
              <w:t>301</w:t>
            </w:r>
          </w:hyperlink>
        </w:p>
        <w:p>
          <w:pPr>
            <w:pStyle w:val="Contents4"/>
            <w:tabs>
              <w:tab w:val="clear" w:pos="8176"/>
              <w:tab w:val="right" w:pos="9026" w:leader="dot"/>
            </w:tabs>
            <w:rPr/>
          </w:pPr>
          <w:hyperlink w:anchor="__RefHeading___Toc1120048_1738255347">
            <w:r>
              <w:rPr>
                <w:webHidden/>
                <w:rStyle w:val="IndexLink"/>
                <w:rtl w:val="true"/>
              </w:rPr>
              <w:t>ش</w:t>
            </w:r>
            <w:r>
              <w:rPr>
                <w:rStyle w:val="IndexLink"/>
                <w:rtl w:val="true"/>
              </w:rPr>
              <w:tab/>
            </w:r>
            <w:r>
              <w:rPr>
                <w:rStyle w:val="IndexLink"/>
              </w:rPr>
              <w:t>301</w:t>
            </w:r>
          </w:hyperlink>
        </w:p>
        <w:p>
          <w:pPr>
            <w:pStyle w:val="Contents4"/>
            <w:tabs>
              <w:tab w:val="clear" w:pos="8176"/>
              <w:tab w:val="right" w:pos="9026" w:leader="dot"/>
            </w:tabs>
            <w:rPr/>
          </w:pPr>
          <w:hyperlink w:anchor="__RefHeading___Toc1120050_1738255347">
            <w:r>
              <w:rPr>
                <w:webHidden/>
                <w:rStyle w:val="IndexLink"/>
                <w:rtl w:val="true"/>
              </w:rPr>
              <w:t>ص</w:t>
            </w:r>
            <w:r>
              <w:rPr>
                <w:rStyle w:val="IndexLink"/>
                <w:rtl w:val="true"/>
              </w:rPr>
              <w:tab/>
            </w:r>
            <w:r>
              <w:rPr>
                <w:rStyle w:val="IndexLink"/>
              </w:rPr>
              <w:t>301</w:t>
            </w:r>
          </w:hyperlink>
        </w:p>
        <w:p>
          <w:pPr>
            <w:pStyle w:val="Contents4"/>
            <w:tabs>
              <w:tab w:val="clear" w:pos="8176"/>
              <w:tab w:val="right" w:pos="9026" w:leader="dot"/>
            </w:tabs>
            <w:rPr/>
          </w:pPr>
          <w:hyperlink w:anchor="__RefHeading___Toc1120052_1738255347">
            <w:r>
              <w:rPr>
                <w:webHidden/>
                <w:rStyle w:val="IndexLink"/>
                <w:rtl w:val="true"/>
              </w:rPr>
              <w:t>ض</w:t>
            </w:r>
            <w:r>
              <w:rPr>
                <w:rStyle w:val="IndexLink"/>
                <w:rtl w:val="true"/>
              </w:rPr>
              <w:tab/>
            </w:r>
            <w:r>
              <w:rPr>
                <w:rStyle w:val="IndexLink"/>
              </w:rPr>
              <w:t>302</w:t>
            </w:r>
          </w:hyperlink>
        </w:p>
        <w:p>
          <w:pPr>
            <w:pStyle w:val="Contents4"/>
            <w:tabs>
              <w:tab w:val="clear" w:pos="8176"/>
              <w:tab w:val="right" w:pos="9026" w:leader="dot"/>
            </w:tabs>
            <w:rPr/>
          </w:pPr>
          <w:hyperlink w:anchor="__RefHeading___Toc1120054_1738255347">
            <w:r>
              <w:rPr>
                <w:webHidden/>
                <w:rStyle w:val="IndexLink"/>
                <w:rtl w:val="true"/>
              </w:rPr>
              <w:t>ط</w:t>
            </w:r>
            <w:r>
              <w:rPr>
                <w:rStyle w:val="IndexLink"/>
                <w:rtl w:val="true"/>
              </w:rPr>
              <w:tab/>
            </w:r>
            <w:r>
              <w:rPr>
                <w:rStyle w:val="IndexLink"/>
              </w:rPr>
              <w:t>302</w:t>
            </w:r>
          </w:hyperlink>
        </w:p>
        <w:p>
          <w:pPr>
            <w:pStyle w:val="Contents4"/>
            <w:tabs>
              <w:tab w:val="clear" w:pos="8176"/>
              <w:tab w:val="right" w:pos="9026" w:leader="dot"/>
            </w:tabs>
            <w:rPr/>
          </w:pPr>
          <w:hyperlink w:anchor="__RefHeading___Toc1120056_1738255347">
            <w:r>
              <w:rPr>
                <w:webHidden/>
                <w:rStyle w:val="IndexLink"/>
                <w:rtl w:val="true"/>
              </w:rPr>
              <w:t>ظ</w:t>
            </w:r>
            <w:r>
              <w:rPr>
                <w:rStyle w:val="IndexLink"/>
                <w:rtl w:val="true"/>
              </w:rPr>
              <w:tab/>
            </w:r>
            <w:r>
              <w:rPr>
                <w:rStyle w:val="IndexLink"/>
              </w:rPr>
              <w:t>302</w:t>
            </w:r>
          </w:hyperlink>
        </w:p>
        <w:p>
          <w:pPr>
            <w:pStyle w:val="Contents4"/>
            <w:tabs>
              <w:tab w:val="clear" w:pos="8176"/>
              <w:tab w:val="right" w:pos="9026" w:leader="dot"/>
            </w:tabs>
            <w:rPr/>
          </w:pPr>
          <w:hyperlink w:anchor="__RefHeading___Toc1120058_1738255347">
            <w:r>
              <w:rPr>
                <w:webHidden/>
                <w:rStyle w:val="IndexLink"/>
                <w:rtl w:val="true"/>
              </w:rPr>
              <w:t>ع</w:t>
            </w:r>
            <w:r>
              <w:rPr>
                <w:rStyle w:val="IndexLink"/>
                <w:rtl w:val="true"/>
              </w:rPr>
              <w:tab/>
            </w:r>
            <w:r>
              <w:rPr>
                <w:rStyle w:val="IndexLink"/>
              </w:rPr>
              <w:t>302</w:t>
            </w:r>
          </w:hyperlink>
        </w:p>
        <w:p>
          <w:pPr>
            <w:pStyle w:val="Contents4"/>
            <w:tabs>
              <w:tab w:val="clear" w:pos="8176"/>
              <w:tab w:val="right" w:pos="9026" w:leader="dot"/>
            </w:tabs>
            <w:rPr/>
          </w:pPr>
          <w:hyperlink w:anchor="__RefHeading___Toc1120060_1738255347">
            <w:r>
              <w:rPr>
                <w:webHidden/>
                <w:rStyle w:val="IndexLink"/>
                <w:rtl w:val="true"/>
              </w:rPr>
              <w:t>غ</w:t>
            </w:r>
            <w:r>
              <w:rPr>
                <w:rStyle w:val="IndexLink"/>
                <w:rtl w:val="true"/>
              </w:rPr>
              <w:tab/>
            </w:r>
            <w:r>
              <w:rPr>
                <w:rStyle w:val="IndexLink"/>
              </w:rPr>
              <w:t>302</w:t>
            </w:r>
          </w:hyperlink>
        </w:p>
        <w:p>
          <w:pPr>
            <w:pStyle w:val="Contents4"/>
            <w:tabs>
              <w:tab w:val="clear" w:pos="8176"/>
              <w:tab w:val="right" w:pos="9026" w:leader="dot"/>
            </w:tabs>
            <w:rPr/>
          </w:pPr>
          <w:hyperlink w:anchor="__RefHeading___Toc1120062_1738255347">
            <w:r>
              <w:rPr>
                <w:webHidden/>
                <w:rStyle w:val="IndexLink"/>
                <w:rtl w:val="true"/>
              </w:rPr>
              <w:t>ف</w:t>
            </w:r>
            <w:r>
              <w:rPr>
                <w:rStyle w:val="IndexLink"/>
                <w:rtl w:val="true"/>
              </w:rPr>
              <w:tab/>
            </w:r>
            <w:r>
              <w:rPr>
                <w:rStyle w:val="IndexLink"/>
              </w:rPr>
              <w:t>302</w:t>
            </w:r>
          </w:hyperlink>
        </w:p>
        <w:p>
          <w:pPr>
            <w:pStyle w:val="Contents4"/>
            <w:tabs>
              <w:tab w:val="clear" w:pos="8176"/>
              <w:tab w:val="right" w:pos="9026" w:leader="dot"/>
            </w:tabs>
            <w:rPr/>
          </w:pPr>
          <w:hyperlink w:anchor="__RefHeading___Toc1120064_1738255347">
            <w:r>
              <w:rPr>
                <w:webHidden/>
                <w:rStyle w:val="IndexLink"/>
                <w:rtl w:val="true"/>
              </w:rPr>
              <w:t>ک</w:t>
            </w:r>
            <w:r>
              <w:rPr>
                <w:rStyle w:val="IndexLink"/>
                <w:rtl w:val="true"/>
              </w:rPr>
              <w:tab/>
            </w:r>
            <w:r>
              <w:rPr>
                <w:rStyle w:val="IndexLink"/>
              </w:rPr>
              <w:t>303</w:t>
            </w:r>
          </w:hyperlink>
        </w:p>
        <w:p>
          <w:pPr>
            <w:pStyle w:val="Contents4"/>
            <w:tabs>
              <w:tab w:val="clear" w:pos="8176"/>
              <w:tab w:val="right" w:pos="9026" w:leader="dot"/>
            </w:tabs>
            <w:rPr/>
          </w:pPr>
          <w:hyperlink w:anchor="__RefHeading___Toc1120066_1738255347">
            <w:r>
              <w:rPr>
                <w:webHidden/>
                <w:rStyle w:val="IndexLink"/>
                <w:rtl w:val="true"/>
              </w:rPr>
              <w:t>ل</w:t>
            </w:r>
            <w:r>
              <w:rPr>
                <w:rStyle w:val="IndexLink"/>
                <w:rtl w:val="true"/>
              </w:rPr>
              <w:tab/>
            </w:r>
            <w:r>
              <w:rPr>
                <w:rStyle w:val="IndexLink"/>
              </w:rPr>
              <w:t>303</w:t>
            </w:r>
          </w:hyperlink>
        </w:p>
        <w:p>
          <w:pPr>
            <w:pStyle w:val="Contents4"/>
            <w:tabs>
              <w:tab w:val="clear" w:pos="8176"/>
              <w:tab w:val="right" w:pos="9026" w:leader="dot"/>
            </w:tabs>
            <w:rPr/>
          </w:pPr>
          <w:hyperlink w:anchor="__RefHeading___Toc1120068_1738255347">
            <w:r>
              <w:rPr>
                <w:webHidden/>
                <w:rStyle w:val="IndexLink"/>
                <w:rtl w:val="true"/>
              </w:rPr>
              <w:t>و</w:t>
            </w:r>
            <w:r>
              <w:rPr>
                <w:rStyle w:val="IndexLink"/>
                <w:rtl w:val="true"/>
              </w:rPr>
              <w:tab/>
            </w:r>
            <w:r>
              <w:rPr>
                <w:rStyle w:val="IndexLink"/>
              </w:rPr>
              <w:t>304</w:t>
            </w:r>
          </w:hyperlink>
        </w:p>
        <w:p>
          <w:pPr>
            <w:pStyle w:val="Contents4"/>
            <w:tabs>
              <w:tab w:val="clear" w:pos="8176"/>
              <w:tab w:val="right" w:pos="9026" w:leader="dot"/>
            </w:tabs>
            <w:rPr/>
          </w:pPr>
          <w:hyperlink w:anchor="__RefHeading___Toc1120070_1738255347">
            <w:r>
              <w:rPr>
                <w:webHidden/>
                <w:rStyle w:val="IndexLink"/>
                <w:rtl w:val="true"/>
              </w:rPr>
              <w:t>ی</w:t>
            </w:r>
            <w:r>
              <w:rPr>
                <w:rStyle w:val="IndexLink"/>
                <w:rtl w:val="true"/>
              </w:rPr>
              <w:tab/>
            </w:r>
            <w:r>
              <w:rPr>
                <w:rStyle w:val="IndexLink"/>
              </w:rPr>
              <w:t>304</w:t>
            </w:r>
          </w:hyperlink>
        </w:p>
        <w:p>
          <w:pPr>
            <w:pStyle w:val="Contents3"/>
            <w:tabs>
              <w:tab w:val="clear" w:pos="8459"/>
              <w:tab w:val="right" w:pos="9026" w:leader="dot"/>
            </w:tabs>
            <w:rPr/>
          </w:pPr>
          <w:hyperlink w:anchor="__RefHeading___Toc1120072_1738255347">
            <w:r>
              <w:rPr>
                <w:webHidden/>
                <w:rStyle w:val="IndexLink"/>
                <w:rtl w:val="true"/>
              </w:rPr>
              <w:t>فهرست</w:t>
            </w:r>
            <w:r>
              <w:rPr>
                <w:rStyle w:val="IndexLink"/>
                <w:rtl w:val="true"/>
              </w:rPr>
              <w:tab/>
            </w:r>
            <w:r>
              <w:rPr>
                <w:rStyle w:val="IndexLink"/>
              </w:rPr>
              <w:t>305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29_176555"/>
      <w:bookmarkStart w:id="1" w:name="pg17029_176555"/>
      <w:bookmarkEnd w:id="1"/>
    </w:p>
    <w:p>
      <w:pPr>
        <w:pStyle w:val="Heading2"/>
        <w:numPr>
          <w:ilvl w:val="1"/>
          <w:numId w:val="1"/>
        </w:numPr>
        <w:rPr/>
      </w:pPr>
      <w:bookmarkStart w:id="2" w:name="pg17029_176555"/>
      <w:bookmarkStart w:id="3" w:name="__RefHeading___Toc1119542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عقاید و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جعفر سبحانی؛ ترجمه محمدعیسی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توحید،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ملل و نحل؛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90527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93750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جلد پنجم انتشارات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مجلد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عقاید اهل حدیث، سلفیها، حنابله و 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عقاید ابن‌تیمیه و عقائد 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عقاید ماتریدیه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و اسماعیلیه و دیگر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سبحانی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محمدعیسی،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BP200/8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1899</w:t>
      </w:r>
      <w:bookmarkStart w:id="5" w:name="pg17029_176557"/>
    </w:p>
    <w:p>
      <w:pPr>
        <w:pStyle w:val="BookText"/>
        <w:rPr/>
      </w:pPr>
      <w:bookmarkEnd w:id="5"/>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6" w:name="__RefHeading___Toc1119544_1738255347"/>
      <w:bookmarkStart w:id="7" w:name="_Toc2"/>
      <w:bookmarkEnd w:id="6"/>
      <w:r>
        <w:rPr>
          <w:rtl w:val="true"/>
        </w:rPr>
        <w:t>پیشگفتار</w:t>
      </w:r>
      <w:bookmarkEnd w:id="7"/>
    </w:p>
    <w:p>
      <w:pPr>
        <w:pStyle w:val="BookText"/>
        <w:rPr/>
      </w:pPr>
      <w:r>
        <w:rPr>
          <w:rFonts w:ascii="IRNazanin" w:hAnsi="IRNazanin" w:eastAsia="IRNazanin"/>
          <w:color w:val="111111"/>
          <w:sz w:val="28"/>
          <w:sz w:val="28"/>
          <w:szCs w:val="28"/>
          <w:rtl w:val="true"/>
          <w:lang w:bidi="fa-IR"/>
        </w:rPr>
        <w:t>از نیمۀ قرن نخست هجری، دو جریان فکری در میان مسلمانان پدید آمد، یکی جریان تعبّد به ظواهر و پیروی از نصوص کتاب سنت بدون آنکه پیرامون محتویات آن تفکر شود، و دیگری مسألۀ عقل گرائی و همسو قرار دادن عقل با شرع و بهره‌گیری از قرآن و حدیث به کمک داوری‌های عقل و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جریان فکری نخست اهل حدیث بودند که بیشتر نبض جامعه را بدست داشتند و حکومت‌های وقت از آنها بیشتر پشتیبانی می‌کردند، در حالی که مروّجان جریان دوّم، گروه زبده ای از اهل فکر و دانش بودند که به خود اجازه نمی‌دادند نقل، منهای عقل تفسیر شود در این کشمکش مکتبهایی پدید آمد که برای خود، سرگذشت و داستانی دارند قسمت اعظم این مکاتب، یک نوع ارتجاع و واپس‌گرایی بود و به خاطر همین ویژگی چندان دیری نپاییدند و به فناء و نابودی محکوم گشتند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جهمیّه، کرامیّه، ظاهریّه، و ولی جریان پرورش عقل، و همسو ساختن آن با شرع یک مکتب اصیل فطری است که هرگز نمی‌توان آن را نادیده گرفت هم چنان‌که گذشت زمان نیز نتوانست آن را نابود سازد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معتزله یکی از پیشوایان این طرز تفکّر بودند و این گروه به تدریج به تحلیل رفته و در صده‌های اخیر کسی از آنان باقی نماند ولی محکومیّت آنان به خاطر اصل عقل‌گرایی نبود بلکه به خاطر تندی روی آنان در طرفداری از خرد بود تا</w:t>
      </w:r>
    </w:p>
    <w:p>
      <w:pPr>
        <w:pStyle w:val="BookText"/>
        <w:rPr/>
      </w:pPr>
      <w:r>
        <w:rPr>
          <w:rFonts w:ascii="IRNazanin" w:hAnsi="IRNazanin" w:eastAsia="IRNazanin"/>
          <w:color w:val="111111"/>
          <w:sz w:val="28"/>
          <w:sz w:val="28"/>
          <w:szCs w:val="28"/>
          <w:rtl w:val="true"/>
          <w:lang w:bidi="fa-IR"/>
        </w:rPr>
        <w:t>آن جا که نصوص را با داوری‌های خام تأویل می‌کردند و به عبارت دیگر این نه به خاطر عقل گرایی و خردپروری آنان بود بلکه به خاطر تندروی آنها در استقبال از خرد بود، و لذا مکتب به همان صورت نابود گشت امّا اساس آن‌که همسو قرار گرفتن عمّل با نقل، پیوسته در میان مسلمین باقی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جزء که به صورت جلد چهارم از کتاب فرهنگ عقائد و مذاهب اسلامی تقدیم محققان و پژوهشگران تاریخ عقاید و مذاهب می‌گردد دو مکتب فکری و عقلی مورد تجزیه و تحلیل قرارگرفته و پیرامون آن دو با استناد به مدارک و مصادر اصلی سخن گفته شده است، این دو مکتب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مکتب ماتریدی که یک نوع عقل گرائی متوسط میان مکتب اشعری و معتزلی است که دریت استناد به نصوص و روایات از عقل نیز بهره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مکتب معتزله، که از روز پیدایش، عقل‌گرایی را شعار مکتب خود قرار داده و به صورت حادّ و تند پیش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یادآور می‌شویم آن مکاتب واپس گرا که حالت ارتجاع به خود داشتند در جلد پنجم از این فرهنگ مطرح خواهند شد و امید است این خدمت ناچیز مورد پذیرش علاقمندان تاریخ عقاید قرار گیرد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مؤسسۀ امام صادق علیه السّلام جعفر سبحانی </w:t>
      </w:r>
      <w:r>
        <w:rPr>
          <w:rFonts w:eastAsia="IRNazanin" w:cs="IRNazanin"/>
          <w:color w:val="111111"/>
          <w:sz w:val="28"/>
          <w:szCs w:val="28"/>
          <w:lang w:bidi="fa-IR"/>
        </w:rPr>
        <w:t>73/1/4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1414</w:t>
      </w:r>
      <w:bookmarkStart w:id="8" w:name="pg17029_176559"/>
    </w:p>
    <w:p>
      <w:pPr>
        <w:pStyle w:val="Heading2"/>
        <w:numPr>
          <w:ilvl w:val="1"/>
          <w:numId w:val="1"/>
        </w:numPr>
        <w:rPr/>
      </w:pPr>
      <w:bookmarkStart w:id="9" w:name="__RefHeading___Toc1119546_1738255347"/>
      <w:bookmarkStart w:id="10" w:name="_Toc3"/>
      <w:bookmarkEnd w:id="8"/>
      <w:bookmarkEnd w:id="9"/>
      <w:r>
        <w:rPr>
          <w:rtl w:val="true"/>
        </w:rPr>
        <w:t>فرقۀ ماتریدیه</w:t>
      </w:r>
      <w:bookmarkEnd w:id="10"/>
    </w:p>
    <w:p>
      <w:pPr>
        <w:pStyle w:val="Heading3"/>
        <w:numPr>
          <w:ilvl w:val="2"/>
          <w:numId w:val="1"/>
        </w:numPr>
        <w:rPr/>
      </w:pPr>
      <w:bookmarkStart w:id="11" w:name="__RefHeading___Toc1119548_1738255347"/>
      <w:bookmarkStart w:id="12" w:name="_Toc4"/>
      <w:bookmarkEnd w:id="11"/>
      <w:r>
        <w:rPr>
          <w:rtl w:val="true"/>
        </w:rPr>
        <w:t>اشاره</w:t>
      </w:r>
      <w:bookmarkEnd w:id="12"/>
    </w:p>
    <w:p>
      <w:pPr>
        <w:pStyle w:val="BookText"/>
        <w:rPr/>
      </w:pPr>
      <w:r>
        <w:rPr>
          <w:rFonts w:ascii="IRNazanin" w:hAnsi="IRNazanin" w:eastAsia="IRNazanin"/>
          <w:color w:val="111111"/>
          <w:sz w:val="28"/>
          <w:sz w:val="28"/>
          <w:szCs w:val="28"/>
          <w:rtl w:val="true"/>
          <w:lang w:bidi="fa-IR"/>
        </w:rPr>
        <w:t>از روزی که مسائل کلامی در محیط اسلامی به صورت ساده مطرح گردید، در میان مسلمانان دو گروه پدید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اهل حدیث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کلیۀ عقاید خود را از ظواهر آیات، و قسمت اعظم آن را از حدیث می‌گیرند، و برای عقل و خرد ارزشی قائل نمی‌باشند، و اگر در میان این گروه عقایدی مانند تشبیه و تجسیم و جبر و حکومت قضا و قدر بر افعال اختیاری انسان پدید آمد، و یا بر رؤیت خدا در روز رستاخیز اصرار می‌ورزند، در اثر احادیثی است که در میان آنان منتشر شد، و غالبا اثر انگشت احبار یهود و راهبان نصاری در آنها دیده می‌شود، تا آنجا که به قدیم بودن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شدند، بسان یهودیان که تورات را قدیم و یا مسیحیان که مسیح را ازلی می‌دانند، و آنان نیز قرآن را قدیم و ازلی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معتزله که به عقل و خرد بها و ارزش داده، حدیث و روایتی را که با حکم خرد مخالف باشد، طرد می‌نمایند و عقاید خود را از نصوص قطعی کتاب و سنت و حکم خرد می‌گیرند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بر آنها خرده می‌گیرند این است که به عقل بیش از حد، بها بخشیده‌اند و چه بسا نصوص فراوانی که در شریعت مقدس آمده، به خاطر اندیشۀ مخالفت آن باعقل، به کنار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جنگ و نبرد فکری میان این دو گروه پیوسته برقرار و پیروزی هر گروه بر گروه دیگر، در گرو کمکهای فرمانروایان وقت بود که جانب یکی را می‌گرفتند و در تضعیف دیگری می‌کوشیدند، و این نزاع، تا آغاز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صورتی چشمگیر ادامه داشت، ولی در آغاز قرن چهارم، دو شخصیت در دو قطر و منطقه، سربلند کردند و مکتبی را که در حقیقت مکتب معتدلی میان اهل حدیث و مکتب معتزله بود، پدید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دو نفر ابو الحسن اشعری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عراق از مذهب اعتزال توبه کرد، و خود را یار و یاور احمد بن حنبل معرفی نمود، و در عین حال، در مذهب این حنبل تصرفاتی پدید آورد، و به تدریج مذهب رسمی اهل 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مذاهب چهارگانۀ فقهی به تدریج مذهب اهل سنت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ابو منصور ماتریدی سمرقندی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مشرق جهان اسلام، به جانبداری از اهل حدیث برخاست، و درست همان کاری را انجام داد که همتای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و عجیب این‌که این دو بنیانگذار، در حالی که در یک عصر می‌زیستند و در یک مسیر گام بر می‌داشتند، از کار یکدیگر آگاه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منطقۀ شرق اسلامی در آن روز، مرکز بحثهای کلامی بود، همان‌طور که بصره زادگاه اشعری نقطۀ برخورد آرای عقاید مختلف به شمار می‌رفت و افکار بیگانگان به هنگام فتوحات اسلامی، از کشورهای مختلف به صورت افکار وارداتی به جهان اسلام منتقل شده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فقهی مذهب حنفی در خراسان رواج کامل داشت، در حالی که مردم بصره بیشتر شافعی بودند از این جهت، حنفیها گرایش فراوانی به ماتریدی پیدا کردند، در حالی که شافعیها بیش از همه به اشعری گرویدند، ماتریدی قسمتی از اندیشه‌های کلامی خود را از ابو حنیفه گرفته 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مربوط به</w:t>
      </w:r>
    </w:p>
    <w:p>
      <w:pPr>
        <w:pStyle w:val="BookText"/>
        <w:rPr/>
      </w:pPr>
      <w:r>
        <w:rPr>
          <w:rFonts w:ascii="IRNazanin" w:hAnsi="IRNazanin" w:eastAsia="IRNazanin"/>
          <w:color w:val="111111"/>
          <w:sz w:val="28"/>
          <w:sz w:val="28"/>
          <w:szCs w:val="28"/>
          <w:rtl w:val="true"/>
          <w:lang w:bidi="fa-IR"/>
        </w:rPr>
        <w:t>عقاید است متأثر می‌باشد، از این جهت پیروان بیشتر ماتریدی در خراسان می‌زیستند و در فقه، حنفی بودند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الإسلام محمد بن عبد الکریم بزودی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حفص عمر بن محمد نسفی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الدین تفتازانی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احمد 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محمد بن همام الدین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بادقت در تاریخ مکتب ماتریدی، به‌روشنی ثابت می‌شود که او اندیشه‌های کلامی خود را از ابو حنیفه گرفته، زیرا ابو حنیفه پیش از آنکه به فقه بپردازد، دارای حلقۀ کلامی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أبی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برقرار کرد، بحث کلامی را ترک کرد و به فقه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تنها ماتریدی نیست که عقاید کلامی خود را از ابو حنیفه گرفته، بلکه معاصر او ابو جعفر طحاوی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عقاید طحاویة، اندیشه‌های کلامی خود را از ابو حنیفه گرفته، حتی در آغاز رسالۀ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عقیدۀ فقهای امت اسلامی است، آنگاه از ابو حنیفه و دو نفر دیگر از تلامیذ معروف او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یوسف و محمد بن حسن شیبانی نام می‌برد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العقیدة الطحاویة،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نگارش شیخ عبد الغنی میدانی دمشقی، متوفای </w:t>
      </w:r>
      <w:r>
        <w:rPr>
          <w:rFonts w:eastAsia="IRNazanin" w:cs="IRNazanin"/>
          <w:color w:val="111111"/>
          <w:sz w:val="28"/>
          <w:szCs w:val="28"/>
          <w:lang w:bidi="fa-IR"/>
        </w:rPr>
        <w:t>1298</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القاهر بغدادی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یادآورد می‌شود که ابو حنیفه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آنجا ردّی بر قدریه نگاشته است و در رسالة دیگر، قول اهل سنت در مسأله‌ای</w:t>
      </w:r>
      <w:r>
        <w:rPr>
          <w:rStyle w:val="FootnoteAnchor"/>
          <w:rtl w:val="true"/>
        </w:rPr>
        <w:footnoteReference w:id="3"/>
      </w:r>
      <w:r>
        <w:rPr>
          <w:rFonts w:ascii="IRNazanin" w:hAnsi="IRNazanin" w:eastAsia="IRNazanin"/>
          <w:color w:val="111111"/>
          <w:sz w:val="28"/>
          <w:sz w:val="28"/>
          <w:szCs w:val="28"/>
          <w:rtl w:val="true"/>
          <w:lang w:bidi="fa-IR"/>
        </w:rPr>
        <w:t>را تأیید</w:t>
      </w:r>
      <w:bookmarkStart w:id="13" w:name="pg17029_176562"/>
    </w:p>
    <w:p>
      <w:pPr>
        <w:pStyle w:val="BookText"/>
        <w:rPr/>
      </w:pPr>
      <w:bookmarkEnd w:id="13"/>
      <w:r>
        <w:rPr>
          <w:rFonts w:ascii="IRNazanin" w:hAnsi="IRNazanin" w:eastAsia="IRNazanin"/>
          <w:color w:val="111111"/>
          <w:sz w:val="28"/>
          <w:sz w:val="28"/>
          <w:szCs w:val="28"/>
          <w:rtl w:val="true"/>
          <w:lang w:bidi="fa-IR"/>
        </w:rPr>
        <w:t>کرده است البته رسائل موروث از ایی حنیفه بش از این دو رساله است که او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مسائل کلامی در رساله‌های ابو حنیفه فاقد نظم و انسجام بود، کمال الدین بیاضی، در قرن یازدهم اسلامی به تنظیم این مسائل پرداخت،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المرام من عبارات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 آن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مسائل را از کتابهای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الأکبر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الأبسط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العالم و المتعلم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الوصیة که همگی از ابو حنیفه به وسیلۀ مشایخ نقل‌شده است تنظیم نمودم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اشارات المرام، 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این کتاب از مصادر مکتب کلامی ماتریدی است، وتبل از اینها کتابهای خود ماتریدی است به نامهای التوحید و التفسیر و پس از این دو، اصول الدین بزدوی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آنچه که یادآور شدیم، روشن می‌شود که ریشه‌های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خاصی به ماتریدی و به گونه‌ای به ابو حنیفه می‌رسد و همان طور که خواهیم دید این مکتب، یک منهج معتدل میان اهل حدیث و اعتزال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خواهیم دید که این مکتب، به شیوۀ تعقل و اعتزال نزدیکتر است تا به مکتب اهل حدیث</w:t>
      </w:r>
      <w:r>
        <w:rPr>
          <w:rFonts w:eastAsia="IRNazanin" w:cs="IRNazanin"/>
          <w:color w:val="111111"/>
          <w:sz w:val="28"/>
          <w:szCs w:val="28"/>
          <w:rtl w:val="true"/>
          <w:lang w:bidi="fa-IR"/>
        </w:rPr>
        <w:t>.</w:t>
      </w:r>
    </w:p>
    <w:p>
      <w:pPr>
        <w:pStyle w:val="Heading3"/>
        <w:numPr>
          <w:ilvl w:val="2"/>
          <w:numId w:val="1"/>
        </w:numPr>
        <w:rPr/>
      </w:pPr>
      <w:bookmarkStart w:id="14" w:name="__RefHeading___Toc1119550_1738255347"/>
      <w:bookmarkStart w:id="15" w:name="_Toc5"/>
      <w:bookmarkEnd w:id="14"/>
      <w:r>
        <w:rPr>
          <w:rtl w:val="true"/>
        </w:rPr>
        <w:t>زندگانی ماتریدی</w:t>
      </w:r>
      <w:bookmarkEnd w:id="15"/>
    </w:p>
    <w:p>
      <w:pPr>
        <w:pStyle w:val="Heading4"/>
        <w:numPr>
          <w:ilvl w:val="3"/>
          <w:numId w:val="1"/>
        </w:numPr>
        <w:rPr/>
      </w:pPr>
      <w:bookmarkStart w:id="16" w:name="__RefHeading___Toc1119552_1738255347"/>
      <w:bookmarkStart w:id="17" w:name="_Toc6"/>
      <w:bookmarkEnd w:id="16"/>
      <w:r>
        <w:rPr>
          <w:rtl w:val="true"/>
        </w:rPr>
        <w:t>اشاره</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کتابهای تراجم، این مطلب را قطعی می‌سازد که بنیانگذار این مکتب، در عصر خود معروفیت کامل پیدا نکرد و بعدها نیز ترجمه نگاران به ضبط زندگی او کمتر پرداختند، درحالی‌که همۀ تذکره نگاران به بیان زندگی اشعری پرداخته و از او به گونه‌ای یاد کرده اند و شاید نکتۀ آن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عاصمۀ آن روز اسلام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8" w:name="pg17029_176563"/>
    </w:p>
    <w:p>
      <w:pPr>
        <w:pStyle w:val="BookText"/>
        <w:rPr/>
      </w:pPr>
      <w:bookmarkEnd w:id="18"/>
      <w:r>
        <w:rPr>
          <w:rFonts w:ascii="IRNazanin" w:hAnsi="IRNazanin" w:eastAsia="IRNazanin"/>
          <w:color w:val="111111"/>
          <w:sz w:val="28"/>
          <w:sz w:val="28"/>
          <w:szCs w:val="28"/>
          <w:rtl w:val="true"/>
          <w:lang w:bidi="fa-IR"/>
        </w:rPr>
        <w:t>عاصمۀ اسلام به دنیا آمد و در همان‌جا درگذشت و دوستان و دشمنان او هر یک به گونه‌ای از او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ننموده در حالی که ترجمۀ مختصری از اشعری انجام داده است، کتاب شیخ طحاوی پیشوای حنفیها، در مصر مورد عنایت قرار گرفته و شروح زیادی بر آن نوشته‌شده است، در حالی که این کار دربارۀ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نپذیرفته است از این جهت می‌بینیم ترجمه نگاران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فیات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 الدین صفدی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شاکر کتبی،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الدین سلامی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دیگر نویسندگان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نبرده‌اند، در حالی که از افرادی که از نظر علمی کمتر بوده‌اند، نام‌برده اند، حتی کسانیکه به ترجمۀ او پرداخته‌اند، چیز مفصلی یاد نکرده‌اند، و آنچه نگارنده توانسته از لابلای کتابها دربارۀ زندگانی او به دست آورد، همین است که اینجا می‌نگارد</w:t>
      </w:r>
      <w:r>
        <w:rPr>
          <w:rFonts w:eastAsia="IRNazanin" w:cs="IRNazanin"/>
          <w:color w:val="111111"/>
          <w:sz w:val="28"/>
          <w:szCs w:val="28"/>
          <w:rtl w:val="true"/>
          <w:lang w:bidi="fa-IR"/>
        </w:rPr>
        <w:t>.</w:t>
      </w:r>
    </w:p>
    <w:p>
      <w:pPr>
        <w:pStyle w:val="Heading4"/>
        <w:numPr>
          <w:ilvl w:val="3"/>
          <w:numId w:val="1"/>
        </w:numPr>
        <w:rPr/>
      </w:pPr>
      <w:bookmarkStart w:id="19" w:name="__RefHeading___Toc1119554_1738255347"/>
      <w:bookmarkStart w:id="20" w:name="_Toc7"/>
      <w:bookmarkEnd w:id="19"/>
      <w:r>
        <w:rPr>
          <w:rtl w:val="true"/>
        </w:rPr>
        <w:t>تاریخ تولد</w:t>
      </w:r>
      <w:bookmarkEnd w:id="2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مترجمان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وی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جهان بست، در حالی که از سال تولد او چیزی گزارش نمی‌کنند، ولی به گونه‌ای می‌توان گفت که او در حدود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است، زیرا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بن یحیی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حدیث نموده و او در سال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در آن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طبعا تولد او همان خواهد بود که یادآور شدیم</w:t>
      </w:r>
      <w:r>
        <w:rPr>
          <w:rFonts w:eastAsia="IRNazanin" w:cs="IRNazanin"/>
          <w:color w:val="111111"/>
          <w:sz w:val="28"/>
          <w:szCs w:val="28"/>
          <w:rtl w:val="true"/>
          <w:lang w:bidi="fa-IR"/>
        </w:rPr>
        <w:t>.</w:t>
      </w:r>
      <w:bookmarkStart w:id="21" w:name="pg17029_176564"/>
    </w:p>
    <w:p>
      <w:pPr>
        <w:pStyle w:val="Heading4"/>
        <w:numPr>
          <w:ilvl w:val="3"/>
          <w:numId w:val="1"/>
        </w:numPr>
        <w:rPr/>
      </w:pPr>
      <w:bookmarkStart w:id="22" w:name="__RefHeading___Toc1119556_1738255347"/>
      <w:bookmarkStart w:id="23" w:name="_Toc8"/>
      <w:bookmarkEnd w:id="21"/>
      <w:bookmarkEnd w:id="22"/>
      <w:r>
        <w:rPr>
          <w:rtl w:val="true"/>
        </w:rPr>
        <w:t>زادگاه او</w:t>
      </w:r>
      <w:bookmarkEnd w:id="23"/>
    </w:p>
    <w:p>
      <w:pPr>
        <w:pStyle w:val="BookText"/>
        <w:rPr/>
      </w:pPr>
      <w:r>
        <w:rPr>
          <w:rFonts w:ascii="IRNazanin" w:hAnsi="IRNazanin" w:eastAsia="IRNazanin"/>
          <w:color w:val="111111"/>
          <w:sz w:val="28"/>
          <w:sz w:val="28"/>
          <w:szCs w:val="28"/>
          <w:rtl w:val="true"/>
          <w:lang w:bidi="fa-IR"/>
        </w:rPr>
        <w:t xml:space="preserve">او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بخشهای سمرقند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دیده به جهان گشود و سپس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سمرقندی و یا علم الهدی معروف شده است و گویا از نظر نسب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أیوب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که میزبان پیامبر گرامی بود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المرام،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24" w:name="__RefHeading___Toc1119558_1738255347"/>
      <w:bookmarkStart w:id="25" w:name="_Toc9"/>
      <w:bookmarkEnd w:id="24"/>
      <w:r>
        <w:rPr>
          <w:rtl w:val="true"/>
        </w:rPr>
        <w:t>تحصیلات او</w:t>
      </w:r>
      <w:bookmarkEnd w:id="25"/>
    </w:p>
    <w:p>
      <w:pPr>
        <w:pStyle w:val="BookText"/>
        <w:rPr/>
      </w:pPr>
      <w:r>
        <w:rPr>
          <w:rFonts w:ascii="IRNazanin" w:hAnsi="IRNazanin" w:eastAsia="IRNazanin"/>
          <w:color w:val="111111"/>
          <w:sz w:val="28"/>
          <w:sz w:val="28"/>
          <w:szCs w:val="28"/>
          <w:rtl w:val="true"/>
          <w:lang w:bidi="fa-IR"/>
        </w:rPr>
        <w:t>او در عقاید و کلام و فقه از امام مذهب خود، ابو حنیفه پیروی نموده، و از این افراد نیز درس آموخته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بکر احمد بن اسحاق جوزجانی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نصر احمد بن العیاض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نصیر بن یحیی تلمیذ حفص بن سالم پدر مقاتل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مقاتل</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کلام اهل سنت ساخته و پرداختۀ دو نفر است که یکی حنفی و دیگری شافعی است، حنفی ابو منصور ماتریدی و شافعی ابو الحسن اشعری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مصلح الدین قسطلانی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فرد در علم کلام در سرزمین خراسان و عراق و شام و بیشتر مناطق، ابو الحسن اشعری است، و در ماوراء النهر ابو منصور ماتریدی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اهل سنت گفته شود، مقصود اشاعره و ماتریدیه</w:t>
      </w:r>
      <w:bookmarkStart w:id="26" w:name="pg17029_176565"/>
    </w:p>
    <w:p>
      <w:pPr>
        <w:pStyle w:val="BookText"/>
        <w:rPr/>
      </w:pPr>
      <w:bookmarkEnd w:id="2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اتحاف السادة المتقین بشرح اسرار احیاء علوم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قاهره</w:t>
      </w:r>
      <w:r>
        <w:rPr>
          <w:rFonts w:eastAsia="IRNazanin" w:cs="IRNazanin"/>
          <w:color w:val="111111"/>
          <w:sz w:val="28"/>
          <w:szCs w:val="28"/>
          <w:rtl w:val="true"/>
          <w:lang w:bidi="fa-IR"/>
        </w:rPr>
        <w:t>.</w:t>
      </w:r>
    </w:p>
    <w:p>
      <w:pPr>
        <w:pStyle w:val="Heading4"/>
        <w:numPr>
          <w:ilvl w:val="3"/>
          <w:numId w:val="1"/>
        </w:numPr>
        <w:rPr/>
      </w:pPr>
      <w:bookmarkStart w:id="27" w:name="__RefHeading___Toc1119560_1738255347"/>
      <w:bookmarkStart w:id="28" w:name="_Toc10"/>
      <w:bookmarkEnd w:id="27"/>
      <w:r>
        <w:rPr>
          <w:rtl w:val="true"/>
        </w:rPr>
        <w:t>شاگردان او</w:t>
      </w:r>
      <w:bookmarkEnd w:id="28"/>
    </w:p>
    <w:p>
      <w:pPr>
        <w:pStyle w:val="BookText"/>
        <w:rPr/>
      </w:pPr>
      <w:r>
        <w:rPr>
          <w:rFonts w:ascii="IRNazanin" w:hAnsi="IRNazanin" w:eastAsia="IRNazanin"/>
          <w:color w:val="111111"/>
          <w:sz w:val="28"/>
          <w:sz w:val="28"/>
          <w:szCs w:val="28"/>
          <w:rtl w:val="true"/>
          <w:lang w:bidi="fa-IR"/>
        </w:rPr>
        <w:t>گروهی از شخصیتهای کلامی از او بهره گرفته‌اند که اسامی برخی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محمد معروف به حکیم سمرقندی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ابو اللیث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محمد عبد الکریم بن موسی بزدوی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جد پدر محمد بن محمد بن الحسین بن عبد الکریم بزدوی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توحید ابو منصور ماتریدی سمرقندی را دیدم که مطابق مذهب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جدش عبد الکریم بن موسی کراماتی از ابو منصور ماتریدی نقل می‌کرد، وجد ما مقاصد کتابهای مشایخ و کتاب توحید و تأویلات</w:t>
      </w:r>
      <w:r>
        <w:rPr>
          <w:rStyle w:val="FootnoteAnchor"/>
          <w:rtl w:val="true"/>
        </w:rPr>
        <w:footnoteReference w:id="10"/>
      </w:r>
      <w:r>
        <w:rPr>
          <w:rFonts w:ascii="IRNazanin" w:hAnsi="IRNazanin" w:eastAsia="IRNazanin"/>
          <w:color w:val="111111"/>
          <w:sz w:val="28"/>
          <w:sz w:val="28"/>
          <w:szCs w:val="28"/>
          <w:rtl w:val="true"/>
          <w:lang w:bidi="fa-IR"/>
        </w:rPr>
        <w:t>را از ابو منصور ماتریدی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ماتریدی خالی از اغلاق نیست و اگر دور از اغلاق بود، ما به همان کتاب اکتفا می‌کردیم</w:t>
      </w:r>
      <w:r>
        <w:rPr>
          <w:rFonts w:eastAsia="IRNazanin" w:cs="IRNazanin"/>
          <w:color w:val="111111"/>
          <w:sz w:val="28"/>
          <w:szCs w:val="28"/>
          <w:rtl w:val="true"/>
          <w:lang w:bidi="fa-IR"/>
        </w:rPr>
        <w:t>.</w:t>
      </w:r>
    </w:p>
    <w:p>
      <w:pPr>
        <w:pStyle w:val="Heading4"/>
        <w:numPr>
          <w:ilvl w:val="3"/>
          <w:numId w:val="1"/>
        </w:numPr>
        <w:rPr/>
      </w:pPr>
      <w:bookmarkStart w:id="29" w:name="__RefHeading___Toc1119562_1738255347"/>
      <w:bookmarkStart w:id="30" w:name="_Toc11"/>
      <w:bookmarkEnd w:id="29"/>
      <w:r>
        <w:rPr/>
        <w:t>1</w:t>
      </w:r>
      <w:r>
        <w:rPr>
          <w:rtl w:val="true"/>
        </w:rPr>
        <w:t xml:space="preserve"> - </w:t>
      </w:r>
      <w:r>
        <w:rPr>
          <w:rtl w:val="true"/>
        </w:rPr>
        <w:t>آثار ماتریدی</w:t>
      </w:r>
      <w:bookmarkEnd w:id="3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منصور آثار فراوانی از خود به یادگار نهاده و آنچه الان موجود است، سه کتاب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دوتای از آنها چاپ و منتشر شده و دیگری به حالت مخطوط باقی‌مانده است</w:t>
      </w:r>
      <w:r>
        <w:rPr>
          <w:rFonts w:eastAsia="IRNazanin" w:cs="IRNazanin"/>
          <w:color w:val="111111"/>
          <w:sz w:val="28"/>
          <w:szCs w:val="28"/>
          <w:rtl w:val="true"/>
          <w:lang w:bidi="fa-IR"/>
        </w:rPr>
        <w:t>.</w:t>
      </w:r>
      <w:bookmarkStart w:id="31" w:name="pg17029_176566"/>
    </w:p>
    <w:p>
      <w:pPr>
        <w:pStyle w:val="BookText"/>
        <w:rPr/>
      </w:pPr>
      <w:bookmarkEnd w:id="3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التوحید، این کتاب بزرگترین منبع برای عقاید فرقۀ ماتریدی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کتاب در اثبات آرای خود، از کتاب و سنت و خرد بهره می‌گیرد و گاهی به عقل، برتری بیشتری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بیروت در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شده و دکتر فتح اللّه خلیف به تحقیق نص آن پرداخته است، و همان طوری که بزدوی مؤلف اصول الدین یادآور شده، در تعبیر خالی از اغلاق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تأویلات أهل السنة، این کتاب در تفسیر قرآن کریم نگاشته شده و در آن، عقاید اهل سنت و آرای فقهی امام خود ابو حنیفه را مطرح می‌کند، و در حقیقت کتاب عقیدتی و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دوره تفسیر قرآن است و جزء اخیر آن، از سورۀ منافقین، تا آخر قرآن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شخصی دیگر در قاهره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مقایسه، روشن می‌شود که این دو کتاب در مسائل عقیدتی، از نظر مطلب و لفظ کاملا به هم نزدیکند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المقالات، محقق کتاب التوحید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آن در کتابخانه‌های اروپا موجود است و اما دیگر آثار او که نام آنها در کتابهای ترجمه آمده،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 الشرایع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الجدل فی أصول الفقه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و هم المعتزلة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کتاب الأصول الخمسة للباهلی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الإمامة لبعض الروافض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علی أصول القرامطة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تهذیب الجدل للکعبی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وعید الفساق للکعبی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أوائل الأدلة للکعبی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کتابها تاکنون اثری به دست نیامده است</w:t>
      </w:r>
      <w:r>
        <w:rPr>
          <w:rFonts w:eastAsia="IRNazanin" w:cs="IRNazanin"/>
          <w:color w:val="111111"/>
          <w:sz w:val="28"/>
          <w:szCs w:val="28"/>
          <w:rtl w:val="true"/>
          <w:lang w:bidi="fa-IR"/>
        </w:rPr>
        <w:t>.</w:t>
      </w:r>
    </w:p>
    <w:p>
      <w:pPr>
        <w:pStyle w:val="Heading3"/>
        <w:numPr>
          <w:ilvl w:val="2"/>
          <w:numId w:val="1"/>
        </w:numPr>
        <w:rPr/>
      </w:pPr>
      <w:bookmarkStart w:id="32" w:name="__RefHeading___Toc1119564_1738255347"/>
      <w:bookmarkStart w:id="33" w:name="_Toc12"/>
      <w:bookmarkEnd w:id="32"/>
      <w:r>
        <w:rPr>
          <w:rtl w:val="true"/>
        </w:rPr>
        <w:t>تفاوت دو مکتب</w:t>
      </w:r>
      <w:r>
        <w:rPr>
          <w:rtl w:val="true"/>
        </w:rPr>
        <w:t xml:space="preserve">: </w:t>
      </w:r>
      <w:r>
        <w:rPr>
          <w:rtl w:val="true"/>
        </w:rPr>
        <w:t>اشعری و ماتریدی</w:t>
      </w:r>
      <w:bookmarkEnd w:id="3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یاد آور شدیم، شیخ اشعری و ماتریدی هر دو، در یک عصر به</w:t>
      </w:r>
    </w:p>
    <w:p>
      <w:pPr>
        <w:pStyle w:val="BookText"/>
        <w:rPr/>
      </w:pPr>
      <w:r>
        <w:rPr>
          <w:rFonts w:ascii="IRNazanin" w:hAnsi="IRNazanin" w:eastAsia="IRNazanin"/>
          <w:color w:val="111111"/>
          <w:sz w:val="28"/>
          <w:sz w:val="28"/>
          <w:szCs w:val="28"/>
          <w:rtl w:val="true"/>
          <w:lang w:bidi="fa-IR"/>
        </w:rPr>
        <w:t>عنوان دفاع از عقیدۀ اهل سنت برخاستند و هدف پاسخگویی به نظریات معتزله بود، ولی هرگز نمی‌توانند این دو نفر از نظر فکری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اشعری قید اعتزال را زد و مکتب ابن حنبل را پذیرفت وبا پذیرفتن عقاید وی نتوانست در مسائل عقیدتی آزادانه فکر کند، لذا ناچار شد بر ظواهر جمود کند، و از ارزش عقل و برهان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در عقاید حنابله تصرف بنیادی به عمل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ابو منصور ماتریدی پیرو امام خود ابو 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در فقه به قیاس و استحسان عمل می‌کند و فقه او رنگ عقلی بیشتری دارد، از این رو این دو فرد نمی‌توانند در اصول تا چه رسد در فروع صد درصد به توافق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تفاوت این دو مکتب مورد توجه نویسندگان قرارگرفته و افکار و عقاید مختلفی ابراز نموده اند که نظریۀ برخی را منعکس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امین مصری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ماتریدی و اشعری در مسائل اساسی با هم به توافق رسیده‌اند و کتابهای فراوانی در شرح مذهب ماتریدی مانند عقاید نسفی و شرح مذهب اشعری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در بارۀ مسائل اختلاف این دو امام، کتابهایی نوشته‌اند و برخی نقاط اختلاف را به چهل مسأله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اضافه می‌کند که فکر اعتزال در مکتب اشعری بیش از مکتب ماتریدی است، زیرا اشعری مدتها از معتزله پیروی می‌کرد و نمونۀ آن این است که 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الله پیش از بعثت پیامبران عقلا واجب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وجوب نقلی و شرعی آن قائل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ظهر الإسلام،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احمد امین، اساس صحیحی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این داوری به حدس اعتماد نموده است، بلکه رنگ عقلی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مکتب اشعری است و دو کتاب منتشر شده از آن، به نامهای توحید و تأویلات أهل سنت و همچنین</w:t>
      </w:r>
    </w:p>
    <w:p>
      <w:pPr>
        <w:pStyle w:val="BookText"/>
        <w:rPr/>
      </w:pPr>
      <w:r>
        <w:rPr>
          <w:rFonts w:ascii="IRNazanin" w:hAnsi="IRNazanin" w:eastAsia="IRNazanin"/>
          <w:color w:val="111111"/>
          <w:sz w:val="28"/>
          <w:sz w:val="28"/>
          <w:szCs w:val="28"/>
          <w:rtl w:val="true"/>
          <w:lang w:bidi="fa-IR"/>
        </w:rPr>
        <w:t>آرای پیروان او، بر خلاف گفتار او گواهی می‌دهد، و عجیب اینکه در مسألۀ معرفة الله جریان بر خلاف گفتار احمد امین است و خود احمد امین در جایی از آن کتاب، عکس آن را نقل کرده است و یادآور شده است که ماتریدیه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پیامبری را بر نیانگیزد، بر مردم لازم است خدا و صفات او را بشناسند، و این مسأله از ابو حنیفه نقل‌شده است، ولی مشایخ 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بعثت پیامبران چیزی بر انسان واجب نیست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زهره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ماتریدی عقل از قدرت بیشتری برخوردار است، در حالی که اشاعره به نقل، پای‌بندترند و در حقیقت مکتب اشعری، مکتبی است میان اعتزال و اهل حدیث و مکتب ماتریدی، مکتبی است میان معتزله و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همگی این چهار فرقه، از اهل ایمان بوده و هرکدام گوشه‌ای از میدان ایمان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آن در دست معتزله، گوشه‌ای دیگر در دست اهل حدیث، و گوشه ای در دست ماتریدی و گوشه ای دیگر در دست اشاعره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این نویسندۀ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یک انسان مصلح است تا یک انسان ناقد، او تا آنجا که می‌تواند به آرایش و توجیه مکاتب می‌پردازد و کمتر آنها را نقد می‌کند و هر چهار گروه را اهل ایمان می‌داند، درحالی‌که گروهی از اهل حدیث، راه تشبیه و تجسیم را پیموده و از مسلک جبر پیروی می‌کنند که نتیجۀ آن، بیهوده بودن تکلیف و بعثت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این گروه را اهل ایمان دانست؟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شگفتی دیگر این است که وی میدان ایمان را که این چهار فرقه در آن در حرکتند به چهار قسمت تقسیم کرده و هر ربعی را به یکی از آنها تفویض نموده است</w:t>
      </w:r>
    </w:p>
    <w:p>
      <w:pPr>
        <w:pStyle w:val="BookText"/>
        <w:rPr/>
      </w:pPr>
      <w:r>
        <w:rPr>
          <w:rFonts w:ascii="IRNazanin" w:hAnsi="IRNazanin" w:eastAsia="IRNazanin"/>
          <w:color w:val="111111"/>
          <w:sz w:val="28"/>
          <w:sz w:val="28"/>
          <w:szCs w:val="28"/>
          <w:rtl w:val="true"/>
          <w:lang w:bidi="fa-IR"/>
        </w:rPr>
        <w:t>اکنون باید از ابو زهره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اهل‌بیت که قرآن، مودت آنها را بر مسلمانان لازم کرده</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آنها را یکی از دو امانت گرانبها معرفی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هر محقق آشنا به زندگی ائمۀ اهل‌بیت می‌داند که مسلک اهل‌بیت با هر چهار فرقه مغایر بوده و در عین حال، سر سوزنی از کتاب و سنت و عقل، کنار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تقسیم ابو زهره تقسیم ناروایی است که به آن دست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زاهد کوثری محقق معاصر، ماتریدیه را به خوبی شناخته و آن را مکتبی میان اشعری و معتزلی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این دو مکتب لفظی 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زاهد کوثری، خود از فرقه ماتریدیه پیروی می‌کند هر چند به آن تظاهر نمی‌کند و به نشر آثار این فرقه پرداخته و به حق محقق توانایی است که توانسته است با تتبع زاید الوصف، آثار حشویه و اهل الحدیث و وهابیت را نقد کند، ولی در این داوری، دچار عواطف شده و خواسته به تقریب این دو مکتب بپردازد تنها، آگاهی از یک تفاوت سیان این دو مکتب، کافی است که این دو را، فرسنگها از هم جدا سازد و آن، مسألۀ حسن و قبح عقلی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آن، و اشاعره منکر آن هستند و تنها بر همین اصل مسائل فراوانی از علم کلام، مبتنی است و در هر حال، این دو مکتب با هم اختلافاتی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بزدوی مؤلف اصول دین که از علمای قرن پنجم اسلامی است، اختلاف این دو مکتب را به سه مسأله منحصر می‌سازد</w:t>
      </w:r>
      <w:r>
        <w:rPr>
          <w:rFonts w:eastAsia="IRNazanin" w:cs="IRNazanin"/>
          <w:color w:val="111111"/>
          <w:sz w:val="28"/>
          <w:szCs w:val="28"/>
          <w:rtl w:val="true"/>
          <w:lang w:bidi="fa-IR"/>
        </w:rPr>
        <w:t>.</w:t>
      </w:r>
      <w:r>
        <w:rPr>
          <w:rStyle w:val="FootnoteAnchor"/>
          <w:rtl w:val="true"/>
        </w:rPr>
        <w:footnoteReference w:id="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بیاضی، مسائل اختلافی دو مکتب را مطرح کرده و آنها را به پنجاه</w:t>
      </w:r>
      <w:bookmarkStart w:id="34" w:name="pg17029_176570"/>
    </w:p>
    <w:p>
      <w:pPr>
        <w:pStyle w:val="BookText"/>
        <w:rPr/>
      </w:pPr>
      <w:bookmarkEnd w:id="34"/>
      <w:r>
        <w:rPr>
          <w:rFonts w:ascii="IRNazanin" w:hAnsi="IRNazanin" w:eastAsia="IRNazanin"/>
          <w:color w:val="111111"/>
          <w:sz w:val="28"/>
          <w:sz w:val="28"/>
          <w:szCs w:val="28"/>
          <w:rtl w:val="true"/>
          <w:lang w:bidi="fa-IR"/>
        </w:rPr>
        <w:t>مسأله رسانده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اشارات المرام، 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الرحیم بن علی معروف به شیخ زاده مسائل اختلافی را به نظم درآورده و به نام نظم الفرائد و جمع الفوائد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عذبة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فیما بین الأشعریة و الماتریدیة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حیدرآباد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عثمان بن موسی کتابی به نام خلافیات الأشاعرة مع الماتریدیة نوشته که نسخۀ خطی آن در دار الکتب المصریة، به شماره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تاج الدین السبکی مؤلف طبقات الشافعیة، قصیده ای در مسائل اختلافی میان این دو مکتب دارد که نسخۀ خطی آن در اسکندریه موجود است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این نوع نگارشها حاکی از آن است که فاصلۀ این دو مکتب بیش 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کرده و آن را در سه مسأله خلاصه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روشن شدن حقیقت، فشرده‌ای از عقاید ابو منصور ماتریدی را از نظر خوانندگان محترم می‌گذرانیم</w:t>
      </w:r>
      <w:r>
        <w:rPr>
          <w:rFonts w:eastAsia="IRNazanin" w:cs="IRNazanin"/>
          <w:color w:val="111111"/>
          <w:sz w:val="28"/>
          <w:szCs w:val="28"/>
          <w:rtl w:val="true"/>
          <w:lang w:bidi="fa-IR"/>
        </w:rPr>
        <w:t>.</w:t>
      </w:r>
    </w:p>
    <w:p>
      <w:pPr>
        <w:pStyle w:val="Heading3"/>
        <w:numPr>
          <w:ilvl w:val="2"/>
          <w:numId w:val="1"/>
        </w:numPr>
        <w:rPr/>
      </w:pPr>
      <w:bookmarkStart w:id="35" w:name="__RefHeading___Toc1119566_1738255347"/>
      <w:bookmarkStart w:id="36" w:name="_Toc13"/>
      <w:bookmarkEnd w:id="35"/>
      <w:r>
        <w:rPr>
          <w:rtl w:val="true"/>
        </w:rPr>
        <w:t>امتیازات و ویژگیهای دو مکتب</w:t>
      </w:r>
      <w:bookmarkEnd w:id="36"/>
    </w:p>
    <w:p>
      <w:pPr>
        <w:pStyle w:val="Heading4"/>
        <w:numPr>
          <w:ilvl w:val="3"/>
          <w:numId w:val="1"/>
        </w:numPr>
        <w:rPr/>
      </w:pPr>
      <w:bookmarkStart w:id="37" w:name="__RefHeading___Toc1119568_1738255347"/>
      <w:bookmarkStart w:id="38" w:name="_Toc14"/>
      <w:bookmarkEnd w:id="37"/>
      <w:r>
        <w:rPr>
          <w:rtl w:val="true"/>
        </w:rPr>
        <w:t>اشاره</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تفاوت مکتب دو حامی اهل سنت، یعنی اشعری و ماتریدی، به‌طور فشرده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لازم است نقاط اختلاف هر دو را مشروحا بیان کنیم تا روشن شود، کدام‌یک از این دو مکتب به عقل‌گرایی نزدیکتر است</w:t>
      </w:r>
      <w:r>
        <w:rPr>
          <w:rFonts w:eastAsia="IRNazanin" w:cs="IRNazanin"/>
          <w:color w:val="111111"/>
          <w:sz w:val="28"/>
          <w:szCs w:val="28"/>
          <w:rtl w:val="true"/>
          <w:lang w:bidi="fa-IR"/>
        </w:rPr>
        <w:t>:</w:t>
      </w:r>
      <w:bookmarkStart w:id="39" w:name="pg17029_176571"/>
    </w:p>
    <w:p>
      <w:pPr>
        <w:pStyle w:val="Heading4"/>
        <w:numPr>
          <w:ilvl w:val="3"/>
          <w:numId w:val="1"/>
        </w:numPr>
        <w:rPr/>
      </w:pPr>
      <w:bookmarkStart w:id="40" w:name="__RefHeading___Toc1119570_1738255347"/>
      <w:bookmarkStart w:id="41" w:name="_Toc15"/>
      <w:bookmarkEnd w:id="39"/>
      <w:bookmarkEnd w:id="40"/>
      <w:r>
        <w:rPr/>
        <w:t>1</w:t>
      </w:r>
      <w:r>
        <w:rPr>
          <w:rtl w:val="true"/>
        </w:rPr>
        <w:t xml:space="preserve"> - </w:t>
      </w:r>
      <w:r>
        <w:rPr>
          <w:rtl w:val="true"/>
        </w:rPr>
        <w:t>معرفت خدا قبل از بعثت پیامبران</w:t>
      </w:r>
      <w:bookmarkEnd w:id="41"/>
    </w:p>
    <w:p>
      <w:pPr>
        <w:pStyle w:val="BookText"/>
        <w:rPr/>
      </w:pPr>
      <w:r>
        <w:rPr>
          <w:rFonts w:ascii="IRNazanin" w:hAnsi="IRNazanin" w:eastAsia="IRNazanin"/>
          <w:color w:val="111111"/>
          <w:sz w:val="28"/>
          <w:sz w:val="28"/>
          <w:szCs w:val="28"/>
          <w:rtl w:val="true"/>
          <w:lang w:bidi="fa-IR"/>
        </w:rPr>
        <w:t>اشاعره، وجوب معرفت را سمعی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بعثت پیامبران، معرفت خدا و صفات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پیامبری آمد و فرمانی آورد و فرمرد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انْظُرُوا ما ذا فِی السَّماواتِ وَ الْأَرْضِ معرفت بر ما واجب می‌شود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مواقف،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نظر اشعری در این مورد بسیار سست و بی‌پایه است، تا آنجا که نویسندۀ مواقف و شارح آنکه خود از پیشوایان اشاعره بشمار می‌روند، بر این نظریه انتقاد دارند، ولی شیخ ماتریدی وجوب معرفت را کاملا عقلی دانسته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عقل، باید وجود خدا و یگانگی و علم و قدرت و کلام و ارادۀ او و حدوث جهان، و گواهی معجزه بر صدق رسول را شناخت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درایت خود، دریافته است که اگر وجوب معرفت و آنچه که در کلام او بر آن عطف شده است از شرع استفاده شود، مستلزم دور است، زیرا هنوز خدا ثابت نشده وبا صفات او آشنا نشده‌ایم و نبوت پیامبران مبرهن نگشته، در این صورت چگونه می‌توان وجوب آن را از کلام پیامبر به عنوان یک حکم الزامی استفاده کرد؟</w:t>
      </w:r>
    </w:p>
    <w:p>
      <w:pPr>
        <w:pStyle w:val="Heading4"/>
        <w:numPr>
          <w:ilvl w:val="3"/>
          <w:numId w:val="1"/>
        </w:numPr>
        <w:rPr/>
      </w:pPr>
      <w:bookmarkStart w:id="42" w:name="__RefHeading___Toc1119572_1738255347"/>
      <w:bookmarkStart w:id="43" w:name="_Toc16"/>
      <w:bookmarkEnd w:id="42"/>
      <w:r>
        <w:rPr/>
        <w:t>2</w:t>
      </w:r>
      <w:r>
        <w:rPr>
          <w:rtl w:val="true"/>
        </w:rPr>
        <w:t xml:space="preserve"> - </w:t>
      </w:r>
      <w:r>
        <w:rPr>
          <w:rtl w:val="true"/>
        </w:rPr>
        <w:t>حسن و قبح عقلی</w:t>
      </w:r>
      <w:bookmarkEnd w:id="4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قبح عقلی نقش مهمی در مسائل کلامی دارد و مسائل فراوانی بر آن</w:t>
      </w:r>
      <w:bookmarkStart w:id="44" w:name="pg17029_176572"/>
    </w:p>
    <w:p>
      <w:pPr>
        <w:pStyle w:val="BookText"/>
        <w:rPr/>
      </w:pPr>
      <w:bookmarkEnd w:id="44"/>
      <w:r>
        <w:rPr>
          <w:rFonts w:ascii="IRNazanin" w:hAnsi="IRNazanin" w:eastAsia="IRNazanin"/>
          <w:color w:val="111111"/>
          <w:sz w:val="28"/>
          <w:sz w:val="28"/>
          <w:szCs w:val="28"/>
          <w:rtl w:val="true"/>
          <w:lang w:bidi="fa-IR"/>
        </w:rPr>
        <w:t>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به گمان اینکه اعتراف به استقلال عقل در این زمینه مایۀ محدودیت مشیت الهی می‌گردد، به کلی آن را انکار کرده و پیامدهای آنها را پذیرفته‌اند، حتی از نظر آنها سوزاندن کودک بی‌گناه در دوزخ مانعی ندارد،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دوشادوش معتزله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بیاضی که از شارحان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یازدهم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ماتریدی حکم عقل را در مسألۀ استحقاق مدح و ثواب و یا استحقاق نکوهش و عقاب می‌پذیرد و از طریق حکم عقل، حکم الهی نیز کشف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تبیین مقصود خود از حکم خرد می‌پردازد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ایجابی از ناحیۀ عقل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خرد کاشف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 است و محال است جائر و ستمکار باشد، همچنانکه جایز نیست مطیع را معذب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ماتریدی درست همان گفتار معتزله است و هرگز معتزله حکم عقل را حاکم بر خدا نمی‌دانند، بلکه آن را کاشف از مشیت الهی می‌اندیشند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مبادی حکیمانه که در ذات خدا هست، صدور این فعل از او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چنین داوری مایۀ محدودیت مشیت الهی نیست، بلکه این خود مشیت الهی است که به کمال آزادی، زیبا را انجام می‌دهد و نا زیبا را ترک می‌کند، درحالی‌که بر هر دو قدرت و توانایی دارد</w:t>
      </w:r>
      <w:r>
        <w:rPr>
          <w:rFonts w:eastAsia="IRNazanin" w:cs="IRNazanin"/>
          <w:color w:val="111111"/>
          <w:sz w:val="28"/>
          <w:szCs w:val="28"/>
          <w:rtl w:val="true"/>
          <w:lang w:bidi="fa-IR"/>
        </w:rPr>
        <w:t>.</w:t>
      </w:r>
    </w:p>
    <w:p>
      <w:pPr>
        <w:pStyle w:val="Heading4"/>
        <w:numPr>
          <w:ilvl w:val="3"/>
          <w:numId w:val="1"/>
        </w:numPr>
        <w:rPr/>
      </w:pPr>
      <w:bookmarkStart w:id="45" w:name="__RefHeading___Toc1119574_1738255347"/>
      <w:bookmarkStart w:id="46" w:name="_Toc17"/>
      <w:bookmarkEnd w:id="45"/>
      <w:r>
        <w:rPr/>
        <w:t>3</w:t>
      </w:r>
      <w:r>
        <w:rPr>
          <w:rtl w:val="true"/>
        </w:rPr>
        <w:t xml:space="preserve"> - </w:t>
      </w:r>
      <w:r>
        <w:rPr>
          <w:rtl w:val="true"/>
        </w:rPr>
        <w:t>تکلیف به بیش از توانایی</w:t>
      </w:r>
      <w:bookmarkEnd w:id="4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تکلیف به بیش از توانایی یعنی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واو از آیات قرآن بر جواز آن استدلال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أَنْبِئُونِی بِأَسْماءِ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نامهای این اشیاء خبر</w:t>
      </w:r>
      <w:bookmarkStart w:id="47" w:name="pg17029_176573"/>
    </w:p>
    <w:p>
      <w:pPr>
        <w:pStyle w:val="BookText"/>
        <w:rPr/>
      </w:pPr>
      <w:bookmarkEnd w:id="47"/>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فرشتگان قادر بر چنین کاری نبودند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اشعری به خاطر سرسپردگی به مکتب احمد بن حنبل، تصور کرده است که امر در این آیه جدی بوده درحالی‌که امر، امر تعجیزی است، یعنی هدف جلب توجه طرف، به عجز خود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شارحان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جایز نمی‌دانند و بیاضی 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بما لا یطاق به خاطر نبودن قدرت یا شرط فعل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چیزی است که بیاضی آن را یاد می‌کند، ولی پایه‌گذار مکتب یعنی خود ابو منصور در کتاب توحید قائل به‌تفصیل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قدرت خود را از روی تقصیر از دست بدهد، می‌توان با نبودن قدرت به او تکلیف کرد، به خلاف کسی که در این راه مرتکب تقصیر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گفتار ابو منصور هرچند سست و بی‌پایه است، زیرا حکم عقل قابل تخصیص نیست و هرگز نمی‌توان میان قاصر و مقصر در این مورد فرق گذارد، آری می‌توان آن دو را از نظر مؤاخذه و نکوهش یکسان ندانست، ولی یکسان نبودن در مؤاخذه، غیر از یکسان نبودن در قبح تکلیف است و در هر حال، با همتای خود در این مسأله اختلاف نظر دارد</w:t>
      </w:r>
      <w:r>
        <w:rPr>
          <w:rFonts w:eastAsia="IRNazanin" w:cs="IRNazanin"/>
          <w:color w:val="111111"/>
          <w:sz w:val="28"/>
          <w:szCs w:val="28"/>
          <w:rtl w:val="true"/>
          <w:lang w:bidi="fa-IR"/>
        </w:rPr>
        <w:t>.</w:t>
      </w:r>
    </w:p>
    <w:p>
      <w:pPr>
        <w:pStyle w:val="Heading4"/>
        <w:numPr>
          <w:ilvl w:val="3"/>
          <w:numId w:val="1"/>
        </w:numPr>
        <w:rPr/>
      </w:pPr>
      <w:bookmarkStart w:id="48" w:name="__RefHeading___Toc1119576_1738255347"/>
      <w:bookmarkStart w:id="49" w:name="_Toc18"/>
      <w:bookmarkEnd w:id="48"/>
      <w:r>
        <w:rPr/>
        <w:t>4</w:t>
      </w:r>
      <w:r>
        <w:rPr>
          <w:rtl w:val="true"/>
        </w:rPr>
        <w:t xml:space="preserve"> - </w:t>
      </w:r>
      <w:r>
        <w:rPr>
          <w:rtl w:val="true"/>
        </w:rPr>
        <w:t>افعال خدا در گرو اغراض و غایات است</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خدا خالی از هر نوع غرض و هدف است، زیرا اگر در گرو اغراض بود، باید او موجود ناقصی باشد که از طریق تحصیل غرض می‌خواهد به کمال برسد</w:t>
      </w:r>
      <w:r>
        <w:rPr>
          <w:rFonts w:eastAsia="IRNazanin" w:cs="IRNazanin"/>
          <w:color w:val="111111"/>
          <w:sz w:val="28"/>
          <w:szCs w:val="28"/>
          <w:rtl w:val="true"/>
          <w:lang w:bidi="fa-IR"/>
        </w:rPr>
        <w:t>.</w:t>
      </w:r>
      <w:r>
        <w:rPr>
          <w:rStyle w:val="FootnoteAnchor"/>
          <w:rtl w:val="true"/>
        </w:rPr>
        <w:footnoteReference w:id="2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همتای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خدا را در گرو مصالح و حکم</w:t>
      </w:r>
      <w:bookmarkStart w:id="50" w:name="pg17029_176574"/>
    </w:p>
    <w:p>
      <w:pPr>
        <w:pStyle w:val="BookText"/>
        <w:rPr/>
      </w:pPr>
      <w:bookmarkEnd w:id="50"/>
      <w:r>
        <w:rPr>
          <w:rFonts w:ascii="IRNazanin" w:hAnsi="IRNazanin" w:eastAsia="IRNazanin"/>
          <w:color w:val="111111"/>
          <w:sz w:val="28"/>
          <w:sz w:val="28"/>
          <w:szCs w:val="28"/>
          <w:rtl w:val="true"/>
          <w:lang w:bidi="fa-IR"/>
        </w:rPr>
        <w:t>می‌داند که همگی به بندگان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بحث وارد نمی‌شویم، ولی به نکته‌ای اشاره می‌کنیم که امام اشاعره از آن غفلت ورزیده است، زیرا باید میان دو غرض فرق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غرضی که به فاعل بر می‌گردد و غرضی که مربوط به خود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مایۀ استکمال است همان اولی است یعنی فاعل کاری برای خود انجام دهد، ولی آنچه که مطرح است، این است، افعال او در گرو مصالح و حکمی است که بندگان از آن بهره می‌گیرند، همان‌طوری که از لسان مؤمنان واقعی و حقیقت جو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ما خَلَقْتَ هذا باطِلاً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السَّماءَ وَ الْأَرْضَ وَ ما بَیْنَهُما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ظَنُّ الَّذِینَ کَفَرُوا فَوَیْلٌ لِلَّذِینَ کَفَرُوا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 و زمین و آنچه در میان آن دو است را بیهوده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گروهی است که کفر ورزیدند، وای بر کافران از آتش دوزخ</w:t>
      </w:r>
      <w:r>
        <w:rPr>
          <w:rFonts w:eastAsia="IRNazanin" w:cs="IRNazanin"/>
          <w:color w:val="111111"/>
          <w:sz w:val="28"/>
          <w:szCs w:val="28"/>
          <w:rtl w:val="true"/>
          <w:lang w:bidi="fa-IR"/>
        </w:rPr>
        <w:t>».</w:t>
      </w:r>
    </w:p>
    <w:p>
      <w:pPr>
        <w:pStyle w:val="Heading4"/>
        <w:numPr>
          <w:ilvl w:val="3"/>
          <w:numId w:val="1"/>
        </w:numPr>
        <w:rPr/>
      </w:pPr>
      <w:bookmarkStart w:id="51" w:name="__RefHeading___Toc1119578_1738255347"/>
      <w:bookmarkStart w:id="52" w:name="_Toc19"/>
      <w:bookmarkEnd w:id="51"/>
      <w:r>
        <w:rPr/>
        <w:t>5</w:t>
      </w:r>
      <w:r>
        <w:rPr>
          <w:rtl w:val="true"/>
        </w:rPr>
        <w:t xml:space="preserve"> - </w:t>
      </w:r>
      <w:r>
        <w:rPr>
          <w:rtl w:val="true"/>
        </w:rPr>
        <w:t>استطاعت پیش از فعل است، یا همراه آن؟</w:t>
      </w:r>
      <w:bookmarkEnd w:id="52"/>
    </w:p>
    <w:p>
      <w:pPr>
        <w:pStyle w:val="BookText"/>
        <w:rPr/>
      </w:pPr>
      <w:r>
        <w:rPr>
          <w:rFonts w:ascii="IRNazanin" w:hAnsi="IRNazanin" w:eastAsia="IRNazanin"/>
          <w:color w:val="111111"/>
          <w:sz w:val="28"/>
          <w:sz w:val="28"/>
          <w:szCs w:val="28"/>
          <w:rtl w:val="true"/>
          <w:lang w:bidi="fa-IR"/>
        </w:rPr>
        <w:t>الهیون اتفاق نظر دارند که قدرت خدا متقدم بر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آنکه اشیاء را خلق کند، قادر بوده و این قدرت پیوسته با او همراه است، ولی دربارۀ انسان اختلاف نظر است، 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انسان بر فعل، مقارن با فعل پیدا می‌شود، نه قبل از آن</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 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میان قدرت به معنی علت ناقصه و قدرت به معنی علت تامه فرق می‌گذارد، اولی را جلوتر از فعل و دومی را همراه با فعل می‌اندیشد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3" w:name="pg17029_176575"/>
    </w:p>
    <w:p>
      <w:pPr>
        <w:pStyle w:val="Heading4"/>
        <w:numPr>
          <w:ilvl w:val="3"/>
          <w:numId w:val="1"/>
        </w:numPr>
        <w:rPr/>
      </w:pPr>
      <w:bookmarkStart w:id="54" w:name="__RefHeading___Toc1119580_1738255347"/>
      <w:bookmarkStart w:id="55" w:name="_Toc20"/>
      <w:bookmarkEnd w:id="53"/>
      <w:bookmarkEnd w:id="54"/>
      <w:r>
        <w:rPr/>
        <w:t>6</w:t>
      </w:r>
      <w:r>
        <w:rPr>
          <w:rtl w:val="true"/>
        </w:rPr>
        <w:t xml:space="preserve"> - </w:t>
      </w:r>
      <w:r>
        <w:rPr>
          <w:rtl w:val="true"/>
        </w:rPr>
        <w:t>قدرت نسبت به فعل و ترک یکسان است</w:t>
      </w:r>
      <w:bookmarkEnd w:id="55"/>
    </w:p>
    <w:p>
      <w:pPr>
        <w:pStyle w:val="BookText"/>
        <w:rPr/>
      </w:pPr>
      <w:r>
        <w:rPr>
          <w:rFonts w:ascii="IRNazanin" w:hAnsi="IRNazanin" w:eastAsia="IRNazanin"/>
          <w:color w:val="111111"/>
          <w:sz w:val="28"/>
          <w:sz w:val="28"/>
          <w:szCs w:val="28"/>
          <w:rtl w:val="true"/>
          <w:lang w:bidi="fa-IR"/>
        </w:rPr>
        <w:t>قدرت در برابر کلمۀ ایجاب به کار می‌رود، ایجاب فقط به یک‌طرف تعلق می‌گیرد، مانند آتش که فاعل موجب به شمار می‌رود و پیوسته متوجه یک سوست و فقط می‌تواند حرارت تولید کند، نه برودت، درحالی‌که قدرت چیزی است که بر فعل و ترک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تعلق قدرت را نسبت به هر دو طرف منکر می‌شوند، ولی معتزله و ماتریدیه، معتقدند که بر هر دو طرف تعلق می‌گیرد</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و البیاضی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المرام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اشاعره این نظر را نیز 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تفصیلی که دربارۀ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فعل یا متقدم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باید همان را نیز در این جا مطرح کنند و آن اینکه، قدرت در حد علت ناقص صلاحیت تعلق به هر دو طرف را دارد، ولی قدرتی که به حد علت تامه برسد و تمام راههای مخالف بسته گردد حالت یکسویی پیدا می‌کند، دیگر نمی‌تواند بر ضدین تعلق بگیرد، بلکه بر ضد واحدی تعلق خواهد گرفت</w:t>
      </w:r>
      <w:r>
        <w:rPr>
          <w:rFonts w:eastAsia="IRNazanin" w:cs="IRNazanin"/>
          <w:color w:val="111111"/>
          <w:sz w:val="28"/>
          <w:szCs w:val="28"/>
          <w:rtl w:val="true"/>
          <w:lang w:bidi="fa-IR"/>
        </w:rPr>
        <w:t>.</w:t>
      </w:r>
    </w:p>
    <w:p>
      <w:pPr>
        <w:pStyle w:val="Heading4"/>
        <w:numPr>
          <w:ilvl w:val="3"/>
          <w:numId w:val="1"/>
        </w:numPr>
        <w:rPr/>
      </w:pPr>
      <w:bookmarkStart w:id="56" w:name="__RefHeading___Toc1119582_1738255347"/>
      <w:bookmarkStart w:id="57" w:name="_Toc21"/>
      <w:bookmarkEnd w:id="56"/>
      <w:r>
        <w:rPr/>
        <w:t>7</w:t>
      </w:r>
      <w:r>
        <w:rPr>
          <w:rtl w:val="true"/>
        </w:rPr>
        <w:t xml:space="preserve"> - </w:t>
      </w:r>
      <w:r>
        <w:rPr>
          <w:rtl w:val="true"/>
        </w:rPr>
        <w:t>افعال بندگان فعل مستقیم خداست</w:t>
      </w:r>
      <w:bookmarkEnd w:id="57"/>
    </w:p>
    <w:p>
      <w:pPr>
        <w:pStyle w:val="BookText"/>
        <w:rPr/>
      </w:pPr>
      <w:r>
        <w:rPr>
          <w:rFonts w:ascii="IRNazanin" w:hAnsi="IRNazanin" w:eastAsia="IRNazanin"/>
          <w:color w:val="111111"/>
          <w:sz w:val="28"/>
          <w:sz w:val="28"/>
          <w:szCs w:val="28"/>
          <w:rtl w:val="true"/>
          <w:lang w:bidi="fa-IR"/>
        </w:rPr>
        <w:t>اشاعره در تفسیر هَلْ مِنْ خالِقٍ غَیْرُ اللّهِ راه افراط را در پیش گرفته و همۀ پدیده‌ها را صنع مستقیم خدا می‌دانند و هر نوع رابطه را میان طبیعت و اثر آن قطعی می‌شمارند، تو گویی خدا جانشین همۀ علل و معدات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پیوسته در لسان اشاعره، خصوصا میان مشایخ دانشگاه از هر تا چندی پیش، مضمون این شعر رایج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یقل بالطبع أو بالعلّة فذاک کفر عند أهل الملّة</w:t>
      </w:r>
    </w:p>
    <w:p>
      <w:pPr>
        <w:pStyle w:val="BookText"/>
        <w:rPr/>
      </w:pPr>
      <w:r>
        <w:rPr>
          <w:rFonts w:ascii="IRNazanin" w:hAnsi="IRNazanin" w:eastAsia="IRNazanin"/>
          <w:color w:val="111111"/>
          <w:sz w:val="28"/>
          <w:sz w:val="28"/>
          <w:szCs w:val="28"/>
          <w:rtl w:val="true"/>
          <w:lang w:bidi="fa-IR"/>
        </w:rPr>
        <w:t>هر کس سخن از تأثیر طبیعت و علیت آن بگوید این در نزد اهل اسلام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دربارۀ افعال خدا معتقدند که فعل انسان اثر مستقیم خداست و قدرت انسان در پدید آمدن آن تأثیر ندارد، چیزی که هست هر موقع انسان اراده کند، قدرتی در وجود او پدید می‌آید، اما این قدرت کوچکترین تأثیری در پیدایش فعل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به خاطر جمع میان حصر خالقیت در خدا هَلْ مِنْ خالِقٍ غَیْرُ اللّهِ و توجیه مسؤولیت بشمر در مقابل افعال خود، اصطلاحی پدید آورده یا از اصطلاحی پیروی کرده است</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این اصطلاح مربوط به یکی از معتزله به نام ضرار بن عمرو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کسب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خداست و بندگان خدا کاسب هستند، بنده فعل خود را پدید نمی‌آورد، بلکه آن را کسب می‌کند، اما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سخنان مختلف گفته‌اند که خود کسب یکی از لغزهای جهان در آمده است و روشن ترین معنی آن چیزی است که علاء الدین قوشچی شارح عقاید اشعری،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کسب این است که قدرت و ارادۀ انسان با صدور فعل از او مقارن می‌باشد، درحالی‌که هیچ‌یک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قدرت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او تأثیر نگذاشته و انسان ظرف فعلی است که خدا آفرینندۀ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توجه کرد که اگر قدرت و ارادۀ انسان در فعل او تأثیری ندارد، پس چرا او مسؤول فعل خدا باشد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او به خاطر ارادۀ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می‌شود دستی از غیب درآید و فعل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آن است که او انجام داده است، نقل کلام به خود اراده می‌شود، اگر او نیز در ارادۀ خود مؤثر نباشد در این صورت نباید مسؤولیتی متوجه او شود</w:t>
      </w:r>
      <w:r>
        <w:rPr>
          <w:rFonts w:eastAsia="IRNazanin" w:cs="IRNazanin"/>
          <w:color w:val="111111"/>
          <w:sz w:val="28"/>
          <w:szCs w:val="28"/>
          <w:rtl w:val="true"/>
          <w:lang w:bidi="fa-IR"/>
        </w:rPr>
        <w:t>.</w:t>
      </w:r>
      <w:bookmarkStart w:id="58" w:name="pg17029_176577"/>
    </w:p>
    <w:p>
      <w:pPr>
        <w:pStyle w:val="BookText"/>
        <w:rPr/>
      </w:pPr>
      <w:bookmarkEnd w:id="58"/>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مقابل این سخن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در این مسأله از شیخ مکتب خود ابو حنیفه پیروی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از آن نظر مسؤول است که قدرت خدا دادی را به نقطه‌ای متوجه می‌سازد، مثلا به جای آنکه در طاعت مصرف کند، در معصیت به کار می‌برد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اشارات المرام،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شیخ ماتریدی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این است که بندۀ خدا قدرت خدادادی را در یکی از دو راه، از روی اختیار مصرف کند، این همان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شیخ ماتریدی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مشروح این تبیین کرده است و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مطیعان، نوید پاداش داده و گنهکاران را بیم عذاب داده است هرگاه چنین است، باید فعل او به او واقعا منتسب باشد و در آخر کلام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ما می‌داند که او در انجام کار خود مختار است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59" w:name="__RefHeading___Toc1119584_1738255347"/>
      <w:bookmarkStart w:id="60" w:name="_Toc22"/>
      <w:bookmarkEnd w:id="59"/>
      <w:r>
        <w:rPr/>
        <w:t>8</w:t>
      </w:r>
      <w:r>
        <w:rPr>
          <w:rtl w:val="true"/>
        </w:rPr>
        <w:t xml:space="preserve"> - </w:t>
      </w:r>
      <w:r>
        <w:rPr>
          <w:rtl w:val="true"/>
        </w:rPr>
        <w:t>صفات خدا عین ذات اوست</w:t>
      </w:r>
      <w:bookmarkEnd w:id="60"/>
    </w:p>
    <w:p>
      <w:pPr>
        <w:pStyle w:val="BookText"/>
        <w:rPr/>
      </w:pPr>
      <w:r>
        <w:rPr>
          <w:rFonts w:ascii="IRNazanin" w:hAnsi="IRNazanin" w:eastAsia="IRNazanin"/>
          <w:color w:val="111111"/>
          <w:sz w:val="28"/>
          <w:sz w:val="28"/>
          <w:szCs w:val="28"/>
          <w:rtl w:val="true"/>
          <w:lang w:bidi="fa-IR"/>
        </w:rPr>
        <w:t xml:space="preserve">متکلمان اسلامی اتفاق دارند که خدا دارای اوصافی مانند علم و قدرت و حیات است، ولی معتزله و امامیه عقیده دارند که صافات ذاتی او عین ذات اوست و خدا از نظر کمال و جمال به نقطه‌ای رسیده است که ذات او سراسر علم و قدرت است، درحالی‌که اشاعره این صفات را زاید بر ذات دانسته و کسانی را که صفات ذاتی او را عین ذات او می‌دانند، متهم به نفی صفات کرده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شیخ اشعری مسألۀ عینیت را پذیرفته است وبا عدلیه در اینجا همگام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عقاید نسفی که بر اساس عقاید ماتریدی نگارش یافته،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اهل حدیث،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است به علم جدا از ذات، ولی بیشتر مشایخ ما</w:t>
      </w:r>
      <w:bookmarkStart w:id="61" w:name="pg17029_176578"/>
    </w:p>
    <w:p>
      <w:pPr>
        <w:pStyle w:val="BookText"/>
        <w:rPr/>
      </w:pPr>
      <w:bookmarkEnd w:id="61"/>
      <w:r>
        <w:rPr>
          <w:rFonts w:ascii="IRNazanin" w:hAnsi="IRNazanin" w:eastAsia="IRNazanin"/>
          <w:color w:val="111111"/>
          <w:sz w:val="28"/>
          <w:sz w:val="28"/>
          <w:szCs w:val="28"/>
          <w:rtl w:val="true"/>
          <w:lang w:bidi="fa-IR"/>
        </w:rPr>
        <w:t>از گفتن آن ابا می‌ورزند و این که مبادا تصور شود که خدا ذاتی دارد و برای او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منصور ماتریدی نیز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عالم بذاته، حی بذاته، قادر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تصور شود که او می‌خواهد صفات خدا را نفی کند، در حالی که او در کتابهای خود پیوسته صافات ذاتی را با دلایل ثابت می‌کند، ولی در عین حال آن را زاید بر ذات نمی‌داند</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نسفی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4"/>
        <w:numPr>
          <w:ilvl w:val="3"/>
          <w:numId w:val="1"/>
        </w:numPr>
        <w:rPr/>
      </w:pPr>
      <w:bookmarkStart w:id="62" w:name="__RefHeading___Toc1119586_1738255347"/>
      <w:bookmarkStart w:id="63" w:name="_Toc23"/>
      <w:bookmarkEnd w:id="62"/>
      <w:r>
        <w:rPr/>
        <w:t>9</w:t>
      </w:r>
      <w:r>
        <w:rPr>
          <w:rtl w:val="true"/>
        </w:rPr>
        <w:t xml:space="preserve"> - </w:t>
      </w:r>
      <w:r>
        <w:rPr>
          <w:rtl w:val="true"/>
        </w:rPr>
        <w:t>تفسیر صفات خبری</w:t>
      </w:r>
      <w:bookmarkEnd w:id="6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نقاطی که این دو مکتب در آن با هم اختلاف دارند، تفسیر صفات خبری یکی از موارد آن تفسیر آیه إنّ اللّه علی العرش استوی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به پیروی از احمد بن حنبل، استوا را به معنی استقرار گرفته و به روشنی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مستو علی العرش الّذی فوق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عرشی که بالای آسمانهاست استقرار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آنکه متهم به تجسیم نشود،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همانطورکه گفته است بر عرش خود به نحوی که لایق مقام اوست قرار دارد و گواه این مطلب آن است که خدا در آخرین ثلث شب، فرود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مرا بخواند تا او را اجابت کنم؟</w:t>
      </w:r>
      <w:r>
        <w:rPr>
          <w:rStyle w:val="FootnoteAnchor"/>
          <w:rtl w:val="true"/>
        </w:rPr>
        <w:footnoteReference w:id="29"/>
      </w:r>
      <w:r>
        <w:rPr>
          <w:rFonts w:ascii="IRNazanin" w:hAnsi="IRNazanin" w:eastAsia="IRNazanin"/>
          <w:color w:val="111111"/>
          <w:sz w:val="28"/>
          <w:sz w:val="28"/>
          <w:szCs w:val="28"/>
          <w:rtl w:val="true"/>
          <w:lang w:bidi="fa-IR"/>
        </w:rPr>
        <w:t>بنابراین، اشعری این نوع از صفات را به همان معنای حرفی بر خدا ثابت می‌داند و هرگز معنی آن را به خدا تفویض و یا تأویل نمی‌کند ولی برای اینکه متهم به تجسیم نشود، با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نحوی که شایستۀ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فرار می‌کند، در حالی که ماتریدی در این نوع از صفات خبری که تفسیر حرفی آن، مستلزم تجسیم است،</w:t>
      </w:r>
      <w:bookmarkStart w:id="64" w:name="pg17029_176579"/>
    </w:p>
    <w:p>
      <w:pPr>
        <w:pStyle w:val="BookText"/>
        <w:rPr/>
      </w:pPr>
      <w:bookmarkEnd w:id="64"/>
      <w:r>
        <w:rPr>
          <w:rFonts w:ascii="IRNazanin" w:hAnsi="IRNazanin" w:eastAsia="IRNazanin"/>
          <w:color w:val="111111"/>
          <w:sz w:val="28"/>
          <w:sz w:val="28"/>
          <w:szCs w:val="28"/>
          <w:rtl w:val="true"/>
          <w:lang w:bidi="fa-IR"/>
        </w:rPr>
        <w:t>رأی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مسأله می‌گوید، باید معانی این نوع صفات به خدا تفویض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ترجمۀ گفتار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نزد ما آیۀ لَیْسَ کَمِثْلِهِ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هر نوع شباهت به خلق را نفی کرده است و ما ثابت کردیم که خدا در ذات و صفت از هر نوع شباهت،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به آیۀ اَلرَّحْمنُ عَلَی الْعَرْشِ اسْتَوی همین طوری که در قرآن آمده و عقل نیز دلالت دارد، ایمان آورد، ولی ما بر تفسیر آن قاطعانه آگاه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واقع آن، غیر آن باشد که ما می‌اندیشیم و ما به آنچه که خدا از آن اراده کرده است، ایمان آورده‌ایم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نوشتۀ ماتریدی،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راه و روش این دو پیشوای اهل سنت را در صفات خبریه به صورت کوتاه بیان کنیم، باید بگوییم اشعری جزء مثبتین صفات خداست به همان ظاهری که در قرآن آمده است، ولی ماتریدی جزء مفوضه است و معانی این آیات را به خدا وامی‌گذارد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نه‌گانه به عنوان نمونه‌های بارز، برای تبیین و مقدار اختلاف میان دو مکتب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مکتب، نقاط مشترک فراوانی دارند که میان آنها تجویز رؤیت برای خدا در آخرت است، چنانکه کلام خدا را قدیم دانسته و آن را به کلام نفسی تعبیر می‌کنند، ولی در عین حال در مواضع فراوانی نیز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است که نام برخی از پیروان ابو منصور را یادآور شویم</w:t>
      </w:r>
      <w:r>
        <w:rPr>
          <w:rFonts w:eastAsia="IRNazanin" w:cs="IRNazanin"/>
          <w:color w:val="111111"/>
          <w:sz w:val="28"/>
          <w:szCs w:val="28"/>
          <w:rtl w:val="true"/>
          <w:lang w:bidi="fa-IR"/>
        </w:rPr>
        <w:t>.</w:t>
      </w:r>
    </w:p>
    <w:p>
      <w:pPr>
        <w:pStyle w:val="Heading3"/>
        <w:numPr>
          <w:ilvl w:val="2"/>
          <w:numId w:val="1"/>
        </w:numPr>
        <w:rPr/>
      </w:pPr>
      <w:bookmarkStart w:id="65" w:name="__RefHeading___Toc1119588_1738255347"/>
      <w:bookmarkStart w:id="66" w:name="_Toc24"/>
      <w:bookmarkEnd w:id="65"/>
      <w:r>
        <w:rPr>
          <w:rtl w:val="true"/>
        </w:rPr>
        <w:t>برخی از پیروان ابو منصور ماتریدی</w:t>
      </w:r>
      <w:bookmarkEnd w:id="66"/>
    </w:p>
    <w:p>
      <w:pPr>
        <w:pStyle w:val="Heading4"/>
        <w:numPr>
          <w:ilvl w:val="3"/>
          <w:numId w:val="1"/>
        </w:numPr>
        <w:rPr/>
      </w:pPr>
      <w:bookmarkStart w:id="67" w:name="__RefHeading___Toc1119590_1738255347"/>
      <w:bookmarkStart w:id="68" w:name="_Toc25"/>
      <w:bookmarkEnd w:id="67"/>
      <w:r>
        <w:rPr>
          <w:rtl w:val="true"/>
        </w:rPr>
        <w:t xml:space="preserve">- </w:t>
      </w:r>
      <w:r>
        <w:rPr/>
        <w:t>1</w:t>
      </w:r>
      <w:r>
        <w:rPr>
          <w:rtl w:val="true"/>
        </w:rPr>
        <w:t xml:space="preserve"> - </w:t>
      </w:r>
      <w:r>
        <w:rPr>
          <w:rtl w:val="true"/>
        </w:rPr>
        <w:t xml:space="preserve">أبو الیسر محمد بزدوی </w:t>
      </w:r>
      <w:r>
        <w:rPr>
          <w:rtl w:val="true"/>
        </w:rPr>
        <w:t>(</w:t>
      </w:r>
      <w:r>
        <w:rPr/>
        <w:t>421</w:t>
      </w:r>
      <w:r>
        <w:rPr>
          <w:rtl w:val="true"/>
        </w:rPr>
        <w:t>-</w:t>
      </w:r>
      <w:r>
        <w:rPr/>
        <w:t>493</w:t>
      </w:r>
      <w:r>
        <w:rPr>
          <w:rtl w:val="true"/>
        </w:rPr>
        <w:t>)</w:t>
      </w:r>
      <w:bookmarkEnd w:id="6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مترجمان همان‌طوری که نسبت به ابو منصور قصور ورزیده‌اند، همچنین در</w:t>
      </w:r>
      <w:bookmarkStart w:id="69" w:name="pg17029_176580"/>
    </w:p>
    <w:p>
      <w:pPr>
        <w:pStyle w:val="BookText"/>
        <w:rPr/>
      </w:pPr>
      <w:bookmarkEnd w:id="69"/>
      <w:r>
        <w:rPr>
          <w:rFonts w:ascii="IRNazanin" w:hAnsi="IRNazanin" w:eastAsia="IRNazanin"/>
          <w:color w:val="111111"/>
          <w:sz w:val="28"/>
          <w:sz w:val="28"/>
          <w:szCs w:val="28"/>
          <w:rtl w:val="true"/>
          <w:lang w:bidi="fa-IR"/>
        </w:rPr>
        <w:t>ترجمۀ حال اتباع او نیز کوتاهی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پیروان مکتب، همین ابو الیسر محمد بردوی است و معرف پایۀ علمی او کتاب اصول دین اوست و این کتاب را مستشرقی به نام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هانس بیسترلنس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کرده و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عقاید ماتریدی را از پدر خودآموخته است و در مواردی در این کتاب از او نام می‌برد</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بزدوی، أصول الدین،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از استاد دیگرش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در اثنای کتاب خود از ابو الحسن اشعری انتقاد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نجم الدین عمر بن محمد النسقی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تلامیذ اوست ترجمۀ آن را بعدا می‌نگاریم، دربارۀ بزدوی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الیسر استاد همتایان ما در همۀ بلاد ماوراء النهر بود، او پیشوای پیشوایان بود و از اطراف و اکناف به او روی می‌آوردند و شرق و غرب از مؤلفات او پر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آثار علمی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اصول دین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تعلیقه‌ای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الواقعات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المبسوط در فروع فقهی</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1119592_1738255347"/>
      <w:bookmarkStart w:id="71" w:name="_Toc26"/>
      <w:bookmarkEnd w:id="70"/>
      <w:r>
        <w:rPr/>
        <w:t>2</w:t>
      </w:r>
      <w:r>
        <w:rPr>
          <w:rtl w:val="true"/>
        </w:rPr>
        <w:t xml:space="preserve"> - </w:t>
      </w:r>
      <w:r>
        <w:rPr>
          <w:rtl w:val="true"/>
        </w:rPr>
        <w:t xml:space="preserve">نسفی میمون بن محمد </w:t>
      </w:r>
      <w:r>
        <w:rPr>
          <w:rtl w:val="true"/>
        </w:rPr>
        <w:t>(</w:t>
      </w:r>
      <w:r>
        <w:rPr/>
        <w:t>418</w:t>
      </w:r>
      <w:r>
        <w:rPr>
          <w:rtl w:val="true"/>
        </w:rPr>
        <w:t>-</w:t>
      </w:r>
      <w:r>
        <w:rPr/>
        <w:t>508</w:t>
      </w:r>
      <w:r>
        <w:rPr>
          <w:rtl w:val="true"/>
        </w:rPr>
        <w:t>)</w:t>
      </w:r>
      <w:bookmarkEnd w:id="7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میمون بن محمد بن معبد بن مکحول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به نسفی، وی از متکلمان بزرگ فرقۀ ماتریدی است که مدتی در سمرقند می‌زیست، بعد</w:t>
      </w:r>
      <w:bookmarkStart w:id="72" w:name="pg17029_176581"/>
    </w:p>
    <w:p>
      <w:pPr>
        <w:pStyle w:val="BookText"/>
        <w:rPr/>
      </w:pPr>
      <w:bookmarkEnd w:id="72"/>
      <w:r>
        <w:rPr>
          <w:rFonts w:ascii="IRNazanin" w:hAnsi="IRNazanin" w:eastAsia="IRNazanin"/>
          <w:color w:val="111111"/>
          <w:sz w:val="28"/>
          <w:sz w:val="28"/>
          <w:szCs w:val="28"/>
          <w:rtl w:val="true"/>
          <w:lang w:bidi="fa-IR"/>
        </w:rPr>
        <w:t>ساکن بخارا گردید از آثار علمی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تبصرة الأدلة که هنوز مخطوط است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حفص نسفی کتاب عقاید نسفیه را بر اساس این کتاب نوشته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المضیئة</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الدین زرکلی، </w:t>
      </w:r>
      <w:r>
        <w:rPr>
          <w:rFonts w:eastAsia="IRNazanin" w:cs="IRNazanin"/>
          <w:color w:val="111111"/>
          <w:sz w:val="28"/>
          <w:szCs w:val="28"/>
          <w:lang w:bidi="fa-IR"/>
        </w:rPr>
        <w:t>331/7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ریحانة 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174/6</w:t>
      </w:r>
      <w:r>
        <w:rPr>
          <w:rFonts w:ascii="IRNazanin" w:hAnsi="IRNazanin" w:eastAsia="IRNazanin"/>
          <w:color w:val="111111"/>
          <w:sz w:val="28"/>
          <w:sz w:val="28"/>
          <w:szCs w:val="28"/>
          <w:rtl w:val="true"/>
          <w:lang w:bidi="fa-IR"/>
        </w:rPr>
        <w:t>، ترجمۀ او آمده است</w:t>
      </w:r>
      <w:r>
        <w:rPr>
          <w:rFonts w:eastAsia="IRNazanin" w:cs="IRNazanin"/>
          <w:color w:val="111111"/>
          <w:sz w:val="28"/>
          <w:szCs w:val="28"/>
          <w:rtl w:val="true"/>
          <w:lang w:bidi="fa-IR"/>
        </w:rPr>
        <w:t>.</w:t>
      </w:r>
    </w:p>
    <w:p>
      <w:pPr>
        <w:pStyle w:val="Heading4"/>
        <w:numPr>
          <w:ilvl w:val="3"/>
          <w:numId w:val="1"/>
        </w:numPr>
        <w:rPr/>
      </w:pPr>
      <w:bookmarkStart w:id="73" w:name="__RefHeading___Toc1119594_1738255347"/>
      <w:bookmarkStart w:id="74" w:name="_Toc27"/>
      <w:bookmarkEnd w:id="73"/>
      <w:r>
        <w:rPr/>
        <w:t>3</w:t>
      </w:r>
      <w:r>
        <w:rPr>
          <w:rtl w:val="true"/>
        </w:rPr>
        <w:t xml:space="preserve"> - </w:t>
      </w:r>
      <w:r>
        <w:rPr>
          <w:rtl w:val="true"/>
        </w:rPr>
        <w:t xml:space="preserve">عمر بن محمد النسفی </w:t>
      </w:r>
      <w:r>
        <w:rPr>
          <w:rtl w:val="true"/>
        </w:rPr>
        <w:t>(</w:t>
      </w:r>
      <w:r>
        <w:rPr/>
        <w:t>360</w:t>
      </w:r>
      <w:r>
        <w:rPr>
          <w:rtl w:val="true"/>
        </w:rPr>
        <w:t>-</w:t>
      </w:r>
      <w:r>
        <w:rPr/>
        <w:t>537</w:t>
      </w:r>
      <w:r>
        <w:rPr>
          <w:rtl w:val="true"/>
        </w:rPr>
        <w:t>)</w:t>
      </w:r>
      <w:bookmarkEnd w:id="74"/>
    </w:p>
    <w:p>
      <w:pPr>
        <w:pStyle w:val="BookText"/>
        <w:rPr/>
      </w:pPr>
      <w:r>
        <w:rPr>
          <w:rFonts w:ascii="IRNazanin" w:hAnsi="IRNazanin" w:eastAsia="IRNazanin"/>
          <w:color w:val="111111"/>
          <w:sz w:val="28"/>
          <w:sz w:val="28"/>
          <w:szCs w:val="28"/>
          <w:rtl w:val="true"/>
          <w:lang w:bidi="fa-IR"/>
        </w:rPr>
        <w:t xml:space="preserve">وی ابو حفص معروف به نجم الدین نسفی است که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و در سمرقند درگذشت و کتاب عقاید نسفیه از آثار اوست و افراد زیادی آن را شرح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البهیة فی تراجم الحنفیة نگارش محمد بن عبد الحی،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الجواهر المضیئة،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الاعلام، نگارش خیر الدین زرکلی،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ریحانة الأدب، نگارش مدرّس،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او آمده است</w:t>
      </w:r>
      <w:r>
        <w:rPr>
          <w:rFonts w:eastAsia="IRNazanin" w:cs="IRNazanin"/>
          <w:color w:val="111111"/>
          <w:sz w:val="28"/>
          <w:szCs w:val="28"/>
          <w:rtl w:val="true"/>
          <w:lang w:bidi="fa-IR"/>
        </w:rPr>
        <w:t>.</w:t>
      </w:r>
    </w:p>
    <w:p>
      <w:pPr>
        <w:pStyle w:val="Heading4"/>
        <w:numPr>
          <w:ilvl w:val="3"/>
          <w:numId w:val="1"/>
        </w:numPr>
        <w:rPr/>
      </w:pPr>
      <w:bookmarkStart w:id="75" w:name="__RefHeading___Toc1119596_1738255347"/>
      <w:bookmarkStart w:id="76" w:name="_Toc28"/>
      <w:bookmarkEnd w:id="75"/>
      <w:r>
        <w:rPr/>
        <w:t>4</w:t>
      </w:r>
      <w:r>
        <w:rPr>
          <w:rtl w:val="true"/>
        </w:rPr>
        <w:t xml:space="preserve"> - </w:t>
      </w:r>
      <w:r>
        <w:rPr>
          <w:rtl w:val="true"/>
        </w:rPr>
        <w:t xml:space="preserve">ابن الهمام، محمد بن عبد الواحد </w:t>
      </w:r>
      <w:r>
        <w:rPr>
          <w:rtl w:val="true"/>
        </w:rPr>
        <w:t>(</w:t>
      </w:r>
      <w:r>
        <w:rPr/>
        <w:t>790</w:t>
      </w:r>
      <w:r>
        <w:rPr>
          <w:rtl w:val="true"/>
        </w:rPr>
        <w:t>-</w:t>
      </w:r>
      <w:r>
        <w:rPr/>
        <w:t>860</w:t>
      </w:r>
      <w:r>
        <w:rPr>
          <w:rtl w:val="true"/>
        </w:rPr>
        <w:t>)</w:t>
      </w:r>
      <w:bookmarkEnd w:id="7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معروف به ابن الهمام، متکلم حنفی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المسایرة فی العقائد المنجیة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 و این کتاب به وسیلة محقق مصری، محمد محیی الدین عبد الحمید چاپ و منتشر شده است و نیز کمال الدین ابو شریف شرحی بر آن نوشته و در مصر بدون تاریخ چاپ‌شده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آثار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هدایة در هشت جلد در فقه حنفی و در مصادر پیشین که ترجمۀ نسفی آمده، شرح زندگانی او نیز وارد شده است</w:t>
      </w:r>
      <w:r>
        <w:rPr>
          <w:rFonts w:eastAsia="IRNazanin" w:cs="IRNazanin"/>
          <w:color w:val="111111"/>
          <w:sz w:val="28"/>
          <w:szCs w:val="28"/>
          <w:rtl w:val="true"/>
          <w:lang w:bidi="fa-IR"/>
        </w:rPr>
        <w:t>.</w:t>
      </w:r>
      <w:bookmarkStart w:id="77" w:name="pg17029_176582"/>
    </w:p>
    <w:p>
      <w:pPr>
        <w:pStyle w:val="Heading4"/>
        <w:numPr>
          <w:ilvl w:val="3"/>
          <w:numId w:val="1"/>
        </w:numPr>
        <w:rPr/>
      </w:pPr>
      <w:bookmarkStart w:id="78" w:name="__RefHeading___Toc1119598_1738255347"/>
      <w:bookmarkStart w:id="79" w:name="_Toc29"/>
      <w:bookmarkEnd w:id="77"/>
      <w:bookmarkEnd w:id="78"/>
      <w:r>
        <w:rPr/>
        <w:t>5</w:t>
      </w:r>
      <w:r>
        <w:rPr>
          <w:rtl w:val="true"/>
        </w:rPr>
        <w:t xml:space="preserve"> - </w:t>
      </w:r>
      <w:r>
        <w:rPr>
          <w:rtl w:val="true"/>
        </w:rPr>
        <w:t>البیاضی، کمال الدین احمد بن حسن رومی حنفی</w:t>
      </w:r>
      <w:bookmarkEnd w:id="79"/>
    </w:p>
    <w:p>
      <w:pPr>
        <w:pStyle w:val="BookText"/>
        <w:rPr/>
      </w:pPr>
      <w:r>
        <w:rPr>
          <w:rFonts w:ascii="IRNazanin" w:hAnsi="IRNazanin" w:eastAsia="IRNazanin"/>
          <w:color w:val="111111"/>
          <w:sz w:val="28"/>
          <w:sz w:val="28"/>
          <w:szCs w:val="28"/>
          <w:rtl w:val="true"/>
          <w:lang w:bidi="fa-IR"/>
        </w:rPr>
        <w:t xml:space="preserve">وی از علمای قرن یازدهم است و در خانوادۀ علم و قضا چشم به جهان گشوده و از و الد خود و دانشمند دیگری به نام منقاری علم آموخته، در سال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 قضاوت حلب و در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مکّه را بر عهده داشت و از آثار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المرام من عبارات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مقدمۀ محمد زاهد کوثری و تحقیق یوسف عبد الرزاق،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اجمالی از مکتب ماتریدی که پس از قرن هشتم بسیار کم فروغ شده و آخرین پیرو او در قرن یازدهم مؤلف اشارات المرام می‌باشد و از مروجین این مکتب در عصر ما شیخ محمد زاهد کوثری وکیل الأزهر متوفای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w:t>
      </w:r>
      <w:bookmarkStart w:id="80" w:name="pg17029_176583"/>
    </w:p>
    <w:p>
      <w:pPr>
        <w:pStyle w:val="Heading2"/>
        <w:numPr>
          <w:ilvl w:val="1"/>
          <w:numId w:val="1"/>
        </w:numPr>
        <w:rPr/>
      </w:pPr>
      <w:bookmarkStart w:id="81" w:name="__RefHeading___Toc1119600_1738255347"/>
      <w:bookmarkStart w:id="82" w:name="_Toc30"/>
      <w:bookmarkEnd w:id="80"/>
      <w:bookmarkEnd w:id="81"/>
      <w:r>
        <w:rPr>
          <w:rtl w:val="true"/>
        </w:rPr>
        <w:t>معتزله</w:t>
      </w:r>
      <w:bookmarkEnd w:id="82"/>
    </w:p>
    <w:p>
      <w:pPr>
        <w:pStyle w:val="Heading3"/>
        <w:numPr>
          <w:ilvl w:val="2"/>
          <w:numId w:val="1"/>
        </w:numPr>
        <w:rPr/>
      </w:pPr>
      <w:bookmarkStart w:id="83" w:name="__RefHeading___Toc1119602_1738255347"/>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مکتب اعتزال</w:t>
      </w:r>
    </w:p>
    <w:p>
      <w:pPr>
        <w:pStyle w:val="BookText"/>
        <w:rPr/>
      </w:pPr>
      <w:r>
        <w:rPr>
          <w:rFonts w:ascii="IRNazanin" w:hAnsi="IRNazanin" w:eastAsia="IRNazanin"/>
          <w:color w:val="111111"/>
          <w:sz w:val="28"/>
          <w:sz w:val="28"/>
          <w:szCs w:val="28"/>
          <w:rtl w:val="true"/>
          <w:lang w:bidi="fa-IR"/>
        </w:rPr>
        <w:t>در میان مکتبهای گوناگون کلامی که در قرن دوم اسلامی پی‌ریزی شده، مکتب اعتزال است که به عقل و خرد سهم بزرگتر و بهای بیشتری می‌داد و نتایج درخشان خود را در زمینه‌های مختلف ارائه کرد و آثار باقی از اعتزال و آنچه که در کتب اشاعره از آنان نقل‌شده است، بر این مطلب گواهی می‌دهد، البته این، نه به آن معناست که هرچه آنان اندیشیده‌اند، درست و پابرجا باشد، بلکه مقصود این است که در میان مکاتب کلامی، این مکتب درخشنده تر از دیگر مکاتب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تعصب اشاعره و پیشوایان اهل حدیث سبب شد که بسیاری از آثار معتزله از میان برود و تنها مقدار ناچیزی از آنها به جای بماند و بر اثر توجهی که اخیرا از طرف مستشرقان به این مکتب ابراز شده، و زارت فرهنگ مصر هیئتی را برای کشف آثار معتزله به یمن گسیل داشته، تا از آثار به جای مانده از معتزله میکرو فیلم تهیه کنند و منتشر سازند و در سایۀ این همت، کتابهای قاضی عبد الجبار، رئیس معتزله در قرن پنجم، به نام المغنی و شرح الأصول الخمسة، به دست آمد و از کتاب نخست چهارده جلد منتشر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ناپدید شدن کتابهای معتزله سبب شده که نویسندگان مقالات و فرق در اعصار متأخر در تحلیل عقاید آنان به کتابهای دشمنان آنها پناه ببرند و عقاید معتزله را از آنها بگیرند و در این کتابها چیزهایی به معتزله نسبت داده‌اند که با آثار به دست آمده</w:t>
      </w:r>
      <w:bookmarkStart w:id="85" w:name="pg17029_176584"/>
    </w:p>
    <w:p>
      <w:pPr>
        <w:pStyle w:val="BookText"/>
        <w:rPr/>
      </w:pPr>
      <w:bookmarkEnd w:id="85"/>
      <w:r>
        <w:rPr>
          <w:rFonts w:ascii="IRNazanin" w:hAnsi="IRNazanin" w:eastAsia="IRNazanin"/>
          <w:color w:val="111111"/>
          <w:sz w:val="28"/>
          <w:sz w:val="28"/>
          <w:szCs w:val="28"/>
          <w:rtl w:val="true"/>
          <w:lang w:bidi="fa-IR"/>
        </w:rPr>
        <w:t>از آنان موافق نیست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مثلا در کتابهای اشاعره به معتزله نسبت داده‌اند که عذاب قبر را منکرند، در حالی که قاضی عبد الجبار در شرح اصول خمسه در ص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عذاب قبر معتقدیم و آن را انکار نمی‌کنیم</w:t>
      </w:r>
      <w:r>
        <w:rPr>
          <w:rFonts w:eastAsia="IRNazanin" w:cs="IRNazanin"/>
          <w:color w:val="111111"/>
          <w:sz w:val="28"/>
          <w:szCs w:val="28"/>
          <w:rtl w:val="true"/>
          <w:lang w:bidi="fa-IR"/>
        </w:rPr>
        <w:t>.</w:t>
      </w:r>
    </w:p>
    <w:p>
      <w:pPr>
        <w:pStyle w:val="Heading3"/>
        <w:numPr>
          <w:ilvl w:val="2"/>
          <w:numId w:val="1"/>
        </w:numPr>
        <w:rPr/>
      </w:pPr>
      <w:bookmarkStart w:id="86" w:name="__RefHeading___Toc1119604_1738255347"/>
      <w:bookmarkStart w:id="87" w:name="_Toc32"/>
      <w:bookmarkEnd w:id="86"/>
      <w:r>
        <w:rPr>
          <w:rtl w:val="true"/>
        </w:rPr>
        <w:t>داوریهای نادرست دربارۀ معتزله</w:t>
      </w:r>
      <w:bookmarkEnd w:id="87"/>
    </w:p>
    <w:p>
      <w:pPr>
        <w:pStyle w:val="BookText"/>
        <w:rPr/>
      </w:pPr>
      <w:r>
        <w:rPr>
          <w:rFonts w:ascii="IRNazanin" w:hAnsi="IRNazanin" w:eastAsia="IRNazanin"/>
          <w:color w:val="111111"/>
          <w:sz w:val="28"/>
          <w:sz w:val="28"/>
          <w:szCs w:val="28"/>
          <w:rtl w:val="true"/>
          <w:lang w:bidi="fa-IR"/>
        </w:rPr>
        <w:t xml:space="preserve">مدرک تحلیل عقاید معتزله تا دیروز،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الإسلامیین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اشعری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 شهرستانی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حالی که اینان مخالفان سرسخت معتزله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هم امین و راستگو باشند، نوشته‌های آنان نمی‌تواند سند گفتار معتزله باشد، مگر اینکه عبارت طرف را بدون کم و زیاد بیاورند، آنگاه به نقادی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اشتباه دربارۀ تحلیل عقاید شیعه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مصری تا دیروز، بلکه تا امروز در تحلیل عقاید این گروه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مقدمۀ ابن خلدون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جسته و عقاید شیعه را از این کتابها می‌گرفتند، ولی کافی است که بدانیم اطلاعات آنان و بالأخص شهرستانی که کتاب او بیش از همۀ کتابها به عنوان مرجع استفاده می‌شود، دربارۀ شیعه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دهم شیعیان امام علی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مدفون است</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88" w:name="__RefHeading___Toc1119606_1738255347"/>
      <w:bookmarkStart w:id="89" w:name="_Toc33"/>
      <w:bookmarkEnd w:id="88"/>
      <w:r>
        <w:rPr>
          <w:rtl w:val="true"/>
        </w:rPr>
        <w:t>علت توجه به مکتب اعتزال در عصر ما</w:t>
      </w:r>
      <w:bookmarkEnd w:id="8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کشورهای عربی و اسلامی، گرایش خاصی به مطالعه و بررسی کتب معتزله پدید آمده است و افراد ساده‌لوح تصور می‌کنند که این گرایش، از درون خود</w:t>
      </w:r>
    </w:p>
    <w:p>
      <w:pPr>
        <w:pStyle w:val="BookText"/>
        <w:rPr/>
      </w:pPr>
      <w:r>
        <w:rPr>
          <w:rFonts w:ascii="IRNazanin" w:hAnsi="IRNazanin" w:eastAsia="IRNazanin"/>
          <w:color w:val="111111"/>
          <w:sz w:val="28"/>
          <w:sz w:val="28"/>
          <w:szCs w:val="28"/>
          <w:rtl w:val="true"/>
          <w:lang w:bidi="fa-IR"/>
        </w:rPr>
        <w:t>این کشورها سرچشمه می‌گیرد، در حالی که نویسندگان آن متأثر از مستشرقانی هستند که به کتب معتزله بهای بیشتری می‌دهند و آن را چاپ و منتشر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در کتاب فجر الإسلام، فصل چهارم و در ضحی الإسلام فصل اول با اعجاب خاصی، از این مکتب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دیگری از مصر به نام زهدی حسن جار اللّه،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کتابی به نام المعتزله، به رشتۀ تحریر در آورده و در آن کتاب، در تاریخ و عقاید و تأثیر این مکتب در تحول اندیشۀ مسلمین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ابو زهره نویسندۀ مصری، در کتاب تاریخ المذاهب الإسلامیة،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بحث نموده و بر خلاف محیط مصر که اشعری پسندند، در حد امکان از اعتزال دفاع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فؤاد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تونسی سه کتاب معتزله را از لابلای گرد و غبار بیرون کشیده و به نشر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کتاب، متعلق است به سه نفر از بزرگان معتزله یعنی ابو القاسم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جشمی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سعد محسن بن محمد جشمی بیهقی مقتول در مکه و شگفت از مستشرقه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سوسنة دیفلد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تصور کرده مقصود محدث حاکم نیشابوری است که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مجموع این سه کتاب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الإعتزال و طبقات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یادآور شدیم، این نهضت مربوط به داخل کشورهای مصر و لبنان و تونس نیست، بلکه فرزندان استشراق این حرکت را ایجاد کرده و دیگران دنباله رو این حرکت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آلفرد جیوم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کتاب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زهدی حسن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نوشته در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اعتزال تعداد اندکی به دست ما رسیده و ما ناچاریم در دسترسی به اندیشه‌های رجال این مکتب بر کتب مخالفین آنان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ما این است آثار خطی معتزله را که کتابخانه‌های شیعه در یمن و غیر</w:t>
      </w:r>
    </w:p>
    <w:p>
      <w:pPr>
        <w:pStyle w:val="BookText"/>
        <w:rPr/>
      </w:pPr>
      <w:r>
        <w:rPr>
          <w:rFonts w:ascii="IRNazanin" w:hAnsi="IRNazanin" w:eastAsia="IRNazanin"/>
          <w:color w:val="111111"/>
          <w:sz w:val="28"/>
          <w:sz w:val="28"/>
          <w:szCs w:val="28"/>
          <w:rtl w:val="true"/>
          <w:lang w:bidi="fa-IR"/>
        </w:rPr>
        <w:t>یمن حفظ کرده است، بدست آورده، منتشر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می‌خواهند بر اندیشه‌های عرب در اعصار طلایی خلافت اسلامی آگاهی یابند، باید به نشر این کتابها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مستشرق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اندیشمندان آزاد در اسلام بودند و کتابی به این نام نوشته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ادب المعتزلة،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مستشرقان دیگری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هامیلتون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آنان را منادیان آزادی فکری در اسلام 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به چشمۀ معرفت دینی وسعت بخشیدند و عنصر مهمی که در آن روز مطرود بود، در آن وارد کردند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 همچنین دیگر مستشرقان در تحسین و تفسیر اندیشه‌های اعتزال،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گرایشها و تبلیغات، احمد امین مصری نویسندۀ کتابهای معروف، با این‌که از کتب معتزله به مقدار ناچیزی دست‌یافته بود</w:t>
      </w:r>
      <w:r>
        <w:rPr>
          <w:rStyle w:val="FootnoteAnchor"/>
          <w:rtl w:val="true"/>
        </w:rPr>
        <w:footnoteReference w:id="39"/>
      </w:r>
      <w:r>
        <w:rPr>
          <w:rFonts w:ascii="IRNazanin" w:hAnsi="IRNazanin" w:eastAsia="IRNazanin"/>
          <w:color w:val="111111"/>
          <w:sz w:val="28"/>
          <w:sz w:val="28"/>
          <w:szCs w:val="28"/>
          <w:rtl w:val="true"/>
          <w:lang w:bidi="fa-IR"/>
        </w:rPr>
        <w:t>، از این مکتب متأثر گشته و از اساتید غربی خود پیروی می‌نماید و از آن تجلیل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اساتیدی نداشت، او از محیط اشعری گری مصر یک وجب بیرون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که برخی از تقدیرها و توصیفهای او را بشنویم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معتزله، در نهایت بلندی و سرفرازی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آنان، آیۀ لَیْسَ کَمِثْلِهِ شَیْءٌ را در این قلمرو اسوۀ خود قرار داده و آن را به بهترین وجه بیان کرده‌اند</w:t>
      </w:r>
    </w:p>
    <w:p>
      <w:pPr>
        <w:pStyle w:val="BookText"/>
        <w:rPr/>
      </w:pPr>
      <w:r>
        <w:rPr>
          <w:rFonts w:ascii="IRNazanin" w:hAnsi="IRNazanin" w:eastAsia="IRNazanin"/>
          <w:color w:val="111111"/>
          <w:sz w:val="28"/>
          <w:sz w:val="28"/>
          <w:szCs w:val="28"/>
          <w:rtl w:val="true"/>
          <w:lang w:bidi="fa-IR"/>
        </w:rPr>
        <w:t xml:space="preserve">وبا نظرهای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نموده‌اند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ضحی الإسلام،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معتزله به آزادی اراده معتقد شده، در مقابل جبر گرایان که اختیار را از انسان سلب نموده او را بسان پر کاهی در برابر طوفان، و چوبی در دریای خروشان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معتزله در به کارگیری عقل، راه غلو در پیش گرفتند، ولی غلو در آزادی انسان و قدرت عقل، بهتر از غلو در نقطه مقابل آنهاست و نظر من این است که اگر مکتب معتزله تا امروز بر مسلمین حکومت می‌کرد، مسلمانان در تاریخ، شرایطی غیر از امروز داشتند زیرا اندیشۀ تسلیم در مقابل قضا و قدر و عقیده به جبر، آنان را از حرکت باز داشته و زمینگیرشان ساخته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ابراهیم بن سیار معروف به نظّام، چهارمین شخصیت معتزله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او دو رکن بزرگ وجود دارد که اساس نهضت اروپای امروز است و آن شک و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شک را اساس بحث قرار می‌دهد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شاک به تو از منکر نزدیکتر است و هیچ یقینی رخ نداد، مگر اینکه قبلا با شک همراه گشت، هیچ‌کس از عقیده‌ای به عقیدۀ دیگر عدول نکرد، مگر اینکه در آن شک نمود، این دربارۀ شک و اما دربارۀ تجربه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کار گرفت، امروز جهان آنرا اساس کاوشهای خود قرار داده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احمد امین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المعتزلة و المحدثون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برتری مکتب اعتزال اعتراف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مکتبی بسان مکتب غرب امروز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آنان را شک اولا و تجربه ثانیا و داوری ثالثا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مثلثی که امروز بر مکاتب غربی حکومت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جاحظ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شیوایی دربارۀ شک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bookmarkStart w:id="90" w:name="pg17029_176588"/>
    </w:p>
    <w:p>
      <w:pPr>
        <w:pStyle w:val="BookText"/>
        <w:rPr/>
      </w:pPr>
      <w:bookmarkEnd w:id="90"/>
      <w:r>
        <w:rPr>
          <w:rFonts w:ascii="IRNazanin" w:hAnsi="IRNazanin" w:eastAsia="IRNazanin"/>
          <w:color w:val="111111"/>
          <w:sz w:val="28"/>
          <w:sz w:val="28"/>
          <w:szCs w:val="28"/>
          <w:rtl w:val="true"/>
          <w:lang w:bidi="fa-IR"/>
        </w:rPr>
        <w:t>حدیثی را نمی‌پذیرفتند، مگر اینکه عقل بر آن گواهی دهد، و آیات را مطابق حکم عقل تفسیر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به گواه اینکه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یَراکُمْ هُوَ وَ قَبِیلُهُ مِنْ حَیْثُ لا تَرَوْنَهُمْ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هم جنسانش شما را می‌بینند به گونه‌ای که شما آنها را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می‌ترسند، استهزا می‌کنند و به خرافات و اوهام ایمان نمی‌آورند و اسلام را بر اساس مقتضیات عقل و فلسفۀ آن روز یونان تفسیر می‌کنند و به اقوال ارسطو از آن نظر که ارسطوست، ایمان نمی‌آورند، زیرا چه‌بسا جاحظ معتزلی قول عربی را بر قول ارسطو فیسلوف کبیر ترجیح می‌دهد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الإسلام، سال سوم، شماره سوم، مقالۀ احمد امین دربارۀ معتزله و این مقاله تا حدی گسترده است و ما مقدار کمی از آن را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است که اساتید دیروز و امروز کشورهای عربی دربارۀ معتزله دارند</w:t>
      </w:r>
      <w:r>
        <w:rPr>
          <w:rFonts w:eastAsia="IRNazanin" w:cs="IRNazanin"/>
          <w:color w:val="111111"/>
          <w:sz w:val="28"/>
          <w:szCs w:val="28"/>
          <w:rtl w:val="true"/>
          <w:lang w:bidi="fa-IR"/>
        </w:rPr>
        <w:t>.</w:t>
      </w:r>
    </w:p>
    <w:p>
      <w:pPr>
        <w:pStyle w:val="Heading3"/>
        <w:numPr>
          <w:ilvl w:val="2"/>
          <w:numId w:val="1"/>
        </w:numPr>
        <w:rPr/>
      </w:pPr>
      <w:bookmarkStart w:id="91" w:name="__RefHeading___Toc1119608_1738255347"/>
      <w:bookmarkStart w:id="92" w:name="_Toc34"/>
      <w:bookmarkEnd w:id="91"/>
      <w:r>
        <w:rPr>
          <w:rtl w:val="true"/>
        </w:rPr>
        <w:t>معتزله اصل توحید و عدل را از علی علیه السّلام گرفته است</w:t>
      </w:r>
      <w:bookmarkEnd w:id="92"/>
    </w:p>
    <w:p>
      <w:pPr>
        <w:pStyle w:val="Heading4"/>
        <w:numPr>
          <w:ilvl w:val="3"/>
          <w:numId w:val="1"/>
        </w:numPr>
        <w:rPr/>
      </w:pPr>
      <w:bookmarkStart w:id="93" w:name="__RefHeading___Toc1119610_1738255347"/>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 xml:space="preserve">احمد امین با این اعتقاد راسخ به معتزله، وقتی می‌شنود که معتزله دو اصل توحید و عدل را از علی گرفته‌اند، سخت شگفت‌زده می‌شود و می‌کوشد که رابطۀ آنها را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بر آن است که معتزله اصول خود را از آنها گرفته‌اند ولی من فکر می‌کنم شیعه، عقاید خود را در توحید و عدل، از معتزله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دلیل واهی ذکر می‌کند که سند تاریخی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علی زعیم گروهی از شیعه به نام زیدیه نزد یکی از بنیانگذاران مکتب معتزله یعنی واصل بن عطا درس خوانده است، در حالی که جعفر بن محمد رکاب عم خود زید بن علی را می‌گرفت تا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زید نزد واصل درس خوانده است و امام صادق نیز نسبت به زید چنین خضوع می‌کرد، بسیار بعید است</w:t>
      </w:r>
      <w:bookmarkStart w:id="95" w:name="pg17029_176589"/>
    </w:p>
    <w:p>
      <w:pPr>
        <w:pStyle w:val="BookText"/>
        <w:rPr/>
      </w:pPr>
      <w:bookmarkEnd w:id="95"/>
      <w:r>
        <w:rPr>
          <w:rFonts w:ascii="IRNazanin" w:hAnsi="IRNazanin" w:eastAsia="IRNazanin"/>
          <w:color w:val="111111"/>
          <w:sz w:val="28"/>
          <w:sz w:val="28"/>
          <w:szCs w:val="28"/>
          <w:rtl w:val="true"/>
          <w:lang w:bidi="fa-IR"/>
        </w:rPr>
        <w:t>که واصل نزد امام صادق درس خوانده باشد و حق این است که اصول معتزله به شیعه راه‌یافته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ضحی الإسلام،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تلمذ زید نزد واصل از نظر تاریخی بسیار بعید به نظر می‌رسد و آن را جز شهرستانی در ملل و نحل</w:t>
      </w:r>
      <w:r>
        <w:rPr>
          <w:rStyle w:val="FootnoteAnchor"/>
          <w:rtl w:val="true"/>
        </w:rPr>
        <w:footnoteReference w:id="45"/>
      </w:r>
      <w:r>
        <w:rPr>
          <w:rFonts w:ascii="IRNazanin" w:hAnsi="IRNazanin" w:eastAsia="IRNazanin"/>
          <w:color w:val="111111"/>
          <w:sz w:val="28"/>
          <w:sz w:val="28"/>
          <w:szCs w:val="28"/>
          <w:rtl w:val="true"/>
          <w:lang w:bidi="fa-IR"/>
        </w:rPr>
        <w:t>کسی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دیده به جهان گشوده در حالی که واصل در مدینه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یافته و در آغاز بیست‌سالگی ، راهی بصره شده، در این صورت چگونه زید می‌تواند نزد واصل درس کلام بیاموزد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هرگز کسی مدعی نیست که واصل نزد امام صادق درس خوانده است و اگر هم صحیح باشد، انتساب اعتزال به شیعه معلول درس خواندن واصل نزد امام صادق نیست، بلکه از طریق دیگری است که یادآور می‌شویم</w:t>
      </w:r>
      <w:r>
        <w:rPr>
          <w:rFonts w:eastAsia="IRNazanin" w:cs="IRNazanin"/>
          <w:color w:val="111111"/>
          <w:sz w:val="28"/>
          <w:szCs w:val="28"/>
          <w:rtl w:val="true"/>
          <w:lang w:bidi="fa-IR"/>
        </w:rPr>
        <w:t>.</w:t>
      </w:r>
    </w:p>
    <w:p>
      <w:pPr>
        <w:pStyle w:val="Heading4"/>
        <w:numPr>
          <w:ilvl w:val="3"/>
          <w:numId w:val="1"/>
        </w:numPr>
        <w:rPr/>
      </w:pPr>
      <w:bookmarkStart w:id="96" w:name="__RefHeading___Toc1119612_1738255347"/>
      <w:bookmarkStart w:id="97" w:name="_Toc36"/>
      <w:bookmarkEnd w:id="96"/>
      <w:r>
        <w:rPr>
          <w:rtl w:val="true"/>
        </w:rPr>
        <w:t>تصریح سران معتزله بر این مطلب</w:t>
      </w:r>
      <w:bookmarkEnd w:id="97"/>
    </w:p>
    <w:p>
      <w:pPr>
        <w:pStyle w:val="BookText"/>
        <w:rPr/>
      </w:pPr>
      <w:r>
        <w:rPr>
          <w:rFonts w:ascii="IRNazanin" w:hAnsi="IRNazanin" w:eastAsia="IRNazanin"/>
          <w:color w:val="111111"/>
          <w:sz w:val="28"/>
          <w:sz w:val="28"/>
          <w:szCs w:val="28"/>
          <w:rtl w:val="true"/>
          <w:lang w:bidi="fa-IR"/>
        </w:rPr>
        <w:t>ما تصریحات پیشوایان معتزله را دربارۀ ریشه‌های مذهب خود، در اینجا می‌آوریم تا روشن شود که این گروه اصل مذهب خود، یعنی توحید و عدل را از خاندان رسالت و اهل بیت پیامبر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نظریۀ درس خواندن واصل نزد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خواه نباشد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کعبی پیشوای معتزله در قرن چهارم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مذهب اعتزال، به پیامبر می‌رسد و هیچ فرقه‌ای دارای چنین سندی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معتزله نمی‌توانند آن را رد کنند زیرا همگی می‌گویند مکتب اعتزال به واصل بن عطا می‌رسد واو اصول</w:t>
      </w:r>
    </w:p>
    <w:p>
      <w:pPr>
        <w:pStyle w:val="BookText"/>
        <w:rPr/>
      </w:pPr>
      <w:r>
        <w:rPr>
          <w:rFonts w:ascii="IRNazanin" w:hAnsi="IRNazanin" w:eastAsia="IRNazanin"/>
          <w:color w:val="111111"/>
          <w:sz w:val="28"/>
          <w:sz w:val="28"/>
          <w:szCs w:val="28"/>
          <w:rtl w:val="true"/>
          <w:lang w:bidi="fa-IR"/>
        </w:rPr>
        <w:t xml:space="preserve">مذهب خود را از ابو هاشم فرزند محمد حنفیه گرفته است و محمد نیز آن را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نیز از رسول خدا آموخته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المعتزلة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مقالات الإسلامیین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بن عطا اهل مدینه بوده و محمد حنفیه، او را با فرزندش ابو هاشم، در مکتب خود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درگذشت محمد حنفیه، او با فرزندش مصاحبت ممتدی داشت تا آنجا که می‌گویند از بعضی از سلف دربارۀ مقام علمی محمد بن حنفیه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به دست پروردۀ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و سپس واصل به بصره رفت و ملازم حسن بصری 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عبد الجبار در طبقات المعتزلة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دانش خود را از محمد بن الحنفیة گرفت واو دایی ابو هاشم فرزند محمد حنفیه بود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ولی صحیح ابن است که واصل نزد محمد حنفیه درس نخوانده، بلکه نزد فرزندش ابو هاشم زانو زده، زیرا واصل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دنیا آمد و محمد حنفیه در همان سال یا یک سال بعد، چشم از جهان بسته است، ولی همین قاضی در جای دیگر مطلب را به درستی بیان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الهذیل علاف، از عثمان الطویل، درس آموخته واو از واصل بن عطا و عمرو بن عبید و این دو نفر، از ابو هاشم فرزند محمد حنفیه دانش آموخته اند وابو هاشم از پدرش محمد بن حنفیه واو از و الدش علی بن أبی طالب واو از پیامبر علم آموخته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مرتضی در امالی خود، این اشتباه را تذکر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در درس محمد حنفیه حاضر شده و این صحیح نیست، زیرا محمد حنفیه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در حالی که واصل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w:t>
      </w:r>
    </w:p>
    <w:p>
      <w:pPr>
        <w:pStyle w:val="BookText"/>
        <w:rPr/>
      </w:pPr>
      <w:r>
        <w:rPr>
          <w:rFonts w:ascii="IRNazanin" w:hAnsi="IRNazanin" w:eastAsia="IRNazanin"/>
          <w:color w:val="111111"/>
          <w:sz w:val="28"/>
          <w:sz w:val="28"/>
          <w:szCs w:val="28"/>
          <w:rtl w:val="true"/>
          <w:lang w:bidi="fa-IR"/>
        </w:rPr>
        <w:t>جهان 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موقعیت ابو هاشم هنگامی روشن شد که واصل بن عطا به صحنه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در مکتب پدرش درس آموخته بود و در حقیقت واصل کتابی است که مصنف آن، ابو هاشم است، چنانکه غیلان دمشقی علم و دانش را از برادر ابو هاشم، حسن بن محمد بن حنفیه آموخت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المعتزلة،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از ابو هاشم فرزند محمد بن الحنفیه، درس آموخته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ابن المرتضی که طبقات معتزله را تا عصر خود نوشته است و در حقیقت جامع‌ترین کتاب در این باره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اعتزال از نظر سند هیچ‌گونه مشکلی ندارد، زیرا این مکتب به واصل بن عطا و عمرو بن عبید می‌رسد و این دو نفر از محمد بن حنفیه و فرزند او ابو هاشم درس آموخته‌اند و محمد حنفیه همان کسی است که واصل را پرورش داد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الحدید در بخشی که به بیان تاریخچۀ علوم اسلامی اختصاص داده است با تلاش خاصی اثبات می‌کند که سرچشمۀ علوم اسلامی، علی بن أبی طالب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دو اصل توحید و عدل را از اسیر مؤمنان فراگرفته‌اند آن هم به وسیلۀ ابو هاشم واو نیز از طریق پدرش محمد بن الحنفیة</w:t>
      </w:r>
      <w:r>
        <w:rPr>
          <w:rFonts w:eastAsia="IRNazanin" w:cs="IRNazanin"/>
          <w:color w:val="111111"/>
          <w:sz w:val="28"/>
          <w:szCs w:val="28"/>
          <w:rtl w:val="true"/>
          <w:lang w:bidi="fa-IR"/>
        </w:rPr>
        <w:t>.</w:t>
      </w:r>
      <w:r>
        <w:rPr>
          <w:rStyle w:val="FootnoteAnchor"/>
          <w:rtl w:val="true"/>
        </w:rPr>
        <w:footnoteReference w:id="5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مربوط به توحید و عدل، از امیر مؤمنان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گرفته‌شده و خطبه‌های آن حضرت در این باره</w:t>
      </w:r>
    </w:p>
    <w:p>
      <w:pPr>
        <w:pStyle w:val="BookText"/>
        <w:rPr/>
      </w:pPr>
      <w:r>
        <w:rPr>
          <w:rFonts w:ascii="IRNazanin" w:hAnsi="IRNazanin" w:eastAsia="IRNazanin"/>
          <w:color w:val="111111"/>
          <w:sz w:val="28"/>
          <w:sz w:val="28"/>
          <w:szCs w:val="28"/>
          <w:rtl w:val="true"/>
          <w:lang w:bidi="fa-IR"/>
        </w:rPr>
        <w:t>به حد کمال سخن گفته و جای سخن برای دیگری نگذاشته و هرکس این خطبه‌ها را بررسی کند، می‌فهمد آنچه که متکلمان به‌طور تفصیل آورده‌اند، در حقیقت شرح کلماتی است که امام به اجمال بیان کرده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المرتضی،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عبد الجبار آنگاه که دربارۀ مرتکب کبیره سخن می‌گوید یادآور می‌شود که مذهب اعتزال چنین فردی را نه مؤمن و نه کافر و نه منافق می‌داند، بلکه او را در مرحله‌ای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 این نظریه را واصل از ابو هاشم فراگرفته است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حسن ابراهیم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عقاید خود را به علی بن ابی‌طالب اسناد داده‌اند و کمتر کتابی است که از معتزله به دست بیاید مگر اینکه تصریح می‌کند مؤسسی برای مذهب اعتزال، جز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کتاب شرح الأصول الخمسة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مؤکدا می‌گویند این اصول را از پیامبر فراگرفته‌اند آنگاه سندی را از نخستین برگ در نسخۀ خطی شرح اصول خمسه یاد آور می‌شود، که در آن یکی از پیشوایان معتزله به نام فرزاذی سند خود را تا واصل ذکر کرده و سند واصل را به ابی هاشم و از او به محمد حنفیه و به علی بن أبی طالب می‌رساند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تصریحات از پیشوایان معتزله، نباید به سخنان نویسندگانی مانند احمد امین، مقلد مستشرقان، گوش فرا دهیم و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عقاید خود را از معتزله آموخته است، بلکه حق این است که هر دو مذهب حقیقت توحید و عدل را از مکتب علی آموخته و در آن مکتب پرورش یافته‌اند</w:t>
      </w:r>
      <w:r>
        <w:rPr>
          <w:rFonts w:eastAsia="IRNazanin" w:cs="IRNazanin"/>
          <w:color w:val="111111"/>
          <w:sz w:val="28"/>
          <w:szCs w:val="28"/>
          <w:rtl w:val="true"/>
          <w:lang w:bidi="fa-IR"/>
        </w:rPr>
        <w:t>.</w:t>
      </w:r>
      <w:bookmarkStart w:id="98" w:name="pg17029_176593"/>
    </w:p>
    <w:p>
      <w:pPr>
        <w:pStyle w:val="BookText"/>
        <w:rPr/>
      </w:pPr>
      <w:bookmarkEnd w:id="98"/>
      <w:r>
        <w:rPr>
          <w:rFonts w:ascii="IRNazanin" w:hAnsi="IRNazanin" w:eastAsia="IRNazanin"/>
          <w:color w:val="111111"/>
          <w:sz w:val="28"/>
          <w:sz w:val="28"/>
          <w:szCs w:val="28"/>
          <w:rtl w:val="true"/>
          <w:lang w:bidi="fa-IR"/>
        </w:rPr>
        <w:t xml:space="preserve">و اما اصول سه‌گانه،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 الجبار مدعی است که همۀ اینها در دو اصل نخست نهفته است، و ما در آینده دربارۀ پنج اصل سخن خواهیم گفت و داوری کتاب و سنت و عقل و خرد را دربارۀ آنها روشن خواهیم کرد</w:t>
      </w:r>
      <w:r>
        <w:rPr>
          <w:rFonts w:eastAsia="IRNazanin" w:cs="IRNazanin"/>
          <w:color w:val="111111"/>
          <w:sz w:val="28"/>
          <w:szCs w:val="28"/>
          <w:rtl w:val="true"/>
          <w:lang w:bidi="fa-IR"/>
        </w:rPr>
        <w:t>.</w:t>
      </w:r>
    </w:p>
    <w:p>
      <w:pPr>
        <w:pStyle w:val="Heading3"/>
        <w:numPr>
          <w:ilvl w:val="2"/>
          <w:numId w:val="1"/>
        </w:numPr>
        <w:rPr/>
      </w:pPr>
      <w:bookmarkStart w:id="99" w:name="__RefHeading___Toc1119614_1738255347"/>
      <w:bookmarkStart w:id="100" w:name="_Toc37"/>
      <w:bookmarkEnd w:id="99"/>
      <w:r>
        <w:rPr>
          <w:rtl w:val="true"/>
        </w:rPr>
        <w:t>چرا معتزله می‌نامند؟</w:t>
      </w:r>
      <w:bookmarkEnd w:id="100"/>
    </w:p>
    <w:p>
      <w:pPr>
        <w:pStyle w:val="BookText"/>
        <w:rPr/>
      </w:pPr>
      <w:r>
        <w:rPr>
          <w:rFonts w:ascii="IRNazanin" w:hAnsi="IRNazanin" w:eastAsia="IRNazanin"/>
          <w:color w:val="111111"/>
          <w:sz w:val="28"/>
          <w:sz w:val="28"/>
          <w:szCs w:val="28"/>
          <w:rtl w:val="true"/>
          <w:lang w:bidi="fa-IR"/>
        </w:rPr>
        <w:t>در طول تاریخ این گروه را معتزله خوانده‌اند و علّت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میان نویسندگان تاریخ عقاید، اختلاف عظیمی است که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نوبختی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نامگذاری را این می‌داند که وقتی مردم با امام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بیعت‌کنندگان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به سه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بیعت خود وفادار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مانند طلحه و زبیر بیعت را شکستند و گروهی مانند سعد وقاص و عبد اللّه بن عمر و محمد بن مسلمة و اسامة بن زید، گوشه‌گیر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خاطر عزلت‌جویی از امام علی، معتزله نامیده شدند و همانها، اسلاف معتزلۀ بعدی به شمار می‌روند و می‌گویند جنگ با علی جایز نیست همچنان که جنگ در رکاب علی نیز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احنف بن قیس تمیمی با گروه خود از علی کناره گرفت،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اعتزلوا الفتنة أصلح لکم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الشیعة،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دوری جویید، صلاح شما در آن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نوبختی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شایستۀ پذیرش نیست، زیرا اعتزال این گروه یک نوع اعتزال سیاسی بود، آنان در آن روز از خط مشی سیاسی حاکم وقت جدایی جستند،</w:t>
      </w:r>
    </w:p>
    <w:p>
      <w:pPr>
        <w:pStyle w:val="BookText"/>
        <w:rPr/>
      </w:pPr>
      <w:r>
        <w:rPr>
          <w:rFonts w:ascii="IRNazanin" w:hAnsi="IRNazanin" w:eastAsia="IRNazanin"/>
          <w:color w:val="111111"/>
          <w:sz w:val="28"/>
          <w:sz w:val="28"/>
          <w:szCs w:val="28"/>
          <w:rtl w:val="true"/>
          <w:lang w:bidi="fa-IR"/>
        </w:rPr>
        <w:t xml:space="preserve">این اعتزال ارتباطی به مکتب کلامی و عقیدتی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ملاک در یکی، غیر از ملاک در دومی است از این جهت نمی‌تواند، اولی ریشۀ دومی باشد، حتی خود معتزله این وجه تسمیه را نپذیرفته‌اند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معتزله علی را بر دیگران ترجیح داده و محارب با او را گمراه می‌دانند و هرگز با دشمن او رابطه‌ای برقرار نمی‌کنند، مگر آنگاه که توبه کند، یک چنین گروه را با این خصوصیت نباید معتزل از علی و سیاست او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حسن بن علی با معاویه صلح کرد، گروهی از حسن بن علی جدا شدند و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و همۀ آنان در گذشته از یاران علی بودند که ملازم مساجد و خانه‌های خود شدند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نیز بسان گذشته چندان استوار نیست، زیرا اعتزال این گروه یک نوع اعتزال سیاسی بوده، در حالی که معتزله یک مکتب کلامی و نظری است و هیچ مانعی ندارد که یک کلمه در دو مورد به کار رود بدون آنکه یکی فرع دیگری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مشهور این است که در زمانی که حسن بصری در بصره حلقۀ درس و وعظ و خطابه‌ای داشت مردی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پیشوای دین، در زمان ما گروهی پیدا شده‌اند که مرتکبان کبائر را تکفیر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گروه دیگر، ارتکاب کبیره را منافی ایمان نمی‌دانند و اصولا عمل در مذهب آنان رکن ایمان نیست و معتقدند که گناه، مضر به ایمان نیست همچنان که اطاعت، با کفر مفید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افکند تا در پاسخ پرسش سائل بیندیشد، ناگهان واصل بن عطا شاگرد او به استاد مهلت نداد،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مرتکب کبیره نه مؤمن است و نه کافر، بلکه او در مرحله‌ای است میان دو مرحله، آنگاه از محضر استاد برخاست و به یکی از ستونهای مسجد تکیه کرد و پاسخ</w:t>
      </w:r>
    </w:p>
    <w:p>
      <w:pPr>
        <w:pStyle w:val="BookText"/>
        <w:rPr/>
      </w:pPr>
      <w:r>
        <w:rPr>
          <w:rFonts w:ascii="IRNazanin" w:hAnsi="IRNazanin" w:eastAsia="IRNazanin"/>
          <w:color w:val="111111"/>
          <w:sz w:val="28"/>
          <w:sz w:val="28"/>
          <w:szCs w:val="28"/>
          <w:rtl w:val="true"/>
          <w:lang w:bidi="fa-IR"/>
        </w:rPr>
        <w:t>خود را به دیگران تقریر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استاد به شاگرد جدا از حلقه افتاد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إعتزل عنا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او و یارانش لقب معتزله به خود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زیادی، این وجه تسمیه را یادآور شده‌اند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 بین الفرق،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اوائل المقالات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امالی المرتضی، </w:t>
      </w:r>
      <w:r>
        <w:rPr>
          <w:rFonts w:eastAsia="IRNazanin" w:cs="IRNazanin"/>
          <w:color w:val="111111"/>
          <w:sz w:val="28"/>
          <w:szCs w:val="28"/>
          <w:lang w:bidi="fa-IR"/>
        </w:rPr>
        <w:t>167/1</w:t>
      </w:r>
      <w:r>
        <w:rPr>
          <w:rFonts w:ascii="IRNazanin" w:hAnsi="IRNazanin" w:eastAsia="IRNazanin"/>
          <w:color w:val="111111"/>
          <w:sz w:val="28"/>
          <w:sz w:val="28"/>
          <w:szCs w:val="28"/>
          <w:rtl w:val="true"/>
          <w:lang w:bidi="fa-IR"/>
        </w:rPr>
        <w:t xml:space="preserve">، و فیات الأعیان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خطط مقریزی، </w:t>
      </w:r>
      <w:r>
        <w:rPr>
          <w:rFonts w:eastAsia="IRNazanin" w:cs="IRNazanin"/>
          <w:color w:val="111111"/>
          <w:sz w:val="28"/>
          <w:szCs w:val="28"/>
          <w:lang w:bidi="fa-IR"/>
        </w:rPr>
        <w:t>336/2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مرحوم شیخ مفید در أوایل المقالات نیز به این وجه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تسمیه را نمی‌پسندد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مکتب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مکتب این گروه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 دهندۀ واقعیت این مکتب است باید کلمۀ اعتزال و معتزله را نوعی تفسیر کرد که اشاره به محتوای مکتب آنان باشد، نه به وضع خارجی یکی از بنیانگذاران آن</w:t>
      </w:r>
      <w:r>
        <w:rPr>
          <w:rStyle w:val="FootnoteAnchor"/>
          <w:rtl w:val="true"/>
        </w:rPr>
        <w:footnoteReference w:id="60"/>
      </w:r>
      <w:r>
        <w:rPr>
          <w:rFonts w:ascii="IRNazanin" w:hAnsi="IRNazanin" w:eastAsia="IRNazanin"/>
          <w:color w:val="111111"/>
          <w:sz w:val="28"/>
          <w:sz w:val="28"/>
          <w:szCs w:val="28"/>
          <w:rtl w:val="true"/>
          <w:lang w:bidi="fa-IR"/>
        </w:rPr>
        <w:t xml:space="preserve">و لذا باید علتی جست که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مکتب آنها نیز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القاسم بلخی شیخ معتزله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به معتزله این لقب را داده‌اند این است که دربارۀ مرتکب کبیره اختلاف نظر وجود داشت، خوارج آنان را کافر و مشرک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آنان را به خاطر اقرارشان به خدا و رسول و کتاب او مؤمن می‌اندیشیدند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آنان را مؤمن فاسق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معتزله از همۀ این گروهها دوری جسته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مورد اتفاق همۀ آرا را می‌گیریم و مورد اختلاف را حذف می‌کنیم و آن اینکه ما این آدم را فاسق می‌دانیم ولی او را با کفر و ایمان و شرک که مورد اختلاف فرق اسلامی است توصیف نمی‌کنیم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اتفاقا این</w:t>
      </w:r>
      <w:bookmarkStart w:id="101" w:name="pg17029_176596"/>
    </w:p>
    <w:p>
      <w:pPr>
        <w:pStyle w:val="BookText"/>
        <w:rPr/>
      </w:pPr>
      <w:bookmarkEnd w:id="101"/>
      <w:r>
        <w:rPr>
          <w:rFonts w:ascii="IRNazanin" w:hAnsi="IRNazanin" w:eastAsia="IRNazanin"/>
          <w:color w:val="111111"/>
          <w:sz w:val="28"/>
          <w:sz w:val="28"/>
          <w:szCs w:val="28"/>
          <w:rtl w:val="true"/>
          <w:lang w:bidi="fa-IR"/>
        </w:rPr>
        <w:t>نظر را بغدادی نیز در الفرق بین الفرق آورده است و عبارتش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خاطر ابداء نظر المنزلة بین المنزلتین از همۀ امت، منعزل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اینکه از فرق اسلامی فاصله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نامیدن این گروه به معتزله این است که مرتکب کبیره را از ایمان و کفر منعزل می‌دانند، نه مؤمن می‌شمارند و نه کافر مسعودی این نظریه را یادآور شده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مرتکب را از هر دو گروه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نظریۀ سوم معروف و نظریۀ چهارم و پنجم به اعتبار نزدیکتر است، زیرا غالبا اسامی مکتبها بیانگر نکتۀ اصلی مکتب است و این جهت در چهارم و پنجم وجود دارد و علت اعتزال یکی از دو وجه است، یا خودشان با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جدا شدند و یا مرتکب کبیره را از مؤمن و کافر جدا کرده‌اند</w:t>
      </w:r>
      <w:r>
        <w:rPr>
          <w:rFonts w:eastAsia="IRNazanin" w:cs="IRNazanin"/>
          <w:color w:val="111111"/>
          <w:sz w:val="28"/>
          <w:szCs w:val="28"/>
          <w:rtl w:val="true"/>
          <w:lang w:bidi="fa-IR"/>
        </w:rPr>
        <w:t>.</w:t>
      </w:r>
    </w:p>
    <w:p>
      <w:pPr>
        <w:pStyle w:val="Heading3"/>
        <w:numPr>
          <w:ilvl w:val="2"/>
          <w:numId w:val="1"/>
        </w:numPr>
        <w:rPr/>
      </w:pPr>
      <w:bookmarkStart w:id="102" w:name="__RefHeading___Toc1119616_1738255347"/>
      <w:bookmarkStart w:id="103" w:name="_Toc38"/>
      <w:bookmarkEnd w:id="102"/>
      <w:r>
        <w:rPr>
          <w:rtl w:val="true"/>
        </w:rPr>
        <w:t>القاب معتزله</w:t>
      </w:r>
      <w:bookmarkEnd w:id="103"/>
    </w:p>
    <w:p>
      <w:pPr>
        <w:pStyle w:val="BookText"/>
        <w:rPr/>
      </w:pPr>
      <w:r>
        <w:rPr>
          <w:rFonts w:ascii="IRNazanin" w:hAnsi="IRNazanin" w:eastAsia="IRNazanin"/>
          <w:color w:val="111111"/>
          <w:sz w:val="28"/>
          <w:sz w:val="28"/>
          <w:szCs w:val="28"/>
          <w:rtl w:val="true"/>
          <w:lang w:bidi="fa-IR"/>
        </w:rPr>
        <w:t>معتزله در کتابهای موافق و مخالف، با القابی خوانده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عدلیه می‌گویند چون خدا را به عدل و حکمت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لقب منحصر به آنان نیست، بلکه همۀ مکتبهای قائل به عدل را فرا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خلاف اشاعره، قدیمی جز خدا نمی‌شناسند، درحالی‌که اشاعره به صفات جدا از ذات و در عین حال قدیم و کلام قدیم قائل هستند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گروه خود را فرقۀ ناجیه می‌دانند و البته به موجب آیۀ کُلُّ حِزْبٍ بِما لَدَیْهِمْ فَرِحُونَ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همگان به خود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را مخالفان معتزله به آنان می‌دهند تا مشمول حدیثی باشند که از پیامبر نقل‌شده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القدریة مجوس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قواعد ادبی، این لقب به قائلان به قدر که همان اشاعره و اهل حدیث باشند تناسب بیشتری دارد، نه با معتزله که نافی قدر هستند همچنانکه عدلیه به گروهی گفته می‌شود که قائل به عدلند نه نافی آن و ما در جلد اول این فرهنگ، در این باره به‌طور گسترده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نیز دشمنان معتزله به آنان داده‌اند و علت آن این است که معتزله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خداست و شر از بندگان خداست، گاهی گفته می‌شود که وجه آن این است که آنان، بندگان خدا را در افعال خود مستقل می‌اندیشند و ارتباط آنان را با خدا قطع می‌کنند، تو گویی در جهان دو فاعل مستقل و دو خالق متمایز داریم و ما در فصل عقاید معتزله، در این مورد بحث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صفات خدا رایت ذات می‌دانستند، تو گویی ذات را از توصیف به صفات تعطیل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این است که معطله از اوصاف جهمیّه است که اصولا ذات را با صفات توصیف نمی‌کنند و هیچ نوع واقعیتی برای صفات قائل نیستند، در حالی که معتزله، خدا را با صفات ذاتی توصیف می‌کنند، چیزی که هست در این مورد دو مسلک دارند، یکی مسلک نیابت ذات از صفات، دیگری مسلک عینیت ذات با صفات و اگر هم بر قول به نیابت بتوان نام تعطیل نهاد، قول دوم نقطه مقابل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مشروح این قسمت را در عقاید معتزله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را احمد بن حنبل به آنان داده است، در حالی که جهمیه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ولی چون او در پاره‌ای از موارد با معتزله موافق است، از این جهت احمد بن حنبل همه را به یک چوب رانده و به همه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همان‌طور که باید به</w:t>
      </w:r>
      <w:bookmarkStart w:id="104" w:name="pg17029_176598"/>
    </w:p>
    <w:p>
      <w:pPr>
        <w:pStyle w:val="BookText"/>
        <w:rPr/>
      </w:pPr>
      <w:bookmarkEnd w:id="104"/>
      <w:r>
        <w:rPr>
          <w:rFonts w:ascii="IRNazanin" w:hAnsi="IRNazanin" w:eastAsia="IRNazanin"/>
          <w:color w:val="111111"/>
          <w:sz w:val="28"/>
          <w:sz w:val="28"/>
          <w:szCs w:val="28"/>
          <w:rtl w:val="true"/>
          <w:lang w:bidi="fa-IR"/>
        </w:rPr>
        <w:t>وعدۀ خود عمل کند، به خاطر صادقا بودن به وعید خود هم نیز عمل می‌نماید و اگر بنده‌ای بدون توبه بمیرد، قطعا معذب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القابی است که موافق و مخالف به آنان داده ر قسمتی از آنها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این است که به آنان فقط معتزله بگوییم و از دیگر القاب دوری بجوییم</w:t>
      </w:r>
      <w:r>
        <w:rPr>
          <w:rFonts w:eastAsia="IRNazanin" w:cs="IRNazanin"/>
          <w:color w:val="111111"/>
          <w:sz w:val="28"/>
          <w:szCs w:val="28"/>
          <w:rtl w:val="true"/>
          <w:lang w:bidi="fa-IR"/>
        </w:rPr>
        <w:t>.</w:t>
      </w:r>
    </w:p>
    <w:p>
      <w:pPr>
        <w:pStyle w:val="Heading3"/>
        <w:numPr>
          <w:ilvl w:val="2"/>
          <w:numId w:val="1"/>
        </w:numPr>
        <w:rPr/>
      </w:pPr>
      <w:bookmarkStart w:id="105" w:name="__RefHeading___Toc1119618_1738255347"/>
      <w:bookmarkStart w:id="106" w:name="_Toc39"/>
      <w:bookmarkEnd w:id="105"/>
      <w:r>
        <w:rPr>
          <w:rtl w:val="true"/>
        </w:rPr>
        <w:t>اصالت کلام شیعه و نظریۀ احمد امین</w:t>
      </w:r>
      <w:bookmarkEnd w:id="106"/>
    </w:p>
    <w:p>
      <w:pPr>
        <w:pStyle w:val="BookText"/>
        <w:rPr/>
      </w:pPr>
      <w:r>
        <w:rPr>
          <w:rFonts w:ascii="IRNazanin" w:hAnsi="IRNazanin" w:eastAsia="IRNazanin"/>
          <w:color w:val="111111"/>
          <w:sz w:val="28"/>
          <w:sz w:val="28"/>
          <w:szCs w:val="28"/>
          <w:rtl w:val="true"/>
          <w:lang w:bidi="fa-IR"/>
        </w:rPr>
        <w:t>احمد امین مصری و کسانی چون او که در داوری عجولند، از مشاهدۀ مشترکات میان دو مکتب تصور کرده اند که شیعه عقاید خود را از معتزله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ابراهیم که از قدمای متکلمین شیعه است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مرقع خواندن فکر می‌کردم کتابی از کتب معتزله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تفاوتی که در آن بود، در قسمت امامت بود که نظریۀ مؤلف با معتزله تغایر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اشتباه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برخی خاورشناسان نیز همین اشتباه را تکرار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آدام متز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الحضارة الإسلامیة فی القرن الرابع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تا تاریخ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کلامی خاصی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کلامی خود را از معتزله گرفته‌اند، حتی ابن بابویه دانشمند بزرگ شیعه در قرن چهارم، خود در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معتزله را پیموده و از علل اشیا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چنین نتیجه‌گیری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نظر عقیده و مذهب، وارث معتزله بوده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الحضارة الاسلامیة،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این خاور شناس، در این چند سطر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تا</w:t>
      </w:r>
    </w:p>
    <w:p>
      <w:pPr>
        <w:pStyle w:val="BookText"/>
        <w:rPr/>
      </w:pPr>
      <w:r>
        <w:rPr>
          <w:rFonts w:ascii="IRNazanin" w:hAnsi="IRNazanin" w:eastAsia="IRNazanin"/>
          <w:color w:val="111111"/>
          <w:sz w:val="28"/>
          <w:sz w:val="28"/>
          <w:szCs w:val="28"/>
          <w:rtl w:val="true"/>
          <w:lang w:bidi="fa-IR"/>
        </w:rPr>
        <w:t>اواسط قرن چهارم شیعه مذهب کلامی خاصی نداشته است، درحالی‌که متکلمان بزرگ شیعه از اوایل قرن دوم تا آن زمان، گروه بزرگی را تشکیل می‌دهند،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حاجب منصور، متکلم نیکو کلامی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امامت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أبی طاهر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 برخی از اصحاب ما این کتاب را دیده‌اند و من خود وجود چنین اثری را از او در بعضی از کتابها خواندم، آنگاه که منصور وارد حیره شد، در مجلس درس عیسی بن روضه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امامت سخن می‌گفت منطق او مایۀ اعجاب خلیفه شد و آن را ستود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 شمارۀ ترجمه </w:t>
      </w:r>
      <w:r>
        <w:rPr>
          <w:rFonts w:eastAsia="IRNazanin" w:cs="IRNazanin"/>
          <w:color w:val="111111"/>
          <w:sz w:val="28"/>
          <w:szCs w:val="28"/>
          <w:lang w:bidi="fa-IR"/>
        </w:rPr>
        <w:t>796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اسماعیل بن میثم تمار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در مذهب امامیه بحث کلامی کرد و اجداد او از یاران بزرگ علی بودند، او کتابهایی به نامهای الإمامة و الإستحقاق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چهره‌های معروف متکلمین شیعه است، با ابو الهذیل و نظام مباحثاتی دارد واو کتابهایی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محمد بن علی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مؤمن الطاق، 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مرتبۀ او در دانش و استحضار، بشار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کتابهایی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دانش کلام فوق العاده حاذق و در بدیه گویی سرآمد روزگار بود وبا ابو حنیفه مناظراتی دارد</w:t>
      </w:r>
      <w:r>
        <w:rPr>
          <w:rFonts w:eastAsia="IRNazanin" w:cs="IRNazanin"/>
          <w:color w:val="111111"/>
          <w:sz w:val="28"/>
          <w:szCs w:val="28"/>
          <w:rtl w:val="true"/>
          <w:lang w:bidi="fa-IR"/>
        </w:rPr>
        <w:t>.</w:t>
      </w:r>
      <w:r>
        <w:rPr>
          <w:rStyle w:val="FootnoteAnchor"/>
          <w:rtl w:val="true"/>
        </w:rPr>
        <w:footnoteReference w:id="6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الحکم، او از شاگردان برجستۀ امام صادق و از متکلمین شیعه و</w:t>
      </w:r>
    </w:p>
    <w:p>
      <w:pPr>
        <w:pStyle w:val="BookText"/>
        <w:rPr/>
      </w:pPr>
      <w:r>
        <w:rPr>
          <w:rFonts w:ascii="IRNazanin" w:hAnsi="IRNazanin" w:eastAsia="IRNazanin"/>
          <w:color w:val="111111"/>
          <w:sz w:val="28"/>
          <w:sz w:val="28"/>
          <w:szCs w:val="28"/>
          <w:rtl w:val="true"/>
          <w:lang w:bidi="fa-IR"/>
        </w:rPr>
        <w:t>رازدار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باب مذاکره در امامت را گشود و راه استدلال را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استاد و حاضر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یاران جهم بن صفوان و بعدا به مذهب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ابن ندیم،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دربارۀ هشام بن الحکم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شخصیت شیعی در علم کلام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جدل و مناظره با خصم قوی و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معتزله مناظره کرد و آنان نیز با او مناظره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او در کتب ادبی متفرق است و همگی استحضار و نیرومندی استدلال او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ابو الهذیل علاف به مناظره پرداخت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آیا با وجود این شخصیتهای بزرگ و چهره‌های درخشان که همگی مربوط به قرن دوم و سوم اسلامی هستند، صحیح است که این مستشرق بگوید شیعه تا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کلامی خاصی نداشت؟ اگر چنین بود، پس اینها متکلم کدام مذهب بودند و چه ایدئولوژی داشتند؟ اگر مذهب کلامی خاصی نداشتند پس چرا با معتزله به مناظره می‌نشستند؟</w:t>
      </w:r>
    </w:p>
    <w:p>
      <w:pPr>
        <w:pStyle w:val="BookText"/>
        <w:rPr/>
      </w:pPr>
      <w:r>
        <w:rPr>
          <w:rFonts w:ascii="IRNazanin" w:hAnsi="IRNazanin" w:eastAsia="IRNazanin"/>
          <w:color w:val="111111"/>
          <w:sz w:val="28"/>
          <w:sz w:val="28"/>
          <w:szCs w:val="28"/>
          <w:rtl w:val="true"/>
          <w:lang w:bidi="fa-IR"/>
        </w:rPr>
        <w:t>اشتباه دیگر این مستشرق این است که تصور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جانب خود به تبیین فلسفۀ احکام پرداخته و از طریق عقل و خرد مصالح آنها را کشف کرده است، درحالی‌که او در این کتاب احادیثی که از پیشوایان شیعه دربارۀ علل احکام رسیده، گرد آورده است، نه اینکه خرد مانند معتزله بنشیند و به تبیین علل احکام بپردازد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مستشرق از مناظره‌های علمای شیعه با معتزله و ردیّه‌هایی که بر کتابهای معتزله نوشته‌اند، چندان آگاه نیست و اگر در این مورد به فهرست کتب شیعه مراجعه می‌کرد، چنین اشتباهی برای او رخ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را یاد 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الرحمن بن قبه که در اوایل قرن چهارم در گذشته است،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جبایی از مشایخ اعتزال و معاصر با او بود که 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سوسنجردی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 از زیارت قبر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ابو القاسم بلخی رفتم که با او آشنایی داشتم سا می‌کردم و کتابی از ابن قبة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امامت بود،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را از من گرفت و به مطالعۀ آن پرداخت و نقدی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کتاب را همراه خود به ری آوردم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نقض آن پرداخت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المستثبت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برای بلخی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مجددا آن را نقض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المستثبت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نقض دوم را همراه خود به ری آوردم ولی متوجه شدم که ابن قبه در گذشته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نجاشی، شمارۀ ترجمه، </w:t>
      </w:r>
      <w:r>
        <w:rPr>
          <w:rFonts w:eastAsia="IRNazanin" w:cs="IRNazanin"/>
          <w:color w:val="111111"/>
          <w:sz w:val="28"/>
          <w:szCs w:val="28"/>
          <w:lang w:bidi="fa-IR"/>
        </w:rPr>
        <w:t>1023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موسی نوبختی از بزرگان علمی شیعه، ردودی بر معتزله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الجبائی، الرد علی أبی الهذیل العلاف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پایان پذیری نعمتهای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النقض علی أبی الهذیل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مسألۀ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النقض علی جعفر بن حرب، الرد علی أصحاب المنزلة بین المنزلتین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کتابهای معتزله را نقد کرده است و مرحوم نجاشی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که همگی در رد عقاید معتزله است، نام می‌برد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جلد کتاب قاضی عبد الجبار را نقض کرده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چنین مناقشاتی، انکار اصالت کلام شیعه و پیروی آنان از کلام معتزله کاملا بی‌جاست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ملاحظۀ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ما را به تفاوتهای جوهری این دو مکتب کلامی آشنا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مواردی را که مرحوم مفید در این کتاب یادآور</w:t>
      </w:r>
      <w:bookmarkStart w:id="107" w:name="pg17029_176602"/>
    </w:p>
    <w:p>
      <w:pPr>
        <w:pStyle w:val="BookText"/>
        <w:rPr/>
      </w:pPr>
      <w:bookmarkEnd w:id="107"/>
      <w:r>
        <w:rPr>
          <w:rFonts w:ascii="IRNazanin" w:hAnsi="IRNazanin" w:eastAsia="IRNazanin"/>
          <w:color w:val="111111"/>
          <w:sz w:val="28"/>
          <w:sz w:val="28"/>
          <w:szCs w:val="28"/>
          <w:rtl w:val="true"/>
          <w:lang w:bidi="fa-IR"/>
        </w:rPr>
        <w:t>شده، از نظر خوانندگان گرامی می‌گذرانیم</w:t>
      </w:r>
      <w:r>
        <w:rPr>
          <w:rFonts w:eastAsia="IRNazanin" w:cs="IRNazanin"/>
          <w:color w:val="111111"/>
          <w:sz w:val="28"/>
          <w:szCs w:val="28"/>
          <w:rtl w:val="true"/>
          <w:lang w:bidi="fa-IR"/>
        </w:rPr>
        <w:t>:</w:t>
      </w:r>
    </w:p>
    <w:p>
      <w:pPr>
        <w:pStyle w:val="Heading3"/>
        <w:numPr>
          <w:ilvl w:val="2"/>
          <w:numId w:val="1"/>
        </w:numPr>
        <w:rPr/>
      </w:pPr>
      <w:bookmarkStart w:id="108" w:name="__RefHeading___Toc1119620_1738255347"/>
      <w:bookmarkStart w:id="109" w:name="_Toc40"/>
      <w:bookmarkEnd w:id="108"/>
      <w:r>
        <w:rPr>
          <w:rtl w:val="true"/>
        </w:rPr>
        <w:t>تفاوتهای کلام شیعی و معتزلی</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امامیه اتفاق نظر دارند که جاودانگی در آتش، از آن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مرتکب گناه کبیره در آتش جاودان نخواهد بود برخلاف معتزله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نجات مرتکبان کبیره است، بر خلاف معتزله که آن را برای مطیعان می‌دانند و نتیجۀ آن ترفیع رتبه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کبیره از اهل معرفت، مؤمن فاسق است و معتزله آنرا در منزلتی میان کفر و ایمان جای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توبه بر خدا واجب نیست بلکه از طریق تفضل می‌پذیرد، در حالی که معتزله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توبه در اسقاط عقاب، ضروری است نه تفضلی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فرشتگان برترند، بر خلاف معتزله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مجبور است و نه وانهاده شده، بلکه در منزلتی بین جبر و تفویض قرار دارد درحالی‌که معتزله خلاف آنرا می‌گویند و قائل به تفویضند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اطلاق می‌شود، بر خلاف معتزله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امامیه معتقدند که گروهی از مردگان پیش از قیامت به این دنیا باز خواهند گشت بر خلاف معتزله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رسول خدا از آدم تا عبد اللّه مؤمن و موحد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معتزله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ناکثان و قاسطان کافر و گمراهند و مورد لعن خدا هستند و به همین جهت در آتش جاودانند، برخلاف معتزله که آنان را کافر نمی‌دانند بلکه</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نبرد اجتهاد کردند، و از این طریق مطیع به شمار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علی را برای امامت نصب کرد، بر خلاف معتزله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امامیه معتقد است که در هر زمانی امام معصومی لازم است که خدا با آن احتجاج کند، بر خلاف معتزله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امامیه معتقد است که امام باید معصوم از گناه باشد وبر علوم دینی تسلط کامل داشته باشد، بر خلاف معتزله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به همین تفاوتهای دوازده‌گانه اکتفا کردیم و یادآور می‌شویم که فرق این دو گروه منحصر به اینها نیست بلکه فرق‌های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محمد جواد مغیه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فصول فی الفلسفة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دیگری را یادآور شده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رجوع کنید به مجلۀ رسالة الإسلام، شمارۀ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معروف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بیمن المعتزلة و الأشعریة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تفاوت کتب کلامی شیعه با این دو مکتب و احیانا تلاقی با یکی از آن دو را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یادآور شوم این تهمت که شیعه اصول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معتزله گرفته، اختصاص به ایام ما ندارد، بلکه در عصر شیخ مفید که به مذهب اهل‌بیت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بخشید و فوارق آنرا بیان کرد، این تهمت نیز وجود داشت و شیخ به آن در رسالۀ صاغانیات اشاره کرده است</w:t>
      </w:r>
      <w:r>
        <w:rPr>
          <w:rStyle w:val="FootnoteAnchor"/>
          <w:rtl w:val="true"/>
        </w:rPr>
        <w:footnoteReference w:id="72"/>
      </w:r>
      <w:r>
        <w:rPr>
          <w:rFonts w:ascii="IRNazanin" w:hAnsi="IRNazanin" w:eastAsia="IRNazanin"/>
          <w:color w:val="111111"/>
          <w:sz w:val="28"/>
          <w:sz w:val="28"/>
          <w:szCs w:val="28"/>
          <w:rtl w:val="true"/>
          <w:lang w:bidi="fa-IR"/>
        </w:rPr>
        <w:t xml:space="preserve">و علت اشتباه یکی است و آن اشتراک هر دو مکتب در توحید و عدل است که هر دو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متکلمان آل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شیعه بودند تمایلات اعتزالی</w:t>
      </w:r>
    </w:p>
    <w:p>
      <w:pPr>
        <w:pStyle w:val="BookText"/>
        <w:rPr/>
      </w:pPr>
      <w:r>
        <w:rPr>
          <w:rFonts w:ascii="IRNazanin" w:hAnsi="IRNazanin" w:eastAsia="IRNazanin"/>
          <w:color w:val="111111"/>
          <w:sz w:val="28"/>
          <w:sz w:val="28"/>
          <w:szCs w:val="28"/>
          <w:rtl w:val="true"/>
          <w:lang w:bidi="fa-IR"/>
        </w:rPr>
        <w:t>وجود داشته و برخی مانند حسن بن موسای نوبختی به اعتزال متهم بوده است، در حالی که دایی او اسماعیل بن علی نوبختی به دور از اتهام بوده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علوم اسلامی، جلال همائی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موسی خواهرزادۀ ابو سهل اسماعیل بن علی نوبختی است که از مشاهیر آل نوبخت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احیانا برخی از علمای شیعه اصلی از اصول معتزله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محمد بن بشر حمدونی سوسنجردی که نجاشی در حق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صحیح الاعتقاد است و در گذشته به اصل وعید معتقد بود</w:t>
      </w:r>
      <w:r>
        <w:rPr>
          <w:rFonts w:eastAsia="IRNazanin" w:cs="IRNazanin"/>
          <w:color w:val="111111"/>
          <w:sz w:val="28"/>
          <w:szCs w:val="28"/>
          <w:rtl w:val="true"/>
          <w:lang w:bidi="fa-IR"/>
        </w:rPr>
        <w:t>.</w:t>
      </w:r>
      <w:r>
        <w:rPr>
          <w:rStyle w:val="FootnoteAnchor"/>
          <w:rtl w:val="true"/>
        </w:rPr>
        <w:footnoteReference w:id="7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استثنا گواه بر استقلال مکتب کلامی شیعه است که احیانا برخی از آن دور شده و رجال آنان معرفی می‌شدند ما به مناسبت بزرگداشت معلم کلامی شیعه شیخ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رسالۀ جداگانه‌ای در این موضوع نوشته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علم الکلام عبر القرون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کردیم، مراجعه به این رساله، سیمای مستقل کلام و متکلمان شیعه را نشان می‌دهد</w:t>
      </w:r>
      <w:r>
        <w:rPr>
          <w:rFonts w:eastAsia="IRNazanin" w:cs="IRNazanin"/>
          <w:color w:val="111111"/>
          <w:sz w:val="28"/>
          <w:szCs w:val="28"/>
          <w:rtl w:val="true"/>
          <w:lang w:bidi="fa-IR"/>
        </w:rPr>
        <w:t>.</w:t>
      </w:r>
      <w:bookmarkStart w:id="110" w:name="pg17029_176605"/>
    </w:p>
    <w:p>
      <w:pPr>
        <w:pStyle w:val="Heading2"/>
        <w:numPr>
          <w:ilvl w:val="1"/>
          <w:numId w:val="1"/>
        </w:numPr>
        <w:rPr/>
      </w:pPr>
      <w:bookmarkStart w:id="111" w:name="__RefHeading___Toc1119622_1738255347"/>
      <w:bookmarkStart w:id="112" w:name="_Toc41"/>
      <w:bookmarkEnd w:id="110"/>
      <w:bookmarkEnd w:id="111"/>
      <w:r>
        <w:rPr>
          <w:rtl w:val="true"/>
        </w:rPr>
        <w:t>اصول پنجگانۀ معتزله</w:t>
      </w:r>
      <w:bookmarkEnd w:id="112"/>
    </w:p>
    <w:p>
      <w:pPr>
        <w:pStyle w:val="Heading3"/>
        <w:numPr>
          <w:ilvl w:val="2"/>
          <w:numId w:val="1"/>
        </w:numPr>
        <w:rPr/>
      </w:pPr>
      <w:bookmarkStart w:id="113" w:name="__RefHeading___Toc1119624_1738255347"/>
      <w:bookmarkStart w:id="114" w:name="_Toc42"/>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 xml:space="preserve">اساس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پنج اصل کلامی تشکیل می‌دهد و هرکس این پنج اصل را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بپذیرد از این گروه بوده و هرگاه یکی را منکر شود و باقیمانده را بپذیرد از این گروه نخواهد بود، این پنج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پنج اصلی که در میان ما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 و وعید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منزلة بین المنزلتین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الحسین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ارکان معتزله در اواخر قرن سوم و اوایل قرن چهارم است،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کس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مگر اینکه پنج اصل یاد شده را معتقد شود و هرکس که این پنج اصل را پذیرفت، معتزلی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خیاط، انتصار،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مورخ قرن چهارم اسلامی، آنگاه که اصول پنجگانۀ معتزله را مطرح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این اصول پنجگانه عقیده داشته باشد، معتزلی است و اگر به بیش از این پنج اصل یا کمتر از آن عقیده پیدا کرد، شایستۀ نام اعتزال نیست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از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تصور کرده این اصول پنجگانه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مخلوق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دیده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رؤیت و تشبیه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قدر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به منزلة بین المنزلتین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خدا زاید بر ذات نیستند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الفصل،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ابن حزم در مقابل تصریح پیشوایان معتزله، اصول خمسه را تحریف کرده و به اصطلاح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است، زیرا مسائل سه‌گانه یعنی نفی رؤیت، نفی فزونی صفات بر ذات، نفی قدیم بودن کلام خدا، همگی از فرهی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هر موقع در لسان معتزله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از آن معنی وسیعی اراده می‌شود که این اقسام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فروع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خود اصل مستقلی نیست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اصل اساسی از اصول معتزله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در طرح عقاید معتزله تا این حد دچار اشتباه می‌شود، طبعا در طرح عقاید شیعه اشتباه بیشتری را مرتکب خواهد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سؤال می‌شود که چرا آنان در میان این همه معارف الهی و اصول، تنها به این پنج اصل اکتفا کرده‌اند، در حالی که برخی از این اصول، جزو احکام فرعی اسلام به شمار می‌روند؟ نکتۀ آن این است که معتزله در این پنج اصل با بیشتر طوایف اسلامی اختلاف دارند، تنظیم این اصول پنجگانه نه به خاطر آن است که این اصول از نظر مسائل عقیدتی در درجۀ اول اهمیت قرار دارند، بلکه چه‌بسا اصولی مانند معاد و بازگشت انسان به زندگی جدید بر اکثر این اصول تقدم دارد ولی چون مسألۀ معاد، مورد اختلاف میان آنان وحشویه و اهل حدیث و اشاعره نبود، از این جهت آن را جزء اصول پنجگانه قرار نداده و اصولی را به عنوان اصول اعتزال معرفی</w:t>
      </w:r>
    </w:p>
    <w:p>
      <w:pPr>
        <w:pStyle w:val="BookText"/>
        <w:rPr/>
      </w:pPr>
      <w:r>
        <w:rPr>
          <w:rFonts w:ascii="IRNazanin" w:hAnsi="IRNazanin" w:eastAsia="IRNazanin"/>
          <w:color w:val="111111"/>
          <w:sz w:val="28"/>
          <w:sz w:val="28"/>
          <w:szCs w:val="28"/>
          <w:rtl w:val="true"/>
          <w:lang w:bidi="fa-IR"/>
        </w:rPr>
        <w:t>کرده‌اند که در آن با اهل حدیث و اشاعره اختلاف نظر داشتند و در حقیقت این اصول پنجگانه یک‌رشته آرای کلامی هستند که با آن، به مخالفان خود می‌تازند و آنها را از خود دور می‌کنند و اگر دیگر فرق اسلامی در این اصول موافقت می‌کردند، هرگز آنان به اکثر این پنج اصل اهمیت نداده و آن را جزء اصول خود نمی‌شمردند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معتزله نیستند که اصول عقاید آنان جمع‌بندی نتیجۀ نزاعها و درگیریهای کلامی آنان با اهل حدیث و اشاعره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این سخن دربارۀ عقاید اشاعره و اهل حدیث نیز حاکم است، مثلا شیخ اشعری در کتاب ابانه در باب دوم، صفحه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عقاید اهل حدیث و طبعا اشاعره را آورده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این اصول مخالفت ورزد، او مخالف و بدعت گذار است و جزء اهل سنت و جماعت اهل حق نیست و از چیزهایی که جزء اصول عقیدۀ اهل حدیث شمرده است، اعتقاد به قدیم بودن قرآن و مخلوق نبودن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معتزله مخلوق بودن قرآن را شعار خود قرار داده‌اند، عکس العمل آن این شده است که اهل حدیث و اشاعره، قدیم و یا مخلوق نبودن را شعار مذهب اتخاذ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تنظیم عقاید و اصول، از وضع دردآوری حکایت می‌کند و آن اینکه این گروهها روز نخست، دارای عقاید منظم و به هم پیوسته‌ای نبودند و نزاعها و درگیریها و جدالهای کلامی، عقیده‌آفرین بوده و برای آنان اصول دین و اصول عقیده‌ای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می‌توان گفت هر کسی به این اصول معتقد نباشد، از جرگۀ اهل سنت و جماعت و پیروان راه حق برون است، در حالی که بسیاری از این اصول، نه در زمان پیامبر مطرح بوده و نه در زمان صحابه و تابعین، بلکه و رود فرهنگهای بیگانه مایۀ بحث و اندیشه در این مسائل گردیده، نه اینکه از روز نخست این اصول، جزء عقاید اسلامی بوده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طحاوی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رسالۀ عقاید طحاویه از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نام س 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عقاید فقهای امت، مانند ابو حنیفه و ابو یوسف و محمد بن</w:t>
      </w:r>
      <w:bookmarkStart w:id="115" w:name="pg17029_176608"/>
    </w:p>
    <w:p>
      <w:pPr>
        <w:pStyle w:val="BookText"/>
        <w:rPr/>
      </w:pPr>
      <w:bookmarkEnd w:id="115"/>
      <w:r>
        <w:rPr>
          <w:rFonts w:ascii="IRNazanin" w:hAnsi="IRNazanin" w:eastAsia="IRNazanin"/>
          <w:color w:val="111111"/>
          <w:sz w:val="28"/>
          <w:sz w:val="28"/>
          <w:szCs w:val="28"/>
          <w:rtl w:val="true"/>
          <w:lang w:bidi="fa-IR"/>
        </w:rPr>
        <w:t>حسن شیبانی است و بر این کتاب، شروح و تعالیق فراوانی نوشته‌شده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هریک از این اصول را آگاهانه و به دقت بررسی کنید، خواهید دید هدف رد بر دیگر فرقه هاست خواه این گروه از ملاحده و زنادقه باشند یا از معتزله و رافضه</w:t>
      </w:r>
      <w:r>
        <w:rPr>
          <w:rFonts w:eastAsia="IRNazanin" w:cs="IRNazanin"/>
          <w:color w:val="111111"/>
          <w:sz w:val="28"/>
          <w:szCs w:val="28"/>
          <w:rtl w:val="true"/>
          <w:lang w:bidi="fa-IR"/>
        </w:rPr>
        <w:t>.</w:t>
      </w:r>
    </w:p>
    <w:p>
      <w:pPr>
        <w:pStyle w:val="Heading3"/>
        <w:numPr>
          <w:ilvl w:val="2"/>
          <w:numId w:val="1"/>
        </w:numPr>
        <w:rPr/>
      </w:pPr>
      <w:bookmarkStart w:id="116" w:name="__RefHeading___Toc1119626_1738255347"/>
      <w:bookmarkStart w:id="117" w:name="_Toc43"/>
      <w:bookmarkEnd w:id="116"/>
      <w:r>
        <w:rPr>
          <w:rtl w:val="true"/>
        </w:rPr>
        <w:t>عقاید اسلامی را از آرای کلامی جدا سازیم</w:t>
      </w:r>
      <w:bookmarkEnd w:id="117"/>
    </w:p>
    <w:p>
      <w:pPr>
        <w:pStyle w:val="BookText"/>
        <w:rPr/>
      </w:pPr>
      <w:r>
        <w:rPr>
          <w:rFonts w:ascii="IRNazanin" w:hAnsi="IRNazanin" w:eastAsia="IRNazanin"/>
          <w:color w:val="111111"/>
          <w:sz w:val="28"/>
          <w:sz w:val="28"/>
          <w:szCs w:val="28"/>
          <w:rtl w:val="true"/>
          <w:lang w:bidi="fa-IR"/>
        </w:rPr>
        <w:t>چقدر شایسته بود که پیشوایان اهل حدیث و معتزله و اشاعره در تبیین اصول ، به همان اصولی که مسلمین صدر اسلام بدان اکتفا می‌کردند، قناعت کرده و آنها را ملاک اسلام و کفر می‌شمردند، آنگاه در فصل دیگری نه به عنوان اصول عقاید، بلکه به عنوان اصول کلامی به آرای مکتب خود اشاره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پس از نگاشتن این بخش به گفتار بانوی خاورشناس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سوسنه دیفیلد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المرتضی را تحقیق کرده، برخورد که از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بخواهد عقاید اهل سنت را به درستی بفهمد، باید این مسأله را در ذهن خود آماده سازد که هر اصلی از اصول آنان رد بر فرقه‌ای از فرق مخالف آنهاست، یعنی فرقه‌های شیعه، خوارج، مرجئه، جهمیّه و معتزله و در حقیقت عقیدۀ اهل سنت، از موضع رد بر این فرق تشکیل یافته و از این نظر تنظیم شده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المعتزلة، مقدمه، چاپ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پایان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محققان اسلام‌شناس، اصول دین را از آرای کلامی جدا سازند و آنها را با هم مخلوط نکنند و تخلف از آرای کلامی را مایۀ خروج از اسلام و ایمان ندانند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توجه به این مقدمه به تشریح اصول پنجگانۀ معتزله می‌پردازیم</w:t>
      </w:r>
      <w:r>
        <w:rPr>
          <w:rFonts w:eastAsia="IRNazanin" w:cs="IRNazanin"/>
          <w:color w:val="111111"/>
          <w:sz w:val="28"/>
          <w:szCs w:val="28"/>
          <w:rtl w:val="true"/>
          <w:lang w:bidi="fa-IR"/>
        </w:rPr>
        <w:t>:</w:t>
      </w:r>
      <w:bookmarkStart w:id="118" w:name="pg17029_176609"/>
    </w:p>
    <w:p>
      <w:pPr>
        <w:pStyle w:val="Heading3"/>
        <w:numPr>
          <w:ilvl w:val="2"/>
          <w:numId w:val="1"/>
        </w:numPr>
        <w:rPr/>
      </w:pPr>
      <w:bookmarkStart w:id="119" w:name="__RefHeading___Toc1119628_1738255347"/>
      <w:bookmarkStart w:id="120" w:name="_Toc44"/>
      <w:bookmarkEnd w:id="118"/>
      <w:bookmarkEnd w:id="119"/>
      <w:r>
        <w:rPr>
          <w:rtl w:val="true"/>
        </w:rPr>
        <w:t xml:space="preserve">* </w:t>
      </w:r>
      <w:r>
        <w:rPr>
          <w:rtl w:val="true"/>
        </w:rPr>
        <w:t xml:space="preserve">اصل نخست </w:t>
      </w:r>
      <w:r>
        <w:rPr>
          <w:rtl w:val="true"/>
        </w:rPr>
        <w:t>*</w:t>
      </w:r>
      <w:bookmarkEnd w:id="120"/>
    </w:p>
    <w:p>
      <w:pPr>
        <w:pStyle w:val="Heading4"/>
        <w:numPr>
          <w:ilvl w:val="3"/>
          <w:numId w:val="1"/>
        </w:numPr>
        <w:rPr/>
      </w:pPr>
      <w:bookmarkStart w:id="121" w:name="__RefHeading___Toc1119630_1738255347"/>
      <w:bookmarkStart w:id="122" w:name="_Toc45"/>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کاربرد توحید در مکتب معتزله در این مورد خلاصه می‌شود، زیرا در دیگر معانی توحید میان آنان و دیگران اختلافی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خدا زاید بر ذات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صفات خبری باید از تشبیه دوری جست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پیراسته از رؤیت در دنیا و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خدا حادث است قدیم نیست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هریک را جداگانه مورد بحث قرار می‌دهیم</w:t>
      </w:r>
      <w:r>
        <w:rPr>
          <w:rFonts w:eastAsia="IRNazanin" w:cs="IRNazanin"/>
          <w:color w:val="111111"/>
          <w:sz w:val="28"/>
          <w:szCs w:val="28"/>
          <w:rtl w:val="true"/>
          <w:lang w:bidi="fa-IR"/>
        </w:rPr>
        <w:t>.</w:t>
      </w:r>
      <w:bookmarkStart w:id="123" w:name="pg17029_176610"/>
    </w:p>
    <w:p>
      <w:pPr>
        <w:pStyle w:val="Heading4"/>
        <w:numPr>
          <w:ilvl w:val="3"/>
          <w:numId w:val="1"/>
        </w:numPr>
        <w:rPr/>
      </w:pPr>
      <w:bookmarkStart w:id="124" w:name="__RefHeading___Toc1119632_1738255347"/>
      <w:bookmarkStart w:id="125" w:name="_Toc46"/>
      <w:bookmarkEnd w:id="123"/>
      <w:bookmarkEnd w:id="124"/>
      <w:r>
        <w:rPr>
          <w:rtl w:val="true"/>
        </w:rPr>
        <w:t>توحید در ابعاد مختلف</w:t>
      </w:r>
      <w:bookmarkEnd w:id="125"/>
    </w:p>
    <w:p>
      <w:pPr>
        <w:pStyle w:val="BookText"/>
        <w:rPr/>
      </w:pPr>
      <w:r>
        <w:rPr>
          <w:rFonts w:ascii="IRNazanin" w:hAnsi="IRNazanin" w:eastAsia="IRNazanin"/>
          <w:color w:val="111111"/>
          <w:sz w:val="28"/>
          <w:sz w:val="28"/>
          <w:szCs w:val="28"/>
          <w:rtl w:val="true"/>
          <w:lang w:bidi="fa-IR"/>
        </w:rPr>
        <w:t>توحید، در اصطلاح متکلمان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یکی است برای او در ذات و در صفات و در افعال، نظیر و مشابهی نیست و بندگان خدا باید فقط او را بپرستند و آنچه می‌تواند مراتب بیشتر این حقیقت را به صورت روشت ترسیم کند، گفتار قرآن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می‌توان مسائل یاد شده در زیر را مربوط به توحید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خدای واجب الوجود، آفرینندۀ ماده و مادّیات، در برابر مادّیها که به ماورای ماده اعتقاد ندارند و اصالت را از آن مادّه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یکی است، نظیر ندارد، او بسیط است و جزء ندارد و به تعبیر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برابر ثنویه که برای جهان دو مبدأ اندیشیده و در برابر نصاری که ذات خدا را مرکب از اقانیم ثلاثه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سازی صفات ذات مانند علم و قدرت و سمع و بصر از صفات افعال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رزق و آمرزش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صفات ذات عین ذات خدا است یا زاید بر ذات؟ و به تعبیر دیگر توصیف خدا به علم، مانند توصیف بشر به علم است؟ یا توصیف واجب به علم، با توصیف ممکن به آن فرق دارد، در یکی صفت زاید بر موصوف و در دیگری 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هر توصیفی که مستلزم حاجت و نیاز باشد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جسم و جسمانی و عرض و جوهر نیست، چون همۀ اینها مایۀ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هر چه که موجب نیاز شود غنی و پیراسته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و برتر از آن است که در دنیا یا آخرت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همۀ این بحثهای ششگانه در پوشش توحید قرار می‌گیرند، از سیان این بحثها، معتزله فقط به چهارمی و ششمی اهمیت داده‌اند و نکتۀ آن این است که چون در دیگر مراتب توحید، با اهل حدیث و اشاعره اتفاق نظر دارند، دیگر به آنها اهمیت نداده و تنها مورد اختلاف سیان خود و آنها را مورد بحث و جدال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هر موقع کلمۀ توحید اطلاق شود، مقصود از آن همان موضوع چهارم و ششم است، یعنی صفات خدا زاید بر ذات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بالاتر و برتر از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آنجاکه معتزله نافی صفات زاید بر ذات هستند و در برابر آنان اشاعره اصرار بر فزونی صفات بر ذات دارند، معتزله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نافیان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اشاعره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سخن به اینجا رسید، ما دربارۀ این اصل از چهار نظر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صفات خدا زاید بر ذات اوست یا عین ذات او؟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خبریه که قرآن و حدیث از آنها خبر داده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رَبِّکَ چگونه تفسیر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تفسیر و توصیف خدا به آنها، به همان مفهوم تصوری اکتفا می‌ورزیم یا ملاک در تفسیر، مفهوم تصدیقی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 مفهوم تصوری و تصدیقی آنها در آینده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رؤیت خدای جهان، در دنیا و آخرت امکان دارد یا 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به مناسبتی که قدم و حدوث کلام خدا با اصل توحید ارتباط دارد، در این باره نیز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چهارگانه در پوشش اصل توحید قرار دارند که به تدریج مورد بحث قرار می‌گیرند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بحث خود را روی همان عینیت صفات یا زیادی آنبر ذات متمرکز می‌کنیم</w:t>
      </w:r>
      <w:r>
        <w:rPr>
          <w:rFonts w:eastAsia="IRNazanin" w:cs="IRNazanin"/>
          <w:color w:val="111111"/>
          <w:sz w:val="28"/>
          <w:szCs w:val="28"/>
          <w:rtl w:val="true"/>
          <w:lang w:bidi="fa-IR"/>
        </w:rPr>
        <w:t>.</w:t>
      </w:r>
      <w:bookmarkStart w:id="126" w:name="pg17029_176612"/>
    </w:p>
    <w:p>
      <w:pPr>
        <w:pStyle w:val="Heading4"/>
        <w:numPr>
          <w:ilvl w:val="3"/>
          <w:numId w:val="1"/>
        </w:numPr>
        <w:rPr/>
      </w:pPr>
      <w:bookmarkStart w:id="127" w:name="__RefHeading___Toc1119634_1738255347"/>
      <w:bookmarkStart w:id="128" w:name="_Toc47"/>
      <w:bookmarkEnd w:id="126"/>
      <w:bookmarkEnd w:id="127"/>
      <w:r>
        <w:rPr>
          <w:rtl w:val="true"/>
        </w:rPr>
        <w:t>ثمرات اصل نخست</w:t>
      </w:r>
      <w:r>
        <w:rPr>
          <w:rtl w:val="true"/>
        </w:rPr>
        <w:t xml:space="preserve">: </w:t>
      </w:r>
      <w:r>
        <w:rPr>
          <w:rtl w:val="true"/>
        </w:rPr>
        <w:t>توحید</w:t>
      </w:r>
      <w:bookmarkEnd w:id="128"/>
    </w:p>
    <w:p>
      <w:pPr>
        <w:pStyle w:val="Heading5"/>
        <w:numPr>
          <w:ilvl w:val="4"/>
          <w:numId w:val="1"/>
        </w:numPr>
        <w:rPr/>
      </w:pPr>
      <w:bookmarkStart w:id="129" w:name="__RefHeading___Toc1119636_1738255347"/>
      <w:bookmarkStart w:id="130" w:name="_Toc48"/>
      <w:bookmarkEnd w:id="129"/>
      <w:r>
        <w:rPr>
          <w:rtl w:val="true"/>
        </w:rPr>
        <w:t>اشاره</w:t>
      </w:r>
      <w:bookmarkEnd w:id="130"/>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توحید و عینیت صفات خدا یا ذات</w:t>
      </w:r>
    </w:p>
    <w:p>
      <w:pPr>
        <w:pStyle w:val="BookText"/>
        <w:rPr/>
      </w:pPr>
      <w:r>
        <w:rPr>
          <w:rFonts w:ascii="IRNazanin" w:hAnsi="IRNazanin" w:eastAsia="IRNazanin"/>
          <w:color w:val="111111"/>
          <w:sz w:val="28"/>
          <w:sz w:val="28"/>
          <w:szCs w:val="28"/>
          <w:rtl w:val="true"/>
          <w:lang w:bidi="fa-IR"/>
        </w:rPr>
        <w:t>اهل حدیث و اشاعره معتقدند که خدا صفات کمالی دارد که زاید بر ذات و قدیم هستند، نخستین کسی‌که این صفات را زاید و قدیم توصیف کرد، شیخ اشعری بود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 الجبار، شرح الأصول الخمسة،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پیش از او صفات زاید را صفات ازلی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ازلی با قدیم، از نظر محتوا یکی است، اما کلمۀ قدیم در تفهیم حقیقت روشن‌تر است و سرانجام به این نتیجه رسیدند که قدیم، منحصر به ذات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چیزهای دیگری نیز در جهان قدیم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گروه فقط ظواهر آیاتی است که علم را به ذات نسبت می‌دهد که مشعر بر فزونی صفت بر ذات است، مثلا در بارۀ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أَنْزَلَهُ بِعِلْمِهِ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قرآن را با علم خویش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آگاهی خود از آنچه که در ارحام است،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تَحْمِلُ مِنْ أُنْثی وَ لا تَضَعُ إِلاّ بِعِلْمِهِ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ماده‌ای باردار نمی‌شود و وضع حمل نمی‌کند، مگر با آگاهی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قدرت خود،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الْقُوَّةِ الْمَتِینُ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قدرت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ظواهر این آیات، حاکی از فزونی علم</w:t>
      </w:r>
      <w:bookmarkStart w:id="131" w:name="pg17029_176613"/>
    </w:p>
    <w:p>
      <w:pPr>
        <w:pStyle w:val="BookText"/>
        <w:rPr/>
      </w:pPr>
      <w:bookmarkEnd w:id="131"/>
      <w:r>
        <w:rPr>
          <w:rFonts w:ascii="IRNazanin" w:hAnsi="IRNazanin" w:eastAsia="IRNazanin"/>
          <w:color w:val="111111"/>
          <w:sz w:val="28"/>
          <w:sz w:val="28"/>
          <w:szCs w:val="28"/>
          <w:rtl w:val="true"/>
          <w:lang w:bidi="fa-IR"/>
        </w:rPr>
        <w:t>و قدرت بر ذات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اینکه این آیات، در مقام بیان علم و قدرت گستردۀ اوست، نه در مقام بیان کیفیت علم او که آیا عین ذات است یا زاید بر ذات، عقیده بر زیادی صفات، مایۀ اعتقاد به ثنویت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از مذاهب، گرفتار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آیین زرتشت، نور و ظلمت و در آیین نصاری، اقانیم سه‌گانه مطرح است و مسلمانانی که پرچمدار توحید و یکی بودن قدیم بودند، گروهی، به صفوف همین ثنویها پیوسته و به جای دو قدیم و سه قدیم، به قدمای ثمانیه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به این نکته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کسانی که صفات زاید بر ذات را نفی می‌کنند، این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بجویند و به گفتار خدا لَیْسَ کَمِثْلِهِ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علمی بخشند، زیرا به‌روشنی می‌بینند اگر صفات خدا را ماورای ذات بیندیشند، در بدتر از آن چاله‌ای که ثنویها فرو رفته‌اند فرو خواهند رفت، زیرا به تعداد هر و صفی، قدیمی قائل خواهند شد</w:t>
      </w:r>
      <w:r>
        <w:rPr>
          <w:rFonts w:eastAsia="IRNazanin" w:cs="IRNazanin"/>
          <w:color w:val="111111"/>
          <w:sz w:val="28"/>
          <w:szCs w:val="28"/>
          <w:rtl w:val="true"/>
          <w:lang w:bidi="fa-IR"/>
        </w:rPr>
        <w:t>.</w:t>
      </w:r>
    </w:p>
    <w:p>
      <w:pPr>
        <w:pStyle w:val="Heading5"/>
        <w:numPr>
          <w:ilvl w:val="4"/>
          <w:numId w:val="1"/>
        </w:numPr>
        <w:rPr/>
      </w:pPr>
      <w:bookmarkStart w:id="132" w:name="__RefHeading___Toc1119638_1738255347"/>
      <w:bookmarkStart w:id="133" w:name="_Toc49"/>
      <w:bookmarkEnd w:id="132"/>
      <w:r>
        <w:rPr>
          <w:rtl w:val="true"/>
        </w:rPr>
        <w:t>پاسخ اشاعره از تعدد قدما</w:t>
      </w:r>
      <w:bookmarkEnd w:id="133"/>
    </w:p>
    <w:p>
      <w:pPr>
        <w:pStyle w:val="BookText"/>
        <w:rPr/>
      </w:pPr>
      <w:r>
        <w:rPr>
          <w:rFonts w:ascii="IRNazanin" w:hAnsi="IRNazanin" w:eastAsia="IRNazanin"/>
          <w:color w:val="111111"/>
          <w:sz w:val="28"/>
          <w:sz w:val="28"/>
          <w:szCs w:val="28"/>
          <w:rtl w:val="true"/>
          <w:lang w:bidi="fa-IR"/>
        </w:rPr>
        <w:t>اشاعره در مقابل این منطق قوی و نیرومند، گریزگاههایی پدید آورده اند که بتوانند از چنگال ثنویت فرار کنند که برخی از آنها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عضد الدین ایجی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مایۀ کفر است این است که را متعدد بدانیم نه یک ذات و چند صفت قدیم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عضد الدین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المواقف، ص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پاسخ از قاضی مایۀ شگفت است، زیرا قانون امتناع تعدد قدما یک حکم عقلی است و قانون عقلی، قابل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منحصر به</w:t>
      </w:r>
      <w:bookmarkStart w:id="134" w:name="pg17029_176614"/>
    </w:p>
    <w:p>
      <w:pPr>
        <w:pStyle w:val="BookText"/>
        <w:rPr/>
      </w:pPr>
      <w:bookmarkEnd w:id="134"/>
      <w:r>
        <w:rPr>
          <w:rFonts w:ascii="IRNazanin" w:hAnsi="IRNazanin" w:eastAsia="IRNazanin"/>
          <w:color w:val="111111"/>
          <w:sz w:val="28"/>
          <w:sz w:val="28"/>
          <w:szCs w:val="28"/>
          <w:rtl w:val="true"/>
          <w:lang w:bidi="fa-IR"/>
        </w:rPr>
        <w:t>یک شیئ است خواه این شیئ ذات باشد، خواه صفت؛ در این صورت تجویز تعدد چند قدیم از مقولۀ وصف، نادیده گرفتن داوری خرد در کلی بودن این 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خدا نه خدا هستند و نه جدا از خدا؛ از این جهت توصیف آنها به قدیم، اشکالی نخواهد داشت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أوائل المقالات،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جز لغز و پیچیده گویی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عقاید اسلامی از سهولت و آسانی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یا باید تعدد قدما را پذیرفت و توحید اسلامی را خدشه‌دار ساخت، آنهم به خاطر یک‌رشته ظواهر که در صدد بیان کیفیت علم و قدرت نیست، و یا اینکه صفات خدا را عین ذات او دانست نه زاید بر ذات</w:t>
      </w:r>
      <w:r>
        <w:rPr>
          <w:rFonts w:eastAsia="IRNazanin" w:cs="IRNazanin"/>
          <w:color w:val="111111"/>
          <w:sz w:val="28"/>
          <w:szCs w:val="28"/>
          <w:rtl w:val="true"/>
          <w:lang w:bidi="fa-IR"/>
        </w:rPr>
        <w:t>.</w:t>
      </w:r>
    </w:p>
    <w:p>
      <w:pPr>
        <w:pStyle w:val="Heading5"/>
        <w:numPr>
          <w:ilvl w:val="4"/>
          <w:numId w:val="1"/>
        </w:numPr>
        <w:rPr/>
      </w:pPr>
      <w:bookmarkStart w:id="135" w:name="__RefHeading___Toc1119640_1738255347"/>
      <w:bookmarkStart w:id="136" w:name="_Toc50"/>
      <w:bookmarkEnd w:id="135"/>
      <w:r>
        <w:rPr>
          <w:rtl w:val="true"/>
        </w:rPr>
        <w:t>اتهام معتزله به الحاد در مورد نفی صفات زاید</w:t>
      </w:r>
      <w:bookmarkEnd w:id="136"/>
    </w:p>
    <w:p>
      <w:pPr>
        <w:pStyle w:val="BookText"/>
        <w:rPr/>
      </w:pPr>
      <w:r>
        <w:rPr>
          <w:rFonts w:ascii="IRNazanin" w:hAnsi="IRNazanin" w:eastAsia="IRNazanin"/>
          <w:color w:val="111111"/>
          <w:sz w:val="28"/>
          <w:sz w:val="28"/>
          <w:szCs w:val="28"/>
          <w:rtl w:val="true"/>
          <w:lang w:bidi="fa-IR"/>
        </w:rPr>
        <w:t>یادآور شدیم انگیزۀ کسانی که صفات خدا را عین ذات او می‌دانند جز فرار از ثنویت و تعدد قدما چیزی دیگر نیست، ولی شیخ اشعری معتزله را در این مورد، به چیزی متهم می‌کند که هیچ دلیل و گواهی بر آن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در صدد این بودند که صفات کمال علم و قدرت و حیات وسمح و بصر را از خدا نفی کنند و بگویند خدا دانا و توانا و زنده و شنوا و بینا نیست، اما از شمشیر حکومت اسلامی ترسیدند، این عقیدۀ باطل را در قالب دیگری ریختند و گفتند که صفات خدا عین ذات اوست یعنی حقایق این صفات را دارا نیست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شکی نیست که چنین اتهام نوعی، بی‌باکی در کار دین است، یک دانشمند الهی نباید این گروه عظیم از امت اسلامی را پیروان راه زنادقه و ملاحده معرفی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با آنان هماهنگند و می‌خواهند بگریند خدا دانا و توانا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همۀ فرق اسلامی خدا را با صفات کمال توصیف می‌کنند واو را دانا و توانا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در شام تحلیل، دو راه پیش ما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فزونی صفات بر ذات مانند ممکنات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صفات با ذات و عینیت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گروه نخست، ظواهر آیات است که تحلیل آن را 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گروه دوم، علاوه بر فرار از ثنویت و تعدد قدما، یک رشته براهین عقلی است که به دو برهان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صفات خدا زاید بر ذات او باشند، لازمۀ آن این است که ذات، با صفات مرکب شده و خدای واحدی را تشکیل می‌دهند و مرکب در تحقق خود به اجزای خود نیاز دارد و موجود نیازمند، نمی‌تواند خدای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صفات او زاید بر ذات او باشد، او به وسیلۀ صفات که غیر از ذات است، استکمال خواهد یافت و چیزی که به غیر خود تکامل پیدا می‌کند، نمی‌تواند خدای جامع صفات کمال و جلال باشد، این دلایل و امثال آن، انگیزۀ نفی فزونی صفات بر ذات را روشن می‌سازد، نه اینکه نمی‌توانستند به صراحت بگویند خدا دانا و توانا نیست، ناچار شدند این حقیقت را زیر پرده بگویند و صفات زاید بر ذات را نفی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صفات با ذات به دو گونه تصور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از نظر کمال و جمال در پایه‌ای است که سراسر آن علم و توانایی است، و ذات او خود، کشف از خویش و از غیر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معرفتی است که از خطبه‌های امیر مؤمنان، به‌روشنی استفاده می‌شود و براهین یاد شده، در کلام امام موجود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کمال توحیده الاخلاص له، و کمال الاخلاص له نفی الصفات عنه، لشهادة کل صفة أنّها غیر الموصوف، و شهادة کل موصوف أنه الصفة، فمن وصف الله سبحانه فقد قرنه، و من قرنه فقد ثنّاه و من ثنّاه فقده جزّأه و من جزّأه فقد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کامل او کمال اخلاص است بر او، و کمال اخلاص، برای خدا این است که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نفی کنیم، زیرا هر صفتی گواهی غیر موصوف خود است، همچنانکه هر موصوفی گواهی می‌دهد که غیر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را با صفات زائد بر ذات توصیف می‌کنند صفات را اموری مستقل می‌دانند و در کنار او قرار می‌دهند و کسی که چنین کند او را دو تا دانسته و هر کس او را دو تا بداند، ذات بسیط او را تجزیه کرده و آن کس که چنین کند، خدا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معتزله ابو الهذیل علاف، این نظریه را با روشن ترین عبارت مطرح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عالم بعلم هو هو</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این عبارت، جز همان نظریه‌ای که سید الموحدین مطرح کرده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اجمالی که در نظریۀ معتزله در این مورد هست طرح دومی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خود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نیابة الذات عن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نیابت ذات از صفات این نظریه را به دو نحو می‌توان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دارای علم و قدرت و سمع و بصر نیست، اما در عین حال از عهدۀ این کارها بر می‌آید و به اصطلاح ذات فاقد این صفات، همان کارآیی را دارد که ذات واجد،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نیابت به این شکل، قریب به همان اتهامی است که شیخ اشعری نسبت به معتزله روا داشته است، زیرا اگر ذات واجب فاقد حقیقت این صفات</w:t>
      </w:r>
    </w:p>
    <w:p>
      <w:pPr>
        <w:pStyle w:val="BookText"/>
        <w:rPr/>
      </w:pPr>
      <w:r>
        <w:rPr>
          <w:rFonts w:ascii="IRNazanin" w:hAnsi="IRNazanin" w:eastAsia="IRNazanin"/>
          <w:color w:val="111111"/>
          <w:sz w:val="28"/>
          <w:sz w:val="28"/>
          <w:szCs w:val="28"/>
          <w:rtl w:val="true"/>
          <w:lang w:bidi="fa-IR"/>
        </w:rPr>
        <w:t>باشد، طبعا نه‌تنها عالم و قادر نخواهد بود، بلکه کارآیی ذات با علم و قدرت را نیز نخواهد داشت، زیرا معقول نیست ذات فاقد این کمالات، همان موقعیت را داشته باشد که ذات دارای این 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از نظر کمال و جمال در حدی است که سراپا علم و توانایی است و چنین ذات سراپا علم و قدرت، بی‌نیاز از علم و قدرت زاید است و جانشین چنین ذاتی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ذات مقارن با علم و قدرت می‌خواهیم، از ذات سراسر علم و قدرت ساخته است و مقصود از نیابت، نیابت چنین ذات سراسر علم و قدرت از ذاتی است که علم و قدرت در آن زاید بر ذات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سؤال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ذات خدا سراسر علم و قدرت باشد؟ در حالی که علم از مقولۀ کیف و عرض و شیئ قائم به غیر، و ذات قائم به نفس است و شیی که واقعیت آن قیام به غیر است، چگونه می‌تواند قائم به نفس باشد؟</w:t>
      </w:r>
    </w:p>
    <w:p>
      <w:pPr>
        <w:pStyle w:val="BookText"/>
        <w:rPr/>
      </w:pPr>
      <w:r>
        <w:rPr>
          <w:rFonts w:ascii="IRNazanin" w:hAnsi="IRNazanin" w:eastAsia="IRNazanin"/>
          <w:color w:val="111111"/>
          <w:sz w:val="28"/>
          <w:sz w:val="28"/>
          <w:szCs w:val="28"/>
          <w:rtl w:val="true"/>
          <w:lang w:bidi="fa-IR"/>
        </w:rPr>
        <w:t>پاسخ آن این است که علم دارای مراتب است، یک‌مرتبه از آن کیف و عرض است، مرتبۀ دیگر آن جوهر و قائم به خویش است</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قیام به خویش در مقابل عرض است که قائم به موضوع است، نه قیام به نفس به معنی بی‌نیازی از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فی‌نفسه لنفسه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مقابل واجب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 لنفسه و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 انسان به ذات خود که هرگز به صورت کیف و عرض نیست بلکه بازگشت آن به واقعیت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نفس انسانی به گونه‌ای است که از واقعیت خود نیز کشف می‌کند و علم او به صورت عرض بر ذات نمی‌باشد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خدا علم او به ذات، بالاتر از علم انسان به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w:t>
      </w:r>
    </w:p>
    <w:p>
      <w:pPr>
        <w:pStyle w:val="BookText"/>
        <w:rPr/>
      </w:pPr>
      <w:r>
        <w:rPr>
          <w:rFonts w:ascii="IRNazanin" w:hAnsi="IRNazanin" w:eastAsia="IRNazanin"/>
          <w:color w:val="111111"/>
          <w:sz w:val="28"/>
          <w:sz w:val="28"/>
          <w:szCs w:val="28"/>
          <w:rtl w:val="true"/>
          <w:lang w:bidi="fa-IR"/>
        </w:rPr>
        <w:t>علاوه بر اتحاد علم با ذات، مسألۀ وجوب علم مطرح است، علم به ذات، حکم خود ذات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را عالم و قادر می‌خوانیم در حالی که این دو لفظ از نظر وضع لغوی خالی از فزونی صفات بر ذات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خدا به این صفات، ناظر به کیفیت توصیف نیستیم همین قدر می‌گوییم که او آگاه و تواناست، اما کیفیت آگاهی و توانایی او از خارج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خرد است که ما را به وحدت ذات و صفات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مقام سخن گفتن و توصیف، نظر به دقایق علمی و فلسفی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زیادی صفات را می‌اندیشیم و نه وحدت آنها را، بلکه در مقام تحلیل و اقامۀ برهان، به وحدت و اتحاد پی می‌بریم</w:t>
      </w:r>
      <w:r>
        <w:rPr>
          <w:rFonts w:eastAsia="IRNazanin" w:cs="IRNazanin"/>
          <w:color w:val="111111"/>
          <w:sz w:val="28"/>
          <w:szCs w:val="28"/>
          <w:rtl w:val="true"/>
          <w:lang w:bidi="fa-IR"/>
        </w:rPr>
        <w:t>.</w:t>
      </w:r>
      <w:bookmarkStart w:id="137" w:name="pg17029_176619"/>
    </w:p>
    <w:p>
      <w:pPr>
        <w:pStyle w:val="Heading4"/>
        <w:numPr>
          <w:ilvl w:val="3"/>
          <w:numId w:val="1"/>
        </w:numPr>
        <w:rPr/>
      </w:pPr>
      <w:bookmarkStart w:id="138" w:name="__RefHeading___Toc1119642_1738255347"/>
      <w:bookmarkStart w:id="139" w:name="_Toc51"/>
      <w:bookmarkEnd w:id="137"/>
      <w:bookmarkEnd w:id="138"/>
      <w:r>
        <w:rPr>
          <w:rtl w:val="true"/>
        </w:rPr>
        <w:t>ثمرات اصل نخست</w:t>
      </w:r>
      <w:r>
        <w:rPr>
          <w:rtl w:val="true"/>
        </w:rPr>
        <w:t xml:space="preserve">: </w:t>
      </w:r>
      <w:r>
        <w:rPr>
          <w:rtl w:val="true"/>
        </w:rPr>
        <w:t>توحید</w:t>
      </w:r>
      <w:bookmarkEnd w:id="139"/>
    </w:p>
    <w:p>
      <w:pPr>
        <w:pStyle w:val="Heading5"/>
        <w:numPr>
          <w:ilvl w:val="4"/>
          <w:numId w:val="1"/>
        </w:numPr>
        <w:rPr/>
      </w:pPr>
      <w:bookmarkStart w:id="140" w:name="__RefHeading___Toc1119644_1738255347"/>
      <w:bookmarkStart w:id="141" w:name="_Toc52"/>
      <w:bookmarkEnd w:id="140"/>
      <w:r>
        <w:rPr>
          <w:rtl w:val="true"/>
        </w:rPr>
        <w:t>اشاره</w:t>
      </w:r>
      <w:bookmarkEnd w:id="141"/>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توحید و صفات خبریۀ خدا</w:t>
      </w:r>
    </w:p>
    <w:p>
      <w:pPr>
        <w:pStyle w:val="BookText"/>
        <w:rPr/>
      </w:pPr>
      <w:r>
        <w:rPr>
          <w:rFonts w:ascii="IRNazanin" w:hAnsi="IRNazanin" w:eastAsia="IRNazanin"/>
          <w:color w:val="111111"/>
          <w:sz w:val="28"/>
          <w:sz w:val="28"/>
          <w:szCs w:val="28"/>
          <w:rtl w:val="true"/>
          <w:lang w:bidi="fa-IR"/>
        </w:rPr>
        <w:t xml:space="preserve">توحید نخستین اصل از اصول پنجگانۀ معتزله است و یکی از شاخه‌های آن تنزیه خدا از تجسم و تشبیهات است که با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صفاتی که خدا از آن در قرآن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صفات خدا را به دو قسم تقسیم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ذاتی مانند علم و قدرت که عقل به وجود آنها در خدا هادی و راهنماست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صفاتی که آیات و احادیث از آنها خبر داده‌اند،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در قرآن و سنت وارد نشده بود، خرد به آنها راهی نداشت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در نزد معتزله، معنی جامعی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شاخه‌های تنزیه این است که این صفات به گونه‌ای تفسیر شوند که مایۀ تجسیم و تشبیه نگردند و این بخش از صفات پیوسته مایۀ نزاع و گفتگو میان آنان و گروه اهل حدیث و سپس اشاعره بوده 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می‌گویند خدا بالاتر و برتر از جسم و جسمانیات و ماده و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صفات خبری را نمی‌توان به همان معنی لغوی بر خدا حمل کرد واو را با آنها توصیف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صورتی و دستی دارد، در حالی که مخالفان آنان سعی و کوشش دارند که در توصیف خدا با آنها</w:t>
      </w:r>
    </w:p>
    <w:p>
      <w:pPr>
        <w:pStyle w:val="BookText"/>
        <w:rPr/>
      </w:pPr>
      <w:r>
        <w:rPr>
          <w:rFonts w:ascii="IRNazanin" w:hAnsi="IRNazanin" w:eastAsia="IRNazanin"/>
          <w:color w:val="111111"/>
          <w:sz w:val="28"/>
          <w:sz w:val="28"/>
          <w:szCs w:val="28"/>
          <w:rtl w:val="true"/>
          <w:lang w:bidi="fa-IR"/>
        </w:rPr>
        <w:t>معنی لغوی را حفظ کنند و در عین حال غالبا مایلند به تشبیه و تجسیم متهم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میان مسلمین در تفسیر این صفات روشهای مختلفی است که ذیلا یاد آوری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توصیف خدا با این صفات به معنای لغوی، هر چند مستلزم تشبیه و تجسیم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توصیف خدا با این صفات به همان معنای لغوی، ولی با التزام به عدم تشبیه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توصیف خدا با این صفات، راه حزم و احتیاط را در پیش گرفت و معانی این نوع آیات و روایات را به خود خدا تفویض کرد و در حقیقت این نوع آیات و روایات، از آیات متشابه بوده و راه نجات این است که از تفسیر آنها دوری جسته و به خدا واگذار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توصیف خدا با این صفات، راه تأویل را در پیش گرفت و از معنای لغوی و تصوری آن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مربوط به مجسمه و مشبهه است که مطرود جامعۀ اسلامی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مربوط به سلفیها و حنابله و پیرو مکتب آنها ابو الحسن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اینکه از تأویل بگریزند و از جانبی وارد مرحلۀ خطرناک تشبیه نشوند، در تفسیر این آیات و روایات همان معنی لغوی را می‌گیرند و می‌گویند واقعا خدا دست‌وپا و صورت دارد، چیزی که هست فاقد کیفیت است و اگر در نوشته‌های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دارد، اما فاقد کیفیت دست انسان است و گاهی برای تخفیف از مصدر جعلی آن استفاده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بلکفه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تحلیل عقاید اشاعره این نظریه را نقد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عقیده‌ای</w:t>
      </w:r>
      <w:bookmarkStart w:id="142" w:name="pg17029_176621"/>
    </w:p>
    <w:p>
      <w:pPr>
        <w:pStyle w:val="BookText"/>
        <w:rPr/>
      </w:pPr>
      <w:bookmarkEnd w:id="142"/>
      <w:r>
        <w:rPr>
          <w:rFonts w:ascii="IRNazanin" w:hAnsi="IRNazanin" w:eastAsia="IRNazanin"/>
          <w:color w:val="111111"/>
          <w:sz w:val="28"/>
          <w:sz w:val="28"/>
          <w:szCs w:val="28"/>
          <w:rtl w:val="true"/>
          <w:lang w:bidi="fa-IR"/>
        </w:rPr>
        <w:t>جز یک بام و دو هوا بیش نیست، و قضیه ای است که صدر و ذیل آن با هم متناقض است، زیرا اگر بناست در تفسیر آیات، معانی لغوی و تصوری آنها محفوظ باشد، باید کیفیت آنها نیز محفوظ گردد، زیرا واقعیت آنها همان کیفیت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دست‌وپا و صورت بدون کیفیت، دست‌وپا و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لغوی نیز محفوظ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همان معنای لغوی و تصوری دارای دست‌وپا و صورت است، از طرف دیگر می‌گوییم فاقد کیفیت آنهاست و این دو با هم قابل جمع نیست، زیرا مقوم دست و حافظ معنی لغوی آن، کیفیت آن است و در صورت فقدان آن تمی توان گفت که خدا این صفات را به همان معنای لغوی و عرفی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بگذریم، نظریۀ سوم معنی اندیشۀ تفویض یک فکر ارتجاعی است که سرچشمۀ آن این است که گروهی می‌پندارند که فهم معارف قرآن امکان‌پذیر نیست، تو گویی قرآن برای تلاوت و قرائت آمده است نه برای تفکر و تدبر، در حالی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أَنْزَلْناهُ إِلَیْکَ مُبارَکٌ لِیَدَّبَّرُوا آیاتِهِ وَ لِیَتَذَکَّرَ أُولُوا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کتابی است مبارک، آن را فرو فرستادیم تا دربارۀ آیات آن بیندیشند و خردمندان یادآوری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جز پیمودن راه چهارم که تأویل است،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تأویل بر دو نوع است یکی تأویل مقبول و دیگری تأویل مردود</w:t>
      </w:r>
      <w:r>
        <w:rPr>
          <w:rFonts w:eastAsia="IRNazanin" w:cs="IRNazanin"/>
          <w:color w:val="111111"/>
          <w:sz w:val="28"/>
          <w:szCs w:val="28"/>
          <w:rtl w:val="true"/>
          <w:lang w:bidi="fa-IR"/>
        </w:rPr>
        <w:t>.</w:t>
      </w:r>
    </w:p>
    <w:p>
      <w:pPr>
        <w:pStyle w:val="Heading5"/>
        <w:numPr>
          <w:ilvl w:val="4"/>
          <w:numId w:val="1"/>
        </w:numPr>
        <w:rPr/>
      </w:pPr>
      <w:bookmarkStart w:id="143" w:name="__RefHeading___Toc1119646_1738255347"/>
      <w:bookmarkStart w:id="144" w:name="_Toc53"/>
      <w:bookmarkEnd w:id="143"/>
      <w:r>
        <w:rPr>
          <w:rtl w:val="true"/>
        </w:rPr>
        <w:t>تأویل مقبول غیر از تأویل مردود است</w:t>
      </w:r>
      <w:bookmarkEnd w:id="14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تأویل مقبول این است که با توجه به قراین موجود در خود آیه و آیات دیگر، معنی تصدیقی و مفاد جملگی آن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مفاد تصدیقی و جملگی آن بر خلاف ظهور تصوری و مفهوم لغوی آن باشد و چنین تأویلی اصولا تأویل نیست، بلکه پیروی از ظهور تصدیقی است و اگر بدان تأویل گفته می‌شود، به خاطر این است که معانی تصوری مفردات محفوظ نمی‌باشد مثلا</w:t>
      </w:r>
      <w:bookmarkStart w:id="145" w:name="pg17029_176622"/>
    </w:p>
    <w:p>
      <w:pPr>
        <w:pStyle w:val="BookText"/>
        <w:rPr/>
      </w:pPr>
      <w:bookmarkEnd w:id="145"/>
      <w:r>
        <w:rPr>
          <w:rFonts w:ascii="IRNazanin" w:hAnsi="IRNazanin" w:eastAsia="IRNazanin"/>
          <w:color w:val="111111"/>
          <w:sz w:val="28"/>
          <w:sz w:val="28"/>
          <w:szCs w:val="28"/>
          <w:rtl w:val="true"/>
          <w:lang w:bidi="fa-IR"/>
        </w:rPr>
        <w:t>می‌گوییم فلانی دست و دل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تصوری آن، این است که عضو خاصی از بدن او این حالت را دارد، ولی مسلما مفاد تصدیقی این نیست، زیرا مقصود از آن، توصیف او به بذل و بخشش است و چون بذل و بخشش غالبا با حرکات باز دست انجام می‌گیرد با چنین لفظی از چنین مقصدی کنایه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چنین تفسیری تأویل گفته می‌شود، در واقع به خاطر این است که با ظهور تصوری و ظهور مفردات جمله اختلاف دارد، ولی با توجه به قراین و دیگر ارتکازات عرفی عین معنی جمله است، نه تأویل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تأویل مردود آن است که به خاطر پیشداوری، با ظهور تصدیقی جمله یعنی همان معنایی که عرف از جمله می‌فهمد مخالفت شود و مسلما چنین تأویلی حرام و چنین تفسیری مایۀ بد فرجامی و تباهی ایمان است و مشمول حدیث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فلیتبوء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مقدمه، اکنون برای دو نمونه از تأویل دو مثال می‌آوریم</w:t>
      </w:r>
      <w:r>
        <w:rPr>
          <w:rFonts w:eastAsia="IRNazanin" w:cs="IRNazanin"/>
          <w:color w:val="111111"/>
          <w:sz w:val="28"/>
          <w:szCs w:val="28"/>
          <w:rtl w:val="true"/>
          <w:lang w:bidi="fa-IR"/>
        </w:rPr>
        <w:t>:</w:t>
      </w:r>
    </w:p>
    <w:p>
      <w:pPr>
        <w:pStyle w:val="Heading5"/>
        <w:numPr>
          <w:ilvl w:val="4"/>
          <w:numId w:val="1"/>
        </w:numPr>
        <w:rPr/>
      </w:pPr>
      <w:bookmarkStart w:id="146" w:name="__RefHeading___Toc1119648_1738255347"/>
      <w:bookmarkStart w:id="147" w:name="_Toc54"/>
      <w:bookmarkEnd w:id="146"/>
      <w:r>
        <w:rPr>
          <w:rtl w:val="true"/>
        </w:rPr>
        <w:t>نمونه‌ای برای تأویل مقبول</w:t>
      </w:r>
      <w:bookmarkEnd w:id="147"/>
    </w:p>
    <w:p>
      <w:pPr>
        <w:pStyle w:val="Heading6"/>
        <w:numPr>
          <w:ilvl w:val="5"/>
          <w:numId w:val="1"/>
        </w:numPr>
        <w:rPr/>
      </w:pPr>
      <w:bookmarkStart w:id="148" w:name="__RefHeading___Toc1119650_1738255347"/>
      <w:bookmarkStart w:id="149" w:name="_Toc55"/>
      <w:bookmarkEnd w:id="148"/>
      <w:r>
        <w:rPr>
          <w:rtl w:val="true"/>
        </w:rPr>
        <w:t>اشاره</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ابلیس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 أَنْ تَسْجُدَ لِما خَلَقْتُ بِیَدَیَّ أَسْتَکْبَرْتَ أَمْ کُنْتَ مِنَ الْعالِینَ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باعث شد که تو بر چیزی که من با دو دستم آفریده‌ام، سجده نکنی؟</w:t>
      </w:r>
    </w:p>
    <w:p>
      <w:pPr>
        <w:pStyle w:val="BookText"/>
        <w:rPr/>
      </w:pPr>
      <w:r>
        <w:rPr>
          <w:rFonts w:ascii="IRNazanin" w:hAnsi="IRNazanin" w:eastAsia="IRNazanin"/>
          <w:color w:val="111111"/>
          <w:sz w:val="28"/>
          <w:sz w:val="28"/>
          <w:szCs w:val="28"/>
          <w:rtl w:val="true"/>
          <w:lang w:bidi="fa-IR"/>
        </w:rPr>
        <w:t>آیا کبر ورزیدی یا بالاتر و برتر از آدم بودی؟</w:t>
      </w:r>
      <w:r>
        <w:rPr>
          <w:rFonts w:eastAsia="IRNazanin" w:cs="IRNazanin"/>
          <w:color w:val="111111"/>
          <w:sz w:val="28"/>
          <w:szCs w:val="28"/>
          <w:rtl w:val="true"/>
          <w:lang w:bidi="fa-IR"/>
        </w:rPr>
        <w:t>».</w:t>
      </w:r>
    </w:p>
    <w:p>
      <w:pPr>
        <w:pStyle w:val="Heading6"/>
        <w:numPr>
          <w:ilvl w:val="5"/>
          <w:numId w:val="1"/>
        </w:numPr>
        <w:rPr/>
      </w:pPr>
      <w:bookmarkStart w:id="150" w:name="__RefHeading___Toc1119652_1738255347"/>
      <w:bookmarkStart w:id="151" w:name="_Toc56"/>
      <w:bookmarkEnd w:id="150"/>
      <w:r>
        <w:rPr>
          <w:rtl w:val="true"/>
        </w:rPr>
        <w:t>مقصود از آفرینش آدم با دو دست خدا چیست؟</w:t>
      </w:r>
      <w:bookmarkEnd w:id="15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تجلیگاه هر چهار مسلک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مشبهه بدون پروا می‌گویند، خدا دو دست دارد، درحالی‌که حنابله و شیخ اشعری همین موضوع را با ظرافت خاصی تکرار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دست دارد اما فاقد کیفیت است، گروهی راه حزم و احتیاط را در پیش گرفته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این آیات برای ما مفهوم نیست ولی گروه چهارم دست به تأویل می‌زنند، یکی مردود و دیگری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مردود از آن</w:t>
      </w:r>
    </w:p>
    <w:p>
      <w:pPr>
        <w:pStyle w:val="BookText"/>
        <w:rPr/>
      </w:pPr>
      <w:r>
        <w:rPr>
          <w:rFonts w:ascii="IRNazanin" w:hAnsi="IRNazanin" w:eastAsia="IRNazanin"/>
          <w:color w:val="111111"/>
          <w:sz w:val="28"/>
          <w:sz w:val="28"/>
          <w:szCs w:val="28"/>
          <w:rtl w:val="true"/>
          <w:lang w:bidi="fa-IR"/>
        </w:rPr>
        <w:t>معتزله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معنی قوه و توان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الأصول الخمسة،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این تأویل مردود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معنی قوه و نعمت، به کار می‌رود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 عَبْدَنا داوُدَ ذَا الْأَیْدِ إِنَّهُ أَوّابٌ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بندۀ ما داود یاد کن که صاحب نعمتها و قدرتها که او بسیار توبه‌کننده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یاد شده به معنی قوت و قدرت صحیح نیست، زیرا آیه در این صورت حالت توضیح واضح به خود می‌گیرد، زیرا شکی نیست که هر آفریننده‌ای کار را با قوه و قدرت انجام می‌دهد، چه لزومی دارد که خدا به چنین توضیح واضحی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وجه تثنیه چیست؟ چنانکه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از این تأویل صرف‌نظر کرد و راه تأویل مقبول را در پیش گرفت و آن این است که آیۀ یاد شده ظهور تصوری دارد و ظهور تصدیقی، مقصود از نخست این است که خدا با دو دست خود آدم را آفریده است ولی ظهور تصدیقی آن این است که خدا ابلیس را نکوهش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چیزی که من با عنایت خاص شخصا آن را آفریده‌ام سجده نکردی؟ در این صورت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دستم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آفرینش را شخصا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کلمه کنایه است از اینکه آدم مصنوع من بوده نه دیگری، ترک سجده بر آن اهانتی بر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همین معنا نیز بر دو آیۀ دیگر حاکم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آیه آفرینش آدم را به دستهای خود نسبت می‌دهد، در آیۀ دیگر همۀ نعمتها را مخلوق دستهای خدا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یَرَوْا أَنّا خَلَقْنا لَهُمْ مِمّا عَمِلَتْ أَیْدِینا أَنْعاماً فَهُمْ لَها مالِکُونَ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نمی‌بینند که از میان آنچه با دستهای خود آفریده ایم، برای آنان چهار پایانی قرار دادیم که آنها را مالک هستند</w:t>
      </w:r>
      <w:r>
        <w:rPr>
          <w:rFonts w:eastAsia="IRNazanin" w:cs="IRNazanin"/>
          <w:color w:val="111111"/>
          <w:sz w:val="28"/>
          <w:szCs w:val="28"/>
          <w:rtl w:val="true"/>
          <w:lang w:bidi="fa-IR"/>
        </w:rPr>
        <w:t>».</w:t>
      </w:r>
      <w:bookmarkStart w:id="152" w:name="pg17029_176624"/>
    </w:p>
    <w:p>
      <w:pPr>
        <w:pStyle w:val="BookText"/>
        <w:rPr/>
      </w:pPr>
      <w:bookmarkEnd w:id="152"/>
      <w:r>
        <w:rPr>
          <w:rFonts w:ascii="IRNazanin" w:hAnsi="IRNazanin" w:eastAsia="IRNazanin"/>
          <w:color w:val="111111"/>
          <w:sz w:val="28"/>
          <w:sz w:val="28"/>
          <w:szCs w:val="28"/>
          <w:rtl w:val="true"/>
          <w:lang w:bidi="fa-IR"/>
        </w:rPr>
        <w:t xml:space="preserve">مقصود نهایی از جملۀ مِمّا عَمِلَتْ أَیْدِینا ، نه این است که ما با دستهای خود آنها را آفریدیم، بلکه این کلمه کنایه از این است، این نعمتها که در اختیار آنهاست ما آنها را آفریده‌ایم نه دیگران، پس باید ما را بپرستند نه بتها را و اگر بنا باشد این آیه را به صورت ظهور تصدیقی و جملگی ترجمه کنیم، باید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ما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شخصا آنها را آفریده‌ایم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سخن گفتن، اختصاص به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نیز تمام کارهای خود حتی آنچه را که با اعضای دیگر انجام داده است به دست نسبت می‌دهد، مثلا جایی که دروغ می‌گوید و سپس محکوم و مجرم شناخته س شود، در مقام اظهار ندامت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دستم خود را بدبخت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مایۀ بدبختی او زبان او بود، نه دست او و اگر بیشتر عمیق شویم،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بدبختی او تمایلات درونی تعدیل نیافتۀ او بود، ولی از آنجاکه دست مظهر کار و تلاش است، بدبختی را به آن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تمام جرایم انسان را به دست او نسبت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بِما قَدَّمَتْ یَداکَ وَ أَنَّ اللّهَ لَیْسَ بِظَلاّمٍ لِلْعَبِیدِ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یَتَمَنَّوْنَهُ أَبَداً بِما قَدَّمَتْ أَیْدِیهِمْ وَ اللّهُ عَلِیمٌ بِالظّالِمِینَ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دستهای تو آن را از پیش فرستاده و خدا از هر ظلمی بر بندگان پیراسته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آیۀ مربوط به آفرینش آدم، در مورد نکوهش ابلیس، تجلیگاه چهار نوع تفسیر و تحلیل است و تأویل صحیح آن‌که در حقیقت تأویل نیست همان است که گفته شد</w:t>
      </w:r>
      <w:r>
        <w:rPr>
          <w:rFonts w:eastAsia="IRNazanin" w:cs="IRNazanin"/>
          <w:color w:val="111111"/>
          <w:sz w:val="28"/>
          <w:szCs w:val="28"/>
          <w:rtl w:val="true"/>
          <w:lang w:bidi="fa-IR"/>
        </w:rPr>
        <w:t>.</w:t>
      </w:r>
    </w:p>
    <w:p>
      <w:pPr>
        <w:pStyle w:val="Heading5"/>
        <w:numPr>
          <w:ilvl w:val="4"/>
          <w:numId w:val="1"/>
        </w:numPr>
        <w:rPr/>
      </w:pPr>
      <w:bookmarkStart w:id="153" w:name="__RefHeading___Toc1119654_1738255347"/>
      <w:bookmarkStart w:id="154" w:name="_Toc57"/>
      <w:bookmarkEnd w:id="153"/>
      <w:r>
        <w:rPr>
          <w:rtl w:val="true"/>
        </w:rPr>
        <w:t>نمونۀ دوم برای تأویل مقبول</w:t>
      </w:r>
      <w:bookmarkEnd w:id="154"/>
    </w:p>
    <w:p>
      <w:pPr>
        <w:pStyle w:val="Heading6"/>
        <w:numPr>
          <w:ilvl w:val="5"/>
          <w:numId w:val="1"/>
        </w:numPr>
        <w:rPr/>
      </w:pPr>
      <w:bookmarkStart w:id="155" w:name="__RefHeading___Toc1119656_1738255347"/>
      <w:bookmarkStart w:id="156" w:name="_Toc58"/>
      <w:bookmarkEnd w:id="155"/>
      <w:r>
        <w:rPr>
          <w:rtl w:val="true"/>
        </w:rPr>
        <w:t>اشاره</w:t>
      </w:r>
      <w:bookmarkEnd w:id="15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نمونۀ دوم برای تأویل مقبول و تجلی دیگر مکتبها، آیۀ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استوای خدا</w:t>
      </w:r>
      <w:r>
        <w:rPr>
          <w:rFonts w:eastAsia="IRNazanin" w:cs="IRNazanin"/>
          <w:color w:val="111111"/>
          <w:sz w:val="28"/>
          <w:szCs w:val="28"/>
          <w:rtl w:val="true"/>
          <w:lang w:bidi="fa-IR"/>
        </w:rPr>
        <w:t>»</w:t>
      </w:r>
      <w:bookmarkStart w:id="157" w:name="pg17029_176625"/>
    </w:p>
    <w:p>
      <w:pPr>
        <w:pStyle w:val="BookText"/>
        <w:rPr/>
      </w:pPr>
      <w:bookmarkEnd w:id="157"/>
      <w:r>
        <w:rPr>
          <w:rFonts w:ascii="IRNazanin" w:hAnsi="IRNazanin" w:eastAsia="IRNazanin"/>
          <w:color w:val="111111"/>
          <w:sz w:val="28"/>
          <w:sz w:val="28"/>
          <w:szCs w:val="28"/>
          <w:rtl w:val="true"/>
          <w:lang w:bidi="fa-IR"/>
        </w:rPr>
        <w:t>بر عرش است که از بحث‌انگیزترین آیه‌هایی است که از آغاز قرن دوم تاکنون</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هنوز هم مغز سلفیهای زمان تکان نخورده و کسانی را که به تفسیر این آیات می‌پردازند، نافیان صفات خوانده واو را به پیروی از مذهب جهم بن صفوان مقتول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می‌کنند، جمال الدین قاسمی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ظاهر از روشنفکران شام است و در کتاب تاریخ الجهمیة و المعتزلة، در تکفیر و تفسیق دیگر فرق اسلامی نرمش نشان داده، هنوز هم عقاید سلفی‌ها را در صفات خبریه صحیح و پا برجا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بوده و هنوز هم گروههای مخالف بر لجاجت خود،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هفت مورد خدا را چنین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 العرش استوی این جمله، با اختلاف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سوره‌های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به صورتهای مختلف تفسیر شده است</w:t>
      </w:r>
      <w:r>
        <w:rPr>
          <w:rFonts w:eastAsia="IRNazanin" w:cs="IRNazanin"/>
          <w:color w:val="111111"/>
          <w:sz w:val="28"/>
          <w:szCs w:val="28"/>
          <w:rtl w:val="true"/>
          <w:lang w:bidi="fa-IR"/>
        </w:rPr>
        <w:t>.</w:t>
      </w:r>
    </w:p>
    <w:p>
      <w:pPr>
        <w:pStyle w:val="Heading6"/>
        <w:numPr>
          <w:ilvl w:val="5"/>
          <w:numId w:val="1"/>
        </w:numPr>
        <w:rPr/>
      </w:pPr>
      <w:bookmarkStart w:id="158" w:name="__RefHeading___Toc1119658_1738255347"/>
      <w:bookmarkStart w:id="159" w:name="_Toc59"/>
      <w:bookmarkEnd w:id="158"/>
      <w:r>
        <w:rPr>
          <w:rtl w:val="true"/>
        </w:rPr>
        <w:t>مقصود از استواء در آیۀ إنّ اللّه علی العرش استوی چیست؟</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مشبهه می‌کوشند ظهور مفردات را حفظ کنند و بگویند، مقصود از عرش تخت و مقصود از استواء، جلوس و استقرار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خدا بر تخت خود جالس و مستقر است و حتی در روایتی، وصف تخت او چنین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خدا روی آن قرار می‌گیرد، تخت مانند جهاز نوشتر، خش 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نقل‌شده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جلس علی الکرسی سمع له اطیط کاطیط الرحل الجدید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اشاعره که خود را جزء اهل تنزیه قلمداد می‌کنند و از طرفی نیز می‌خواهند با اهل حدیث همآهنگ بوده و آنها را نیز راضی سازند،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معانی مفردات در مورد خدا محقق است، ولی کیفیت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تناقض</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تنزیه، یعنی امامیه و معتزله راه تأویل را در پیش گرفته وبر خلاف آیۀ قبل، تأویل هر دو در این آیه یکنواخت و یک دست است، یعنی ظهور مفردات را مد نظر</w:t>
      </w:r>
      <w:bookmarkStart w:id="160" w:name="pg17029_176626"/>
    </w:p>
    <w:p>
      <w:pPr>
        <w:pStyle w:val="BookText"/>
        <w:rPr/>
      </w:pPr>
      <w:bookmarkEnd w:id="160"/>
      <w:r>
        <w:rPr>
          <w:rFonts w:ascii="IRNazanin" w:hAnsi="IRNazanin" w:eastAsia="IRNazanin"/>
          <w:color w:val="111111"/>
          <w:sz w:val="28"/>
          <w:sz w:val="28"/>
          <w:szCs w:val="28"/>
          <w:rtl w:val="true"/>
          <w:lang w:bidi="fa-IR"/>
        </w:rPr>
        <w:t>قرار نداده به ظهور جمله اهمیت می‌دهند، و در گذشته یادآور شدیم که پیروی از ظهور تصدیقی تأویل نیست، بلکه خلاف آن تأویل است و اگر به آن تأویل گفته می‌شود، به خاطر مخالفت با ظهور مفردات است و ظهور مفردات چندان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نوع تأویل، از یادآوری اموری ناگریزیم</w:t>
      </w:r>
      <w:r>
        <w:rPr>
          <w:rFonts w:eastAsia="IRNazanin" w:cs="IRNazanin"/>
          <w:color w:val="111111"/>
          <w:sz w:val="28"/>
          <w:szCs w:val="28"/>
          <w:rtl w:val="true"/>
          <w:lang w:bidi="fa-IR"/>
        </w:rPr>
        <w:t>:</w:t>
      </w:r>
    </w:p>
    <w:p>
      <w:pPr>
        <w:pStyle w:val="Heading6"/>
        <w:numPr>
          <w:ilvl w:val="5"/>
          <w:numId w:val="1"/>
        </w:numPr>
        <w:rPr/>
      </w:pPr>
      <w:bookmarkStart w:id="161" w:name="__RefHeading___Toc1119660_1738255347"/>
      <w:bookmarkStart w:id="162" w:name="_Toc60"/>
      <w:bookmarkEnd w:id="161"/>
      <w:r>
        <w:rPr/>
        <w:t>1</w:t>
      </w:r>
      <w:r>
        <w:rPr>
          <w:rtl w:val="true"/>
        </w:rPr>
        <w:t xml:space="preserve"> - </w:t>
      </w:r>
      <w:r>
        <w:rPr>
          <w:rtl w:val="true"/>
        </w:rPr>
        <w:t>معنی استواء در قرآن و لغت</w:t>
      </w:r>
      <w:bookmarkEnd w:id="162"/>
    </w:p>
    <w:p>
      <w:pPr>
        <w:pStyle w:val="BookText"/>
        <w:rPr/>
      </w:pPr>
      <w:r>
        <w:rPr>
          <w:rFonts w:ascii="IRNazanin" w:hAnsi="IRNazanin" w:eastAsia="IRNazanin"/>
          <w:color w:val="111111"/>
          <w:sz w:val="28"/>
          <w:sz w:val="28"/>
          <w:szCs w:val="28"/>
          <w:rtl w:val="true"/>
          <w:lang w:bidi="fa-IR"/>
        </w:rPr>
        <w:t xml:space="preserve">قرآن از جلوس و نشستن بر روی چیزی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می‌گیرد،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یَذْکُرُونَ اللّهَ قِیاماً وَ قُعُوداً وَ عَلی جُنُوبِهِمْ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آنان‌که خدا را ایستاده و نشسته و بر پهلوهای خویش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آیۀ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قَضَیْتُمُ الصَّلاةَ فَاذْکُرُوا اللّهَ قِیاماً وَ قُعُوداً وَ عَلی جُنُوبِکُمْ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از نماز فارغ شدید، خدا را ایستاده و نشسته و بر پهلوهای خویش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لفظ استوا را در معنی جلوس و نشستن و یا استقرار به کار نمی‌گیرد، بلکه با آن در همه‌جا به تسخیر و تسلّط و استقلال اشاره می‌کند، حتی آنجا هم که با جلوس و قعود همراه باشد، به‌کارگیری این لفظ به خاطر وجود تسلطی است که در جالس است، برای روشن شدن مطلب، آیاتی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دربارۀ گیاهی که از ضعف، به قوت و از ریزی به درشتی رو می‌آورد و سرانجام بر اثر استحکام و قوت به جای خود می‌ایستد،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کَزَرْعٍ أَخْرَجَ شَطْأَهُ فَآزَرَهُ فَاسْتَغْلَظَ فَاسْتَوی عَلی سُوقِهِ یُعْجِبُ الزُّرّاعَ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زراعتی که جوانه زند، آن را کمک کند، قوی و نیرومند گردد و بر ساقها و پاهای خود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می‌دانیم که گیاه جلوس و قعودی ندارد، بلکه مقصود تسلط آن بر خویشتن است که در مقابل حوادث و بادهای شدید مقاومت می‌کند و از جای کنده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قرارگیری و تسلط انسان بر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طبیعی و خواه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 آنگاه یادآور می‌شود که در برابر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بر مراکب وحشی و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باشید،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لَکُمْ مِنَ الْفُلْکِ وَ الْأَنْعامِ ما تَرْکَبُونَ لِتَسْتَوُوا عَلی ظُهُورِهِ ثُمَّ تَذْکُرُوا نِعْمَةَ رَبِّکُمْ إِذَا اسْتَوَیْتُمْ عَلَیْهِ وَ تَقُولُوا سُبْحانَ الَّذِی سَخَّرَ لَنا هذا وَ ما کُنّا لَهُ مُقْرِنِینَ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از کشتی و چهارپایان مرکبهایی قرار دادیم تا بر پشت آنها قرار گیرید، آنگاه که بر آنها قرار گرفتید نعمت خدا را یاد کنید و بگویید پیراسته است خدا که ما را بر این مرکبها مسلط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در این آیه از قرارگیری بر این مراکب مضطرب و سرکش،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مقصود هیئت جلوس و قعود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آن سلطه و استیلایی است که راکب در این حالت، بر مرکب دارد و زمام آن در اختیار می‌گیرد و به هر طرف بخواهد، او را سوق می‌دهد، به گواه اینکه در ذیل آیه از تسخیر مراکب به نفع بشر سخن می‌گوید،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سَخَّرَ لَنا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نوح دستور می‌دهد آنگاه که او و مؤمنان بر کشتی قرار گرفتند، خدا را از این نظر که از ظالمان نجاتشان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باشند، چنانکه می‌فرماید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اسْتَوَیْتَ أَنْتَ وَ مَنْ مَعَکَ عَلَی الْفُلْکِ فَقُلِ الْحَمْدُ لِلّهِ الَّذِی نَجّانا مِنَ الْقَوْمِ</w:t>
      </w:r>
    </w:p>
    <w:p>
      <w:pPr>
        <w:pStyle w:val="BookText"/>
        <w:rPr/>
      </w:pPr>
      <w:r>
        <w:rPr>
          <w:rFonts w:ascii="IRNazanin" w:hAnsi="IRNazanin" w:eastAsia="IRNazanin"/>
          <w:color w:val="111111"/>
          <w:sz w:val="28"/>
          <w:sz w:val="28"/>
          <w:szCs w:val="28"/>
          <w:rtl w:val="true"/>
          <w:lang w:bidi="fa-IR"/>
        </w:rPr>
        <w:t xml:space="preserve">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تو و کسانی‌که با تو هستند برکشتی قرا رگرفتید، بگو حمد خدا را که ما را از ستمگران نجات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مقصود از استوا برکشتی رکوب بر کشتی نیست، به گواه اینکه در آیۀ دیگر در تفهیم آن از همان مادۀ رکوب کمک می‌گیرد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ارْکَبْ مَعَنا وَ لا تَکُنْ مَعَ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سوار کشتی شو وبا کافران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مقصود از آن سلطۀ نوح و ساکنان بر کشتی است که زمام آن را در اختیار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از دست کافران نجات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هر طرف بخواهند سوق می‌دهند،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تَجْرِی بِهِمْ فِی مَوْجٍ کَالْجِبالِ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 آنان را از میان امواج کوه‌پیکر عبور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مایۀ تشکر و سپاس می‌باشد جلوس و قعود و استقرار در کشتی نیست، بلکه استیلا بر وسیله‌ای است که موجب دو نوع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ظالمان و نجات از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از این بیان نتیجه می‌گیریم که اگر قرآن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مواردی که خود مستولی دارای جلوس و قعود است به کار می‌برد، برای بیان حالت خاص جالس است که آن سلطه و قدرت اوست و اگر از این حیثیت چشم بپوشیم، کارگیری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مورد،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عرب در بیان فکر تسلط بر کشور و استیلا بر آن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می‌گیرد، چنانکه اخطل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عبد الملک که بر عراق تسلط یافته بود،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استوی بشر علی العراق من غیر سیف و دم مهراق</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63" w:name="pg17029_176629"/>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بی‌آنکه شمشیری و خونی بریزد، بر عراق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مقصود شاعر، جلوس و قعود بشر در عراق نیست بلکه مقصود استیلا و کودتای سفید اوست که بدون خونریزی بر 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دیگر پیروزی خود را بر دشمن و به خاک افکندن اجساد آنان،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علونا و استوینا علیهم ترکناهم صرعی لنسر و کاسر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بر آنان دست یافتیم، آنان را به خاک افکندیم تا طعمۀ کرکسها و درندگان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هرگز جلوس و قعودی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فتح و پیروزی و سلطه و استیلا می‌باشد و این خود می‌رساند که معنی اساسی این کلمه، استیلا است و اگر هم با جلوس و نشستن توأم گشت، ناظر به خصوصیتی است که در آن است</w:t>
      </w:r>
      <w:r>
        <w:rPr>
          <w:rFonts w:eastAsia="IRNazanin" w:cs="IRNazanin"/>
          <w:color w:val="111111"/>
          <w:sz w:val="28"/>
          <w:szCs w:val="28"/>
          <w:rtl w:val="true"/>
          <w:lang w:bidi="fa-IR"/>
        </w:rPr>
        <w:t>.</w:t>
      </w:r>
    </w:p>
    <w:p>
      <w:pPr>
        <w:pStyle w:val="Heading6"/>
        <w:numPr>
          <w:ilvl w:val="5"/>
          <w:numId w:val="1"/>
        </w:numPr>
        <w:rPr/>
      </w:pPr>
      <w:bookmarkStart w:id="164" w:name="__RefHeading___Toc1119662_1738255347"/>
      <w:bookmarkStart w:id="165" w:name="_Toc61"/>
      <w:bookmarkEnd w:id="164"/>
      <w:r>
        <w:rPr/>
        <w:t>2</w:t>
      </w:r>
      <w:r>
        <w:rPr>
          <w:rtl w:val="true"/>
        </w:rPr>
        <w:t xml:space="preserve"> - </w:t>
      </w:r>
      <w:r>
        <w:rPr>
          <w:rtl w:val="true"/>
        </w:rPr>
        <w:t>معنی عرش در لغت و عرف</w:t>
      </w:r>
      <w:bookmarkEnd w:id="165"/>
    </w:p>
    <w:p>
      <w:pPr>
        <w:pStyle w:val="BookText"/>
        <w:rPr/>
      </w:pPr>
      <w:r>
        <w:rPr>
          <w:rFonts w:ascii="IRNazanin" w:hAnsi="IRNazanin" w:eastAsia="IRNazanin"/>
          <w:color w:val="111111"/>
          <w:sz w:val="28"/>
          <w:sz w:val="28"/>
          <w:szCs w:val="28"/>
          <w:rtl w:val="true"/>
          <w:lang w:bidi="fa-IR"/>
        </w:rPr>
        <w:t>عرش در لغت و قرآن به معنی سریر و تختی است که قدرتمندان بر آن تکیه می‌کنند و قرآن نیز این کلمه را در این مورد در چند جا به کار برده است، دربارۀ تخت بلقیس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أُوتِیَتْ مِنْ کُلِّ شَیْءٍ وَ لَها عَرْشٌ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نعمتی برخوردار بوده و برای او تخت بزرگی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به هنگام درخواست احضار تخت بلقیس از سبأ از در باریان خود، این کلمه را به کار می‌برد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یَأْتِینِی بِعَرْشِها قَبْلَ أَنْ یَأْتُونِی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از شما می‌توانید تخت او را بیاورید، پیش از آنکه با حالت تسلیم</w:t>
      </w:r>
    </w:p>
    <w:p>
      <w:pPr>
        <w:pStyle w:val="BookText"/>
        <w:rPr/>
      </w:pPr>
      <w:r>
        <w:rPr>
          <w:rFonts w:ascii="IRNazanin" w:hAnsi="IRNazanin" w:eastAsia="IRNazanin"/>
          <w:color w:val="111111"/>
          <w:sz w:val="28"/>
          <w:sz w:val="28"/>
          <w:szCs w:val="28"/>
          <w:rtl w:val="true"/>
          <w:lang w:bidi="fa-IR"/>
        </w:rPr>
        <w:t>پیش من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معنی ریشه‌ای عرش، مطلق بلندی است و اگر به تخت عرش می‌گویند به خاطر بلندی آن است،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کَالَّذِی مَرَّ عَلی قَرْیَةٍ وَ هِیَ خاوِیَةٌ عَلی عُرُوشِها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کسی‌که بر روستایی گذشت که سقفهایآن فرودآمده بود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مورد، یه سورۀ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مادۀ این لفظ، در مورد ساختمانهای بلند و دار بستهای باغها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می‌افزاییم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سریری است که قدرتمندان و زمامداران بر آن قرار می‌گیرند و در محیط قدرت و اجتماعهای خاصی بر آن می‌نشینند نه هر لختی، هر چند به منظور استراحت و گفتگو باشد، قرآن در آن مورد،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می‌گیرد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جَنّاتِ النَّعِیمِ عَلی سُرُرٍ مُتَقابِلِینَ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بهشت‌های نعمت گرامی هستند وبر تختها روبروی یکدیگر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مُتَّکِئِینَ عَلی سُرُرٍ مَصْفُوفَةٍ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تختهای صف کشیده و گسترده تکیه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کار می‌گیرد،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مُتَّکِئِینَ فِیها عَلَی الْأَرائِکِ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آنجا بر تختها تکیه می‌کنند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تفاوتی که در موارد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لفظ به مرور زمان، در مورد مظاهر قدرت و سلطه به کار می‌رود و تعبیری از قدرت و سلطه و استیلا و تسلط می‌باشد و در بیان قدرت اقوام و یا زوال سلطۀ آنان از این کلمه کمک می‌گیرند، مثلا هنگامی‌که عزت و عظمت و سلطۀ قومی نابود 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 عرشهم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عظمت آنها بر باد رفت،</w:t>
      </w:r>
      <w:bookmarkStart w:id="166" w:name="pg17029_176631"/>
    </w:p>
    <w:p>
      <w:pPr>
        <w:pStyle w:val="BookText"/>
        <w:rPr/>
      </w:pPr>
      <w:bookmarkEnd w:id="166"/>
      <w:r>
        <w:rPr>
          <w:rFonts w:ascii="IRNazanin" w:hAnsi="IRNazanin" w:eastAsia="IRNazanin"/>
          <w:color w:val="111111"/>
          <w:sz w:val="28"/>
          <w:sz w:val="28"/>
          <w:szCs w:val="28"/>
          <w:rtl w:val="true"/>
          <w:lang w:bidi="fa-IR"/>
        </w:rPr>
        <w:t>شاعر عرب دربارۀ نابودی سلطۀ بنی مروان،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بنو مروان ثلّت عروشهم و اودت کما أودت أیاد و حمیر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تخت فرزندان مروان واژگون گردید و نابود شد، چنانکه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فارسی نیز تخت نشانۀ قدرت و حکومت است و واژگونی آن، نشانۀ نابودی و زوال قدرت می‌باشد، صادق سرمد دربارۀ فراعنۀ مصر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توتخت دیدی و من بخت واژگن بر تخت تو عاج دیدی و من مشت استخوان دیدم مسلما مقصود از تخت در این نوع مکالمات، تخت چوبی و فلزی و مقصود از انهدام، واژگونی و نگونساری ظاهری آن نیست، بلکه جلوس بر تخت، نشانۀ عزت و عظمت و نگونساری آن، کنایه از زوال دولت و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این‌که عرش به کنایه از قدرت و سلطه قرار می‌گیرد، این است که امیران و پادشاهان سابق، برای تدبیر امور مملکت بر روی سریری که بر آن عرش می‌گفتند، قرار می‌گرفتند و وزیران و یاران ملک دور او حلقه می‌زدند واو از همان نقطه فرمانهای خود را برای ادارۀ امور کشور صادر می‌کرد و مملکت از همان‌جا تحت رهبری قرار می‌گرفت، از این جهت به مرور زمان عرش و یا جلوس بر عرش و یا استیلای بر عرش، همگی کنایه از سلطه و قدرت گردید</w:t>
      </w:r>
      <w:r>
        <w:rPr>
          <w:rFonts w:eastAsia="IRNazanin" w:cs="IRNazanin"/>
          <w:color w:val="111111"/>
          <w:sz w:val="28"/>
          <w:szCs w:val="28"/>
          <w:rtl w:val="true"/>
          <w:lang w:bidi="fa-IR"/>
        </w:rPr>
        <w:t>.</w:t>
      </w:r>
    </w:p>
    <w:p>
      <w:pPr>
        <w:pStyle w:val="Heading6"/>
        <w:numPr>
          <w:ilvl w:val="5"/>
          <w:numId w:val="1"/>
        </w:numPr>
        <w:rPr/>
      </w:pPr>
      <w:bookmarkStart w:id="167" w:name="__RefHeading___Toc1119664_1738255347"/>
      <w:bookmarkStart w:id="168" w:name="_Toc62"/>
      <w:bookmarkEnd w:id="167"/>
      <w:r>
        <w:rPr/>
        <w:t>3</w:t>
      </w:r>
      <w:r>
        <w:rPr>
          <w:rtl w:val="true"/>
        </w:rPr>
        <w:t xml:space="preserve"> - </w:t>
      </w:r>
      <w:r>
        <w:rPr>
          <w:rtl w:val="true"/>
        </w:rPr>
        <w:t>بیان مظاهر قدرت در آیات هفنگانه</w:t>
      </w:r>
      <w:bookmarkEnd w:id="16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که یادآور شدیم، قرآن در هفت مورد از استوای خدا بر عرش سخن گفته و در تمام این موارد، سخن از مظاهر قدرت به میان آمده است و ما در میان آیات هفتگانه، به نقل و ترجمۀ دو آیه می‌پردازیم، تا روشن شود که چگونه این جمله پوشیده با بیان مظاهر و قدرت است و آنگاه مقتضای این قراین، در تفسیر و تبیین</w:t>
      </w:r>
    </w:p>
    <w:p>
      <w:pPr>
        <w:pStyle w:val="BookText"/>
        <w:rPr/>
      </w:pPr>
      <w:r>
        <w:rPr>
          <w:rFonts w:ascii="IRNazanin" w:hAnsi="IRNazanin" w:eastAsia="IRNazanin"/>
          <w:color w:val="111111"/>
          <w:sz w:val="28"/>
          <w:sz w:val="28"/>
          <w:szCs w:val="28"/>
          <w:rtl w:val="true"/>
          <w:lang w:bidi="fa-IR"/>
        </w:rPr>
        <w:t>این جمله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شما آن خدایی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عرش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روز می‌پوشاند و شب با شتاب از پی روز می‌آید، آفتاب و ماه و ستارگان را که به فرمان او رام شده اند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اوست آفریدن و فرمان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زوال‌ناپذیر است خدای عالمها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رَبَّکُمُ اللّهُ الَّذِی خَلَقَ السَّماواتِ وَ الْأَرْضَ فِی سِتَّةِ أَیّامٍ ثُمَّ اسْتَوی عَلَی الْعَرْشِ یُدَبِّرُ الْأَمْرَ ما مِنْ شَفِیعٍ إِلاّ مِنْ بَعْدِ إِذْنِهِ ذلِکُمُ اللّهُ رَبُّکُمْ فَاعْبُدُوهُ أَ فَلا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خدایی است که آسمانها و زمین را در شش روز آفرید آنگاه بر عرش مستولی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آفرینش را تدبیر می‌کند و هیچ شفاعت 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و علل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پس از اذن و اجازۀ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بپرستید، آیا پند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از مظاهر قدرت و تدبیر عالم خلقت، به تعبیرهای مختلف سخن به سیان آمده است که رؤوس آنها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آسمانها و زمین را در شش مرحله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روز را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روز را آرام‌آرام تعقیب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 قمر و دیگر ستارگان، مسخر فرمان خدا هستند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فرمانروایی 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جهان آفرینش مدبری جز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علت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بدون اذن او مؤثر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موجود برتر و دارای چنین مظاهر قدرت، بی‌نهایت بزرگ و برتر است فَتَبارَکَ اللّهُ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موجود والایی شایستۀ پرستش است، نه مخلوقات او ذلِکُمُ اللّهُ رَبُّکُمْ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امور سه‌گانه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 در قرآن و لغت ناظر به استیلا و سلطه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سریر با هم تفاوت دارند و به مرور زمان عرش به‌طور کنایه از قدرت و عظمت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هفتگانه که سخن از استوای خدا بر عرش به میان آمده است، پیوسته استوای خدا بر عرش با بیان مظاهر قدرت و عظمت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اصول سه‌گانه باید معنی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علی العرش استوی یا اَلرَّحْمنُ عَلَی الْعَرْشِ اسْتَوی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قرآن در گرماگرم سخن گفتن از مظاهر قدرت، می‌خواهد از جلوس خدا بر تخت سخن بگوید یا مقصود دیگری دارد؟ و آن اینکه آفرینش این جهان گسترده توأم با تدبیر، با استیلای خدا بر جهان هستی همراه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بر عرش قدرت و بر سریر عزت قرار دارد و بر جهان آفرینش مستولی است و از عرش قدرت، عالم خلقت را تدبیر می‌کند نه مزاحمی دارد و نه معینی به همین جهت باید او را پرستید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 اگر استوا در همه‌جا نشانۀ سلطه و استیلاست، نه جلوس</w:t>
      </w:r>
    </w:p>
    <w:p>
      <w:pPr>
        <w:pStyle w:val="BookText"/>
        <w:rPr/>
      </w:pPr>
      <w:r>
        <w:rPr>
          <w:rFonts w:ascii="IRNazanin" w:hAnsi="IRNazanin" w:eastAsia="IRNazanin"/>
          <w:color w:val="111111"/>
          <w:sz w:val="28"/>
          <w:sz w:val="28"/>
          <w:szCs w:val="28"/>
          <w:rtl w:val="true"/>
          <w:lang w:bidi="fa-IR"/>
        </w:rPr>
        <w:t xml:space="preserve">و قعود و عرش در اصطلاح عرب مظهر قدرت و اعتماد بر آن رمز تدبیر کشور است و قرآن در ضمن بیان مظاهر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چنین کرد و چنین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استوای خدا بر عرش سخن می‌گوید، باید گفت مقصود از این جمله این است که او بر تخت عزت و عظمت باقی است و به تدبیر جهان می‌پردازد و در این مورد، نیاز به یار و یاور ندارد و مزاحمی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تفسیری برای این جمله آن را با تمام جمله‌های قبلی و بعدی منسجم می‌سازد و همۀ جمله‌ها را به یک نقطه سوق می‌دهد و اگر نام آن را تأویل می‌نهند، به خاطر آن است که عرش در این آیات کنایه از قدرت آمده است و معنی لغوی آن‌که تخت چوبی یا آهنین است، در نظر گرفته نشده و چنین تأویلی تأویل مردود نیست، بلکه تأویل مردود آن است که با ظاهر جملگی آیه مخالفت شود و اتفاقا ظهور جملگی آن همان است که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جمله‌های قبلی و بعدی، اگر جملۀ مزبور به جلوس خدا بر تخت تفسیر شود و اینکه او واقعا بر تخت نشست و یا بر روی آن استقرار یافت، در این صورت جمله معنی مبتذلی خواهد یافت که نه قراین موجود در آیات آن را تأیید می‌کند و نه عرف ادب و سخن شناس، زیرا چنان معنایی با ماقبل و ما بعد آن تناسبی ندارد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تفسیر این دو آیه در مورد صفات خبری که یکی مربوط به آفرینش آدم با دستهای خدا و دوم استوای خدا بر عرش است، تکلیف دیگر صفات خبری روشن می‌گردد و اینکه نباید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نوع آیات و احادیث صحیح، بر ظهور مفردات تکیه کرد، بلکه باید با توجه به قراین موجود در آیه در تبیین مفاد تصدیقی آنها کوشش کرد</w:t>
      </w:r>
      <w:r>
        <w:rPr>
          <w:rFonts w:eastAsia="IRNazanin" w:cs="IRNazanin"/>
          <w:color w:val="111111"/>
          <w:sz w:val="28"/>
          <w:szCs w:val="28"/>
          <w:rtl w:val="true"/>
          <w:lang w:bidi="fa-IR"/>
        </w:rPr>
        <w:t>.</w:t>
      </w:r>
      <w:bookmarkStart w:id="169" w:name="pg17029_176635"/>
    </w:p>
    <w:p>
      <w:pPr>
        <w:pStyle w:val="Heading4"/>
        <w:numPr>
          <w:ilvl w:val="3"/>
          <w:numId w:val="1"/>
        </w:numPr>
        <w:rPr/>
      </w:pPr>
      <w:bookmarkStart w:id="170" w:name="__RefHeading___Toc1119666_1738255347"/>
      <w:bookmarkStart w:id="171" w:name="_Toc63"/>
      <w:bookmarkEnd w:id="169"/>
      <w:bookmarkEnd w:id="170"/>
      <w:r>
        <w:rPr>
          <w:rtl w:val="true"/>
        </w:rPr>
        <w:t>ثمرات اصل نخست</w:t>
      </w:r>
      <w:r>
        <w:rPr>
          <w:rtl w:val="true"/>
        </w:rPr>
        <w:t xml:space="preserve">: </w:t>
      </w:r>
      <w:r>
        <w:rPr>
          <w:rtl w:val="true"/>
        </w:rPr>
        <w:t>توحید</w:t>
      </w:r>
      <w:bookmarkEnd w:id="171"/>
    </w:p>
    <w:p>
      <w:pPr>
        <w:pStyle w:val="Heading5"/>
        <w:numPr>
          <w:ilvl w:val="4"/>
          <w:numId w:val="1"/>
        </w:numPr>
        <w:rPr/>
      </w:pPr>
      <w:bookmarkStart w:id="172" w:name="__RefHeading___Toc1119668_1738255347"/>
      <w:bookmarkStart w:id="173" w:name="_Toc64"/>
      <w:bookmarkEnd w:id="172"/>
      <w:r>
        <w:rPr>
          <w:rtl w:val="true"/>
        </w:rPr>
        <w:t>اشاره</w:t>
      </w:r>
      <w:bookmarkEnd w:id="173"/>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تنزیه خدا از رؤیت حسّی</w:t>
      </w:r>
    </w:p>
    <w:p>
      <w:pPr>
        <w:pStyle w:val="BookText"/>
        <w:rPr/>
      </w:pPr>
      <w:r>
        <w:rPr>
          <w:rFonts w:ascii="IRNazanin" w:hAnsi="IRNazanin" w:eastAsia="IRNazanin"/>
          <w:color w:val="111111"/>
          <w:sz w:val="28"/>
          <w:sz w:val="28"/>
          <w:szCs w:val="28"/>
          <w:rtl w:val="true"/>
          <w:lang w:bidi="fa-IR"/>
        </w:rPr>
        <w:t xml:space="preserve">در حالی که اصل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پنجگانۀ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گوناگونی دارد، ولی معتزله آنرا در چهار مورد به کار می‌برند که تفصیل دو مورد آن به نامهای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عینیت صفات ذاتی با ذات،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صفات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اکنون مورد سوم آن را که تنزیه خدا از رؤیت حسی در دو جهان است، مطرح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قرنهاست مسألۀ رؤیت اندیشۀ مفسران و متکلمان را به خود جلب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به مناسبت آیاتی که موهم رؤیت و یا صریح در نفی آن است، پیرامون آن بحث می‌کنند، متکلمان نیز به مناسبت صفات سلبی خدا در آن وارد می‌شوند، ولی سخن در این مورد با گروهی مانند اشاعره است که خدا را جسم ندانسته ولی رؤیت او را تجویز می‌کنند، نه با گروه مجسمه که خدا را جسم می‌دانند، زیرا کسی‌که خدا را جسم می‌داند، به تمام لوازم و پیامدهای آن ملتزم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سخن با او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هنگام تحلیل عقاید اشاعره ادلۀ مجوزین رؤیت را مطرح کردیم، اکنون لازم است با ادلۀ نافیان رؤیت یعنی معتزله و امامیه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پرتو دلایل عقلی و نقلی، خدا را از رؤیت تنزیه کرده که یکی از دلایل آنان را نقل می‌کنیم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 و علوم طبیعی گواهی می‌دهند که شرط تحقق رؤیت حسی،</w:t>
      </w:r>
      <w:bookmarkStart w:id="174" w:name="pg17029_176636"/>
    </w:p>
    <w:p>
      <w:pPr>
        <w:pStyle w:val="BookText"/>
        <w:rPr/>
      </w:pPr>
      <w:bookmarkEnd w:id="174"/>
      <w:r>
        <w:rPr>
          <w:rFonts w:ascii="IRNazanin" w:hAnsi="IRNazanin" w:eastAsia="IRNazanin"/>
          <w:color w:val="111111"/>
          <w:sz w:val="28"/>
          <w:sz w:val="28"/>
          <w:szCs w:val="28"/>
          <w:rtl w:val="true"/>
          <w:lang w:bidi="fa-IR"/>
        </w:rPr>
        <w:t>وجود تقابل میان چشم و مرئی است و لازمۀ وجود تقابل میان دیده و ذات اقدس الهی جسم و یا عرض بودن خداست، زیرا در غیر این دو صورت تقابل تحقق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 الجبار پس از نقل این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جواز رؤیت،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رستاخیز با حس ششم دیده می‌شود و چنین رؤیتی نیاز به مقابله ندارد، سپس از این گفتار چنین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 ششم مجوز رؤیت گردد، باید مجوز لمس کردن و چشیدن و بوییدن خدا با حسهای هفتم و هشتم و نهم نیزباشد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خمسه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بود که قاضی استدلال طرف را به گونۀ دیگر پاسخ بگوید و یادآور شود که محور بحث میان مجوز و نافی، رؤیت با همین حس بینایی است که یکی از حواس پنجگانۀ انسان به شمار می‌رود و رؤیت با حس خارج از این محدوده فرضیه ای است که نه واقعیت آن روشن و نه محور نفی و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شایسته بود که قاضی استدلال عقلی را به صورت دیگر نیز مطرح 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همۀ ذات، متعلق رؤیت قرار می‌گیرد یا برخی از آن در صورت نخست خدا محاط و محدود بوده و ممکن بر واجب احاطه پیدا خواهد کرد، در حالی که عقل و نقل خدا را محیط بر همه چیز معرفی می‌کند،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بِکُلِّ شَیْءٍ مُحِیطاً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خدا مرکب از اجزایی خواهد بود که قسمتی از آن مرئی بوده و قسمت دیگر از قلمرو رؤیت بیرون خواهد بود</w:t>
      </w:r>
      <w:r>
        <w:rPr>
          <w:rFonts w:eastAsia="IRNazanin" w:cs="IRNazanin"/>
          <w:color w:val="111111"/>
          <w:sz w:val="28"/>
          <w:szCs w:val="28"/>
          <w:rtl w:val="true"/>
          <w:lang w:bidi="fa-IR"/>
        </w:rPr>
        <w:t>.</w:t>
      </w:r>
    </w:p>
    <w:p>
      <w:pPr>
        <w:pStyle w:val="Heading5"/>
        <w:numPr>
          <w:ilvl w:val="4"/>
          <w:numId w:val="1"/>
        </w:numPr>
        <w:rPr/>
      </w:pPr>
      <w:bookmarkStart w:id="175" w:name="__RefHeading___Toc1119670_1738255347"/>
      <w:bookmarkStart w:id="176" w:name="_Toc65"/>
      <w:bookmarkEnd w:id="175"/>
      <w:r>
        <w:rPr>
          <w:rtl w:val="true"/>
        </w:rPr>
        <w:t>دلایل نقلی مسأله</w:t>
      </w:r>
      <w:bookmarkEnd w:id="17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میان دلایل نقلی، گواه بر امتناع رؤیت همان گفتار خداست که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وَ هُوَ یُدْرِکُ الْأَبْصارَ وَ هُوَ اللَّطِیفُ الْخَبِیرُ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چشمها او را نمی‌بیند در حالی که او چشمها را می‌بیند اوست نافذ در اشیاء و آگاه</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مهربان واحیانا آفرینندۀ موجودات زیر تفسیر می‌کنند ولی از آنجاکه این جمله به منزلة علت برای دو مطلب وارد در آیه وارد شده است، باید به نحوی که در متن آمده است ترجمه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استدلال با آیه روشن است و آیه به‌وضوح می‌گوید که دیدگان انسانی نمی‌توانند او را درک کنند، در حالی او دیدگان را درک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از آیه همان رؤیت و ابصار است، درست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دراعم از رؤیت نیز به کار می‌رود و انسان چیزی را که با قوای دیگر احساس نماید لفظ درک نیز به کار می‌برد، ولی چون این واژه در آیه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قطعا مقصود ادراک خاص است که از آن به رؤیت تعبیر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 الجبار پیرامون آیه به بحث و گفتگو پرداخته و به اشکالات مخالفان پاسخ گفته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ولی چون غالب اشکالات فاقد ارزش علمی است، از ذکر و نقد آنها خود داری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مجموع آیات قرآن پیرامون رؤیت، این مطلب را روشن می‌سازد که هر موقع قرآن از رؤیت سخن می‌گویدآن را به صورت یک اندیشۀ مردود منکر مطرح می‌کند و هرگز از آن با آغوش باز و چهرۀ گشاده استقبال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در این آیه دقت کنید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یَسْئَلُکَ أَهْلُ الْکِتابِ أَنْ تُنَزِّلَ عَلَیْهِمْ کِتاباً مِنَ السَّماءِ فَقَدْ سَأَلُوا مُوسی أَکْبَرَ مِنْ ذلِکَ فَقالُوا أَرِنَا اللّهَ جَهْرَةً فَأَخَذَتْهُمُ الصّاعِقَةُ بِظُلْمِهِمْ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از تو خواسته‌اند که کتابی از آسمان برای آنان فرودآوری،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خواست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درخواست کردند و گفتند که خدا را نشان ما بده، به خاطر این تجاوز از حد، صاعقه آنان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نظایر آن سؤال رؤیت را یک در خواست منکر و آن را یک نوع ظلم و تجاوز از حد تلقی می‌نماید و قرآن هرکجا رؤیت را مطرح می‌کند، پای یهود را به میان می‌کشد و این می‌رساند که اندیشۀ رؤیت خدا اندیشۀ یهودی بوده و قرآن از آن صریحا و تلویحا انتقاد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چه شد که چنین اندیشه‌ای به میان مسلمین راه یافت، تا آنجا که محور ایمان و کفر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رؤیت کافر و مثبت آن مؤمن و موحد تلقی شد، سخن در آن بسیار است و اجمال آن این است که این نوع اندیشه‌ها به وسیلۀ احبار یهود به میان مسلمانان راه یافت و ساده لوحان گول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این مورد روایتی نیز از رسول گرامی نقل نمودند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ترون ربکم یوم القیامة کما ترون القمر لیلة البدر</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 باب الصراط جسر جهنم و صحیح مسلم،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باب معرفة طریق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پروردگار خود را در روز رستاخیز می‌بینید همان‌طور که ماه را در شب چهاردهمین مشاهده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روایت نکاتی را یادآور می‌شویم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این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می‌شود واو از شاگردان برجستۀ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احبار یهودی مسلمان نماست که گاهی روایات استادش را از لسان پیامبر اسلام نقل می‌کند و چون کعب پیامبر را درک نکرده بود، جرأت آن را نداشت که روایت خود را به رسول خدا نسبت دهد،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سه سال</w:t>
      </w:r>
      <w:bookmarkStart w:id="177" w:name="pg17029_176639"/>
    </w:p>
    <w:p>
      <w:pPr>
        <w:pStyle w:val="BookText"/>
        <w:rPr/>
      </w:pPr>
      <w:bookmarkEnd w:id="177"/>
      <w:r>
        <w:rPr>
          <w:rFonts w:ascii="IRNazanin" w:hAnsi="IRNazanin" w:eastAsia="IRNazanin"/>
          <w:color w:val="111111"/>
          <w:sz w:val="28"/>
          <w:sz w:val="28"/>
          <w:szCs w:val="28"/>
          <w:rtl w:val="true"/>
          <w:lang w:bidi="fa-IR"/>
        </w:rPr>
        <w:t>و نیم مصاحبت، قسمتی از افکار و آرای او را به رسول نسبت می‌داد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باب نمونه، طبری در تاریخ خود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اعلمی از کعب دربارۀ آفتاب و ماه نقل می‌کند که این دو جرم نورانی و آیتهای الهی در روز رستاخیز به صورت دو اسب پی شده محشور می‌شوند، ولی همین سخن را ابو حریره از خود پیامبر نقل می‌کند، به تفسیر سورۀ تکویر از ابن کثیر </w:t>
      </w:r>
      <w:r>
        <w:rPr>
          <w:rFonts w:eastAsia="IRNazanin" w:cs="IRNazanin"/>
          <w:color w:val="111111"/>
          <w:sz w:val="28"/>
          <w:szCs w:val="28"/>
          <w:lang w:bidi="fa-IR"/>
        </w:rPr>
        <w:t>375/4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سورۀ تکویر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سند این روایت قیس بن ابی حازم است که بغض علی را پیوسته در دل داشته است، گذشته از این، در سرانجام عمر دچار نسیان شد و در همان حال نیز نقل حدیث می‌کرد و از ار اخذ حدیث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خبر واحدی بیش نیست و به طور مسلم چنین خبری نمی‌تواند سند عقیدتی باشد، مطلوب از عقیده ایمان و اذعان و یقین است و خبر واحد یقین آفرین نیست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مخالف قرآن است و روایت مخالف قرآن فاقد ارزش می‌شود</w:t>
      </w:r>
      <w:r>
        <w:rPr>
          <w:rFonts w:eastAsia="IRNazanin" w:cs="IRNazanin"/>
          <w:color w:val="111111"/>
          <w:sz w:val="28"/>
          <w:szCs w:val="28"/>
          <w:rtl w:val="true"/>
          <w:lang w:bidi="fa-IR"/>
        </w:rPr>
        <w:t>.</w:t>
      </w:r>
    </w:p>
    <w:p>
      <w:pPr>
        <w:pStyle w:val="Heading5"/>
        <w:numPr>
          <w:ilvl w:val="4"/>
          <w:numId w:val="1"/>
        </w:numPr>
        <w:rPr/>
      </w:pPr>
      <w:bookmarkStart w:id="178" w:name="__RefHeading___Toc1119672_1738255347"/>
      <w:bookmarkStart w:id="179" w:name="_Toc66"/>
      <w:bookmarkEnd w:id="178"/>
      <w:r>
        <w:rPr>
          <w:rtl w:val="true"/>
        </w:rPr>
        <w:t>استدلالهای عقلی مجوزین رؤیت</w:t>
      </w:r>
      <w:bookmarkEnd w:id="179"/>
    </w:p>
    <w:p>
      <w:pPr>
        <w:pStyle w:val="BookText"/>
        <w:rPr/>
      </w:pPr>
      <w:r>
        <w:rPr>
          <w:rFonts w:ascii="IRNazanin" w:hAnsi="IRNazanin" w:eastAsia="IRNazanin"/>
          <w:color w:val="111111"/>
          <w:sz w:val="28"/>
          <w:sz w:val="28"/>
          <w:szCs w:val="28"/>
          <w:rtl w:val="true"/>
          <w:lang w:bidi="fa-IR"/>
        </w:rPr>
        <w:t>در مورد رؤیت، مخالفان برای اینکه از قافلۀ عقل‌گرایان عقب نمانند، دست به یک رشته استدلالهای عقلی زده‌اند که کاملا سست و بی‌پایه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قدیم خود را می‌بیند، آن کس که خود را ببیند، دیگری نیز او را می‌بیند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از صغری و کبرایی تشکیل یافته است و هیچ کدام پایۀ استواری ندارد، دربارۀ صغری یادآور می‌شویم که درست است خدای بزرگ از ازل خود را می‌بیند، ولی مقصود از رؤیت، رؤیت حسی نیست، بلکه مقصود مشاهدۀ ذات خویش به</w:t>
      </w:r>
    </w:p>
    <w:p>
      <w:pPr>
        <w:pStyle w:val="BookText"/>
        <w:rPr/>
      </w:pPr>
      <w:r>
        <w:rPr>
          <w:rFonts w:ascii="IRNazanin" w:hAnsi="IRNazanin" w:eastAsia="IRNazanin"/>
          <w:color w:val="111111"/>
          <w:sz w:val="28"/>
          <w:sz w:val="28"/>
          <w:szCs w:val="28"/>
          <w:rtl w:val="true"/>
          <w:lang w:bidi="fa-IR"/>
        </w:rPr>
        <w:t>علم حضوری است، یعنی ذات او از خویش غایب نیست زیرا عوامل غیبت که زمان و مکان و تجزیه است به ذات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مقدمۀ دوم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ملازمه‌ای میان دو مقدمه وجود ندارد، بالأخص که گفته شد مقصود از رؤیت خدا، مشاهدۀ ذات به علم حضوری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بخش رؤیت وجود است، به گواه اینکه چیزی به هنگام وجود قابل رؤیت است و در صورت معدوم بودن دیده نمی‌شود و این ملاک دربارۀ خدا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می‌شود که وجود زمینۀ رؤیت را پدید می‌آورد نه اینکه علّت تامّه باشد؛ به گواه اینکه امور نفسانی مانند اراده و کراهت در نفس انسان موجودند ولی قابل رؤیت نمی‌باشند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رؤیت هیچ نوع پیامد نادرستی ندارد و موجب حدوث ذات یا حدوث چیزی در ذات و یا تشبیه او به خلق نمی‌باشد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استدلال نیز روشن گردید، زیرا رؤیت بدون تقابل امکان‌پذیر نیست و تا تقابل میان چشم و مرئی انجام نگیرد، دیدن امکان نمی‌پذیرد و لازم تحقق تقابل، جسم و یا عرض بودن است</w:t>
      </w:r>
      <w:r>
        <w:rPr>
          <w:rFonts w:eastAsia="IRNazanin" w:cs="IRNazanin"/>
          <w:color w:val="111111"/>
          <w:sz w:val="28"/>
          <w:szCs w:val="28"/>
          <w:rtl w:val="true"/>
          <w:lang w:bidi="fa-IR"/>
        </w:rPr>
        <w:t>.</w:t>
      </w:r>
      <w:bookmarkStart w:id="180" w:name="pg17029_176641"/>
    </w:p>
    <w:p>
      <w:pPr>
        <w:pStyle w:val="Heading4"/>
        <w:numPr>
          <w:ilvl w:val="3"/>
          <w:numId w:val="1"/>
        </w:numPr>
        <w:rPr/>
      </w:pPr>
      <w:bookmarkStart w:id="181" w:name="__RefHeading___Toc1119674_1738255347"/>
      <w:bookmarkStart w:id="182" w:name="_Toc67"/>
      <w:bookmarkEnd w:id="180"/>
      <w:bookmarkEnd w:id="181"/>
      <w:r>
        <w:rPr>
          <w:rtl w:val="true"/>
        </w:rPr>
        <w:t>ثمرات اصل نخست</w:t>
      </w:r>
      <w:r>
        <w:rPr>
          <w:rtl w:val="true"/>
        </w:rPr>
        <w:t xml:space="preserve">: </w:t>
      </w:r>
      <w:r>
        <w:rPr>
          <w:rtl w:val="true"/>
        </w:rPr>
        <w:t>توحید</w:t>
      </w:r>
      <w:bookmarkEnd w:id="182"/>
    </w:p>
    <w:p>
      <w:pPr>
        <w:pStyle w:val="Heading5"/>
        <w:numPr>
          <w:ilvl w:val="4"/>
          <w:numId w:val="1"/>
        </w:numPr>
        <w:rPr/>
      </w:pPr>
      <w:bookmarkStart w:id="183" w:name="__RefHeading___Toc1119676_1738255347"/>
      <w:bookmarkStart w:id="184" w:name="_Toc68"/>
      <w:bookmarkEnd w:id="183"/>
      <w:r>
        <w:rPr>
          <w:rtl w:val="true"/>
        </w:rPr>
        <w:t>اشاره</w:t>
      </w:r>
      <w:bookmarkEnd w:id="184"/>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حدوث قرآن</w:t>
      </w:r>
    </w:p>
    <w:p>
      <w:pPr>
        <w:pStyle w:val="BookText"/>
        <w:rPr/>
      </w:pPr>
      <w:r>
        <w:rPr>
          <w:rFonts w:ascii="IRNazanin" w:hAnsi="IRNazanin" w:eastAsia="IRNazanin"/>
          <w:color w:val="111111"/>
          <w:sz w:val="28"/>
          <w:sz w:val="28"/>
          <w:szCs w:val="28"/>
          <w:rtl w:val="true"/>
          <w:lang w:bidi="fa-IR"/>
        </w:rPr>
        <w:t xml:space="preserve">از مسائل کم حاصل ولی پردرد سر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یا قدیم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و سپس اشاعره پیرو نظریۀ دوم و در مقابل آنان معتزله قائل بر حدوث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نیمه‌های قرن دوم از طریق علمای اهل کتاب که حاشیه نشین‌های بیت اموی بودند، به خاطر تشکیک در عقاید مسلمانان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کورکورانه بدون آنکه پیرامون آن فکر کنند و اصولا موضوع بحث را منقّح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لا اقل حادث نبودن آن را پذیرفتند و در راه آن گرفتاری‌ها را بر جان خریدند و معتزله با یک محاسبۀ کوچک، منکر قدیم بودن قرآن گشته و بر حدوث آن اصرار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به نقل دلایل طرفین بپردازیم، نکاتی را یادآور می‌شویم</w:t>
      </w:r>
      <w:r>
        <w:rPr>
          <w:rFonts w:eastAsia="IRNazanin" w:cs="IRNazanin"/>
          <w:color w:val="111111"/>
          <w:sz w:val="28"/>
          <w:szCs w:val="28"/>
          <w:rtl w:val="true"/>
          <w:lang w:bidi="fa-IR"/>
        </w:rPr>
        <w:t>:</w:t>
      </w:r>
    </w:p>
    <w:p>
      <w:pPr>
        <w:pStyle w:val="Heading5"/>
        <w:numPr>
          <w:ilvl w:val="4"/>
          <w:numId w:val="1"/>
        </w:numPr>
        <w:rPr/>
      </w:pPr>
      <w:bookmarkStart w:id="185" w:name="__RefHeading___Toc1119678_1738255347"/>
      <w:bookmarkStart w:id="186" w:name="_Toc69"/>
      <w:bookmarkEnd w:id="185"/>
      <w:r>
        <w:rPr/>
        <w:t>1</w:t>
      </w:r>
      <w:r>
        <w:rPr>
          <w:rtl w:val="true"/>
        </w:rPr>
        <w:t xml:space="preserve"> - </w:t>
      </w:r>
      <w:r>
        <w:rPr>
          <w:rtl w:val="true"/>
        </w:rPr>
        <w:t>تاریخچۀ پیدایش مسأله</w:t>
      </w:r>
      <w:bookmarkEnd w:id="18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تاریخ مسأله به‌روشنی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گروهی که مسألۀ حدوث و قدم قرآن را در میان مسلمانان مطرح کرد، کشیشان مسیحی بودند که در عصر امویها در خلفا و اطرافیان آنها نفوذ خاصی داشتند و هدف آنان از طرح این نوع از مسائل، یک تیر و دو 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جز خدا همه چیز را حادث می‌دانستند و جملۀ کان اللّه و لم یکن معه شیء اساس توحید آنان را تشکیل می‌داد و عقیدۀ آنها دربارۀ توحید، بر محور قُلِ اللّهُ خالِقُ کُلِّ شَیْءٍ </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می‌زد در حالی که اساس عقیدۀ مسیحیان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می‌داد، آنها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قدیم دانسته و معتقد بودند که ماهیت خدای بزرگ را این سه عنصر قدیم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بازیگران صحنۀ عقاید از ساده‌لوحی مسلمانان بهره گرفتند وبا طرح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در اساسی‌ترین اصل عقیدتی اسلامی ایجاد خلل کنند و در نتیجه از وحشت مسلمانان از تعدد قدما که اساس عقیدۀ مسیحیان تشکیل می‌داد،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خلافت مأمون خصوصا سالهای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خلقت و عدم قرآن بالا گرفت، او پیش از دیگران به ریشۀ مسأله توجه پیدا کرد و فهمید که انگشت رجال کلیسا مدتهاست که در این مسأله کار کرده و می‌خواهند مسلمانان را به سوی شرک بکشند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دربارۀ مسیحیان یاد آور می‌شود که اندیشۀ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آیین مسیح نجوشیده، بلکه مسیحیان آن را از کافران و بت پرستان پیشین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یُضاهِؤُنَ قَوْلَ الَّذِینَ کَفَرُوا مِنْ قَبْلُ قاتَلَهُمُ اللّهُ أَنّی یُؤْفَکُونَ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مسیحیان در اندیشۀ تثلیث از گفتار گروهی که قبلا کفر ورزیده‌اند پیروی می‌کنند، لعنت خدا بر آنان باد، چگونه به دروغ گرایش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همین مطلب را مأمون از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شرطۀ بغداد نوشت و یاد 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اهل حدیث دربارۀ مخلوق نبودن قرآن همگام با گفتار نصاری دربارۀ عیسی بن مریم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کلمة اللّه است و مخلوق نیست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متن نامۀ مأمون را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خود پیرامون حوادث سال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متن عربی گفتار او در این قسمت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ضاهؤا به قول النصاری فی ادعائهم فی عیسی بن مریم انّه لیس بمخلوق إذ کان کلمة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ندیم در فهرست خود که آن را در سال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از ابو العباس بغوی نقل می‌کند که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نصرانی در قسمت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نشستی داشتم، از نظریۀ عبد الله بن محمد بن 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خدا که سخن خدا است،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ابن کلاب را رحمت کند، اوس آمد در این گوشه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گوشه‌ای از کلیسا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می‌نشست و این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کلام خدا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اخذ کرده است، اگر او زنده می‌ماند ما او را کمک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بغوی نقل می‌کند که محمد بن اسحاق طالقانی از او پرسید که دربارۀ مسیح چه می‌گوید؟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اهل سنت دربارۀ قرآن می‌گویند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ابو زهره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که حاشیه‌نشینان بیت اموی بودند و در رأس آنان یوحنّای دمشقی قرار داشت، پیوسته از طرق مختلف تخم شک و تردید در میان مسلمانان پخش می‌کردند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مسیح را کلمة الله معرفی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الْمَسِیحُ عِیسَی ابْنُ مَرْیَمَ رَسُولُ اللّهِ وَ کَلِمَتُهُ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عیسی فرزند مریم، پیامبر خدا و کلمۀ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جمله سوء استفاده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الله قدیم است یا مخلوق، اگر می‌گفتند قدیم 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مسیح طبق گفتار کتاب شما که کلمة اللّه است، قدیم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می‌گویید قرآن حادث و ساخته است</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المذاهب الإسلامیة، </w:t>
      </w:r>
      <w:r>
        <w:rPr>
          <w:rFonts w:eastAsia="IRNazanin" w:cs="IRNazanin"/>
          <w:color w:val="111111"/>
          <w:sz w:val="28"/>
          <w:szCs w:val="28"/>
          <w:lang w:bidi="fa-IR"/>
        </w:rPr>
        <w:t>393/2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که ولید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قَوْلُ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مسلّم طرف گفتار یوحنای دمشقی انسانهای ساده‌لوح بودند وگرنه می‌توانستند به‌سادگی مشت او را باز کنند و به مغالطه او پاسخ بگویند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مخلوق و ساخته شده است اما نه مخلوق و ساختۀ بشر، بلکه مخلوق خداست یعنی آن کس که ماسوی اللّه را آفریده، او نیز قرآن را خلق کرده است، آنچه که محذور دارد این است که قرآن آفریده و ساختۀ دست بشر باشد، نه مخلوق و ساختۀ خدا، اگر مسلمانان می‌گویند قرآن مخلوق است مقصود این است که مخلوق خداست، و نازل کنندۀ قرآن خالق این کلمات و جمل و این آیات وسور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گزارشها استفاده می‌شود که مسیحیان نقش مهمی در طرح مسألۀ حدوث و یا قدیم بودن داشتند و اندیشۀ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مخلوق نبودن آن، کاملا ساخته و پرداختۀ آنان بوده است و آن را با رندی خاصی به خورد مسلمانان می‌دادند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روشن می‌گردد که سخن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پیدایش اندیشۀ خلقت و حدوث قرآن، کاملا بی‌پایه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چند در این کتاب مواضع معتزله را روشن ساخته و به گونه‌ای بر اشاعره و اهل حدیث خرده گرفته است ولی در هر حال نتوانسته خود را از غلاف اشعری گری که مذهب حاکم بر مصر و مصریان است بیرون آورد و کوشیده است که مسألۀ خلقت و حدوث قرآن را که نقطه مقابل عقیدۀ</w:t>
      </w:r>
      <w:bookmarkStart w:id="187" w:name="pg17029_176645"/>
    </w:p>
    <w:p>
      <w:pPr>
        <w:pStyle w:val="BookText"/>
        <w:rPr/>
      </w:pPr>
      <w:bookmarkEnd w:id="187"/>
      <w:r>
        <w:rPr>
          <w:rFonts w:ascii="IRNazanin" w:hAnsi="IRNazanin" w:eastAsia="IRNazanin"/>
          <w:color w:val="111111"/>
          <w:sz w:val="28"/>
          <w:sz w:val="28"/>
          <w:szCs w:val="28"/>
          <w:rtl w:val="true"/>
          <w:lang w:bidi="fa-IR"/>
        </w:rPr>
        <w:t>اشعری است، ساخته و پرداختۀ یهودیان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خلقت قرآن از یهود به میان مسلمانان وارد شده و نخستین کسی که آن را نشر داد لبید ین اعصم، سپس خواهر زادۀ او طالوت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ای دربارۀ خلقت قرآن نگاشت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زهدی حسن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المعتزلة،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اندیشۀ حدوث و یا خلقت قرآن در صورتی می‌تواند از جانب یهود وارد حوزه اسلامی گردد که عقیدۀ آنان دربارۀ تورات حادث بودن آن باشد در حالی که عقیدۀ آنان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بودن اوست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هر حال مسألۀ حدوث و یا قدم قرآن یک مسألۀ وارداتی است که سالهای دراز مسلمانان را به خود مشغول ساخت و بازدهی جز تکفیر و زد و خورد و اعدام و زندان نداشت</w:t>
      </w:r>
    </w:p>
    <w:p>
      <w:pPr>
        <w:pStyle w:val="Heading5"/>
        <w:numPr>
          <w:ilvl w:val="4"/>
          <w:numId w:val="1"/>
        </w:numPr>
        <w:rPr/>
      </w:pPr>
      <w:bookmarkStart w:id="188" w:name="__RefHeading___Toc1119680_1738255347"/>
      <w:bookmarkStart w:id="189" w:name="_Toc70"/>
      <w:bookmarkEnd w:id="188"/>
      <w:r>
        <w:rPr/>
        <w:t>2</w:t>
      </w:r>
      <w:r>
        <w:rPr>
          <w:rtl w:val="true"/>
        </w:rPr>
        <w:t xml:space="preserve"> - </w:t>
      </w:r>
      <w:r>
        <w:rPr>
          <w:rtl w:val="true"/>
        </w:rPr>
        <w:t>شایستۀ اهل حدیث در این مسأله</w:t>
      </w:r>
      <w:bookmarkEnd w:id="189"/>
    </w:p>
    <w:p>
      <w:pPr>
        <w:pStyle w:val="BookText"/>
        <w:rPr/>
      </w:pPr>
      <w:r>
        <w:rPr>
          <w:rFonts w:ascii="IRNazanin" w:hAnsi="IRNazanin" w:eastAsia="IRNazanin"/>
          <w:color w:val="111111"/>
          <w:sz w:val="28"/>
          <w:sz w:val="28"/>
          <w:szCs w:val="28"/>
          <w:rtl w:val="true"/>
          <w:lang w:bidi="fa-IR"/>
        </w:rPr>
        <w:t>چیزی که در این جا لازم است یادآوری شود این است که در قرن دوم و سوم، اهل حدیث بیش از همه در این مسأله سینه چاک کردند و قدیم و یا حادث نبودن قرآن را جزء عقاید اسلامی شمردند، در حالی که از نظر اصول عقیدتی اهل حدیث لازم بود که در این مسأله سکوت کنند و لب به سخن نگشایند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عقاید اهل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قرآن و حدیث دربارۀ آن سکوت کرده و سخنی نگفته است باید سکوت کرد، حتی آنان به خاطر اینکه در کتاب و سنت از جسم نبودن خدا سخنی به سیان نیامده است، از توصیف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می‌نمایند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مقتضای احتیاط در عقاید این است که در این موارد سکوت کنند، لازم بود که احمد بن حنبل و بزرگان اهل حدیث در این باره مهر خاموشی به لب زنند</w:t>
      </w:r>
      <w:bookmarkStart w:id="190" w:name="pg17029_176646"/>
    </w:p>
    <w:p>
      <w:pPr>
        <w:pStyle w:val="BookText"/>
        <w:rPr/>
      </w:pPr>
      <w:bookmarkEnd w:id="190"/>
      <w:r>
        <w:rPr>
          <w:rFonts w:ascii="IRNazanin" w:hAnsi="IRNazanin" w:eastAsia="IRNazanin"/>
          <w:color w:val="111111"/>
          <w:sz w:val="28"/>
          <w:sz w:val="28"/>
          <w:szCs w:val="28"/>
          <w:rtl w:val="true"/>
          <w:lang w:bidi="fa-IR"/>
        </w:rPr>
        <w:t>و در این باره سخنی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مسأله در یک فضای پر از تعصب مطرح گردید، به گونه‌ای که طرفین دربارۀ سخنان یکدیگر نمی‌اندیشیدند، از این جهت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عدم خلقت قرآن گردید و چماق تکفیر بر سر مخالفان فرودآورد و آنچنان بر عقل و خرد مردم زنجیر زد که هنوز مسألۀ حدوث قرآن برای اکثر مسلمانان جا نیفتاده و قائلان به حدوث، طرد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مکۀ مکرمه شخصی را دیدم که اصرار بر مخلوق نبودن قرآن داشت، مسلما اندیشه‌های سلفی که در حرمین شریفین از طرف وهابیها ترویج می‌شود این بذر را بار دیگر رشد می‌دهد و طرفداران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 با شرک، صریحا کتاب خدا را قدیم می‌دانند، در حالی که اصلا نمی‌فهمند که چه می‌گویند چه چیز را با قدمت توصیف می‌کنند؟</w:t>
      </w:r>
    </w:p>
    <w:p>
      <w:pPr>
        <w:pStyle w:val="Heading5"/>
        <w:numPr>
          <w:ilvl w:val="4"/>
          <w:numId w:val="1"/>
        </w:numPr>
        <w:rPr/>
      </w:pPr>
      <w:bookmarkStart w:id="191" w:name="__RefHeading___Toc1119682_1738255347"/>
      <w:bookmarkStart w:id="192" w:name="_Toc71"/>
      <w:bookmarkEnd w:id="191"/>
      <w:r>
        <w:rPr/>
        <w:t>3</w:t>
      </w:r>
      <w:r>
        <w:rPr>
          <w:rtl w:val="true"/>
        </w:rPr>
        <w:t xml:space="preserve"> - </w:t>
      </w:r>
      <w:r>
        <w:rPr>
          <w:rtl w:val="true"/>
        </w:rPr>
        <w:t>مسأله از شاخه‌های توحید است</w:t>
      </w:r>
      <w:bookmarkEnd w:id="192"/>
    </w:p>
    <w:p>
      <w:pPr>
        <w:pStyle w:val="BookText"/>
        <w:rPr/>
      </w:pPr>
      <w:r>
        <w:rPr>
          <w:rFonts w:ascii="IRNazanin" w:hAnsi="IRNazanin" w:eastAsia="IRNazanin"/>
          <w:color w:val="111111"/>
          <w:sz w:val="28"/>
          <w:sz w:val="28"/>
          <w:szCs w:val="28"/>
          <w:rtl w:val="true"/>
          <w:lang w:bidi="fa-IR"/>
        </w:rPr>
        <w:t>مسألۀ حدوث و قدیم بودن قرآن را باید از شاخه‌های توحید شمرد، زیرا لازم توحید ذاتی و اینکه جز او قدیمی در جهان نیست، این است که ماسوی اللّه حادث و مخلوف او باشد، در حالی که معتزله آن را از شاخه‌های اصل عدل شمرد ه و از ثمره های قول به عدل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و سنّت سخنی پیرامون خصوص حدوث و خلقت قرآن و یا قدمت و مخلوق نبودن آن وارد نشده است، آری در پرتو یک‌رشته کلیّات می‌توان حکم مسأله را استنباط کرد و یکی از دو طرف را برگزید، این از یک‌طرف</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مسأله نه جزء اصول دین است و نه از ضروریّات آیین اسلام، به گواه اینکه پیامبر گرامی با ذکر شهادتین ایمان افراد را می‌پذیرفت و هرگز از آنان نمی‌خواست که بر حدوث و یا قدمت قرآن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اصل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بر وحدانیّت خدا و رسالت محمّد صلّی الله علیه و آله و سلم، به پا داشتن نماز وادای زکات و انجام فریضة حجّ و روزۀ ماه رمضان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دو اصل چگونه پیشوای حنابله به خود جرأت می‌دهد و چهار گروه یاد شده در زیر را تکفیر می‌کند؟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کسی‌که بگوید قرآن مخلوق است،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کسی‌که بگوید قرآن کلام خداست و در گزینش یکی از دو طرف توقف نماید کافر است، حتی گروه دوّم از گروه نخست خبیث تر و ناپاکترند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کسی‌که بگوید آنچه که ما از قرآن می‌خوانیم و تلاوت می‌کنیم مخلوق است نیز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کسی‌که با این سه گروه هم‌عقیده نباشد اما آن را تکفیر نکند، او نیز کافر است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به‌راستی انسان در برابر این نوع تهاجم بی‌رحمانه در تعجّب و شگفت است، این نوع فتواها بود که تودۀ مردم را به جان معتزله انداخت و به وسایل مختلف بر زندگی فردی و اجتماعی و حیاتی آنان خاتمه داد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و غبار تعصّب در محیط علمی، سیمای حقیقت را می‌پوشاند و در نتیجه طرفین به عمق گفتار یکدیگر پی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تعصبی بالاتر از این‌که انسانی بگوید، قرآنی که در مساجد خوانده و یا روی برگها نوشته می‌شود نیز قدیم است</w:t>
      </w:r>
      <w:r>
        <w:rPr>
          <w:rStyle w:val="FootnoteAnchor"/>
          <w:rtl w:val="true"/>
        </w:rPr>
        <w:footnoteReference w:id="106"/>
      </w:r>
      <w:r>
        <w:rPr>
          <w:rFonts w:ascii="IRNazanin" w:hAnsi="IRNazanin" w:eastAsia="IRNazanin"/>
          <w:color w:val="111111"/>
          <w:sz w:val="28"/>
          <w:sz w:val="28"/>
          <w:szCs w:val="28"/>
          <w:rtl w:val="true"/>
          <w:lang w:bidi="fa-IR"/>
        </w:rPr>
        <w:t>یحنی آهنگهای قاریان و خطوط خوش‌نویسان، همگی قدیم بوده و حادث</w:t>
      </w:r>
      <w:bookmarkStart w:id="193" w:name="pg17029_176648"/>
    </w:p>
    <w:p>
      <w:pPr>
        <w:pStyle w:val="BookText"/>
        <w:rPr/>
      </w:pPr>
      <w:bookmarkEnd w:id="193"/>
      <w:r>
        <w:rPr>
          <w:rFonts w:ascii="IRNazanin" w:hAnsi="IRNazanin" w:eastAsia="IRNazanin"/>
          <w:color w:val="111111"/>
          <w:sz w:val="28"/>
          <w:sz w:val="28"/>
          <w:szCs w:val="28"/>
          <w:rtl w:val="true"/>
          <w:lang w:bidi="fa-IR"/>
        </w:rPr>
        <w:t>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خود از برخی از حنابله نقل می‌کند که آنان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نه‌تنها اینها قدیم هستند، بلکه جلد و برگهای قرآنها نیز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یک چنین انسانهای دور از منطق جز سکوت وظیفۀ دیگری نیست؛</w:t>
      </w:r>
    </w:p>
    <w:p>
      <w:pPr>
        <w:pStyle w:val="BookText"/>
        <w:rPr/>
      </w:pPr>
      <w:r>
        <w:rPr>
          <w:rFonts w:ascii="IRNazanin" w:hAnsi="IRNazanin" w:eastAsia="IRNazanin"/>
          <w:color w:val="111111"/>
          <w:sz w:val="28"/>
          <w:sz w:val="28"/>
          <w:szCs w:val="28"/>
          <w:rtl w:val="true"/>
          <w:lang w:bidi="fa-IR"/>
        </w:rPr>
        <w:t>سخن ما در این جا با انسانهایی است که از منطق پیروی می‌کنند و لا اقل حاضرند لحظاتی در گفتار مخالف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کلامی باید در محیطهای علمی مطرح گردد و مورد بحث قرار گیرد و نباید عوام را در این مسائل شرکت داد و از عواطف دینی آنان بر ضدّ مخالف بهره گرفت، متأسفانه مسألۀ حدوث و یا عدم خلقت قرآن از محافل علمی به مساجد، خیابان و بازار کشیده شد و مردم عادی به خاطر علاقه به محدث عصر خود احمد بن حنبل، به طرفداری از او برخاسته و مخالفان را قلع‌وقمع می‌کردند، چیزی که مایۀ تعجّب است این است که اصلا موضع بحث و موصوف حدوث و قدم در سخنان طرفین روشن نیست واصلا معلوم نیست که نزاع بر سر چیست و اگر روزی دور هم می‌نشستند و موصوف حدوث و قدم را مشخص می‌کردند خود و دیگران را راحت می‌کردند، مابه خاطر کوتاه کردن راه، نخست سراغ موضوع می‌رویم و آنچه را که محتمل است موضوع برای نفی و اثبات باشد، در این جا می‌آوریم</w:t>
      </w:r>
      <w:r>
        <w:rPr>
          <w:rFonts w:eastAsia="IRNazanin" w:cs="IRNazanin"/>
          <w:color w:val="111111"/>
          <w:sz w:val="28"/>
          <w:szCs w:val="28"/>
          <w:rtl w:val="true"/>
          <w:lang w:bidi="fa-IR"/>
        </w:rPr>
        <w:t>:</w:t>
      </w:r>
    </w:p>
    <w:p>
      <w:pPr>
        <w:pStyle w:val="Heading5"/>
        <w:numPr>
          <w:ilvl w:val="4"/>
          <w:numId w:val="1"/>
        </w:numPr>
        <w:rPr/>
      </w:pPr>
      <w:bookmarkStart w:id="194" w:name="__RefHeading___Toc1119684_1738255347"/>
      <w:bookmarkStart w:id="195" w:name="_Toc72"/>
      <w:bookmarkEnd w:id="194"/>
      <w:r>
        <w:rPr/>
        <w:t>3</w:t>
      </w:r>
      <w:r>
        <w:rPr>
          <w:rtl w:val="true"/>
        </w:rPr>
        <w:t xml:space="preserve"> - </w:t>
      </w:r>
      <w:r>
        <w:rPr>
          <w:rtl w:val="true"/>
        </w:rPr>
        <w:t>موضوع حدوث و قدم چیست؟</w:t>
      </w:r>
      <w:bookmarkEnd w:id="195"/>
    </w:p>
    <w:p>
      <w:pPr>
        <w:pStyle w:val="BookText"/>
        <w:rPr/>
      </w:pPr>
      <w:r>
        <w:rPr>
          <w:rFonts w:ascii="IRNazanin" w:hAnsi="IRNazanin" w:eastAsia="IRNazanin"/>
          <w:color w:val="111111"/>
          <w:sz w:val="28"/>
          <w:sz w:val="28"/>
          <w:szCs w:val="28"/>
          <w:rtl w:val="true"/>
          <w:lang w:bidi="fa-IR"/>
        </w:rPr>
        <w:t>موصوف این وصف در کلمات طرفین روشن نیست، از این جهت ما مجموع احتمالات موجود رامی آوریم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یکی از مراتب علم خداست، سخن دربارۀ حدوث و یا قدم کلام خدا، به حدوث و عدم حدوث علم او منتهی می‌گردد و روح بحث این است که آیا</w:t>
      </w:r>
    </w:p>
    <w:p>
      <w:pPr>
        <w:pStyle w:val="BookText"/>
        <w:rPr/>
      </w:pPr>
      <w:r>
        <w:rPr>
          <w:rFonts w:ascii="IRNazanin" w:hAnsi="IRNazanin" w:eastAsia="IRNazanin"/>
          <w:color w:val="111111"/>
          <w:sz w:val="28"/>
          <w:sz w:val="28"/>
          <w:szCs w:val="28"/>
          <w:rtl w:val="true"/>
          <w:lang w:bidi="fa-IR"/>
        </w:rPr>
        <w:t>علم او مخلوق است یا مخلوق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از یک سلسله حقایق غیبی گزارش می‌دهد، مانند ذات خدا، صفات و افعال او، سخن در این است که آیا این نوع از محکیّات، قدیم است یا حادث؟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از یک سلسله حوادث در گذشته و آینده گزارش می‌دهد، روح سخن این است که آیا او از أزل بر آنها علم داشته و یا بعدا آگاه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 است که قرآن را جبرئیل برای رسول گرامی آورد و تلاوت کرد، ولی آیا خدا از أزل از چنین الفاظ و تراکیب و جمله و آیات آگاه بود یا 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هر علّتی بود بشر را آفریده، و زبان عربی به تدریج رشد کرد و پس از مدتی به تکامل خود رسید و مشیّت الهی بر این تعلّق گرفت که از همین الفاظ و مفردات که خود بشر در وضع و ترکیب و استعمال آن مدخلیّت کامل داشت، کتابی بفرستد که مایۀ هدایت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کتابی از این الفاظ تنظیم و به وسیلۀ جبرئیل برای پیامبر ارسال گردید و پیامبر نیز آن را آموخت و تعلیم کرد، آیا چنین کلامی قدیم است یا حادث؟</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بحث در خلقت قرآن و عدم آن مختلق</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اختلاف به معنی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و ساخته شدن آن از جانب بشر است وگرنه قرآن بسان دیگر اشیاء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از توصیف قرآن به مخلوق بودن اجتناب می‌ورزیم، برای این است که مبادا دشمنان از آن سوء استفاده کنند و بگویند که قرآن آفریده و ساخته و پرداختۀ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ولید بن مغیره بار دیگر زنده گردد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چیزهایی که می‌تواند محور بحث و موضوع برای حدوث و قدم باشد، از شش احتمال تا تجاوز نمی‌کندو احتمالات دیگر مانند قدیم بودن کاغذ و مرکب</w:t>
      </w:r>
    </w:p>
    <w:p>
      <w:pPr>
        <w:pStyle w:val="BookText"/>
        <w:rPr/>
      </w:pPr>
      <w:r>
        <w:rPr>
          <w:rFonts w:ascii="IRNazanin" w:hAnsi="IRNazanin" w:eastAsia="IRNazanin"/>
          <w:color w:val="111111"/>
          <w:sz w:val="28"/>
          <w:sz w:val="28"/>
          <w:szCs w:val="28"/>
          <w:rtl w:val="true"/>
          <w:lang w:bidi="fa-IR"/>
        </w:rPr>
        <w:t>و جلد آنچنان سست و بی‌پایه است که نباید از آن در کتابهای علمی به جز به عنوان طعن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دربارۀ حکم این موضوعات به داوری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احتمال نخست یادآور می‌شویم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علم خدا را عین ذات او یا زاید بر آن بدانیم، علم او قدیم و أزلی است و مصنوع دست هیچ صانعی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احتمال دوّم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حقایقی که قرآن از آن گزارش می‌دهد، اگر مربوط به ذات و صافات او باشد، قطعا قدیم و اگر مربوط به فعل او یا فعل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آفرینش بهشت و دوزخ و آسمانها و زمین و قصص انبیاء و غیرهم طبعا حادث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حکم احتمال سوّم و چهارم نیز روشن است، علم خدا از حوادثی که قرآن از آنها خبر داده قطعا قدیم بوده هر چند محکی آنها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 از روز نخست از مجموع آیات و سور با تمام خصوصیّاتی که دارد آگاه بود ولی آگاهی از خود آیات، غیر از وجود خارجی این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احتمال پنجم سخن دربارۀ علم و آگاهی خدا نیست، بلکه وجود خارجی این الفاظ و مفردات و جمل و آیات است، شکّی نیست تنظیم خارج این کتاب پس از وضع کلمات و تکامل زبان عرب انجام گرفته، طبعا باید حادث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دیگر سخن، صور علمی این کلمات و جمل هر چند حادث نیست، بلکه این صور علمی مانند دیگر صور علمی در علم خدا متناسب با مقام او تحقّق داشته است ولی محور بحث صور علمی قرآن نیست، بلکه سخن دربارۀ وجود خارجی این کلمات و جمل است، از آنجا نحوۀ تحقق آنها تدریجی است و قطعا حادث خواهند بود زیرا حدوث از ویژگیهای امور تدریجی است، فرض کنید جبرئیل می‌خواهد نخستین آیه از سورۀ علق را بر پیامبر بخواند، امکان ندارد همۀ حروف آیۀ</w:t>
      </w:r>
    </w:p>
    <w:p>
      <w:pPr>
        <w:pStyle w:val="BookText"/>
        <w:rPr/>
      </w:pPr>
      <w:r>
        <w:rPr>
          <w:rFonts w:ascii="IRNazanin" w:hAnsi="IRNazanin" w:eastAsia="IRNazanin"/>
          <w:color w:val="111111"/>
          <w:sz w:val="28"/>
          <w:sz w:val="28"/>
          <w:szCs w:val="28"/>
          <w:rtl w:val="true"/>
          <w:lang w:bidi="fa-IR"/>
        </w:rPr>
        <w:t xml:space="preserve">اِقْرَأْ بِاسْمِ رَبِّکَ الَّذِی خَلَقَ یک جا ایجاد گردد، این نه به آن معنی است که قدرت و توانایی آفریدگار قاصر و کوتاه است، بلکه این ویژگی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نمی‌تواند یک جا تحقق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باید گفت وجود خارجی تلاوت جبرئیل و پیامبر و مؤمنان، به خاطر ویژگی خود الفاظ، حادث بوده و قدیم نمی‌باشند و ما در نقل استدلال قائلان به حدوث قرآن توضیح بیشتری در این باره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احتمال ششم باید از توصیف قرآن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مایۀ سوء استفادۀ مخالفان باشد خودداری کرد، از این جهت پیشوایان معصوم سفارش کرده‌اند که از به کار بردن آن خود داری کنید، چه‌بسا ممکن است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مصنوع انسان تفسیر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بحث، گفتار قاضی عبد الجبّار رئیی معتزله در قرن پنجم رامی آوریم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این است که قرآن سخن خدا و وحی از جانب اوست و مخلوق و حادث است که خدا آن را بر پیامبر خود فرو فرستاده است تا نشانۀ نبوّت و پیامبری او باشد و آن را وسیلۀ شناخت حلال و حرام قرار داده است و در مقابل این نعمت باید به حمد و ستایش و تنزیه خدا بپردازیم، آنچه که الآن ما می‌شنویم و یا تلاوت می‌کنیم هر چند خدا پدیدآرندۀ آن نیست، ولی نوعی به او نسبتی دارد، چنانکه قصیدۀ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امرئ القیس که اکنون می‌خوانیم فعل ماست، ولی به گونه‌ای نیز به او نسبت دارد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 الجبّار، شرح اصول خمسة</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آنچه جبرئیل أمین آورده و برای پیامبر صلّی الله علیه و آله و سلم خوانده، یک جزئی حقیقی بوده است که وجود آن با خود او قائم بوده است و ما با تلاوت خود مثل</w:t>
      </w:r>
      <w:bookmarkStart w:id="196" w:name="pg17029_176652"/>
    </w:p>
    <w:p>
      <w:pPr>
        <w:pStyle w:val="BookText"/>
        <w:rPr/>
      </w:pPr>
      <w:bookmarkEnd w:id="196"/>
      <w:r>
        <w:rPr>
          <w:rFonts w:ascii="IRNazanin" w:hAnsi="IRNazanin" w:eastAsia="IRNazanin"/>
          <w:color w:val="111111"/>
          <w:sz w:val="28"/>
          <w:sz w:val="28"/>
          <w:szCs w:val="28"/>
          <w:rtl w:val="true"/>
          <w:lang w:bidi="fa-IR"/>
        </w:rPr>
        <w:t>و همانند آنرا ایجاد می‌کنیم که از جهاتی با هم متّفق و هماهنگ می‌باشند و از جهاتی باهم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جریان دربارۀ شعر شاعر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یک محاسبۀ ساده، آن هم به دور از تعصّب می‌توان محور بحث را تعیین کرد و دربارۀ آن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در کلمات قائلان به عدم خلقت، موضوع بحث تعیین نگردیده است</w:t>
      </w:r>
      <w:r>
        <w:rPr>
          <w:rFonts w:eastAsia="IRNazanin" w:cs="IRNazanin"/>
          <w:color w:val="111111"/>
          <w:sz w:val="28"/>
          <w:szCs w:val="28"/>
          <w:rtl w:val="true"/>
          <w:lang w:bidi="fa-IR"/>
        </w:rPr>
        <w:t>.</w:t>
      </w:r>
    </w:p>
    <w:p>
      <w:pPr>
        <w:pStyle w:val="Heading5"/>
        <w:numPr>
          <w:ilvl w:val="4"/>
          <w:numId w:val="1"/>
        </w:numPr>
        <w:rPr/>
      </w:pPr>
      <w:bookmarkStart w:id="197" w:name="__RefHeading___Toc1119686_1738255347"/>
      <w:bookmarkStart w:id="198" w:name="_Toc73"/>
      <w:bookmarkEnd w:id="197"/>
      <w:r>
        <w:rPr>
          <w:rtl w:val="true"/>
        </w:rPr>
        <w:t xml:space="preserve">* </w:t>
      </w:r>
      <w:r>
        <w:rPr>
          <w:rtl w:val="true"/>
        </w:rPr>
        <w:t>بازی با الفاظ</w:t>
      </w:r>
      <w:bookmarkEnd w:id="198"/>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lang w:bidi="fa-IR"/>
        </w:rPr>
        <w:t>662</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عقیدۀ سلفیها در قرن هشتم، با هوشیاری دریافت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قرآن با قدیم بودن با اصول توحید موافق نیست، از این جهت به فکر اصلاح عقیده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همچنان که أحدی از سلفیها قرآن را مخلوق ندانسته، همچین کسی از آنان آن را قدیم معرّفی نکرده است و نخستین کسی که قرآن را قدیم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الرّسائل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به‌راستی از این گفتار در شگفت می‌ماند زیرا حاصل گفتار او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نمی‌توان او را قدیم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او سؤال 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میان این دو صفت تفاوتی وجود دارد که با یکی می‌توان قرآن را توصیف کرد نه با دیگری؟ چیزی که مخلوق نیست جز قدیم نمی‌تواند باشد، این جاست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بحث، جز بازی با الفاظ چیزی نیست</w:t>
      </w:r>
      <w:r>
        <w:rPr>
          <w:rFonts w:eastAsia="IRNazanin" w:cs="IRNazanin"/>
          <w:color w:val="111111"/>
          <w:sz w:val="28"/>
          <w:szCs w:val="28"/>
          <w:rtl w:val="true"/>
          <w:lang w:bidi="fa-IR"/>
        </w:rPr>
        <w:t>.</w:t>
      </w:r>
      <w:bookmarkStart w:id="199" w:name="pg17029_176653"/>
    </w:p>
    <w:p>
      <w:pPr>
        <w:pStyle w:val="Heading3"/>
        <w:numPr>
          <w:ilvl w:val="2"/>
          <w:numId w:val="1"/>
        </w:numPr>
        <w:rPr/>
      </w:pPr>
      <w:bookmarkStart w:id="200" w:name="__RefHeading___Toc1119688_1738255347"/>
      <w:bookmarkStart w:id="201" w:name="_Toc74"/>
      <w:bookmarkEnd w:id="199"/>
      <w:bookmarkEnd w:id="200"/>
      <w:r>
        <w:rPr>
          <w:rtl w:val="true"/>
        </w:rPr>
        <w:t xml:space="preserve">* </w:t>
      </w:r>
      <w:r>
        <w:rPr>
          <w:rtl w:val="true"/>
        </w:rPr>
        <w:t xml:space="preserve">اصل دوم </w:t>
      </w:r>
      <w:r>
        <w:rPr>
          <w:rtl w:val="true"/>
        </w:rPr>
        <w:t>*</w:t>
      </w:r>
      <w:bookmarkEnd w:id="201"/>
    </w:p>
    <w:p>
      <w:pPr>
        <w:pStyle w:val="Heading4"/>
        <w:numPr>
          <w:ilvl w:val="3"/>
          <w:numId w:val="1"/>
        </w:numPr>
        <w:rPr/>
      </w:pPr>
      <w:bookmarkStart w:id="202" w:name="__RefHeading___Toc1119690_1738255347"/>
      <w:bookmarkStart w:id="203" w:name="_Toc75"/>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عدل</w:t>
      </w:r>
    </w:p>
    <w:p>
      <w:pPr>
        <w:pStyle w:val="BookText"/>
        <w:rPr/>
      </w:pPr>
      <w:r>
        <w:rPr>
          <w:rFonts w:ascii="IRNazanin" w:hAnsi="IRNazanin" w:eastAsia="IRNazanin"/>
          <w:color w:val="111111"/>
          <w:sz w:val="28"/>
          <w:sz w:val="28"/>
          <w:szCs w:val="28"/>
          <w:rtl w:val="true"/>
          <w:lang w:bidi="fa-IR"/>
        </w:rPr>
        <w:t>اصل دوم از اصول پنجگانه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 خدا در تکوین و تشریع پیراسته از ظلم و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اصل مسائل فراوانی مترتب می‌گردد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انسان متعلق اراده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تکلیف بدون قدرت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معاصی بندگان از قلمرو ارادۀ خدا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 نسبت به بندگان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انسان بر عمل، مقدم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 و تقدیر منافی اختیار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اعتقاد به عدل آثار دیگری دارد که میان معتزله و اشاعره محل خلاف نیست و در آینده به آنها اشاره می‌شود</w:t>
      </w:r>
      <w:r>
        <w:rPr>
          <w:rFonts w:eastAsia="IRNazanin" w:cs="IRNazanin"/>
          <w:color w:val="111111"/>
          <w:sz w:val="28"/>
          <w:szCs w:val="28"/>
          <w:rtl w:val="true"/>
          <w:lang w:bidi="fa-IR"/>
        </w:rPr>
        <w:t>.</w:t>
      </w:r>
      <w:bookmarkStart w:id="204" w:name="pg17029_176655"/>
    </w:p>
    <w:p>
      <w:pPr>
        <w:pStyle w:val="BookText"/>
        <w:rPr/>
      </w:pPr>
      <w:bookmarkEnd w:id="204"/>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پیراستگی از ظلم در تکوین و تشریع</w:t>
      </w:r>
    </w:p>
    <w:p>
      <w:pPr>
        <w:pStyle w:val="BookText"/>
        <w:rPr/>
      </w:pPr>
      <w:r>
        <w:rPr>
          <w:rFonts w:ascii="IRNazanin" w:hAnsi="IRNazanin" w:eastAsia="IRNazanin"/>
          <w:color w:val="111111"/>
          <w:sz w:val="28"/>
          <w:sz w:val="28"/>
          <w:szCs w:val="28"/>
          <w:rtl w:val="true"/>
          <w:lang w:bidi="fa-IR"/>
        </w:rPr>
        <w:t xml:space="preserve">اصل دوم از اصول پنجگانۀ معتزله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طایفه‌ای که به چنین اصلی معتقد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 الجبار معتزلی این اصل را چنین تفسیر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گفته شود خداوند عادل است، مقصود این است که افعال او متصف به حسن و خوبی است، و کار قبیح از او صادر نمی‌شود و چیزی که خرد بر لزوم انجام آن حکم کند، ترک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خرد به‌طور قاطعانه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دروغ نمی‌گوید، در حکم ستم نمی‌کند، کودکان مشرکان را به خاطر گناه پدرانشان کیفر نمی‌دهد، معجزه را در دست دروغگو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به بش از دانش و توان خود تکلیف نمی‌نماید و تا آن را بیان نکند و آنان را بر انجام آن توانا نسازد، بار تکلیف بر دوش آنان نمی‌نهد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مطیعان را پاداش می‌دهد و عاصیان را مجازات می‌کند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الأصول الخمسة،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یاد شده به نتایج کلامی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و ما نیز در پایان بحث، یاد آور خواهیم شد</w:t>
      </w:r>
      <w:r>
        <w:rPr>
          <w:rFonts w:eastAsia="IRNazanin" w:cs="IRNazanin"/>
          <w:color w:val="111111"/>
          <w:sz w:val="28"/>
          <w:szCs w:val="28"/>
          <w:rtl w:val="true"/>
          <w:lang w:bidi="fa-IR"/>
        </w:rPr>
        <w:t>.</w:t>
      </w:r>
    </w:p>
    <w:p>
      <w:pPr>
        <w:pStyle w:val="Heading4"/>
        <w:numPr>
          <w:ilvl w:val="3"/>
          <w:numId w:val="1"/>
        </w:numPr>
        <w:rPr/>
      </w:pPr>
      <w:bookmarkStart w:id="205" w:name="__RefHeading___Toc1119692_1738255347"/>
      <w:bookmarkStart w:id="206" w:name="_Toc76"/>
      <w:bookmarkEnd w:id="205"/>
      <w:r>
        <w:rPr>
          <w:rtl w:val="true"/>
        </w:rPr>
        <w:t>سه مقدمه برای اثبات عدل الهی</w:t>
      </w:r>
      <w:bookmarkEnd w:id="206"/>
    </w:p>
    <w:p>
      <w:pPr>
        <w:pStyle w:val="Heading5"/>
        <w:numPr>
          <w:ilvl w:val="4"/>
          <w:numId w:val="1"/>
        </w:numPr>
        <w:rPr/>
      </w:pPr>
      <w:bookmarkStart w:id="207" w:name="__RefHeading___Toc1119694_1738255347"/>
      <w:bookmarkStart w:id="208" w:name="_Toc77"/>
      <w:bookmarkEnd w:id="207"/>
      <w:r>
        <w:rPr>
          <w:rtl w:val="true"/>
        </w:rPr>
        <w:t>اشاره</w:t>
      </w:r>
      <w:bookmarkEnd w:id="20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عدل الهی در گرو ثبوت سه مقدمه است که عدل او را مبرهن می‌سازد و این سه مقدمه عبارتند از</w:t>
      </w:r>
      <w:r>
        <w:rPr>
          <w:rFonts w:eastAsia="IRNazanin" w:cs="IRNazanin"/>
          <w:color w:val="111111"/>
          <w:sz w:val="28"/>
          <w:szCs w:val="28"/>
          <w:rtl w:val="true"/>
          <w:lang w:bidi="fa-IR"/>
        </w:rPr>
        <w:t>:</w:t>
      </w:r>
      <w:bookmarkStart w:id="209" w:name="pg17029_176656"/>
    </w:p>
    <w:p>
      <w:pPr>
        <w:pStyle w:val="BookText"/>
        <w:rPr/>
      </w:pPr>
      <w:bookmarkEnd w:id="20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و خرد دربارۀ برخی از کارها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وقتی خرد به خودکار می‌نگرد و از فاعل آن صرف‌نظر می‌کند، به‌طور جدی آن را خوب یا بد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صفات افعال خود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می‌باشد و می‌داند که نیکی در مقابل نیکی خوب، و بدی در برابر نیکی، 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قبیح و زشت از خدا سر نمی‌زند</w:t>
      </w:r>
      <w:r>
        <w:rPr>
          <w:rFonts w:eastAsia="IRNazanin" w:cs="IRNazanin"/>
          <w:color w:val="111111"/>
          <w:sz w:val="28"/>
          <w:szCs w:val="28"/>
          <w:rtl w:val="true"/>
          <w:lang w:bidi="fa-IR"/>
        </w:rPr>
        <w:t>.</w:t>
      </w:r>
    </w:p>
    <w:p>
      <w:pPr>
        <w:pStyle w:val="Heading5"/>
        <w:numPr>
          <w:ilvl w:val="4"/>
          <w:numId w:val="1"/>
        </w:numPr>
        <w:rPr/>
      </w:pPr>
      <w:bookmarkStart w:id="210" w:name="__RefHeading___Toc1119696_1738255347"/>
      <w:bookmarkStart w:id="211" w:name="_Toc78"/>
      <w:bookmarkEnd w:id="210"/>
      <w:r>
        <w:rPr>
          <w:rtl w:val="true"/>
        </w:rPr>
        <w:t xml:space="preserve">الف </w:t>
      </w:r>
      <w:r>
        <w:rPr>
          <w:rtl w:val="true"/>
        </w:rPr>
        <w:t xml:space="preserve">- </w:t>
      </w:r>
      <w:r>
        <w:rPr>
          <w:rtl w:val="true"/>
        </w:rPr>
        <w:t>خرد و درک حسن و قبح افعال</w:t>
      </w:r>
      <w:r>
        <w:rPr>
          <w:rtl w:val="true"/>
        </w:rPr>
        <w:t>:</w:t>
      </w:r>
      <w:bookmarkEnd w:id="211"/>
    </w:p>
    <w:p>
      <w:pPr>
        <w:pStyle w:val="Heading6"/>
        <w:numPr>
          <w:ilvl w:val="5"/>
          <w:numId w:val="1"/>
        </w:numPr>
        <w:rPr/>
      </w:pPr>
      <w:bookmarkStart w:id="212" w:name="__RefHeading___Toc1119698_1738255347"/>
      <w:bookmarkStart w:id="213" w:name="_Toc79"/>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هر خردمندی در پرتو نور خرد می‌تواند نیکوکار را از بدکار باز شناسد آنچه که این دو را از هم جدا می‌کند، دو نوع، کار گوناگون آنهاست و اگر کارهای هر دو یکنواخت بود و یا خرد توانا به درک اختلاف آنها نبود، این جدا سازی امکان‌پذیر نبود</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 الجبار همدانی، المغنی،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تعییر نخست را از ابو عبد الله بصری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 الجبار دربارۀ این مقدمه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زشتی کارها مانند خوبی راستگویی و زشتی دروغ از بدیهیات است</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می‌توانید این برهان را به صورتی روشن تر از این بیان کنید و آن اینکه، در حکمت نظری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حل قضایای مجهول و نظری، همان قضایای بدیهیۀ اولیه است و کار خرد این است که قضایای نخست را به قضایای بدیهی منتهی سازد و از این طریق بر حل آنها فایق آید و اگر در حکمت نظری قضایای بدیهی وجود نداشت، هیچ مجهولی قابل حل نبود و هر نوع معرفت در وادی سرد رگم دور و تسلسل، دچار وقفه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دربارۀ حکمت نظری است و آن را با یک مثال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هندسه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زاویۀ مثلث به دو زاویۀ قائمه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اینکه این قضیه دارای برهان خاصی است که ما فعلا متذکر آن نمی‌شویم، اگر مساوات یاد شده را پذیرفتیم، دیگر نمی‌توانیم عدم مساوات آن را بپذیریم، زیرا عقل بالبداهة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نقیضین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مدعایی با روشن‌ترین گواه ثابت گردد، در صورتی مفید علم و تعیین می‌شود که قبلا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اجتماع نقیضین و ارتفاع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این قضیه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از زمین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بیش ندارد، یا بزرگتر است و یا بزرگتر نیست و هر یک از دو طرف قضیه را ثابت کنیم، باید قبلا اصلی را بپذیریم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یک‌طرف قضیه ثابت شد، نمی‌تواند طرف دیگر آن صحیح باشد زیرا اجتماع نقیضین بالبداهة محال است، تنها این نوع از قضایا نیست که به چنین اصلی وابسته است، حتی قضایای بدیهی درجۀ دوم نیز، بدون تسلیم آن امکان صدق و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این اصل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زیرا اساس و زیر بنای تصدیق تمام قضایای نظری است که نقش عقل در آنها همان نقش خبر دادن و گزارش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فلاسفه، این مسأله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قضایای نظری باید به قضایای بدیهی منتهی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نظری پذیرفته‌اند، اما آن را در قضایای حکمت عملی متذکر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عملی چیست؟ حکمت عملی در مقابل حکمت نظری است، مطلوب در دومی درک یک‌رشته قضایای مربوط به جهان وجود و هستی است که ارتباطی به عمل انسان و غیره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خرد در آن نقش درک و اخبار و گزارش است مثلا می‌گوید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هر ذره را که بشکافی آفتابیش در میان بینی</w:t>
      </w:r>
      <w:bookmarkStart w:id="214" w:name="pg17029_176658"/>
    </w:p>
    <w:p>
      <w:pPr>
        <w:pStyle w:val="BookText"/>
        <w:rPr/>
      </w:pPr>
      <w:bookmarkEnd w:id="214"/>
      <w:r>
        <w:rPr>
          <w:rFonts w:ascii="IRNazanin" w:hAnsi="IRNazanin" w:eastAsia="IRNazanin"/>
          <w:color w:val="111111"/>
          <w:sz w:val="28"/>
          <w:sz w:val="28"/>
          <w:szCs w:val="28"/>
          <w:rtl w:val="true"/>
          <w:lang w:bidi="fa-IR"/>
        </w:rPr>
        <w:t>در مقابل آن حکمت عملی است که مطلوب در آن عمل و به کار بستن است و نقش خرد در آن، نقش حکم داوری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خوب است و باید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دروغگویی زشت است و باید از آن پرهیز کرد و همچنین است دیگر قضایای عملی که در علم اخلاق و تنظیم امور و حقوق خانواده و سیاست و کشورداری مطرح است و همگی جزء حکمت عملی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حل و تحصیل تصدیق در قضایای نظری در گرو یک‌رشته قضایای بدیهی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همچنین است تحصیل تصدیق در قضایای حکمت عملی، مثلا تصدیق اینکه کاری را باید انجام داد و یا نباید انجام داد، در گرو یک‌رشته قضایای بدیهی است که از نظر حکم و داوری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معیار و خود روشن باشد، یعنی خرد بالبداهة دربارۀ آنها به لزوم و عدم لزوم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پرتو این قضایای روشن حکم دیگر قضایای مبهم و غیر واضح حکمت عملی، واضح و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اخلاق می‌گوییم پیمان‌شکنی بد است، راستگویی خوب است چرا؟ زیرا اولی از شاخۀ ظلم و دومی از شاخۀ عدل است و زشتی ظلم و خوبی عدل، یک قضیۀ واضح و روشن است که عقل بالبداهة بدان حکم می‌کند و اگر بدیهی ترین قضایا در حکمت نظری قضیۀ امتناع اجتماع و ارتفاع نقیضین است، بدیهی ترین حکمت عملی، خوبی و بدی داد و ستم است که خرد در درک این دو صفت برای این دو فعل، به چیزی جز ملاحظۀ ذات فعل نیاز ندارد و خواه فاعل آن انسان باشد یا غیر انسان، زیرا ملاک قضاوت، همان خود فعل است نه فعل به ضمیمۀ فاعل</w:t>
      </w:r>
      <w:r>
        <w:rPr>
          <w:rFonts w:eastAsia="IRNazanin" w:cs="IRNazanin"/>
          <w:color w:val="111111"/>
          <w:sz w:val="28"/>
          <w:szCs w:val="28"/>
          <w:rtl w:val="true"/>
          <w:lang w:bidi="fa-IR"/>
        </w:rPr>
        <w:t>.</w:t>
      </w:r>
    </w:p>
    <w:p>
      <w:pPr>
        <w:pStyle w:val="Heading6"/>
        <w:numPr>
          <w:ilvl w:val="5"/>
          <w:numId w:val="1"/>
        </w:numPr>
        <w:rPr/>
      </w:pPr>
      <w:bookmarkStart w:id="215" w:name="__RefHeading___Toc1119700_1738255347"/>
      <w:bookmarkStart w:id="216" w:name="_Toc80"/>
      <w:bookmarkEnd w:id="215"/>
      <w:r>
        <w:rPr>
          <w:rtl w:val="true"/>
        </w:rPr>
        <w:t>ملاک صدق و کذب در قضایای حکمت عملی</w:t>
      </w:r>
      <w:bookmarkEnd w:id="21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سخن دیگری هست و آن اینکه ملاک اینکه عقل در این داوری مستقل</w:t>
      </w:r>
    </w:p>
    <w:p>
      <w:pPr>
        <w:pStyle w:val="BookText"/>
        <w:rPr/>
      </w:pPr>
      <w:r>
        <w:rPr>
          <w:rFonts w:ascii="IRNazanin" w:hAnsi="IRNazanin" w:eastAsia="IRNazanin"/>
          <w:color w:val="111111"/>
          <w:sz w:val="28"/>
          <w:sz w:val="28"/>
          <w:szCs w:val="28"/>
          <w:rtl w:val="true"/>
          <w:lang w:bidi="fa-IR"/>
        </w:rPr>
        <w:t xml:space="preserve">می‌گردد و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می‌ایستد، چیست؟ و چرا به‌طور قاطع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 خوب و بیدادگری زشت است؟ پشتوانۀ این قضاوت و داوری چیست؟</w:t>
      </w:r>
    </w:p>
    <w:p>
      <w:pPr>
        <w:pStyle w:val="BookText"/>
        <w:rPr/>
      </w:pPr>
      <w:r>
        <w:rPr>
          <w:rFonts w:ascii="IRNazanin" w:hAnsi="IRNazanin" w:eastAsia="IRNazanin"/>
          <w:color w:val="111111"/>
          <w:sz w:val="28"/>
          <w:sz w:val="28"/>
          <w:szCs w:val="28"/>
          <w:rtl w:val="true"/>
          <w:lang w:bidi="fa-IR"/>
        </w:rPr>
        <w:t>علت اینکه این سؤال فقط در قضایای حکمت عملی مطرح است، این است که ملاک صدق در حکمت نظری آنهم در قضایای بدیهی آن، انطباق با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بالبداهه لمس می‌کند که دو نقیض قابل جمع و قابل رفع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خود خارج، به‌نوعی پشتوانۀ ادراک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حکمت عملی چنین ملاکی وجود ندارد و نقش خرد در آنها فقط داوری و قضاوت است نه حکایت و گزارش از خارج، اینجاست که این سؤال مطرح می‌شود که ملاک داوری خرد در این نوع از قضایا چیست؟ و چرا خرد چنین حکم می‌کند؟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متکلمان راههای گوناگونی پیموده و هر کدام برای این داوری پشتوانۀ خاصی را معرفی کرده‌اند، ولی حق این است که پشتوانۀ این داوری ملائمت و تطابق قضایا با جنبۀ روحانی و ملکوتی انسان و عدم ملائمت و تطابق با آن است، برای روشن شدن این ملاک، یادآور می‌شویم که آفرینش انسان دارای دو نوع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و ملکوتی، یا حیوانی و انسانی،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ملکی و یا روح حیوانی و مادی، خود خواه و سود 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حسن و قبح برای او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او مطرح است، خودآرایی و خود خواهی و سود طلبی و لذت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همین انسان، در بعد ملکوتی و معنوی، دارای ویژگی خاصی است که جنبۀ ملکی و حیوانی او را تعدیل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بعد، یک رشته کارها را با فطرت آفرینش خود ملائم تشخیص داده آنها را نیکو تلقی ، می‌کند، در حالی که یک‌رشته کارها را ناملائم با فطرت و زشت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پشتوانۀ داوری عقل در مسائل حکمت عملی، تطابق ادراک و عدم تطابق آن با فطرت و آفرینش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در تمام نقاط جهان، خود را از هر فکر و اندیشه ای تخلیه کند و تنها به متن قضیه بنگرد، می‌تواند بدون استمداد از هر</w:t>
      </w:r>
    </w:p>
    <w:p>
      <w:pPr>
        <w:pStyle w:val="BookText"/>
        <w:rPr/>
      </w:pPr>
      <w:r>
        <w:rPr>
          <w:rFonts w:ascii="IRNazanin" w:hAnsi="IRNazanin" w:eastAsia="IRNazanin"/>
          <w:color w:val="111111"/>
          <w:sz w:val="28"/>
          <w:sz w:val="28"/>
          <w:szCs w:val="28"/>
          <w:rtl w:val="true"/>
          <w:lang w:bidi="fa-IR"/>
        </w:rPr>
        <w:t>اندیشۀ دیرینه، دربارۀ ظلم و عدل داوری کند و این خود نشانۀ این است که برای خرد دربارۀ بخشی از افعال، یارای داوری است و آنها را به دو گونه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می‌توان مقدمۀ نخست را که یکی از پایه‌های اثبات عدل الهی است، ثابت کرد و فرد حقیقت‌جو با توجه به این بیان، از دیگر دلایل قائلان به حسن و قبح، بی‌نیاز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بسیاری از دلایل، ضعیف و ناتوان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عبد الجبار در اثبات این اصل،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انسانی میان راستگویی و دروغگویی مخیر باشد و هیچ کدام از این دو مایۀ سود او نباشد، او راستگویی را بر دروغگویی بر می‌گزیند، مثلا به انسانی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برای ما بگو خواه راست و خواه دروغ، در هر صورت درهمی از ما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داشتن هر دو نوع داستان، صدق را بر کذب بر می‌گزیند و این به خاطر آن است که می‌داند راستگویی خوب و دروغگویی بد است و چون خود را از نظر منافع مادی بی‌نیاز از دروغگویی می‌داند، از آن اجتناب می‌ورزد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الجبار، شرح الأصول الخمسة،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نارسایی این بیان روشن است، زیرا چه‌بسا ممکن است علت گزینش، زیبایی راستگویی نباشد بلکه فطری بودن راستگویی و خلاف فطرت بودن دروغگویی باشد و به جهت همین کودک به جز راستگویی، چیزی را بر نمی‌گزیند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این است که راستگویی جوانۀ فطرت است نه از این جهت که کودک، حسن راستگویی و بدی دروغ گفتن را درک می‌کند، از این جهت اولی را بر دومی مقدم می‌دارد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نخستین پایه از پایه‌های سه گانۀ اثبات عدل،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تبیین پایه دوم می‌پردازیم</w:t>
      </w:r>
      <w:r>
        <w:rPr>
          <w:rFonts w:eastAsia="IRNazanin" w:cs="IRNazanin"/>
          <w:color w:val="111111"/>
          <w:sz w:val="28"/>
          <w:szCs w:val="28"/>
          <w:rtl w:val="true"/>
          <w:lang w:bidi="fa-IR"/>
        </w:rPr>
        <w:t>:</w:t>
      </w:r>
      <w:bookmarkStart w:id="217" w:name="pg17029_176661"/>
    </w:p>
    <w:p>
      <w:pPr>
        <w:pStyle w:val="Heading5"/>
        <w:numPr>
          <w:ilvl w:val="4"/>
          <w:numId w:val="1"/>
        </w:numPr>
        <w:rPr/>
      </w:pPr>
      <w:bookmarkStart w:id="218" w:name="__RefHeading___Toc1119702_1738255347"/>
      <w:bookmarkStart w:id="219" w:name="_Toc81"/>
      <w:bookmarkEnd w:id="217"/>
      <w:bookmarkEnd w:id="218"/>
      <w:r>
        <w:rPr>
          <w:rtl w:val="true"/>
        </w:rPr>
        <w:t xml:space="preserve">ب </w:t>
      </w:r>
      <w:r>
        <w:rPr>
          <w:rtl w:val="true"/>
        </w:rPr>
        <w:t xml:space="preserve">- </w:t>
      </w:r>
      <w:r>
        <w:rPr>
          <w:rtl w:val="true"/>
        </w:rPr>
        <w:t>خدا از صفات افعال، آگاه است</w:t>
      </w:r>
      <w:bookmarkEnd w:id="219"/>
    </w:p>
    <w:p>
      <w:pPr>
        <w:pStyle w:val="BookText"/>
        <w:rPr/>
      </w:pPr>
      <w:r>
        <w:rPr>
          <w:rFonts w:ascii="IRNazanin" w:hAnsi="IRNazanin" w:eastAsia="IRNazanin"/>
          <w:color w:val="111111"/>
          <w:sz w:val="28"/>
          <w:sz w:val="28"/>
          <w:szCs w:val="28"/>
          <w:rtl w:val="true"/>
          <w:lang w:bidi="fa-IR"/>
        </w:rPr>
        <w:t>دومین پایه از پایه‌های اثبات عدل الهی این است که ثابت شود خدا از حسن و قبح هر فعلی آگاه است، خواه این فعل، فعل او باشد یا فعل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برای اثبات این پایه، برهان مجمل و نامفهومی دارند که از ذکر آن خود داری می‌شود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 الجبار، شرح الأصول الخمسة</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ترین گواه بر اثبات این مقدمه این است که ادراک عقل دربارۀ حسن و قبح، یک ادراک مطلق است و آن اینکه، نیکی در مقابل نیکی مطلقا خوب، و بدی در مقابل نیکی، مطلقا بد است و این دو فعل در تمام شرایط از هر فاعلی سر بزند، منفک از این دو صفت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عقل انسانی که آفریدۀ خداست یک چنین علم و آگاهی دارد، طبعا خالق او؟؟؟ علم و آگاهی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ممکنی دارای کمالی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واجب که آفرینندۀ اوست فاقد آن کمال باشد و لذا محققان می‌گویند هر کمالی که در جهان امکان، تجلی کند، صورت کاملتر آن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یَعْلَمُ مَنْ خَلَقَ وَ هُوَ اللَّطِیفُ الْخَبِیرُ </w:t>
      </w:r>
      <w:r>
        <w:rPr>
          <w:rStyle w:val="FootnoteAnchor"/>
          <w:rtl w:val="true"/>
        </w:rPr>
        <w:footnoteReference w:id="114"/>
      </w:r>
      <w:r>
        <w:rPr>
          <w:rFonts w:ascii="IRNazanin" w:hAnsi="IRNazanin" w:eastAsia="IRNazanin"/>
          <w:color w:val="111111"/>
          <w:sz w:val="28"/>
          <w:sz w:val="28"/>
          <w:szCs w:val="28"/>
          <w:rtl w:val="true"/>
          <w:lang w:bidi="fa-IR"/>
        </w:rPr>
        <w:t>ناظر به این بیان باشد</w:t>
      </w:r>
      <w:r>
        <w:rPr>
          <w:rFonts w:eastAsia="IRNazanin" w:cs="IRNazanin"/>
          <w:color w:val="111111"/>
          <w:sz w:val="28"/>
          <w:szCs w:val="28"/>
          <w:rtl w:val="true"/>
          <w:lang w:bidi="fa-IR"/>
        </w:rPr>
        <w:t>.</w:t>
      </w:r>
    </w:p>
    <w:p>
      <w:pPr>
        <w:pStyle w:val="Heading5"/>
        <w:numPr>
          <w:ilvl w:val="4"/>
          <w:numId w:val="1"/>
        </w:numPr>
        <w:rPr/>
      </w:pPr>
      <w:bookmarkStart w:id="220" w:name="__RefHeading___Toc1119704_1738255347"/>
      <w:bookmarkStart w:id="221" w:name="_Toc82"/>
      <w:bookmarkEnd w:id="220"/>
      <w:r>
        <w:rPr>
          <w:rtl w:val="true"/>
        </w:rPr>
        <w:t xml:space="preserve">ج </w:t>
      </w:r>
      <w:r>
        <w:rPr>
          <w:rtl w:val="true"/>
        </w:rPr>
        <w:t xml:space="preserve">- </w:t>
      </w:r>
      <w:r>
        <w:rPr>
          <w:rtl w:val="true"/>
        </w:rPr>
        <w:t>از خدا فعل قبیح سر نمی‌زند</w:t>
      </w:r>
      <w:bookmarkEnd w:id="22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در اثبات این مقدمه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کار قبیح و زشت انجام می‌دهد که از واقعیت آن یا آگاه نیست یا منافع او در گرو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از هر دو انگیزه، منزه و پیراسته است، جهت ندارد که آن را برگزیند و به دیگر سخن، مبادی گزینش قبیح در خدا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می‌توان این مقدمه را از طریق دیگری نیز ثابت کرد و آن اینکه فرض این است که عقل، یک قضیۀ کلی و مطلق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درک می‌کند که این فعل در تمام شرایط و از هر فاعلی سر بزند، قبیح و زشت و در نتیجه مستحق ذم و ملامت است و این قضیه، به همین صورت در پیشگاه خدا نیز حاضر است، یعنی او نیز حکم می‌کند که ارتکاب این عمل، قبیح و مرتکب آن مستحق توبیخ و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خدا با چنین علم و داوری، کار قبیحی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مقدمات سه‌گانه، عدل الهی خود به خود ثابت می‌شود، و خرد داوری می‌کند که خدا عادل است و هرگز از او کاری بر خلاف عدل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به خاطر آن است که عقل، بر افعال خدا حاکمیت داشته و مجال را برای او ضیق و تنگ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عقل در پرتو یک‌رشته آگاهیهای مقدماتی به چنین نتیجه می‌رسد همین طوری که در پرتو یک‌رشته آگاهیها دربارۀ مثلث به نتیجۀ خاصی نایل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ادراک خرد در مسائل حکمت نظری، إخبار و گزارش است و در حکمت عملی، حکم و داوری است، ولی داوری او بی‌ملاک نبوده بلکه با توجّه به یک‌رشته اصول داوری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چنین جمع‌بندی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کارها طبعا بد و ناپسند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نیز از بدی آنها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دهندۀ کارهای بد، شایستۀ ملامت و سرزنش نزد خدا و خلق او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سه مطلب، چگونه خدا بر کار قبیح اقدام می‌کند؟ اینجاست که مسألۀ عدل یکی از اصول معتزله قرار گرفته و ثمراتی بر آن مترتب می‌گردد و هر یک شایستۀ بحث و گفتگوست و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انسان، مخلوق خود اوست 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انسان بدون آگاهی و توانایی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معاصی بندگان متعلّق ارادۀ خدا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الهی بر بندگان فرض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انسان بر انجام عمل، متقدم بر انجام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سلب کنندۀ اختیار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هریک از این اصول را جداگانه مورد بحث و بررسی قرار می‌دهیم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مسائلی که از اصل حسن و قبح استنتاج می‌شود متجاوز از این مسائل است و در جلد دوم این فرهنگ تفصیل 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مراجعه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رؤوس برخی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صادق و راستگوست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معجزه به دست مدعیان دروغگوی نبوت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به خاطر گناه پدران و مادران کیفر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مقام داد رسی ستم نمی‌کند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چون همه و یا اکثر این مسائل روشن و قطعی است، فقط به تحلیل شش گانۀ مذکور در متن اکتفا می‌کنیم</w:t>
      </w:r>
      <w:r>
        <w:rPr>
          <w:rFonts w:eastAsia="IRNazanin" w:cs="IRNazanin"/>
          <w:color w:val="111111"/>
          <w:sz w:val="28"/>
          <w:szCs w:val="28"/>
          <w:rtl w:val="true"/>
          <w:lang w:bidi="fa-IR"/>
        </w:rPr>
        <w:t>.</w:t>
      </w:r>
      <w:bookmarkStart w:id="222" w:name="pg17029_176664"/>
    </w:p>
    <w:p>
      <w:pPr>
        <w:pStyle w:val="Heading4"/>
        <w:numPr>
          <w:ilvl w:val="3"/>
          <w:numId w:val="1"/>
        </w:numPr>
        <w:rPr/>
      </w:pPr>
      <w:bookmarkStart w:id="223" w:name="__RefHeading___Toc1119706_1738255347"/>
      <w:bookmarkStart w:id="224" w:name="_Toc83"/>
      <w:bookmarkEnd w:id="222"/>
      <w:bookmarkEnd w:id="223"/>
      <w:r>
        <w:rPr>
          <w:rtl w:val="true"/>
        </w:rPr>
        <w:t>ثمرات اصلی دوم</w:t>
      </w:r>
      <w:r>
        <w:rPr>
          <w:rtl w:val="true"/>
        </w:rPr>
        <w:t xml:space="preserve">: </w:t>
      </w:r>
      <w:r>
        <w:rPr>
          <w:rtl w:val="true"/>
        </w:rPr>
        <w:t>عدل</w:t>
      </w:r>
      <w:bookmarkEnd w:id="224"/>
    </w:p>
    <w:p>
      <w:pPr>
        <w:pStyle w:val="Heading5"/>
        <w:numPr>
          <w:ilvl w:val="4"/>
          <w:numId w:val="1"/>
        </w:numPr>
        <w:rPr/>
      </w:pPr>
      <w:bookmarkStart w:id="225" w:name="__RefHeading___Toc1119708_1738255347"/>
      <w:bookmarkStart w:id="226" w:name="_Toc84"/>
      <w:bookmarkEnd w:id="225"/>
      <w:r>
        <w:rPr>
          <w:rtl w:val="true"/>
        </w:rPr>
        <w:t>اشاره</w:t>
      </w:r>
      <w:bookmarkEnd w:id="226"/>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فعل انسان مخلوق خدا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یکی از اصول پنجگانۀ معتزله است که بیشتر به وسیلۀ این اصل، از دیگر فرق اسلامی تمایز پیدا می‌کنند و آن پایۀ یک‌رشته مسائل کلامی است که فهرست آن را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تشریح مواضع معتزله در این مسائل، لازم است به گونه‌ای فشرده مطرح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مسأله‌ای که از آثار نتایج قول به عدل است، تبیین کیفیت نسبت افعال بندگان به خداست و این مسأله، یکی از دامنه‌دارترین و پرآوازه ترین مسائل کلامی است که در کتابهای کلامی مطرح می‌باشد و برای اینکه از پراکنده گویی بپرهیزیم، سخنان خود را تحت نظام خاصی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اشاعره مسألۀ توحید در خالقیت را و اینکه آفریدگاری جز خدا نیست، دستاویز قرار داده و تمام افعال بندگان را مخلوق بلا واسطۀ خدا می‌دانند، و تصور می‌کنند که اگر به آفریدگاری غیر خدا و لو به صورت ظلّی و إذنی قائل شوند، اصل یاد شده مخدوش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رسای قرآن دربارۀ توحید در خالقیت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خالِقٍ غَیْرُ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سورۀ انعام،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تعبیر مؤید گفتار اشاعره نیست زیرا مقصود از خالقیت منحصر به خدا، همان خالقیت شایستۀ مقام ربوبی است و آن اثرگذاری است که در تأثیر، به جایی استناد نجوید و از مقامی مأذون نباشد و ناگفته پیداست چنین آفریدگاری، به حکم توحید واجب الوجود، از آن خداست، ولی این مانع از آن نخواهد بود که غیر خدا نیز در عین مخلوق بودن، در جهان آفرینش اثر بگذارند، در حالی که خود و اثرش به گونه‌ای قائم به خدا باشد و ما دربارۀ نقد عقیدۀ اشاعره دربارۀ افعال بندگان در گذشته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تکرار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مقابل این عقیدۀ افراطی، گروهی پیدا شدند که از نظر فکری، نقطه مقابل عقیدۀ پیشین قرار گرفتند و مسألۀ تقویض و وانهادگی را مطرح کردند و این گروه در تاریخ علم کلام و روایات ائمه اهل‌بیت،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فکر کردند که راه نجات از جبر و دیگر توالی فاسدۀ عقیدۀ پیشین، جز این نیست که بگویند خدا انسان را آفرید و افعال او را به خود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در آفرینش انسان نقش دارد، نه در افعال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الرئیس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عقیدۀ این گروه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آنگاه که خدا انسان را آفرید، نیاز او به خدا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فاعل از سیان برود، معلول او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بنّا فوت کند، آسیبی به بنا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این افراد، ابایی ندارند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بر خدا تجویز شود ضرری به جهان هستی وارد نمی‌شود، زیرا جهان در اصل وجود به آن نیاز داشت، نه در بقا</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 الدین، شرح اشارات، </w:t>
      </w:r>
      <w:r>
        <w:rPr>
          <w:rFonts w:eastAsia="IRNazanin" w:cs="IRNazanin"/>
          <w:color w:val="111111"/>
          <w:sz w:val="28"/>
          <w:szCs w:val="28"/>
          <w:lang w:bidi="fa-IR"/>
        </w:rPr>
        <w:t>68/3</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به تفویض که از نتایج عقیدۀ پیشین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در وجود نیاز به فاعل دارد، نه 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پیشوایان معصوم وجود داشته، حتی در برخی از روایات آمده است، یکی از خلفای بنی مروان از شام نامه‌ای به فرماندار مدینه</w:t>
      </w:r>
    </w:p>
    <w:p>
      <w:pPr>
        <w:pStyle w:val="BookText"/>
        <w:rPr/>
      </w:pPr>
      <w:r>
        <w:rPr>
          <w:rFonts w:ascii="IRNazanin" w:hAnsi="IRNazanin" w:eastAsia="IRNazanin"/>
          <w:color w:val="111111"/>
          <w:sz w:val="28"/>
          <w:sz w:val="28"/>
          <w:szCs w:val="28"/>
          <w:rtl w:val="true"/>
          <w:lang w:bidi="fa-IR"/>
        </w:rPr>
        <w:t xml:space="preserve">نوشت و از او خواست که امام باقر را با کمال احترام به شام بفرستد،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عذر خواست و فرزند گرامیش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خود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به شام رسید، مقام خلافت یادآوری کرد که این مرد قدری در بحث همه را عاجز و ناتوان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مجلس مناظره ترتیب یافت آن مرد قدری به 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بپرس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حمد را تلاوت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آیۀ إِیّاکَ نَعْبُدُ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نَسْتَعِینُ رسید،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از چه کسی کمک می‌خواهی؟ چه نیازی به کمک او داری؟ در حالی که کارها به تو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قدری در برابر پرسش امام فرو ماند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عجلان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امور را به بندگان واگذار کرده است؟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از آن است که کارهای بندگان را به خود آنها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 بر کارهای خود مجبور ساخته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گرامی‌تر از آن است که بنده را بر کاری مجبور سازد، آنگاه او را بر آن کیفر 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احادیث و نظایر آنها استفاده می‌شود که اندیشۀ تفویض و وانهادگی انسان دربارۀ افعال خویش در اواخر قرن اول اسلامی در میان مسلمین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پاسداران وحی پیوسته با آنان و گروه مقابل، به مناظره پرداخته و هر دو گروه افراطی و تفریطی را محکوم می‌کردند و نجات را در پیمودن راه سوم می‌دانستند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 بل 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نجات این نیست که هر نوع اختیار و انتخاب را از خود سلب کنیم و برای خود هیچ مسئولیتی دربارۀ کارها قائل نباشیم، همچنین راه نجات این نیست که خود را در انجام کارها مستقل بیندیشیم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گونه‌ای زنده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راه نجات در پیمودن راه باریک</w:t>
      </w:r>
    </w:p>
    <w:p>
      <w:pPr>
        <w:pStyle w:val="BookText"/>
        <w:rPr/>
      </w:pPr>
      <w:r>
        <w:rPr>
          <w:rFonts w:ascii="IRNazanin" w:hAnsi="IRNazanin" w:eastAsia="IRNazanin"/>
          <w:color w:val="111111"/>
          <w:sz w:val="28"/>
          <w:sz w:val="28"/>
          <w:szCs w:val="28"/>
          <w:rtl w:val="true"/>
          <w:lang w:bidi="fa-IR"/>
        </w:rPr>
        <w:t xml:space="preserve">میان جبر و تفویض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عین حفظ اختیار انسان، شباط او را با خدا حفظ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اعتراف به وجود چنین گروهی در عصر حضرت باقر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جای دیگر است و آن اینکه آیا معتزله نیز جزء مفوضه بودند و مانند قدریۀ عصر امام قر انسان را فاعل مستقل و بی‌نیاز از خدا در انجام اعمال خود می‌اندیشیدند یا نقطۀ فشار در نظریۀ آنان، رد نظریۀ جبر و نقد اندیشۀ فاعل مباشری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جبر را نمی‌پذیرفتند و افعال انسان را مخلوق بلا واسطۀ خدا نمی‌دانستند، نه اینکه هر نوع رابطه‌ای را سیان خدا و افعال انسان انکار می‌کردند و پرچم استقلال و بی‌نیازی انسان را از خدا در انجام کار، بر می‌افراشتند؟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کتابهای ملل و نحل کلامی، گروه معتزله به چنین عقیده‌ای متهم گشته اند حتی برخی گفتار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ناظر به این گروه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توصیف‌ها دربارۀ معتزله از این کتابها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کفر و گناه و هیچ‌یک از افعال بندگان را نیافریده است، خداوند کافر را از روز نخست کافر نیافریده، بلکه بعدها کفر ورزیده است و همچنین است مؤمن</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الحسن اشعری ی، مقالات الإسلامیین،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منصور 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کسب افعال خود در قادر و توانا بوده و خدای عزّوجل در قلمرو کارهای آنان و دیگر جانداران کوچک، صنع و نقشی ندارد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و مانند آنها در کتابهای کلامی زیاد به چشم می‌خورد و عبارت</w:t>
      </w:r>
    </w:p>
    <w:p>
      <w:pPr>
        <w:pStyle w:val="BookText"/>
        <w:rPr/>
      </w:pPr>
      <w:r>
        <w:rPr>
          <w:rFonts w:ascii="IRNazanin" w:hAnsi="IRNazanin" w:eastAsia="IRNazanin"/>
          <w:color w:val="111111"/>
          <w:sz w:val="28"/>
          <w:sz w:val="28"/>
          <w:szCs w:val="28"/>
          <w:rtl w:val="true"/>
          <w:lang w:bidi="fa-IR"/>
        </w:rPr>
        <w:t>نخست، گواه بر استقلال انسان در افعال خود نیست بلکه ناظر بر این است که فعل بشر مخلوق بلا واسطۀ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عبارت دوم می‌تواند گواه بر نظریۀ تفویض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به کتابهای موجود از معتزله مراجعه می‌کنیم، اثری از عقیدۀ تفویض به صورت روشن به چشم نمی‌خورد، ما در اینجا به ترجمۀ گفتار قاضی عبد الجبار بسنده می‌کنیم و تحقیق در دیگر موارد را به وقت دیگر موکول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عدلیه بر این نظریه اتفاق دارند که افعال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تصرف در طبیعت گرفته تا نشستن و برخاستن و کارهای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آنان سرچشمه می‌گیرد 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انجام این کارها توانا ساخته است و برای آنان، انجام دهنده و پدید آورنده ای جز آنها نیست و هر کس بگوید خدای سبحان خالق و پدیدآورندۀ آنهاست، خطای بزرگی را مرتکب شده است و انجام فعلی را به دو فاعل وابسته دانسته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 الجبار، المغنی،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بر پدید آوردن و ایجاد کردن کارهای خود توانا هستند و محال است یک چیز از دو فاعل اثر پذیر باشد، تعلق فعل به دو فاعل، خواه هر دو حادث و یا یکی قدیم و دیگری حادث باشد، محال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جمله‌ها و نظایر آنها در نوشته‌های قاضی عبد الجبار و دیگران فراوان است؛ ولی آیا هدف از اینها مسألۀ تفویض و وانهادگی است و اینکه بندگان در افعال و کارهای خود کاملا استقلال دارند و یا هدف از این جمله‌ها رد نظریۀ اهل حدیث و اشاعره است که خدا را فاعل مستقیم افعال بندگان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یک فعل نمی‌تواند دو فاعل در عرض هم داشته باشد، ولی دو فاعل در طول هم مورد انکار</w:t>
      </w:r>
    </w:p>
    <w:p>
      <w:pPr>
        <w:pStyle w:val="BookText"/>
        <w:rPr/>
      </w:pPr>
      <w:r>
        <w:rPr>
          <w:rFonts w:ascii="IRNazanin" w:hAnsi="IRNazanin" w:eastAsia="IRNazanin"/>
          <w:color w:val="111111"/>
          <w:sz w:val="28"/>
          <w:sz w:val="28"/>
          <w:szCs w:val="28"/>
          <w:rtl w:val="true"/>
          <w:lang w:bidi="fa-IR"/>
        </w:rPr>
        <w:t>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به هنگام جوش‌وخروش معتزله، اهل حدیث و سلفیها و پس از آنها اشاعره، به حکم اینکه در جهان خالق واحدی بیش نیست، همگی می‌گفتند که کارهای بندگان را نیز خدا می‌آفریند واو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هست بندۀ خدا ظرف ایجاد این افعال می‌باشد و چون چنین عقیده‌ای از نظر فطرت و داوریهای عقل و عقلا چندان استوار نبوده و پیامدهای ناگواری داشت و آن اینکه دیگر بر انگیختن پیامبران و دستگاه پاداش و کیفر، چه معنی دارد؟ ناچار اشاعره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افعال بندگان افزودند و خدا را خالق افعال بندگان، و آنها را کاسب افعال خود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معتزله به رد این نظریه می‌پردازند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بندگان مربوط به خود آنهاست و از جانب خودشان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نمی‌توان این عبارات را ناظر به معنی تفویض و وانهادگی دانست، بلکه باید بیشتر ناظر به رد عقیدۀ اهل حدیث و سلفیها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حال دلایلی را که قاضی عبد الجبار بر عقیدۀ خویش دربارۀ افعال بندگان نقل کرده است، همگی ناظر به نفی جبر است نه به مسألۀ وانهادگی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دلایل آنان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نیکوکار و بدکار و زیبا روی و زشت روی فرقأ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به خاطر کار نیک می‌ستاییم و دومی را به خاطر کار بد نکوهش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مورد دوم این کار را روا نمی‌دانیم و این گواه بر این است که افعال بندگان از نظر زشتی و زیبایی در اختیار آنهاست، بخلاف زیبایی و نازیبایی چهره که از قلمرو اختیار آنان بیرون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فاقد اختیار و آزادی باشیم، باید میان پیامبر و شیطان فرقی قائل نباشیم، زیرا به عقیدۀ اهل حدیث خدا از بدکاران، کار بد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موقع پیامبر، آنان را بر خلاف خواستۀ خدا دعوت می‌کند، در حالی که شیطان به آنچه که خدا خواسته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پیامبر، بدتر از شیطان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فاقد اختیارند، جهاد با کفار چه معنی دارد؟ زیرا کافران حق دارند بگویند چرا با ما جهاد می‌کنید؟ آیا از ما می‌خواهید کاری را انجام دهیم که خدا از ما خواسته است؟ در این صورت، باید با شما جهاد کرد که بر خلاف خواستۀ خدا قیام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جهاد بر آن است که در ما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ما موجود است و نیازی به تحصیل ندارد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 الجبار، شرح الأصول الخمسة، ص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استدلالها و نمونۀ آنها حاکی از آن است که اندیشۀ تفویض برای قاضی و امثال او مطرح نبوده، غرض نقد نظریۀ اهل حدیث و اشاعره بوده که افعال بندگان را مستقیما مخلوق خدا دانسته و برای انسان در آن نقشی قائل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در عبارات قاضی جمله‌هایی به چشم می‌خورد که از آنها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می‌شود،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افعال العباد لایجوز أن توصف بأنّها من اللّه تعالی و من عنده و من قبله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هرگز جایز نیست کارهای بندگان را از جانب خدا بدانی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میرسید شریف از آنان استدلالی را نقل می‌کند که در بدو نظر موهم تفویض است و آن اینکه اگر به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نشویم، تکلیف و ستایش و نکوهش بی مورد می‌شود، زیرا فرض این است که کار بندگان کوچکترین استنادی به آنها ندارد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ولی ذیل عبارت حاکی است که آنان در صدد رد گفتار کسانی هستند که فعل انسان را بریده از فاعل آن می‌دانند و کوچکترین ارتباط میان انسان و کار او قائل نیستند،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انسان در انجام کار بی‌نیاز از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چیزی که این نظریه را تأیید می‌کند، و اینکه معتزله از نافیان جبر بوده‌اند، نه از قائلان 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شیخ مفید، استاد کلام شیعه در قرن چهارم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را با امامیه همرأی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معتزله،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گروهی از زیدیه و خوارج، با امامیه همرأی و هم نظر هستند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أوائل المقالات، 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این گروهها بر امامیه و متحد معرفی کردن آنان نشانۀ هم سنگر بودن معتزله با امامیه در این مسأله است و اگر معتزله در سنگر تفویض از خود دفاع می‌کردند، شایسته نبود آنان را به خاطر یک قدر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امامیه معرفی کند، و ظاهر عبارت این است که از نظر محتوا کاملا یکسان می‌باشند، مگر اینکه بگوییم هر دو نافی جبرند، هر چند یکی تفویضی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الأمرینی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و در عین حال همگی زیر 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انسان در انتخاب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در این صورت عبارت یاد شده گواهی بر تبرئۀ معتزله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را می‌پذیریم در حالی که معتزله با امامیه در مسألۀ افعال عباد همفکر می‌باشند، اما معتزله به واقعیت أمر بین الأمرین نرسیده اند، چون بر خاندان پیامبر، چندان شاگردی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چند اصول خود را از خطب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 اما نظریۀ أمر بین الأمرین با آن دقت و مو شکافی که در کلام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توجه نکرده‌اند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در دیگر آثار خود، تفویض در افعال عباد را به صورتی دیگر معنی کرده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نوع قیدوبند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افعال انسان برداشته و بشر را به حال خود واگذاشته است و به آنان اجازه داده است که هر چه</w:t>
      </w:r>
    </w:p>
    <w:p>
      <w:pPr>
        <w:pStyle w:val="BookText"/>
        <w:rPr/>
      </w:pPr>
      <w:r>
        <w:rPr>
          <w:rFonts w:ascii="IRNazanin" w:hAnsi="IRNazanin" w:eastAsia="IRNazanin"/>
          <w:color w:val="111111"/>
          <w:sz w:val="28"/>
          <w:sz w:val="28"/>
          <w:szCs w:val="28"/>
          <w:rtl w:val="true"/>
          <w:lang w:bidi="fa-IR"/>
        </w:rPr>
        <w:t>بخواهند،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زنادقه و اباحیون، بر این اندیشه دامن می‌زنند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شرح عقاید صدوق،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مخالفتی که در یک‌رشته از اصول با معتزله داریم، ولی هرگز نمی‌توان آنان را به اباحی‌گری متهم کرد، زیرا لازمۀ آن خروج از اسلام است، درحالی‌که آنان از مدافعان سرسخت اصول اسلام بودند، هر چند در دفاع خود اشتباه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کتابهای کلامی، عنوان بحث با لفظ خلقت مطرح‌شده است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افعال بندگان مخلوق خداست و یا مخلوق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با نفی و اثبات قضیه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جای دیگر است و آن اینکه، در زبان عرب، دو واژه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هر کدام برای خود مورد خاصی دارند، آنجا که قدرت بر ایجاد انواع موجودات و جواهر و صفات آنها تعلق بگیرد، لفظ خلق و آفرینش به کار می‌رود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آسمانها و زمین و حیوان و انسان را آفرید، در حالی که هرکجا سخن از کارهای انسان و یا حیوان به میان آید،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مادۀ فعل کمک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فَعَلَ الَّذِینَ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پیشینیان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تَقُولُونَ ما لا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آنچه را انجام نمی‌دهید، ادعا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عنوان مسأله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دور از موازین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معجم و فرهنگی پیدا نمی‌کنید که یک عرب‌زبان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الجلوس و القعود، أو خلقت الأکل و الشرب، بلکه در این موارد یا از لغت عمومی افعال، بهره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و یا از لغت خصوصی و می‌گویند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جلست و قعدت و أکلت و 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پیوسته خدا را خالق جهان و انسان</w:t>
      </w:r>
    </w:p>
    <w:p>
      <w:pPr>
        <w:pStyle w:val="BookText"/>
        <w:rPr/>
      </w:pPr>
      <w:r>
        <w:rPr>
          <w:rFonts w:ascii="IRNazanin" w:hAnsi="IRNazanin" w:eastAsia="IRNazanin"/>
          <w:color w:val="111111"/>
          <w:sz w:val="28"/>
          <w:sz w:val="28"/>
          <w:szCs w:val="28"/>
          <w:rtl w:val="true"/>
          <w:lang w:bidi="fa-IR"/>
        </w:rPr>
        <w:t>عل و کنندۀ کارهای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عنوان مسأله به صورت یاد شده، از موازین لغت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نخستین کسی است که این نکته را تذکر داده است و می‌گوید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أوائل المقالات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فعل انسان فاقد هیئت و ترکیب باشد، لفظ خلق به کار نمی‌رود و این نظریۀ امامیه و زیدیه و معتزلۀ بغداد و اکثر مرجئه و اهل حدیث است و فقط معتزله لفظ خلقت را به کار می‌برند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بندگان مخلوق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موردی که أن هیئتی و یا ترکیبی را در ماده‌ای پدید آورد،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به عیسی بن مریم چنین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تَخْلُقُ مِنَ الطِّینِ کَهَیْئَةِ الطَّیْرِ بِإِذْنِی فَتَنْفُخُ فِیها فَتَکُونُ طَیْراً بِإِذْنِی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از گل، شکل پرنده‌ای به اذن من می‌سازی و به اذن من پرنده‌ای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قرآن یک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انسان، آنگاه که مجرد از هیئت و ترکیب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خلق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تَعْبُدُونَ أَوْثاناً وَ تَخْلُقُونَ إِفْکاً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بتهایی را می‌پرستید و دروغهایی را می‌بندید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نمی‌که خلق در اینجا به معنی آفرینش نیست بلکه به معنی کذب و افتراست، چنانکه در همین معنی در آیۀ دیگری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خُلُقُ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دروغها و پندارهای پیشینیان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مضمون در آیات دیگر تکرار شده است،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الَّذِینَ کَفَرُوا إِنْ هذا إِلاّ أَساطِیرُ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bookmarkStart w:id="227" w:name="pg17029_176674"/>
    </w:p>
    <w:p>
      <w:pPr>
        <w:pStyle w:val="BookText"/>
        <w:rPr/>
      </w:pPr>
      <w:bookmarkEnd w:id="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کافر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افسانه‌های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بحث متکلمان بیشتر روی افعال مجرد از هیئت و ترکیب است، باید از 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کنیم و بگوییم فاعل فعل کیست؟ خداست یا انسان؟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این مؤاخذۀ لفظی مانع از آن نمی‌شود که روح مسأله محفوظ باشد و بگوییم آیا نسبت افعال بندگان به خدا و بندگان چگونه است، بالأخره آیا حقیقت و هویت آنها مربوط به خداست و اوست که این کارها را صورت می‌دهد، یا مربوط به بندگان است و نسبت آنها از خدا مقطوع است؟ یا به گونۀ سومی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 ارتباط به خدا، ارتباطی با بندگان خدا و بالعکس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مسأله ای است که در آینده مطرح می‌کنیم</w:t>
      </w:r>
      <w:r>
        <w:rPr>
          <w:rFonts w:eastAsia="IRNazanin" w:cs="IRNazanin"/>
          <w:color w:val="111111"/>
          <w:sz w:val="28"/>
          <w:szCs w:val="28"/>
          <w:rtl w:val="true"/>
          <w:lang w:bidi="fa-IR"/>
        </w:rPr>
        <w:t>.</w:t>
      </w:r>
    </w:p>
    <w:p>
      <w:pPr>
        <w:pStyle w:val="Heading5"/>
        <w:numPr>
          <w:ilvl w:val="4"/>
          <w:numId w:val="1"/>
        </w:numPr>
        <w:rPr/>
      </w:pPr>
      <w:bookmarkStart w:id="228" w:name="__RefHeading___Toc1119710_1738255347"/>
      <w:bookmarkStart w:id="229" w:name="_Toc85"/>
      <w:bookmarkEnd w:id="228"/>
      <w:r>
        <w:rPr>
          <w:rtl w:val="true"/>
        </w:rPr>
        <w:t>تحلیلی از نظریۀ تفویض</w:t>
      </w:r>
      <w:bookmarkEnd w:id="229"/>
    </w:p>
    <w:p>
      <w:pPr>
        <w:pStyle w:val="BookText"/>
        <w:rPr/>
      </w:pPr>
      <w:r>
        <w:rPr>
          <w:rFonts w:ascii="IRNazanin" w:hAnsi="IRNazanin" w:eastAsia="IRNazanin"/>
          <w:color w:val="111111"/>
          <w:sz w:val="28"/>
          <w:sz w:val="28"/>
          <w:szCs w:val="28"/>
          <w:rtl w:val="true"/>
          <w:lang w:bidi="fa-IR"/>
        </w:rPr>
        <w:t>نظریۀ تفویض و استقلال انسان در فعل و ایجاد، از زمانهای دیرینه در کتابهای فلسفی و کلامی و فرهنگ عقاید مطرح بوده و افراد و یا گروهی به آن متهم شده‌اند، حالا خواه این نسبت دربارۀ معتزله صحیح و استوار باشد یا نه، سرانجام باید دربارۀ آن به بحث و گفتگو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از یک اصل فلسفی و یا کلامی سرچشمه می‌گیرد و آن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نیاز ممکنات به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نیاز ممکن به واجب در اصل حدوث و تحقق و وجود پس از عدم اوست، بدین معنی تا حادث نشده و لباس وجود بر تن نکرده نیاز بر او حاکم است، آنگاه که لباس وجود بر تن کرد، دیگر نیاز او به واجب قطع شده و می‌تواند روی پای خود بایستد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ملاک نیاز او به علت، امکان اوست و آن اینکه ممکن در حد ذات فقیر</w:t>
      </w:r>
    </w:p>
    <w:p>
      <w:pPr>
        <w:pStyle w:val="BookText"/>
        <w:rPr/>
      </w:pPr>
      <w:r>
        <w:rPr>
          <w:rFonts w:ascii="IRNazanin" w:hAnsi="IRNazanin" w:eastAsia="IRNazanin"/>
          <w:color w:val="111111"/>
          <w:sz w:val="28"/>
          <w:sz w:val="28"/>
          <w:szCs w:val="28"/>
          <w:rtl w:val="true"/>
          <w:lang w:bidi="fa-IR"/>
        </w:rPr>
        <w:t>نیازمند بوده و نسبت وجود و عدم بر آن یکسان است و تا دستی از خارج به سوی او راز نشود هرگز از وسط دایره خارج نمی‌شود، چیزی که هست در گرایش به سوی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علت وجود، کافی است، در حالی که در گرایش به وجود، حتما علتی است لازم که بر آن جامۀ وجود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ملاک نیاز به علت، امکان او باشد، این حالت پیوسته با او هست نمی‌تواند مخصوص به زمان حدوث او باشد، بلکه فقر ذاتی پیوسته با آن قبل از حدوث و در حال حدوث و پس از آن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نخست که به برخی از متکلمان نسبت داده‌شده، با برهان همراه نیست در اثبات آن از تشبیه و تمثیل بهره گرفته می‌ی شود و می‌گویند، مثل ممکن، مثل ساختمان به گل کار است، همان‌طور که ساختمان در پیدایش خود نیاز به بنا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تحقق، نیاز او از سازنده قطع می‌گردد، همچنین است نسبت ممکن به واجب، چیزی که هست امکان زوال و نابودی برای بنّا هست ولی برای خدا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به‌راستی کسانی‌که می‌خواهند یک اصل فلسفی را با چنین تشبیه و تمثیلی ثبات کنند، نمی‌توانند راه استدلال را بپیمایند، زیرا نسبت بنا به ساختمان، غیر از نسبت واجب به ممکن است، واجب پدیدآرندۀ ممکن از عدم به وجود است، در حالی که بنا فاعل حرکت و جمع کنندۀ مصالح بر روی‌هم می‌باشد و آنچه که ساختمان، را سر پا نگه می‌دارد، همان مایه‌های مادی و نیروهای جسمانی است که به بنا یک نوع پیوستگی می‌بخشد تا سرپا بماند، بنابر این نمی‌توان ممکن را به ساختمان، و واجب را به بنا قیاس کرد، بلکه در حقیقت ساختمان نیز حدوثا و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گرو وجود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نقش از آن بنّا است، و کار او این است که مصالح را روی‌هم می‌چیند و سپس نقش قوای جسمانی و مادی می‌رسد که آن را نگه ی دارد و اگر هم قیاس صحیح باشد، حکم در هر دو یکسان است و اینکه پدیده در پیدایش و پیوستگی بی‌نیاز از فاعل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فعل، فعل الهی باشد یا فعل</w:t>
      </w:r>
      <w:bookmarkStart w:id="230" w:name="pg17029_176676"/>
    </w:p>
    <w:p>
      <w:pPr>
        <w:pStyle w:val="BookText"/>
        <w:rPr/>
      </w:pPr>
      <w:bookmarkEnd w:id="230"/>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فلسفۀ اسلامی نظریۀ دوم با دلایل روشنی ثابت شده و جای ابهام باقی نمانده است و شاید در میان موحدان و یا لا أقل مسلمانان کسی یافت نشود که نیاز انسان را به واجب به زمان حدوث او منحصر سازد و در دیگر زمانها او را از واجب بی نیاز اندیشید و افرادی که شیخ الرئیس از آنان در اشارات سخن گفته، از فلاسفۀ غیر اسلامی بوده و او آن مطلب را از کتب آنان نقل کرده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علت حدوثاً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دلایل متناسب با وضع بحث، روشن می‌سازیم</w:t>
      </w:r>
      <w:r>
        <w:rPr>
          <w:rFonts w:eastAsia="IRNazanin" w:cs="IRNazanin"/>
          <w:color w:val="111111"/>
          <w:sz w:val="28"/>
          <w:szCs w:val="28"/>
          <w:rtl w:val="true"/>
          <w:lang w:bidi="fa-IR"/>
        </w:rPr>
        <w:t>.</w:t>
      </w:r>
    </w:p>
    <w:p>
      <w:pPr>
        <w:pStyle w:val="Heading5"/>
        <w:numPr>
          <w:ilvl w:val="4"/>
          <w:numId w:val="1"/>
        </w:numPr>
        <w:rPr/>
      </w:pPr>
      <w:bookmarkStart w:id="231" w:name="__RefHeading___Toc1119712_1738255347"/>
      <w:bookmarkStart w:id="232" w:name="_Toc86"/>
      <w:bookmarkEnd w:id="231"/>
      <w:r>
        <w:rPr>
          <w:rtl w:val="true"/>
        </w:rPr>
        <w:t>ابطال تفویض از نظر براهین عقلی</w:t>
      </w:r>
      <w:bookmarkEnd w:id="232"/>
    </w:p>
    <w:p>
      <w:pPr>
        <w:pStyle w:val="Heading6"/>
        <w:numPr>
          <w:ilvl w:val="5"/>
          <w:numId w:val="1"/>
        </w:numPr>
        <w:rPr/>
      </w:pPr>
      <w:bookmarkStart w:id="233" w:name="__RefHeading___Toc1119714_1738255347"/>
      <w:bookmarkStart w:id="234" w:name="_Toc87"/>
      <w:bookmarkEnd w:id="233"/>
      <w:r>
        <w:rPr/>
        <w:t>1</w:t>
      </w:r>
      <w:r>
        <w:rPr>
          <w:rtl w:val="true"/>
        </w:rPr>
        <w:t xml:space="preserve"> - </w:t>
      </w:r>
      <w:r>
        <w:rPr>
          <w:rtl w:val="true"/>
        </w:rPr>
        <w:t>نسبت ممکن به واجب نسبت معنی حرفی است</w:t>
      </w:r>
      <w:bookmarkEnd w:id="234"/>
    </w:p>
    <w:p>
      <w:pPr>
        <w:pStyle w:val="BookText"/>
        <w:rPr/>
      </w:pPr>
      <w:r>
        <w:rPr>
          <w:rFonts w:ascii="IRNazanin" w:hAnsi="IRNazanin" w:eastAsia="IRNazanin"/>
          <w:color w:val="111111"/>
          <w:sz w:val="28"/>
          <w:sz w:val="28"/>
          <w:szCs w:val="28"/>
          <w:rtl w:val="true"/>
          <w:lang w:bidi="fa-IR"/>
        </w:rPr>
        <w:t>آنان که می‌اندیشند که نیاز انسان و سایر ممکنات به واجب در لحظۀ حدوث است نه در بقاء، از واقعیت وجود امکانی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امکانی نسبت به واجب و به یک معنا نسبت معلول به علت، نسبت معنای حرفی به اسمی است همین طور که معنای حرفی نمی‌تواند در وجود خارجی و در اندیشۀ انسانی، از وجود واقعی و یا ذهنی معنای اسمی جدا گردد و جدایی او از معنی اسمی در مرحلۀ ذهن و عین، مایۀ فنای اوست، همچنین است وجود امکانی نسبت به وجود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بحثهای علیت و معلولیت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خوانده‌اند، به‌روشنی این مسأله را درک کرده‌اند که جهان هستی از نظر وجود، متعلق به واجب قائم به اوست و واقعیت این وجود همان تعلق و وابستگی اوست، فرض عدم وابستگی و لو در حال بقا، مستلزم نابودی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می‌توان گفت که ممکن در حدوث خود نیاز به واجب دارد و در بقایی نیاز از اوست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بخواهیم این حقیقت را با تمثیلی روشن کنیم، باید چنین بگرییم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بسان چراغهای پر نوری است که اتاق و بزم را روشنی</w:t>
      </w:r>
      <w:bookmarkStart w:id="235" w:name="pg17029_176677"/>
    </w:p>
    <w:p>
      <w:pPr>
        <w:pStyle w:val="BookText"/>
        <w:rPr/>
      </w:pPr>
      <w:bookmarkEnd w:id="235"/>
      <w:r>
        <w:rPr>
          <w:rFonts w:ascii="IRNazanin" w:hAnsi="IRNazanin" w:eastAsia="IRNazanin"/>
          <w:color w:val="111111"/>
          <w:sz w:val="28"/>
          <w:sz w:val="28"/>
          <w:szCs w:val="28"/>
          <w:rtl w:val="true"/>
          <w:lang w:bidi="fa-IR"/>
        </w:rPr>
        <w:t>می‌بخشد و انسان ناآگاه چنین می‌اندیشد که این نور از آن خود آن چراغ است، درحالی‌که این فیض از دستگاه مولد برق سرچشمه می‌گیرد و ارتباط پیوسته است که او را نورانی کرده و مجلس و بزم را روشن می‌سازد و اگر ارتباط چراغ با آن دستگاه مولد برق قطع شود، تاریکی همه جا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جهان هستی بسان آن صحرای کویری است که زیر آفتاب داغ و سوزان تابستانی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مرطوب نگاه داشتن یک نقطه، نیازمند آن است که پیوسته آب بر آن نقطه چکه کند و اگر لحظه‌ای تقطیر قطع شود، همان نقطه به صورت خاک خشکی در می‌آید که فاقد هر نوع حیات و روح است</w:t>
      </w:r>
      <w:r>
        <w:rPr>
          <w:rFonts w:eastAsia="IRNazanin" w:cs="IRNazanin"/>
          <w:color w:val="111111"/>
          <w:sz w:val="28"/>
          <w:szCs w:val="28"/>
          <w:rtl w:val="true"/>
          <w:lang w:bidi="fa-IR"/>
        </w:rPr>
        <w:t>.</w:t>
      </w:r>
    </w:p>
    <w:p>
      <w:pPr>
        <w:pStyle w:val="Heading6"/>
        <w:numPr>
          <w:ilvl w:val="5"/>
          <w:numId w:val="1"/>
        </w:numPr>
        <w:rPr/>
      </w:pPr>
      <w:bookmarkStart w:id="236" w:name="__RefHeading___Toc1119716_1738255347"/>
      <w:bookmarkStart w:id="237" w:name="_Toc88"/>
      <w:bookmarkEnd w:id="236"/>
      <w:r>
        <w:rPr/>
        <w:t>2</w:t>
      </w:r>
      <w:r>
        <w:rPr>
          <w:rtl w:val="true"/>
        </w:rPr>
        <w:t xml:space="preserve"> - </w:t>
      </w:r>
      <w:r>
        <w:rPr>
          <w:rtl w:val="true"/>
        </w:rPr>
        <w:t>تبعیض بین بعد زمانی و مکانی نارواست</w:t>
      </w:r>
      <w:bookmarkEnd w:id="237"/>
    </w:p>
    <w:p>
      <w:pPr>
        <w:pStyle w:val="BookText"/>
        <w:rPr/>
      </w:pPr>
      <w:r>
        <w:rPr>
          <w:rFonts w:ascii="IRNazanin" w:hAnsi="IRNazanin" w:eastAsia="IRNazanin"/>
          <w:color w:val="111111"/>
          <w:sz w:val="28"/>
          <w:sz w:val="28"/>
          <w:szCs w:val="28"/>
          <w:rtl w:val="true"/>
          <w:lang w:bidi="fa-IR"/>
        </w:rPr>
        <w:t>همگی می‌دانیم که جسم و موجود مادی دارای دو بعد زمانی و مکانی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بعد مکانی اجزا از هم فاصله گرفته ولی در عین حال در یک‌زمان متحققند، ولی در بعد زمانی هر جسمی در 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آن جسم، در زمان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همچنین است در زمانهای بعدی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حدوث و وجود خود نیاز به واجب دارد، ولی در بقا بی‌نیاز از واجب است، در واقع می‌خواهند برسانند که جسم در ابعاد زمانی، در یک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به واجب بوده، ولی در بعد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واجب ندارد، در حالی که این سخن را در ابعاد مکانی نمی‌گویند، زیرا هرگز متصور نیست که جزئی از انسان، محتاج به واجب باشد، ولی جزء دیگر او بی‌نیاز از آن، با توجه به این دو برهان که نیاز ممکن است به واجب در همۀ احوال ثابت می‌کند، نظریۀ تفویض را در پرتو این دو اصل مسلم میان موحدان بررسی می‌کنیم</w:t>
      </w:r>
      <w:r>
        <w:rPr>
          <w:rFonts w:eastAsia="IRNazanin" w:cs="IRNazanin"/>
          <w:color w:val="111111"/>
          <w:sz w:val="28"/>
          <w:szCs w:val="28"/>
          <w:rtl w:val="true"/>
          <w:lang w:bidi="fa-IR"/>
        </w:rPr>
        <w:t>.</w:t>
      </w:r>
      <w:bookmarkStart w:id="238" w:name="pg17029_176678"/>
    </w:p>
    <w:p>
      <w:pPr>
        <w:pStyle w:val="Heading5"/>
        <w:numPr>
          <w:ilvl w:val="4"/>
          <w:numId w:val="1"/>
        </w:numPr>
        <w:rPr/>
      </w:pPr>
      <w:bookmarkStart w:id="239" w:name="__RefHeading___Toc1119718_1738255347"/>
      <w:bookmarkStart w:id="240" w:name="_Toc89"/>
      <w:bookmarkEnd w:id="238"/>
      <w:bookmarkEnd w:id="239"/>
      <w:r>
        <w:rPr>
          <w:rtl w:val="true"/>
        </w:rPr>
        <w:t>استقلال در ایجاد، مایۀ استقلال در وجود است</w:t>
      </w:r>
      <w:bookmarkEnd w:id="240"/>
    </w:p>
    <w:p>
      <w:pPr>
        <w:pStyle w:val="BookText"/>
        <w:rPr/>
      </w:pPr>
      <w:r>
        <w:rPr>
          <w:rFonts w:ascii="IRNazanin" w:hAnsi="IRNazanin" w:eastAsia="IRNazanin"/>
          <w:color w:val="111111"/>
          <w:sz w:val="28"/>
          <w:sz w:val="28"/>
          <w:szCs w:val="28"/>
          <w:rtl w:val="true"/>
          <w:lang w:bidi="fa-IR"/>
        </w:rPr>
        <w:t>نظریۀ استقلال در فعل، در صورتی تصور دارد که در وجود نیز بعد از حدوث مستقل و بی‌نیاز باشد، هرگاه فاعل در ادامۀ وجود بی‌نیاز از خدا نباشد، نمی‌تواند در فعل مستقل گردد، زیرا فعل وابسته به فاعل، و هستی فاعل، قائم به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ایجاد استقلال دارد، باید استقلال در ذات را در هنگام صدور فعل بپذیرند، تا ایجاد او رنگ استقلال به خود بگیرد و إلاّ با پذیرفتن نیاز ذات به واجب، استقلال در ایجاد متصور نیست</w:t>
      </w:r>
      <w:r>
        <w:rPr>
          <w:rFonts w:eastAsia="IRNazanin" w:cs="IRNazanin"/>
          <w:color w:val="111111"/>
          <w:sz w:val="28"/>
          <w:szCs w:val="28"/>
          <w:rtl w:val="true"/>
          <w:lang w:bidi="fa-IR"/>
        </w:rPr>
        <w:t>.</w:t>
      </w:r>
    </w:p>
    <w:p>
      <w:pPr>
        <w:pStyle w:val="Heading5"/>
        <w:numPr>
          <w:ilvl w:val="4"/>
          <w:numId w:val="1"/>
        </w:numPr>
        <w:rPr/>
      </w:pPr>
      <w:bookmarkStart w:id="241" w:name="__RefHeading___Toc1119720_1738255347"/>
      <w:bookmarkStart w:id="242" w:name="_Toc90"/>
      <w:bookmarkEnd w:id="241"/>
      <w:r>
        <w:rPr>
          <w:rtl w:val="true"/>
        </w:rPr>
        <w:t>نظریۀ تفویض یک نوع اندیشۀ ثنوی است</w:t>
      </w:r>
      <w:bookmarkEnd w:id="24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انسان را در ایجاد فعل، بی‌نیاز از واجب تصور کنیم، نتیجۀ آن این است که دو خالق مستقل در عرصۀ وجود خود نمایی کنند، یکی واجب الوجود که آفرینندۀ جواهر و ذوات است و دیگری انسان که آفرینندۀ افعال خود می‌باشد و این مسأله با توحید در خالقیت که در کتابهای کلامی مبرهن است، سازگار نیست</w:t>
      </w:r>
      <w:r>
        <w:rPr>
          <w:rFonts w:eastAsia="IRNazanin" w:cs="IRNazanin"/>
          <w:color w:val="111111"/>
          <w:sz w:val="28"/>
          <w:szCs w:val="28"/>
          <w:rtl w:val="true"/>
          <w:lang w:bidi="fa-IR"/>
        </w:rPr>
        <w:t>.</w:t>
      </w:r>
      <w:bookmarkStart w:id="243" w:name="pg17029_176679"/>
    </w:p>
    <w:p>
      <w:pPr>
        <w:pStyle w:val="Heading4"/>
        <w:numPr>
          <w:ilvl w:val="3"/>
          <w:numId w:val="1"/>
        </w:numPr>
        <w:rPr/>
      </w:pPr>
      <w:bookmarkStart w:id="244" w:name="__RefHeading___Toc1119722_1738255347"/>
      <w:bookmarkStart w:id="245" w:name="_Toc91"/>
      <w:bookmarkEnd w:id="243"/>
      <w:bookmarkEnd w:id="244"/>
      <w:r>
        <w:rPr>
          <w:rtl w:val="true"/>
        </w:rPr>
        <w:t>ثمرات اصل دوم</w:t>
      </w:r>
      <w:r>
        <w:rPr>
          <w:rtl w:val="true"/>
        </w:rPr>
        <w:t xml:space="preserve">: </w:t>
      </w:r>
      <w:r>
        <w:rPr>
          <w:rtl w:val="true"/>
        </w:rPr>
        <w:t>عدل</w:t>
      </w:r>
      <w:bookmarkEnd w:id="245"/>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تکلیف فراتر از توان</w:t>
      </w:r>
    </w:p>
    <w:p>
      <w:pPr>
        <w:pStyle w:val="BookText"/>
        <w:rPr/>
      </w:pPr>
      <w:r>
        <w:rPr>
          <w:rFonts w:ascii="IRNazanin" w:hAnsi="IRNazanin" w:eastAsia="IRNazanin"/>
          <w:color w:val="111111"/>
          <w:sz w:val="28"/>
          <w:sz w:val="28"/>
          <w:szCs w:val="28"/>
          <w:rtl w:val="true"/>
          <w:lang w:bidi="fa-IR"/>
        </w:rPr>
        <w:t xml:space="preserve">عدل اصل دومی است که معتزله بر آن معتقدند و از آن اصولی را استنتاج می‌کنند که نخستین آن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جبر در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تکلیف فراتر از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کتابهای کلامی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مسأله، بررسی موضوع کافی در تصدیق به قبح و یا امتناع آن است، زیرا جاییکه طرف توان بر انجام خواسته‌ای را ندارد، اصل خواستن به صورت جدّی دچار اشکال می‌گردد، چگونه انسان می‌تواند از یک کودک دو ساله به‌طور جدی بخواهد که جسم سنگینی را بردارد، به همین مقیاس چگونه می‌تواند از فرد بزرگی بخواهد که بدون ادوات و ابزار به آسمان بپرد، یا از آب عبور کند بدون آنکه کف پای او تر نشود و به تعبیر محققان خود تکلیف پیش از آنکه تکلیف به محال باشد، خود حالت محالی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اشاعره به خاطر جمود بر یک‌رشته ظواهر، تکلیف بما لا یطاق را جایز دانسته و برای آن دلایلی از ظواهر کتاب آورده‌اند که ما به هنگام تبیین عقاید اشاعره به پاسخ آنها مبادرت ورزیدیم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پیرامون این مسأله چندان گفتگو نمی‌کنیم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از فرع سومی که مترتب بر اصل عدل است، سخن می‌گوییم</w:t>
      </w:r>
      <w:r>
        <w:rPr>
          <w:rFonts w:eastAsia="IRNazanin" w:cs="IRNazanin"/>
          <w:color w:val="111111"/>
          <w:sz w:val="28"/>
          <w:szCs w:val="28"/>
          <w:rtl w:val="true"/>
          <w:lang w:bidi="fa-IR"/>
        </w:rPr>
        <w:t>.</w:t>
      </w:r>
      <w:bookmarkStart w:id="246" w:name="pg17029_176680"/>
    </w:p>
    <w:p>
      <w:pPr>
        <w:pStyle w:val="Heading4"/>
        <w:numPr>
          <w:ilvl w:val="3"/>
          <w:numId w:val="1"/>
        </w:numPr>
        <w:rPr/>
      </w:pPr>
      <w:bookmarkStart w:id="247" w:name="__RefHeading___Toc1119724_1738255347"/>
      <w:bookmarkStart w:id="248" w:name="_Toc92"/>
      <w:bookmarkEnd w:id="246"/>
      <w:bookmarkEnd w:id="247"/>
      <w:r>
        <w:rPr>
          <w:rtl w:val="true"/>
        </w:rPr>
        <w:t>ثمرات اصل دوم</w:t>
      </w:r>
      <w:r>
        <w:rPr>
          <w:rtl w:val="true"/>
        </w:rPr>
        <w:t xml:space="preserve">: </w:t>
      </w:r>
      <w:r>
        <w:rPr>
          <w:rtl w:val="true"/>
        </w:rPr>
        <w:t>عدل</w:t>
      </w:r>
      <w:bookmarkEnd w:id="248"/>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ارادۀ خدا و معاصی بندگان</w:t>
      </w:r>
    </w:p>
    <w:p>
      <w:pPr>
        <w:pStyle w:val="BookText"/>
        <w:rPr/>
      </w:pPr>
      <w:r>
        <w:rPr>
          <w:rFonts w:ascii="IRNazanin" w:hAnsi="IRNazanin" w:eastAsia="IRNazanin"/>
          <w:color w:val="111111"/>
          <w:sz w:val="28"/>
          <w:sz w:val="28"/>
          <w:szCs w:val="28"/>
          <w:rtl w:val="true"/>
          <w:lang w:bidi="fa-IR"/>
        </w:rPr>
        <w:t>مسألۀ گستردگی ارادۀ خدا نسبت به معاصی بندگان، مورد مناقشۀ معتزله و اشاعره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نخست به خدا از دیدگاه تنزیه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او را از هر نوع کار قبیح پیراسته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 از این جهت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معاصی بندگان و خلافکاریهای آنان در قلمرو ارادۀ خدا قرار نمی‌گیرد و بر آنها تعلق نمی‌پذیرد، زیرا نهی بندگان و بازداری آنها از یک کار، از یک‌طرف، آنگاه خواستن آن از راه ارادۀ تکوینی از طرف دیگر، کاری زشت و ناپسند است که هرگز از جمیل مطلق سر نمی‌زند و به عبارت دیگر آن کس که کار قبیح را بخواهد و لو به صورت صدور از دیگران، کار قبیحی را مرتکب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دیدۀ تعظیم می‌نگرند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کاری در جهان هستی صورت بگیرد که متعلق ارادۀ او نباشد؟</w:t>
      </w:r>
    </w:p>
    <w:p>
      <w:pPr>
        <w:pStyle w:val="BookText"/>
        <w:rPr/>
      </w:pPr>
      <w:r>
        <w:rPr>
          <w:rFonts w:ascii="IRNazanin" w:hAnsi="IRNazanin" w:eastAsia="IRNazanin"/>
          <w:color w:val="111111"/>
          <w:sz w:val="28"/>
          <w:sz w:val="28"/>
          <w:szCs w:val="28"/>
          <w:rtl w:val="true"/>
          <w:lang w:bidi="fa-IR"/>
        </w:rPr>
        <w:t>و احیانا مسأله را از دیدۀ توحید مطالعه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توحید در خالقیت این است که افعال بندگان در قلمرو ارادۀ او باشد وگرنه خالق دیگری وجود خواهد داشت و در این صورت مسألۀ توحید در خالقیت آسیب‌دیده و ثنویت در خلقت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باید به گونه‌ای بیان شود که مایۀ جبر نشود و ما این را بعدا توضیح می‌دهیم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تفتازانی در شرح مقاصد نقل می‌کند که قاضی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خانۀ</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دید ابو اسحاق اسفراینی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عنوان طنز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تنزه عن الفحشاء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پیراسته است خدایی که از هر کار زشت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این جمله به ابو اسحاق اسفراینی فهماند که مکتب او با گسترش دادن ارادۀ خدا به معاصی، او را از زشتیها مبرا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اسفراینی نیز از زاویه‌ای که به مسئله می‌نگریست که همان تعظیم پروردگار بوده به مقابله برخاست و به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لا یجری فی ملکه إلاّ 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پیراسته است خدایی که در فرمانروایی او جز آنچه بخواهد،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جمله به صورت اشاره به قاضی عبد الجبار فهماند که نتیجۀ اخراج افعال بد بندگان از قلمرو ارادۀ خدا، کوچک کردن دائرۀ فرمانروایی اوست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شرح مقاصد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دو مکتب در افراط و تفریط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که به کلی می‌خواهد افعال بندگان را از قلمرو ارادۀ او بیرون سازد و مکتبی که افعال بندگان را به صورت مباشری متعلق ارادۀ تکوینی خدا قرار می‌دهد، زیرا نتیجۀ اخراج افعال از قلمرو ارادۀ او این است که در جهان کائناتی بدون خواست و ارادۀ او صورت می‌پذیرد و این خود یک نوع ثنویت در فاعلیت است، و نتیجۀ مکتبی که می‌خواهد افعال بندگان را به گونۀ یاد شده متعلق ارادۀ او قرار دهد، این است که انسان نسبت به کارهای خود ناظر و تماشاگر باشد نه فاعل و بازیگر و در عین حال مسؤولیت را بر عهده داشته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اشاعره در اصل گفتار راه حق پیموده‌اند و معتزله در اخراج افعال بندگان از قلمرو او دچار خطا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دید افعال بندگان چگونه متعلق خواست خداست، در اینجا دو احتمال وجود دارد که هر دو را به صورت اجمال یاد 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تعلق ارادۀ خدا به افعال بندگان به گونه‌ای است که بدون دخالت هیچ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 و ارادۀ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خارج صورت می‌پذیرد و به دیگر سخن، خدا فاعل مباشری به‌حساب می‌آید و بین خدا و فعل، هیچ واسطه ومعدّ و جزء علتی، موجود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گسترش اراده به این صورت جز جبری گری و ابطال بعثت پیامبران و تباه کردن کوششهای مصلحان و حکیمان چیزی نیست، گذشته از این اصل فرضیه با اصول فلسفی سازگار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ارادۀ خدا به افعال بندگان، به این صورت است که وجود انسان و اختیار واراده و فعل او متعلق ارادۀ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خواسته است که فعل بندگان از خود آنان، با کمال اختیار و آزادی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تفسیری از گسترش اراده، نه‌تنها مایۀ جبر نیست بلکه مؤکد اختیار است، زیرا خدا خواسته است که فعل هر فاعلی از مبادی ویژۀ آن فاعل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فاعل بی‌شعور و بی‌اختیار است ارادۀ او بر این تعلق گرفته است که فعل از آن فاعل به صورت اضطرار صادر گردد، چنانکه جریان در آتش چنین است و اگر فاعل، فاعل آگاه و مختار است، خواستۀ او این است که افعال او با آگاهی و اختیار کامل از او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چنین اراده‌ای بر افعال بشر، اختیار را دو چندان می‌سازد و اگر به صورت جبر سر بزند، مخالف ارادۀ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بیان برای گروهی سخت و سنگین آید، می‌توانند مسئله را از طریق دیگر حل کنند و آن این است که وجود انسان و روح و روان و روحیات و نفسانیات او همه و همه موجود امکانی است، وجود امکانی در تمام لحظات باید متکی به واجب باشد، چگونه می‌توان ارادۀ انسان را مستقل شمرد و متکی به واجب ندانست؟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 نمی‌توان نسبت فعل و ارادۀ انسان را از خدا قطع کرد و هیچ</w:t>
      </w:r>
    </w:p>
    <w:p>
      <w:pPr>
        <w:pStyle w:val="BookText"/>
        <w:rPr/>
      </w:pPr>
      <w:r>
        <w:rPr>
          <w:rFonts w:ascii="IRNazanin" w:hAnsi="IRNazanin" w:eastAsia="IRNazanin"/>
          <w:color w:val="111111"/>
          <w:sz w:val="28"/>
          <w:sz w:val="28"/>
          <w:szCs w:val="28"/>
          <w:rtl w:val="true"/>
          <w:lang w:bidi="fa-IR"/>
        </w:rPr>
        <w:t>انتسابی در آن به واجب قائل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می‌توان هم اصل عدل و هم عظمت و گستردگی سلطۀ او را حفظ کرد و درعین‌حال از جبری گری که تباه کنندۀ اصول اخلاقی و شرایع سماوی است دوری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امامیه اصل عدل را پذیرفته‌اند، ولی در نتیجه گیری با هر دو گروه مخالفند هم با گروهی که تعلق ارادۀ خدا را به افعال بندگان به گونه‌ای تفسیر می‌کنند که هر نوع اختیار و آزادی را از آنان سلب می‌نمایند و آنان را موجودات فاقد اختیار و آزادی معرفی می‌کنند و هم با گروهی که اراده و اختیار و فعل او را مخلوق ذات انسان می‌دانند، و فعل او را از قلمرو اراده ازلی بیرون قلمداد می‌کنند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عدل یک اصل استوار است ولی نتیجۀ آن خروج افعال بندگان از قلمرو ارادۀ خدا به شکلی که معتزله می‌گویند درست نیست، هر چند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دخول آن در قلمرو ارادۀ خدا نیز فاقد صحت است، در این میان مثل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سومی نیز وجود دارد که به آن اشاره شد</w:t>
      </w:r>
      <w:r>
        <w:rPr>
          <w:rFonts w:eastAsia="IRNazanin" w:cs="IRNazanin"/>
          <w:color w:val="111111"/>
          <w:sz w:val="28"/>
          <w:szCs w:val="28"/>
          <w:rtl w:val="true"/>
          <w:lang w:bidi="fa-IR"/>
        </w:rPr>
        <w:t>.</w:t>
      </w:r>
      <w:bookmarkStart w:id="249" w:name="pg17029_176684"/>
    </w:p>
    <w:p>
      <w:pPr>
        <w:pStyle w:val="Heading4"/>
        <w:numPr>
          <w:ilvl w:val="3"/>
          <w:numId w:val="1"/>
        </w:numPr>
        <w:rPr/>
      </w:pPr>
      <w:bookmarkStart w:id="250" w:name="__RefHeading___Toc1119726_1738255347"/>
      <w:bookmarkStart w:id="251" w:name="_Toc93"/>
      <w:bookmarkEnd w:id="249"/>
      <w:bookmarkEnd w:id="250"/>
      <w:r>
        <w:rPr>
          <w:rtl w:val="true"/>
        </w:rPr>
        <w:t>ثمرات اصل دوم</w:t>
      </w:r>
      <w:r>
        <w:rPr>
          <w:rtl w:val="true"/>
        </w:rPr>
        <w:t xml:space="preserve">: </w:t>
      </w:r>
      <w:r>
        <w:rPr>
          <w:rtl w:val="true"/>
        </w:rPr>
        <w:t>عدل</w:t>
      </w:r>
      <w:bookmarkEnd w:id="251"/>
    </w:p>
    <w:p>
      <w:pPr>
        <w:pStyle w:val="Heading5"/>
        <w:numPr>
          <w:ilvl w:val="4"/>
          <w:numId w:val="1"/>
        </w:numPr>
        <w:rPr/>
      </w:pPr>
      <w:bookmarkStart w:id="252" w:name="__RefHeading___Toc1119728_1738255347"/>
      <w:bookmarkStart w:id="253" w:name="_Toc94"/>
      <w:bookmarkEnd w:id="252"/>
      <w:r>
        <w:rPr>
          <w:rtl w:val="true"/>
        </w:rPr>
        <w:t>اشاره</w:t>
      </w:r>
      <w:bookmarkEnd w:id="253"/>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لطف الهی بر بندگان</w:t>
      </w:r>
    </w:p>
    <w:p>
      <w:pPr>
        <w:pStyle w:val="BookText"/>
        <w:rPr/>
      </w:pPr>
      <w:r>
        <w:rPr>
          <w:rFonts w:ascii="IRNazanin" w:hAnsi="IRNazanin" w:eastAsia="IRNazanin"/>
          <w:color w:val="111111"/>
          <w:sz w:val="28"/>
          <w:sz w:val="28"/>
          <w:szCs w:val="28"/>
          <w:rtl w:val="true"/>
          <w:lang w:bidi="fa-IR"/>
        </w:rPr>
        <w:t>عدل الهی اصل استواری است که شاخه‌های گسترده و پرباری دارد که با سه شاخه یا سه ثمرۀ آن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وقت آن رسیده که با نتیجۀ چهارم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لطف 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اشاعره و از میان معتزلۀ بغداد بشر بن معتمر، با وجوب لطف مخالفند و در میان امامیه قول به وجوب لطف هست اما نه به آن گستردگی که در میان معتزله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با آشنایی به مفهوم لطف و تقسیم آن بر محصل و مقرب کاملا روشن می‌گردد</w:t>
      </w:r>
      <w:r>
        <w:rPr>
          <w:rFonts w:eastAsia="IRNazanin" w:cs="IRNazanin"/>
          <w:color w:val="111111"/>
          <w:sz w:val="28"/>
          <w:szCs w:val="28"/>
          <w:rtl w:val="true"/>
          <w:lang w:bidi="fa-IR"/>
        </w:rPr>
        <w:t>.</w:t>
      </w:r>
    </w:p>
    <w:p>
      <w:pPr>
        <w:pStyle w:val="Heading5"/>
        <w:numPr>
          <w:ilvl w:val="4"/>
          <w:numId w:val="1"/>
        </w:numPr>
        <w:rPr/>
      </w:pPr>
      <w:bookmarkStart w:id="254" w:name="__RefHeading___Toc1119730_1738255347"/>
      <w:bookmarkStart w:id="255" w:name="_Toc95"/>
      <w:bookmarkEnd w:id="254"/>
      <w:r>
        <w:rPr>
          <w:rtl w:val="true"/>
        </w:rPr>
        <w:t>لطف محصل</w:t>
      </w:r>
      <w:bookmarkEnd w:id="255"/>
    </w:p>
    <w:p>
      <w:pPr>
        <w:pStyle w:val="BookText"/>
        <w:rPr/>
      </w:pPr>
      <w:r>
        <w:rPr>
          <w:rFonts w:ascii="IRNazanin" w:hAnsi="IRNazanin" w:eastAsia="IRNazanin"/>
          <w:color w:val="111111"/>
          <w:sz w:val="28"/>
          <w:sz w:val="28"/>
          <w:szCs w:val="28"/>
          <w:rtl w:val="true"/>
          <w:lang w:bidi="fa-IR"/>
        </w:rPr>
        <w:t xml:space="preserve">لطف این است که خدا کاری صورت دهد که بندگان به اطاعت و فرمانبرداری نزدیک شوند و به تعبیر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یقرب العبد إلی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بنده را به فرمانبردای نزدیک سازد، ولی مبادی و مقدماتی که مایۀ قرب بشر به خداست بر دو نوع است و همین دو نوع است که لطف را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اهمیت کاری که از جانب خدا صورت می‌گیرد به پایه‌ای برسد که اگر انجام ندهد، هدف آفرینش تحقق نمی‌پذیرد و خلقت انسان سر از عبث و لغو در</w:t>
      </w:r>
    </w:p>
    <w:p>
      <w:pPr>
        <w:pStyle w:val="BookText"/>
        <w:rPr/>
      </w:pP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این مبادی و مقدمات را در اختیار انسان نگذارد، با حکیم بودن او تضاد پیدا کرده و سرانجام فعل او مجرد از غایت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چنین مقدماتی که ترسیم کنندۀ هدف آفرینش است، به حکم حکیم بودن خدا لازم و واجب است و نمونه‌های این نوع لطف کم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خدا لازم است که برای هدایت بشر و ارائۀ طریق سعادت پیامبرانی را اعزام نماید، زیرا انسان کمتر از آن است که با نیروی خرد بر معارف غیبی دست یابد و راه سعادت را تشخیص دهد و به اصطلاح از آموزش آسمانی بی‌نیاز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خدا لازم است آنگاه که بندۀ خود را بر ترک تکلیفی و یا انجام فعلی مؤاخذه می‌کند، قبلا آن را بیان بکند و به اصطلاح تکلیف الهی به دست او برسد و در غیر این صورت مؤاخذه بر آن، یک نوع ظلم و تعدی است و خدا از آن منزه و پیراسته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خدایی که خواهان انجام کاری از انسانی است، باید توان آن را در اختیار او بگذارد، وگرنه غایت از تکلیف حاصل نشده و تکلیف به صورت امر عبث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 به این معنا و ایجاد مقدمات به این شکل، مطلبی نیست که مورد مناقشه قرار گیرد و عقل و خرد و وجدان بیدار انسان بر لزوم انجام این مقدمات، داوری می‌کند و کرارا یادآور شدیم، معنی لزوم چیزی بر خدا حکومت بشر بر خدا نیست، بلکه انسان از 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صفات فعل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می‌دهد که انجام چنین کاری حتمی و ضروری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بررسی آیۀ أَ فَحَسِبْتُمْ أَنَّما خَلَقْناکُمْ عَبَثاً وَ أَنَّکُمْ إِلَیْنا لا تُرْجَعُونَ </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گمان کردید که شما را بیهوده آفریده‌ایم و شما به سوی ما باز نمی‌گردید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bookmarkStart w:id="256" w:name="pg17029_176686"/>
    </w:p>
    <w:p>
      <w:pPr>
        <w:pStyle w:val="BookText"/>
        <w:rPr/>
      </w:pPr>
      <w:bookmarkEnd w:id="256"/>
      <w:r>
        <w:rPr>
          <w:rFonts w:ascii="Amiri" w:hAnsi="Amiri" w:eastAsia="Amiri" w:cs="Amiri"/>
          <w:color w:val="111111"/>
          <w:sz w:val="28"/>
          <w:sz w:val="28"/>
          <w:szCs w:val="28"/>
          <w:rtl w:val="true"/>
          <w:lang w:bidi="ar-SA"/>
        </w:rPr>
        <w:t>و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الْجِنَّ وَ الْإِنْسَ إِلاّ لِیَعْبُدُونِ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و جن را نیافریدم، جز اینکه مرا بشناسند و بپرستند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که او را حکیم و فعل او را هدف‌دار و غایت دار معرفی می‌کنند، به عقل اجازه می‌دهند که بر لزوم انجام چنین مقدماتی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علم کلام نام این نوع از لطف را که تمکن بخش اطاعت است و در صورت فقدان، بندگان خدا قادر بر اطاعت نمی‌باشند،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Heading5"/>
        <w:numPr>
          <w:ilvl w:val="4"/>
          <w:numId w:val="1"/>
        </w:numPr>
        <w:rPr/>
      </w:pPr>
      <w:bookmarkStart w:id="257" w:name="__RefHeading___Toc1119732_1738255347"/>
      <w:bookmarkStart w:id="258" w:name="_Toc96"/>
      <w:bookmarkEnd w:id="257"/>
      <w:r>
        <w:rPr>
          <w:rtl w:val="true"/>
        </w:rPr>
        <w:t>لطف مقرب</w:t>
      </w:r>
      <w:bookmarkEnd w:id="258"/>
    </w:p>
    <w:p>
      <w:pPr>
        <w:pStyle w:val="BookText"/>
        <w:rPr/>
      </w:pPr>
      <w:r>
        <w:rPr>
          <w:rFonts w:ascii="IRNazanin" w:hAnsi="IRNazanin" w:eastAsia="IRNazanin"/>
          <w:color w:val="111111"/>
          <w:sz w:val="28"/>
          <w:sz w:val="28"/>
          <w:szCs w:val="28"/>
          <w:rtl w:val="true"/>
          <w:lang w:bidi="fa-IR"/>
        </w:rPr>
        <w:t>در لطف مقرب سخن از تمکن بندگان از اطاعت نیست، بلکه مکلف در سایۀ مقدماتی به انجام تکالیف و فرمانبرداری نزدیک شده و غرض از تکلیف، به صورت آسان تحقق می‌پذیرد، هرچند اگر این مبادی نیز نباشد، بندگان خدا از اطاعت متمکن بوده و غرض از تکلیف ممتنع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 تعیین پاداش کیفر بر تکالیف، هر چند یک کار قدرت‌آفرین و تمکن بخش در قلمرو اطاعت بر بندگان نیست، ولی روح اطاعت را در بندگان خدا بیشتر کرده و آنان را به امتثال و فرمانبرداری سوق می‌دهد، هرچند تکلیف خدا بدون این دو، امکان امتثال داشته و تحقق هدف، امکان‌پذیر می‌باشد، ولی در صورت وجود پاداش و کیفر، روح اطاعت در بنده فزونتر می‌گردد واو به هدف که همان اطاعت است، نزدیکتر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لزوم انجام این نوع از لطف الهی است که آیا واقعا خرد بر انجام چنین مبادی حکم می‌کند یا نه؟ در اینجا باید به‌تفصیل زیر اشاره کرد و شاید به حق نزدیکتر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این نوع از مبادی به گونه‌ای است که در صورت فقدان، نوع مکلفها</w:t>
      </w:r>
    </w:p>
    <w:p>
      <w:pPr>
        <w:pStyle w:val="BookText"/>
        <w:rPr/>
      </w:pPr>
      <w:r>
        <w:rPr>
          <w:rFonts w:ascii="IRNazanin" w:hAnsi="IRNazanin" w:eastAsia="IRNazanin"/>
          <w:color w:val="111111"/>
          <w:sz w:val="28"/>
          <w:sz w:val="28"/>
          <w:szCs w:val="28"/>
          <w:rtl w:val="true"/>
          <w:lang w:bidi="fa-IR"/>
        </w:rPr>
        <w:t>به سوی تکلیف نرفته و آن را انجام نمی‌دهند و به اصطلاح غرض از تکلیف، و لو با سرپیچی اختیاری بندگان، صورت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انجام این نوع از کارها از نظر حکمت لازم است و روشن‌ترین مثال آن، همان تعیین پاداشها و کیفرهاست که محرک نوع مکلفین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میان انسانهای مکلف، افراد وارسته‌ای پیدا می‌شوند که بدون چشم‌داشت در پاداش مقرر، بر تکلیف یا کیفر بر مخالفت، قیام به وظیفه می‌کنند و عشق به حقیقت و کمال، آنان را به اطاعت خدا سوق می‌دهد، اماوجود این افراد در جامعۀ اسلامی انگشت‌شمار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مردم در سایۀ پاداشها و کیفرها روانۀ راه اطاعت شده و از مخالفت باز می‌ایستند و اگر در تکلیف به بیان آن اکتفا شود و مقرون به وعد و وعید نگردد، غرض از تکلیف حاصل نشده و بندگان به راه سعادت سوق داده نمی‌شوند و شاید آیات زیر، اشاره به همین مسئله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بَلَوْناهُمْ بِالْحَسَناتِ وَ السَّیِّئاتِ لَعَلَّهُمْ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با خوشیها و ناخوشیها آزمودیم، تا به سوی حق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حاکی است که یکی از وسایل بازگشت نوع بشر، بخششها و فشارهاست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جهان این دو عامل مایۀ بازگشت بشر به اطاعت است، وعده‌های لهی در رستاخیز، از هر دو نوع، مایۀ بازگشت انسان به سوی حق و حقیقت نیز می‌باشد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أَرْسَلْنا فِی قَرْیَةٍ مِنْ نَبِیٍّ إِلاّ أَخَذْنا أَهْلَها بِالْبَأْساءِ وَ الضَّرّاءِ لَعَلَّهُمْ یَضَّرَّعُونَ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آبادی، پیامبری را نفرستادیم، مگر اینکه اهل آنجا را گرفتار سختیها و رنج نمودیم تا شاید زاری کنند و از مخالفت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می‌رساند که رفاه مطلق در زندگی بشر، مایۀ طغیان است و تا بشر با کاستیهای زندگی روبرو نشود، در او روح توجه به معنویات زنده نمی‌شود،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لَیَطْغی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رَآهُ اسْتَغْنی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علق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راه طغیان را در پیش می‌گیرد، آنگاه که در خود احساس بی‌نیازی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است که پیامبران در مسیر تبلیغ، تنها به دلیل و برهان و حتی آوردن معجزات اکتفا نورزیده بلکه راه نوید و بیم را نیز پیموده اند و به بندگان مطیع وعدۀ بهشت داده و مخالفان را بیم عذاب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پیامبران را چنین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اللّهُ النَّبِیِّینَ مُبَشِّرِینَ وَ 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نوید و بیم ده برانگیشت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امیر مؤمنان به این نوع از لطف که آن را لطف مقرّب می‌گویند اشاراتی هست که متن کلام او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 اللّه تبارک و تعالی لما خلق خلقه أراد أن یکونوا علی آداب رفیعة و أخلاق شریفة فعلم أنّهم لم یکونوا کذلک إلّا بأن یعرفهم مالهم و ما علیهم، و التعریف لا یکون إلاّ بالأمر و النهی، و الأمر و النهی لایجتمعان إلاّ بالوعد و الوعید و الوعد لا یکون إلاّ بالترغیب، و الوعید لا یکون إلاّ بالترهیب، و الترغیب لا یکون إلاّ بما تشتهیه أنفسهم و تلّذه أعینهم و الترهیب لا یکون إلّا بضد ذلک</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باب </w:t>
      </w:r>
      <w:r>
        <w:rPr>
          <w:rFonts w:eastAsia="IRNazanin" w:cs="IRNazanin"/>
          <w:color w:val="111111"/>
          <w:sz w:val="28"/>
          <w:szCs w:val="28"/>
          <w:lang w:bidi="fa-IR"/>
        </w:rPr>
        <w:t>316/15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خداوند بزرگ انسان را آفرید و مشیت او بر این تعلق گرفت که او را با ادب رفیع و اخلاق شریف آشنا سازد و این کار جز با آشنا شدن آنها با واجبات و محرمات صورت نمی‌پذیرد، از این جهت امر و نهی نموده و هر دو را با نوید و بیم همراه ساخت، برای انجام فرایض ترغیب، و از ارتکاب محرمات 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ترغیب با اموری انجام می‌گیرد، دل و جان را لذت می‌بخشد و بیم با نقطه مقابل آنست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پنجم از کتاب عدل و معاد،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گروه از کارها که مایۀ حرکت اکثریت مردم به سوی طاعت خدا است، هر چند بدون آن نیز اطاعت امکان‌پذیر است، در منطق خرد الزامی است یعنی حکمت او ایجاب می‌کند که برای ترسیم بخشیدن به هدف بعثت و سعادت بشر، این کار صورت پذیرد و به اطاعت چند نفر انگشت‌شمار از اوتاد اکتفا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کاری که مایۀ حرکت گروه اندکی از بندگان خدا می‌گردد هر چند اکثریت مردم منهای این عمل در مسیر اطاعت قرار می‌گیرند انجام آن در منطق خرد لازم نیست، اگر هم انجام دهد از باب تفضل و کرم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این است که نه تمکن بخش است و نه در حرکت اکثریت مؤثر است، بلکه در حرکت گروه کمی تأثیر بخش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این نوع از لطف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افرادی هستند که در شرایط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بندگی می‌دهند نه در فقر و تنگدستی، گروه دیگر بر عکس هستند، هرگز لازم نیست که به اولی رفاه و دومی فقر و تنگدستی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شد که ما از خلال اندیشه در صفات خدا که یکی از آنها حکیم بودن اوست، در دو مورد لزوم لطف را استکشاف کرده و در غیر این دو، اگر انجام گیرد، فقط از روی کرم وجود مستمر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لازم است به منطق معتزله در وجوب لطف گوش فرا دهیم، منطقی که بسیار سست و نااستوار است و نمی‌تواند لطف را به آن صورت گسترده که می‌خواهند ثابت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جانب خدا مکلفند و هدف از تکلیف این است که او را در پرتو پاداشهای معین به اطاعت سوق</w:t>
      </w:r>
      <w:bookmarkStart w:id="259" w:name="pg17029_176690"/>
    </w:p>
    <w:p>
      <w:pPr>
        <w:pStyle w:val="BookText"/>
        <w:rPr/>
      </w:pPr>
      <w:bookmarkEnd w:id="259"/>
      <w:r>
        <w:rPr>
          <w:rFonts w:ascii="IRNazanin" w:hAnsi="IRNazanin" w:eastAsia="IRNazanin"/>
          <w:color w:val="111111"/>
          <w:sz w:val="28"/>
          <w:sz w:val="28"/>
          <w:szCs w:val="28"/>
          <w:rtl w:val="true"/>
          <w:lang w:bidi="fa-IR"/>
        </w:rPr>
        <w:t>دهد، ولی می‌داند که اگر فلان کاری را صورت دهد، بندگان به سوی اطاعت کشیده می‌شوند و در غیر این صورت از آن‌روی گردانند؛ در این موقع باید انجام دهد تا نقض غرض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یکی را برای میهمانی دعوت کنیم و می‌دانیم که اگر فرد معتبری را برای دعوت بفرستیم او دعوت ما را اجابت می‌کند، در این صورت خرد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بدهیم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أصول خمسه</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اشاعره است، منطق معتزله را دربارۀ لطف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انسان را به اطاعت رسانیده و از مخالفت دور می‌دارد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دادگر و رازق بندگان، ناظر بر احوال آنها که هرگز کفر و گناه را برای آنان نمی‌خواهد، می‌داند که اگر فلان کار را صورت دهد، آنها به سوی اطاعت کشیده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باید انجام دهد تا غرض از تکلیف حاصل گردد</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حلی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مقداد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پیروی کرده و وجوب لطف را ثابت نموده‌اند ولی با توجه به آنچه بیان گردید، روشن می‌شود که حقیقت لطف در سخنان معتزله شکافته نشده و لطف محصل و مقرب را یکسان گرفته‌اند و میان دو قسم مقرب نیز فرقی نگذاشته‌اند</w:t>
      </w:r>
      <w:r>
        <w:rPr>
          <w:rFonts w:eastAsia="IRNazanin" w:cs="IRNazanin"/>
          <w:color w:val="111111"/>
          <w:sz w:val="28"/>
          <w:szCs w:val="28"/>
          <w:rtl w:val="true"/>
          <w:lang w:bidi="fa-IR"/>
        </w:rPr>
        <w:t>.</w:t>
      </w:r>
    </w:p>
    <w:p>
      <w:pPr>
        <w:pStyle w:val="Heading5"/>
        <w:numPr>
          <w:ilvl w:val="4"/>
          <w:numId w:val="1"/>
        </w:numPr>
        <w:rPr/>
      </w:pPr>
      <w:bookmarkStart w:id="260" w:name="__RefHeading___Toc1119734_1738255347"/>
      <w:bookmarkStart w:id="261" w:name="_Toc97"/>
      <w:bookmarkEnd w:id="260"/>
      <w:r>
        <w:rPr>
          <w:rtl w:val="true"/>
        </w:rPr>
        <w:t>منطق مخالفان لطف</w:t>
      </w:r>
      <w:bookmarkEnd w:id="26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مخالفان لطف در نفی آن کمتر از منطق قائلان به لزوم مطلق آن نیست</w:t>
      </w:r>
    </w:p>
    <w:p>
      <w:pPr>
        <w:pStyle w:val="BookText"/>
        <w:rPr/>
      </w:pPr>
      <w:r>
        <w:rPr>
          <w:rFonts w:ascii="IRNazanin" w:hAnsi="IRNazanin" w:eastAsia="IRNazanin"/>
          <w:color w:val="111111"/>
          <w:sz w:val="28"/>
          <w:sz w:val="28"/>
          <w:szCs w:val="28"/>
          <w:rtl w:val="true"/>
          <w:lang w:bidi="fa-IR"/>
        </w:rPr>
        <w:t>آنان نیز در اثر عدم تفکیک میان اقسام لطف به نقد آن پرداخته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بر خدا لازم و واجب باشد، باید در روی زمین گنهکاری نباشد، زیرا در توان خدا است که کاری صورت دهد تا در سایۀ آن بندگان به اطاعت گراییده و از گناه باز مانند، در حالی که بندگان خدا بر دو گروهند، مطیع و عاصی و این می‌رساند که لطف لازمۀ حکمت نیست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 الجبار، شرح أصول خمسه</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اشاعره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مخالفان، لطف محصل را از مقرب جدا نساخته و میان اقسام لطف مقرب نیز فرقی قائل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تصور می‌کنند که در نظر قائلان به لطف هر نوع لطف که بندگان را به سوی طاعت سوق دهد و از گناه باز دارد، بر خدا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وجود متمردها، بر عدم انجام آن استدلال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خرد لطف را در امور بسیار انگشت‌شماری لازم می‌داند و از آن گستردگی که مثبت و نافی سخن می‌گویند، در منطق او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حال وجوب لطف از شئون حکیم بودن خداست و برای صیانت آفرینش از لغو و عبث، در مواردی خرد وجوب آن را کشف می‌کند، در حالی که از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وجوب آن از شئون جود و کرم خداست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تنها در قسم دوم از اقسام لطف مقرب استوار است و در غیر آن، لزوم لطف از آثار حکمت الهی است و آن را از ثمرات عدل شمر ند نیز خالی از تأمّل</w:t>
      </w:r>
      <w:bookmarkStart w:id="262" w:name="pg17029_176692"/>
    </w:p>
    <w:p>
      <w:pPr>
        <w:pStyle w:val="Heading4"/>
        <w:numPr>
          <w:ilvl w:val="3"/>
          <w:numId w:val="1"/>
        </w:numPr>
        <w:rPr/>
      </w:pPr>
      <w:bookmarkStart w:id="263" w:name="__RefHeading___Toc1119736_1738255347"/>
      <w:bookmarkStart w:id="264" w:name="_Toc98"/>
      <w:bookmarkEnd w:id="262"/>
      <w:bookmarkEnd w:id="263"/>
      <w:r>
        <w:rPr>
          <w:rtl w:val="true"/>
        </w:rPr>
        <w:t>ثمرات اصل دوم</w:t>
      </w:r>
      <w:r>
        <w:rPr>
          <w:rtl w:val="true"/>
        </w:rPr>
        <w:t xml:space="preserve">: </w:t>
      </w:r>
      <w:r>
        <w:rPr>
          <w:rtl w:val="true"/>
        </w:rPr>
        <w:t>عدل</w:t>
      </w:r>
      <w:bookmarkEnd w:id="264"/>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قدرت مقدّم بر فعل است</w:t>
      </w:r>
    </w:p>
    <w:p>
      <w:pPr>
        <w:pStyle w:val="BookText"/>
        <w:rPr/>
      </w:pPr>
      <w:r>
        <w:rPr>
          <w:rFonts w:ascii="IRNazanin" w:hAnsi="IRNazanin" w:eastAsia="IRNazanin"/>
          <w:color w:val="111111"/>
          <w:sz w:val="28"/>
          <w:sz w:val="28"/>
          <w:szCs w:val="28"/>
          <w:rtl w:val="true"/>
          <w:lang w:bidi="fa-IR"/>
        </w:rPr>
        <w:t xml:space="preserve">از مسائلی که معتزله و اشاعره در آنها از یکدیگر فاصلۀ زیادی گرفته‌اند،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قدرت بر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تقارن آن با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قادر و توانایی که کاری را صورت می‌دهد، آیا پیش از انجام فعل، قادر و توانا می‌باشد؟ آنگاه کار مورد نظر خود را صورت می‌دهد، یا اینکه قدرت همزمان با فعل د ر عضلات و اندام او پدید می‌آید، نه قبل از آن، معتزله از نظریۀ نخست دفاع می‌کنند، در حالی که اشاعره نظریۀ دوم را برگزیده و بر آن، اقامۀ برهان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ثمرۀ مسأله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کلامی مسأله چیست؟ در سخنان آنان نیامده است و مسلما پیشداوری در مسائل دیگر، آنان را به یکی از دو نظر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تحقیق موضوع در ضمن بیان چند مطلب که به فهم هر دو نظریه کمک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این مسأله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چندان ارتباطی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ولی قاضی عبد الجبار از آن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و علّت عنوان آن را در این باب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قدرت با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کار قبیح است و شخص حکیم کار قبیح انجام نمی‌دهد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قدرتی که دربارۀ تقدم و تقارن او سخن می‌گویند، یکی از دو معنی را می‌تواند داشته باشد و باید روشن شود که کدام‌یک از این دو، مورد بحث و نزاع است</w:t>
      </w:r>
    </w:p>
    <w:p>
      <w:pPr>
        <w:pStyle w:val="BookText"/>
        <w:rPr/>
      </w:pPr>
      <w:r>
        <w:rPr>
          <w:rFonts w:ascii="IRNazanin" w:hAnsi="IRNazanin" w:eastAsia="IRNazanin"/>
          <w:color w:val="111111"/>
          <w:sz w:val="28"/>
          <w:sz w:val="28"/>
          <w:szCs w:val="28"/>
          <w:rtl w:val="true"/>
          <w:lang w:bidi="fa-IR"/>
        </w:rPr>
        <w:t>و دربارۀ تقدّم و تقارن کدام،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وجود پدیده را به هنگام وجود آن ضروری و اجتناب ناپذیر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تام پدیده که پس از تحقق آن، هیچ نوع حالت انتظاری برای فعل نمی‌ماند و پدیده بدون کوچکترین وقفه تحقق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پدیده تا وجود او به حد ضرورت و لزوم نرسد، جامه وجود نمی‌پوشد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قدرت به این معنی است، زیرا چنین قدرتی است که به پدیده لزوم و وجوب می‌بخشد، و این کار جز با بستن تمام راههایی که وجود پدیده را تهدید می‌کند،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اقتدار بر انجام کار در برابر کسی که توانایی آنرا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می‌گوییم خیاط می‌تواند لباس بدوزد و یا بنا خانه بسازد، مقصود از قدرت در این دو مورد،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پس از آموزشهای لازم، توانایی آن را دارند که اگر مثلا پارچه در اختیار آنان قرار گیرد آن را به صورت جامۀ مورد دلخواه طرف درآورند، در مقابل کسانی این توانایی و آمادگی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قادر و توانا به این معنی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فعل و إن لم یشأ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انجام می‌دهد و نخواهد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محل نزاع میان دو گروه، کدام‌یک از این دو معنی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به معنی نخست، متقدّم بر فعل نیست، بلکه پیوسته با فعل همزمان اسمت، زیرا فرض این است که میان چنین قدرت و فعل، جدایی امکان‌پذیر نیست و برای تحقق فعل هیچ نوع حالت منتظره‌ای وجود ندارد، در این صورت قدرت، به این معنی باید همزمان با فعل باشد، نه متقدّم بر آن و إلاّ لازم آن، تخلف فعل از علّت تام است و آن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به معنی دوم که همان استعداد قریب به فعل است، حتما متقدّم بر فعل است زیرا قدرت به این معنی، جز مقتضی و علّت ناقص چیزی بیش نیست، و باید چیزهای دیگری به آن ضمیمه گردد، تا شخص مبدأ فعل گردد، مثلا یک دوزندۀ کار کشته، باید سراغ نخ و سوزن یا چرخ خیاطی و پارچۀ مورد نظر برود تا پس از تهیّه آنها، نقش خود را ایفا کند و تهیه این مقدمات، خود زمان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تفسیر قدرت، می‌توان میان این دو گروه به‌روشنی داوری کرد هرچند هیچ‌یک از دو گروه مقصود خود 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نگفته‌اند، فقط در این میان، فخر رازی که خود از پیروان شیخ اشعری است، توانسته است که پرده از سیمای حقیقت برکشد و میان دو گروه متنازع داوری کند و او این داوری را 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قدرت به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روشن بودن مسأله، نیازی به نقل براهین معتزله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دلایل اشاعره را بر همزمانی قدرت با فعل در گذشته نقل کردیم، از این نظر به توضیح برخی از دلایل معتزله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قدرت با فعل همزمان باشد، در این صورت تکلیف کافر به ایمان، تکلیف به خارج از اختیار خواهد بود، زیرا اگر قدرت و توان داشت حتما ایمان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قدرت همزمان با فعل، از آن جدا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ایمان نیاورده باید گفت قدرت بر ایمان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پیوسته بر ضدین تعلّق می‌گیرد، قادر به کسی می‌گویند که فعل و ترک یک شیئ در اختیار او باشد و از درون ملزم به فعل و یا ملزم به ترک نباشد، هرگاه قدرت با فعل همزمان باشد، از آنجاکه قدرت، از فعل جدا نمی‌شود، باید در کافری که مکلّف به ایمان است در یک‌لحظه، ایمان و کفر گرد آید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عبد الجبار</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نخست، قدرت مورد بحث، به معنی علّت تام گرفته‌شده است، علّتی که هرگز از معلول خود جدا نشده و در آن انفصال،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بگوییم شرط تکلیف داشتن چنین قدرتی است و آن باید با فعل همزمان باشد، از عدم تحقق مکلّف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کشف کرد که او دارای قدرت و توان نبوده زیرا اگر دارا بود، حتما ایمان تحقق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شرط تکلیف، داشتن قدرت، به معنی دوم است، یعنی آمادگی برای انجام تکلیف و چنین شرطی در تمام کافران موجود است و نپذیرفتن ایمان، دلیل بر نبودن آن نیست در این صورت اشعری می‌تواند، وجود چنین قدرتی را شرط تکلیف دانسته و پیوسته آن را با تکلیف همراه بداند، هر چند فعل از او سر نزد و کوچکترین تالی فاسدی بر تقارن قدرت با فعل به این معنی،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اساس استدلال نخست، تفسیر قدرت به معنی علّت تام است، اساس استدلال دوم، تفسیر قدرت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ناقص است، زیرا قدرت به معنی اقتضاء است که صلاحیت تعلّق بر ضدین را دارد نه علّت به معنی علّت تام، زیرا آن فقط به یک‌طرف توجه پیدا می‌کند و در این صورت تالی فاسدی که در استدلال قاضی است، بر این تفسیر متوجه نمی‌شود، زیرا لازمۀ چنین قدرتی، وجود 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قدرت به معنی استعداد، مستلزم وجود دو مقتضی متضاد در آن واحد است، نه دو مقتضی یعنی ایمان 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کلام مستدل دوگانگی روشن به چشم می‌خورد از طرفی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آن واحد کفر و ایمان جمع شود و از طرفی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ضدین تعلّق می‌گیرد، لازم سخن اوّل، تفسیر قدرت به علّت تام است و لازم سخن دوم تفسیر به علّت تام و استعداد و اقتضاء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پاسخ هر دو صورت مسئله روشن است و همگی می‌دانیم که قدرت به معنی استعداد، بر انجام فعل مقدّم است و به قول محقق لاهیجی هر</w:t>
      </w:r>
    </w:p>
    <w:p>
      <w:pPr>
        <w:pStyle w:val="BookText"/>
        <w:rPr/>
      </w:pPr>
      <w:r>
        <w:rPr>
          <w:rFonts w:ascii="IRNazanin" w:hAnsi="IRNazanin" w:eastAsia="IRNazanin"/>
          <w:color w:val="111111"/>
          <w:sz w:val="28"/>
          <w:sz w:val="28"/>
          <w:szCs w:val="28"/>
          <w:rtl w:val="true"/>
          <w:lang w:bidi="fa-IR"/>
        </w:rPr>
        <w:t>انسانی پیش از آن که برخیزد، خود را قادر بر آن می‌اندیشد، و پیش از راه رفتن خود را توانا بر آن می‌انگارد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شوارق، </w:t>
      </w:r>
      <w:r>
        <w:rPr>
          <w:rFonts w:eastAsia="IRNazanin" w:cs="IRNazanin"/>
          <w:color w:val="111111"/>
          <w:sz w:val="28"/>
          <w:szCs w:val="28"/>
          <w:lang w:bidi="fa-IR"/>
        </w:rPr>
        <w:t>331/1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باقی ماند این است که انگیزۀ این نزاع چیست و چرا اشاعره بر تقارن قدرت و معتزله بر تقدّم آن اصرار می‌ورزند؟ قاضی عبد الجبار در این جا نکتۀ آن را روشن کرده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اصرار می‌ورزند که بشر فاعل فعل خود نیست و محدث افعال در حقیقت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قدرت خدا را بر فعل مقدّم بر آن و قدرت بشر را مقارن با آن قلمداد می‌کنند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سخن روشنتر اینکه بگوییم اشاعره قدرت متقدّم بشر را مزاحم قدرت الهی دانسته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سلب تقدّم می‌کنند و به تقارن آن اصرار می‌ورزند و معتقدند نقش از آن قدرت متقدم است و قدرت همزمان با فعل فاقد نقش می‌باشد و از این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خالقیت را در تمام مراحل حفظ می‌کنند</w:t>
      </w:r>
      <w:r>
        <w:rPr>
          <w:rFonts w:eastAsia="IRNazanin" w:cs="IRNazanin"/>
          <w:color w:val="111111"/>
          <w:sz w:val="28"/>
          <w:szCs w:val="28"/>
          <w:rtl w:val="true"/>
          <w:lang w:bidi="fa-IR"/>
        </w:rPr>
        <w:t>.</w:t>
      </w:r>
      <w:bookmarkStart w:id="265" w:name="pg17029_176697"/>
    </w:p>
    <w:p>
      <w:pPr>
        <w:pStyle w:val="Heading4"/>
        <w:numPr>
          <w:ilvl w:val="3"/>
          <w:numId w:val="1"/>
        </w:numPr>
        <w:rPr/>
      </w:pPr>
      <w:bookmarkStart w:id="266" w:name="__RefHeading___Toc1119738_1738255347"/>
      <w:bookmarkStart w:id="267" w:name="_Toc99"/>
      <w:bookmarkEnd w:id="265"/>
      <w:bookmarkEnd w:id="266"/>
      <w:r>
        <w:rPr>
          <w:rtl w:val="true"/>
        </w:rPr>
        <w:t>ثمرات اصل دوم</w:t>
      </w:r>
      <w:r>
        <w:rPr>
          <w:rtl w:val="true"/>
        </w:rPr>
        <w:t xml:space="preserve">: </w:t>
      </w:r>
      <w:r>
        <w:rPr>
          <w:rtl w:val="true"/>
        </w:rPr>
        <w:t>عدل</w:t>
      </w:r>
      <w:bookmarkEnd w:id="267"/>
    </w:p>
    <w:p>
      <w:pPr>
        <w:pStyle w:val="Heading5"/>
        <w:numPr>
          <w:ilvl w:val="4"/>
          <w:numId w:val="1"/>
        </w:numPr>
        <w:rPr/>
      </w:pPr>
      <w:bookmarkStart w:id="268" w:name="__RefHeading___Toc1119740_1738255347"/>
      <w:bookmarkStart w:id="269" w:name="_Toc100"/>
      <w:bookmarkEnd w:id="268"/>
      <w:r>
        <w:rPr>
          <w:rtl w:val="true"/>
        </w:rPr>
        <w:t>اشاره</w:t>
      </w:r>
      <w:bookmarkEnd w:id="269"/>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قضا و قدر</w:t>
      </w:r>
    </w:p>
    <w:p>
      <w:pPr>
        <w:pStyle w:val="BookText"/>
        <w:rPr/>
      </w:pPr>
      <w:r>
        <w:rPr>
          <w:rFonts w:ascii="IRNazanin" w:hAnsi="IRNazanin" w:eastAsia="IRNazanin"/>
          <w:color w:val="111111"/>
          <w:sz w:val="28"/>
          <w:sz w:val="28"/>
          <w:szCs w:val="28"/>
          <w:rtl w:val="true"/>
          <w:lang w:bidi="fa-IR"/>
        </w:rPr>
        <w:t>مسألۀ قضاء و قدر از مسائل فلسفی و کلامی است که سالیان درازی فکر بشر را به خود مشغول ساخته و روی آن به بحث و بررسی پرداخته است و برای آن نمی‌توان ریشۀ تاریخی معین کرد، زیرا این نوع از مسائل پیوسته مورد نظر و توجه بشر عاقل و خردمند، متفکر و اندیشمند بود ومی‌خواست بداند که وضع او در این جهان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خود مختار است و از روی اختیار، کارهایی را صورت می‌دهد و یا اینکه مجبور مختار نماست و عاملی او را به سوی هدفی سوق می‌دهد، هرچند این عامل برای او مشخص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قضاو قدر به خاطر این ویژگی، حالت همگانی به خود گرفته حتی کسانی که سهمی از مسائل فلسفی و کلامی ندارند، دربارۀ آن اظهار نظر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با دیگر مسائل فلسفی و کلامی فاصله گرفته، حتی در قلمرو شعر عرفا و صوفیه و حتی افراد لا ابالی نیز قرارگرفته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بشر، دو گروه بیش از همه دم از سرنوشت می‌زنند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کسانی‌که می‌خواهند خود را از هر نوع قیدوبند اخلاقی و قانونی برهانند، آنان آزادی در عمل را در پوشش قضاو قدر جستجو می‌کنند تا خود را از هر نوع مسئولیت راحت سازند، و در حقیقت آزادی در عمل را در لباس جبر و محکومیت از جانب قضا و قدر می‌طلبند</w:t>
      </w:r>
      <w:r>
        <w:rPr>
          <w:rFonts w:eastAsia="IRNazanin" w:cs="IRNazanin"/>
          <w:color w:val="111111"/>
          <w:sz w:val="28"/>
          <w:szCs w:val="28"/>
          <w:rtl w:val="true"/>
          <w:lang w:bidi="fa-IR"/>
        </w:rPr>
        <w:t>.</w:t>
      </w:r>
      <w:bookmarkStart w:id="270" w:name="pg17029_176698"/>
    </w:p>
    <w:p>
      <w:pPr>
        <w:pStyle w:val="BookText"/>
        <w:rPr/>
      </w:pPr>
      <w:bookmarkEnd w:id="27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کسانی‌که از راه تقصیر و احیانا قصور، در زندگی سرخوردگی پیدا می‌کنند وبا سرانجام بد روبرو می‌شوند، این گروه برای سرپوش نهادن بر تقصیر خود، فرجام بد خود را با سرنوشت گره می‌زنند و گناه را به گردن آن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جای کلمۀ قضاو قدر، کلمۀ بخت و شانس را به کار می‌برند تا مسئولیت را از خود سلب کنند و آن را بر دوش بخت و اقبال بگذارند و این مسئله در سرودهای شاعران فارسی‌زبان زیاد به چشم می‌خورد، چنانکه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گلیم بخت کسی را که بافتند سیاه به آب زمزم و کوثر سفید نتوان کرد</w:t>
      </w:r>
    </w:p>
    <w:p>
      <w:pPr>
        <w:pStyle w:val="BookText"/>
        <w:rPr/>
      </w:pPr>
      <w:r>
        <w:rPr>
          <w:rFonts w:ascii="IRNazanin" w:hAnsi="IRNazanin" w:eastAsia="IRNazanin"/>
          <w:color w:val="111111"/>
          <w:sz w:val="28"/>
          <w:sz w:val="28"/>
          <w:szCs w:val="28"/>
          <w:rtl w:val="true"/>
          <w:lang w:bidi="fa-IR"/>
        </w:rPr>
        <w:t>و شگفت اینجاست که برخی از شعرای عارف ما بر روی بخت و اقبال و ستاره تکیه می‌کنند و انسان را در مقابل آن دست‌بسته معرفی می‌کنند، چنانکه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کوکب بخت مرا هیچ منجّم نشناخت یارب از مادر گیتی به چه طالع زادم</w:t>
      </w:r>
    </w:p>
    <w:p>
      <w:pPr>
        <w:pStyle w:val="BookText"/>
        <w:rPr/>
      </w:pPr>
      <w:r>
        <w:rPr>
          <w:rFonts w:ascii="IRNazanin" w:hAnsi="IRNazanin" w:eastAsia="IRNazanin"/>
          <w:color w:val="111111"/>
          <w:sz w:val="28"/>
          <w:sz w:val="28"/>
          <w:szCs w:val="28"/>
          <w:rtl w:val="true"/>
          <w:lang w:bidi="fa-IR"/>
        </w:rPr>
        <w:t>در حالی که شاعرانی داریم که تحت تأثیر این نوع افکار سست قرار نگرفته و از این نوع اندیشه‌ها انتقاد می‌کنند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گر کنی اختر خویش را بد مدار از فلک چشم نیک اختری را</w:t>
      </w:r>
    </w:p>
    <w:p>
      <w:pPr>
        <w:pStyle w:val="Heading5"/>
        <w:numPr>
          <w:ilvl w:val="4"/>
          <w:numId w:val="1"/>
        </w:numPr>
        <w:rPr/>
      </w:pPr>
      <w:bookmarkStart w:id="271" w:name="__RefHeading___Toc1119742_1738255347"/>
      <w:bookmarkStart w:id="272" w:name="_Toc101"/>
      <w:bookmarkEnd w:id="271"/>
      <w:r>
        <w:rPr>
          <w:rtl w:val="true"/>
        </w:rPr>
        <w:t>جبر در اندیشۀ صحابه</w:t>
      </w:r>
      <w:bookmarkEnd w:id="272"/>
    </w:p>
    <w:p>
      <w:pPr>
        <w:pStyle w:val="BookText"/>
        <w:rPr/>
      </w:pPr>
      <w:r>
        <w:rPr>
          <w:rFonts w:ascii="IRNazanin" w:hAnsi="IRNazanin" w:eastAsia="IRNazanin"/>
          <w:color w:val="111111"/>
          <w:sz w:val="28"/>
          <w:sz w:val="28"/>
          <w:szCs w:val="28"/>
          <w:rtl w:val="true"/>
          <w:lang w:bidi="fa-IR"/>
        </w:rPr>
        <w:t>از مجموع تاریخ استفاده می‌شود که اندیشه جبر، در میان برخی از صحابه خود نمایی می‌کرد و ریشۀ پیدایش آن در میان آنان به عصر جاهلیت برمی‌گردد</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قرآن آن را از زمان عرب جاهلی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فَعَلُوا فاحِشَةً قالُوا وَجَدْنا عَلَیْها آباءَنا وَ اللّهُ أَمَرَنا بِها قُلْ إِنَّ اللّهَ لا یَأْمُرُ بِالْفَحْشاءِ أَ تَقُولُونَ عَلَی اللّهِ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طرز تفکر، اندیشۀ جاهلی بود که در مغز آنان رسوخ کرده و پس از ظهور اسلام</w:t>
      </w:r>
    </w:p>
    <w:p>
      <w:pPr>
        <w:pStyle w:val="BookText"/>
        <w:rPr/>
      </w:pPr>
      <w:r>
        <w:rPr>
          <w:rFonts w:ascii="IRNazanin" w:hAnsi="IRNazanin" w:eastAsia="IRNazanin"/>
          <w:color w:val="111111"/>
          <w:sz w:val="28"/>
          <w:sz w:val="28"/>
          <w:szCs w:val="28"/>
          <w:rtl w:val="true"/>
          <w:lang w:bidi="fa-IR"/>
        </w:rPr>
        <w:t>نیز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برخی از موارد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واقدی در مغازی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شکست از آن مسلمانان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الحارث انصاری عمر بن الخطاب را در حال فرار دید که معرکه را ترک گفته و به نقطه‌ای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مسلمان به او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مغازی، واقدی،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أمر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هلال عسکری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کسی‌که افعال بندگان را متعلّق ارادۀ الهی قرار داد، معاویة بن أبی سفیان بود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 از ابی قتاده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عایشه سرگذشت خوارج و سرپیچی آنان از فرمان علی نقل شد،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مانع از آن نیست که من حق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به دو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سرها را می‌تراشند، شاربها را می‌چینند، لباسهای کوتاه می‌پوشند، قرآن را می‌خوانند، اما قرآن از گلوی آنان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امت نزد من و خدا، آنان رامی کشد؟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قتاده می‌گوید به عایشه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 مقام و موقعیت علی به این نحو آشنا بودی، چرا با او چنین رفتار کردی؟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تقدیر الهی بود و برای تقدیر اسباب فراوانی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معاویه حسن بن علی را مسموم ساخت و جو سیاسی سرزمین پهناور اسلامی را برای نصب فرزندش به خلافت مناسب دید، به سوی حجاز حرکت کرد وبا صحابۀ پیامبر به سخن پرداخت، عبد اللّه بن عمر بر این کار اعتراض کرد، در این موقع، معاویه به او چنین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اینکه در بین مسلمانان اختلاف بیندازی باز نمی‌دارم، خلافت یزید امری است که خدا آنرا مقدّر کرده و برای بندگان دربارۀ آن اختیاری نیست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عبد الله بن عمر نبود که به ولایتعهدی یزید اعتراض کرد بلکه عایشه نیز بر این عمل اعتراض نمود و همین پاسخ را شنید 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یزید جزئی از تقدیر الهی است و بندگان را در آن اختیاری نیست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البته این فکر پس از معاویه شدت بیشتری پیدا کرد و حتی قاتلان اولیا و فضیلت کشان نیز جنایات خود را از همین طریق توجیه می‌کردند، آنگاه که عبد اللّه بن مطیع عدوی به عمر بن سعد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همدان و ری را بر ریختن خون پسر عمویت حسین ترجیح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جمله اموری است که از جانب خدا تقدیر شده بود و من به پسرعم خود قبل از جنگ، اخطار کردم، ولی او از بیعت خود داری کرد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از این بیان می‌توان این فکر را در زمان حدوث فرق و ملل، ارزیابی کرد، زیرا چنین اندیشه‌ای جز بر باد دادن زحمات پیامبران و مربیان و بی‌نتیجه شمردن برنامه های الهی، نتیجۀ دیگری ندارد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که مردی خطیب و سخنور بود، به چنین تقدیری اعتراض می‌کرد، ولی از ناحیۀ حکومت وقت، تهدید شد که بار دیگر به انکار آن برنخیزد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نیز قول داد که در این باره سخن نگوید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الطبقات الکبری،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مؤلف سیرۀ نبوی که ابن هشام سیرۀ خود را بر اساس سیرۀ او نوشته و در حقیقت آن را تلخیص کرده است، تقدیر به این معنی را انکار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از جانب حکومت تازیانه خورد، تا به انکار قضاو قدر بر نخیزد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ازا ینجا می‌توان حدس زد که اگر معتزله و به یک معنی گروه عدلیه، متهم به انکار قضا و قدر شده‌اند، مقصود این نوع تقدیر است که بر خلاف تمام شرایع سماوی است وگرنه هیچ مسلمان معتقد به قرآن و حدیث نمی‌تواند اصل تقدیر الهی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المرتضی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جبر در زمان معاویه و ملوک بنی مروان رشد کرد وفتنه از همان زمان فزونی یافت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عمر بن عبد العزیز که در میان خلفای اموی به اعتدال و میانه روی معروف است، رساله ای دربارۀ تقدیر الهی دارد که صد در صد با جبر معادل است و گویا این رساله را در رد رسالة حسن بصری نوشته که به حریت و آزادی انسان صحه می‌گذارد و شما می‌توانید، هر دو رساله را در بخش عربی</w:t>
      </w:r>
      <w:r>
        <w:rPr>
          <w:rStyle w:val="FootnoteAnchor"/>
          <w:rtl w:val="true"/>
        </w:rPr>
        <w:footnoteReference w:id="150"/>
      </w:r>
      <w:r>
        <w:rPr>
          <w:rFonts w:ascii="IRNazanin" w:hAnsi="IRNazanin" w:eastAsia="IRNazanin"/>
          <w:color w:val="111111"/>
          <w:sz w:val="28"/>
          <w:sz w:val="28"/>
          <w:szCs w:val="28"/>
          <w:rtl w:val="true"/>
          <w:lang w:bidi="fa-IR"/>
        </w:rPr>
        <w:t>این کتاب مطالعه بفرمایید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مطالعۀ این دو رساله می‌توان موقعیت مسئله را در افکار عمومی آن زمان ارزیابی کرد و اگر کسی دم از حریّت و آزادی می‌زد، نظر وی، ابطال یک چنین تقدیر، معادل با جبر بود و إلاّ هیچ مسلمانی نمی‌تواند که تقدیر و قضا الهی را که در قرآن و سنت آمده است انکار کند</w:t>
      </w:r>
      <w:r>
        <w:rPr>
          <w:rFonts w:eastAsia="IRNazanin" w:cs="IRNazanin"/>
          <w:color w:val="111111"/>
          <w:sz w:val="28"/>
          <w:szCs w:val="28"/>
          <w:rtl w:val="true"/>
          <w:lang w:bidi="fa-IR"/>
        </w:rPr>
        <w:t>.</w:t>
      </w:r>
      <w:bookmarkStart w:id="273" w:name="pg17029_176702"/>
    </w:p>
    <w:p>
      <w:pPr>
        <w:pStyle w:val="Heading5"/>
        <w:numPr>
          <w:ilvl w:val="4"/>
          <w:numId w:val="1"/>
        </w:numPr>
        <w:rPr/>
      </w:pPr>
      <w:bookmarkStart w:id="274" w:name="__RefHeading___Toc1119744_1738255347"/>
      <w:bookmarkStart w:id="275" w:name="_Toc102"/>
      <w:bookmarkEnd w:id="273"/>
      <w:bookmarkEnd w:id="274"/>
      <w:r>
        <w:rPr>
          <w:rtl w:val="true"/>
        </w:rPr>
        <w:t>قضاو قدر در کتاب و سنّت</w:t>
      </w:r>
      <w:bookmarkEnd w:id="275"/>
    </w:p>
    <w:p>
      <w:pPr>
        <w:pStyle w:val="BookText"/>
        <w:rPr/>
      </w:pPr>
      <w:r>
        <w:rPr>
          <w:rFonts w:ascii="IRNazanin" w:hAnsi="IRNazanin" w:eastAsia="IRNazanin"/>
          <w:color w:val="111111"/>
          <w:sz w:val="28"/>
          <w:sz w:val="28"/>
          <w:szCs w:val="28"/>
          <w:rtl w:val="true"/>
          <w:lang w:bidi="fa-IR"/>
        </w:rPr>
        <w:t xml:space="preserve">مراجعه‌ای کوتاه به کتاب و سنت روشن می‌سازد که این دو اصل، از اصول مسلّم قرآن است که هر پدیده‌ای در جهان در پوشش این دو اصل به وجود می‌آید، مقصود از تقدیر، اندازه‌گیری پدیده است که با چه خصوصیاتی جامۀ تحقق پذیرد،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ضرورت وجود شیی است که حکم الهی حاکی از آن است، ولی باید توجه کرد که تقدیر بر دو نوع است، تقدیر علمی و تقدیر عینی، مانند قضا که آن 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علمی و قضا عینی و هر یک از دو نوع تقدیر و قضا علمی و عینی را به گونه‌ای توضیح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تقدیرهای علمی و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نقشۀ ساختمانی را در ذهن و یا روی برگی می‌کشد و مواد لازم را که باید در ساختن آن به کار رود در اندیشۀ خود یا بر روی برگهای ضمیمه، تعیین می‌کند، این مرحله از تقدیر، همان تقدیر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نقشه پیاده می‌شود، اندازه‌گیری عینی با بنای خانه همراه می‌باشد، یعنی خانه به صورت حساب‌شده تحقق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اندازه‌گیری وجود هر پدیده‌ای، خواه در مقام تصور و خواه در مقام تحقق، مواد لازم، کیفیت خانه، مقدار دوام و عمر خانه، حساب می‌شود و خانه با تمام حدود و مشخصات خاص ساخته می‌شود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واقعیت تقدیر الهی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حکیمانۀ او بر این تعلّق گرفته که هر موجودی اعم از مجرد و مادی، با اندازه‌گیری خاصی چه از نظر مرتبۀ وجود از تجرد و مادی و چه از نظر مقتضیات بقاء و موانع آن، تحقق پذیرد و در مقام آفریدن و تحقق پذیری وجود شیئ، از تقدیر و اندازه گیری جدا نیست؛ یعنی به صورت حساب‌شده خلق می‌شود، پس تقدیری قبل از آفرینش و تقدیری پس از آن داریم و می‌توان آیات یاد شده در زیر را ناظر به هر دو مرحله از تقدیر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تقدیر علمی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ناگواری در زمین و در وجود شما پدید نمی‌آید مگر اینکه پیش از آفریدن آن در کتابی نوشته‌ایم، این برای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هر چند دربارۀ مصیبتهای موجود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کم آبی و سوخت حاصل و یا گرفتاریهای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ولی ذکر این دو، از باب مثال و نمونه است و در واقع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جهان رخ می‌دهد، قبلا در کتابی وجود دارد و در آن خصوصیات وجودی شیئ نگاشته شده و همه چیز ترتیب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که همۀ پدیده‌ها را در بر می‌گیرد، آیه یاد شده در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شَیْءٍ فَعَلُوهُ فِی الزُّبُرِ وَ کُلُّ صَغِیرٍ وَ کَبِیرٍ مُسْتَطَرٌ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انجام داده‌اند، در کتابهایی هست و هر کوچک و بزرگی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آیات از وجود علمی اشیاء پیش از تحقق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 را می‌توان ناظر به تقدیر عینی دانست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کُلَّ شَیْءٍ خَلَقْناهُ بِقَدَرٍ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را با اندازه‌گیری خاصی آفریدیم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شَیْءٍ إِلاّ عِنْدَنا خَزائِنُهُ وَ ما نُنَزِّلُهُ إِلاّ بِقَدَرٍ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در جهان نیست مگر آنکه گنجینه‌های آن نزد ماست و از آن چیز، به اندازۀ معیّنی فرو می‌فرستیم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مرحلۀ تقدیر، مرحلۀ قضا و وجوب وجود پدیده فرا می‌رسد، مهندس پس از محاسبه و تشخیص مصلحت، در اندیشۀ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کیفیت</w:t>
      </w:r>
    </w:p>
    <w:p>
      <w:pPr>
        <w:pStyle w:val="BookText"/>
        <w:rPr/>
      </w:pPr>
      <w:r>
        <w:rPr>
          <w:rFonts w:ascii="IRNazanin" w:hAnsi="IRNazanin" w:eastAsia="IRNazanin"/>
          <w:color w:val="111111"/>
          <w:sz w:val="28"/>
          <w:sz w:val="28"/>
          <w:szCs w:val="28"/>
          <w:rtl w:val="true"/>
          <w:lang w:bidi="fa-IR"/>
        </w:rPr>
        <w:t xml:space="preserve">ساخته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تمام عوامل وجود شیئ آماده گردید، مرحلۀ قضای عینی به معنی لزوم تحقق شیئ، فرامی‌رسد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قبل از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قضای علمی است، یعنی حکم بر لزوم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علّت تام شیی پیدا می‌شود و دیگر حالت انتظاری باقی نمی‌ماند، آن را قضاء و ایجاب عینی و قضای تکوینی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ربوبی هر چند مسئلۀ تروّی و تفکر نیست ولی در عین حالی در آنجا نیز پدیده‌ها دارای دو نوع وجوب هستند وجوبی قبل از آفرینش و لزومی به هنگام آفرینش و برخی از آیات قرآن نیز از دو نوع قضاء گزارش می‌دهد، لزومی و حکمی بر تحقق قبل از پیدایش و ایجابی همراه با تحقق و آیات یاد شده به هر دو مرحله اشاره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قَضَیْنا إِلی بَنِی إِسْرائِیلَ فِی الْکِتابِ لَتُفْسِدُنَّ فِی الْأَرْضِ مَرَّتَیْنِ وَ لَتَعْلُنَّ عُلُوًّا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بنی‌اسرائیل حکم کردیم که در روی زمین دوبار فساد کرده و از نظر قدرت به مقام بزرگی می‌رسید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دوزخ، افراد زیادی از جن و انس را آفریدیم، برای آنان دلهایی است که آنان نمی‌فهمند، چشمهایی است که نمی‌بینند، گوشهایی است که با آن نمی‌شنوند، آنان مانند چهارپایانند بلکه گمراه‌تر آنان کسانی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الهی دربارۀ آفریده شده از جن و انس که سرنوشت دوزخی دارند عینی است، ولی دربارۀ آن گروه که هنوز گام به جهان نگذاشته‌اند، علمی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دربارۀ آیاتی که از قضای عینی، و حتمیت خارجی حاکی است، می‌توان آیۀ یاد شده را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وَ أَوْحی فِی کُلِّ سَماءٍ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تودۀ دود، هفت آسمان ساخت و وظیفۀ هر آسمان را به خود آن تفهیم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مواد دودی نخستین، شکل معینی نداشت و می‌توانست به صورتهای مختلفی درآید و خدا با ارادۀ قاطع خود، به این حالت خاتمه داد و با ایجاد علت تکوینی، آن را به صورت هفت آسمان درآورد و در آیۀ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 الَّذِینَ کَفَرُوا أَنَّ السَّماواتِ وَ الْأَرْضَ کانَتا رَتْقاً فَفَتَقْناهُما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 ندیدند که آسمانها و زمین به هم پیوسته بودند و ما آنها را از هم باز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احتمال قوی می‌توان گفت بستگی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گازهای متراکمی بود که بعد آن را با آفریدن هفت آسمان و زمین، از این حالت درآورد و آنها را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پرتو الهی که حتمیت بخشیدن به وجود شیء است، هر آسمانی برای خود تقاضای تکوینی و استعداد طبیعی داشت و خدا این استعدادها را به صورت فعلی درآورد و آنچه که حکمتش ایجاب می‌کرد، به او داد، چنانکه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أَوْحی فِی کُلِّ سَماءٍ أَمْرَها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آیۀ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خَلَقَکُمْ مِنْ طِینٍ ثُمَّ قَضی أَجَلاً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شما را از گل آفرید و مدت عمر شما را محدود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دربارۀ آن گروه آفریده شده، عینی و دربارۀ انسانهای آینده علمی خواهد بود</w:t>
      </w:r>
      <w:r>
        <w:rPr>
          <w:rFonts w:eastAsia="IRNazanin" w:cs="IRNazanin"/>
          <w:color w:val="111111"/>
          <w:sz w:val="28"/>
          <w:szCs w:val="28"/>
          <w:rtl w:val="true"/>
          <w:lang w:bidi="fa-IR"/>
        </w:rPr>
        <w:t>.</w:t>
      </w:r>
      <w:bookmarkStart w:id="276" w:name="pg17029_176706"/>
    </w:p>
    <w:p>
      <w:pPr>
        <w:pStyle w:val="BookText"/>
        <w:rPr/>
      </w:pPr>
      <w:bookmarkEnd w:id="276"/>
      <w:r>
        <w:rPr>
          <w:rFonts w:ascii="IRNazanin" w:hAnsi="IRNazanin" w:eastAsia="IRNazanin"/>
          <w:color w:val="111111"/>
          <w:sz w:val="28"/>
          <w:sz w:val="28"/>
          <w:szCs w:val="28"/>
          <w:rtl w:val="true"/>
          <w:lang w:bidi="fa-IR"/>
        </w:rPr>
        <w:t>مجموع این آیات و غیر اینها همگی ما را به تقدیرهای علمی و عینی و قضاهای علمی و عینی رهبری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آیات الهی بگذریم، روایات نیز بر آن گواهی می‌دهند و با توجه به آنچه که از آیات نقل کردیم، نیازی به آوردن روایات نیست، در حالی که ما از ایات بسیار، تنها کمی از آنها را وارد بحث کردیم</w:t>
      </w:r>
      <w:r>
        <w:rPr>
          <w:rFonts w:eastAsia="IRNazanin" w:cs="IRNazanin"/>
          <w:color w:val="111111"/>
          <w:sz w:val="28"/>
          <w:szCs w:val="28"/>
          <w:rtl w:val="true"/>
          <w:lang w:bidi="fa-IR"/>
        </w:rPr>
        <w:t>.</w:t>
      </w:r>
    </w:p>
    <w:p>
      <w:pPr>
        <w:pStyle w:val="Heading5"/>
        <w:numPr>
          <w:ilvl w:val="4"/>
          <w:numId w:val="1"/>
        </w:numPr>
        <w:rPr/>
      </w:pPr>
      <w:bookmarkStart w:id="277" w:name="__RefHeading___Toc1119746_1738255347"/>
      <w:bookmarkStart w:id="278" w:name="_Toc103"/>
      <w:bookmarkEnd w:id="277"/>
      <w:r>
        <w:rPr>
          <w:rtl w:val="true"/>
        </w:rPr>
        <w:t>تقدیر و قضاء نزد معتزله</w:t>
      </w:r>
      <w:bookmarkEnd w:id="278"/>
    </w:p>
    <w:p>
      <w:pPr>
        <w:pStyle w:val="BookText"/>
        <w:rPr/>
      </w:pPr>
      <w:r>
        <w:rPr>
          <w:rFonts w:ascii="IRNazanin" w:hAnsi="IRNazanin" w:eastAsia="IRNazanin"/>
          <w:color w:val="111111"/>
          <w:sz w:val="28"/>
          <w:sz w:val="28"/>
          <w:szCs w:val="28"/>
          <w:rtl w:val="true"/>
          <w:lang w:bidi="fa-IR"/>
        </w:rPr>
        <w:t xml:space="preserve">تا این جا با تاریخچۀ مسئلۀ قضاء و قدر و معانی آن دو آشنا شدیم همچنانکه روشن گردید که ظواهر آیات این است که تقدیر و قضای الهی شامل همۀ پدیده‌هاست، خواه وجود انسان یا افعال او، یعنی آنچه که انسان انجام می‌دهد از حیطۀ قضاء و قدر الهی بیرون نیست، فعل او نیز قبلا اندازه‌گیری شده و بر تحقق آن حکم شده است ولی معتزله که برای حفظ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انسان را از قلمرو قضاء و قدر الهی بیرون می‌دانند در دلایل عقلی قضاء و قدر و نقلی آن، به‌نوعی تخصیص قائل می‌شوند و معتقدند که همه چیز از جانب خدا با اندازه‌گیری خاصی به حکم و ایجاب او آفرینش پیدا می‌کند، جز افعال انسان که خصوصیات آن از طرف خود انسان طراحی می‌شود، اگر اندازه‌گیری می‌شود، به وسیلۀ خود انسان انجام می‌گیرد و اگر پس از پیدایش علت، وجود او لازم و واجب می‌گردد، به وسیلۀ علت اوست که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حفظ اصل عدل، سبب شده است که افعال انسان از حیطۀ قضاء و قدر بیرون برود و به همین جهت کمتر دربارۀ قضاء و قدر سخن می‌گویند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مطالب راجع به قضاء و قدر، کتابهای اهل حدیث ر اشاعره را پر کرده، در کتابهای موجود از معتزله، قضاء و قدر، به صورت کمرنگ مطرح‌شده و محور سخنان آنان دو مطلب بیش نیست</w:t>
      </w:r>
      <w:r>
        <w:rPr>
          <w:rFonts w:eastAsia="IRNazanin" w:cs="IRNazanin"/>
          <w:color w:val="111111"/>
          <w:sz w:val="28"/>
          <w:szCs w:val="28"/>
          <w:rtl w:val="true"/>
          <w:lang w:bidi="fa-IR"/>
        </w:rPr>
        <w:t>:</w:t>
      </w:r>
      <w:bookmarkStart w:id="279" w:name="pg17029_176707"/>
    </w:p>
    <w:p>
      <w:pPr>
        <w:pStyle w:val="BookText"/>
        <w:rPr/>
      </w:pPr>
      <w:bookmarkEnd w:id="27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قضاء و 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برداشت آنان از قضاء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 الجبار در بخش نخست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در معانی فراغ و اتمام، ایجاب و اعلام و اخبار به کار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اعلام و اجبار به کار می‌رود مانند إِلاّ امْرَأَتَهُ قَدَّرْناها مِنَ الْغابِرِینَ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الاصول الخمسة</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همسر لوط که مقدر بود در عذاب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 بالتکلیف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معانی مختلف قضاء می‌پردازد و در تبیین مفهوم قضاء فقط به نقل مذاکرۀ پیر مردی با امیر مؤمنان در سرزمین صفین دربارۀ قضاء، اکتفا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همین کار را مؤلف شرح الأساس الکبیر انجام داده و از آن تجاوز نکرده است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 نیست که بسیاری از معانی که برای قضاء و قدر ذکر کرده است، معنی مستقیم واژه نیست بلکه همگی غالبا به یک معنی وسیعی بر می‌گردند و اینها از مصادیق آنها به شمار می‌روند، مهم این است از نظر معتزله دربارۀ واقعیت قضاء و قدر آگاه شویم</w:t>
      </w:r>
      <w:r>
        <w:rPr>
          <w:rFonts w:eastAsia="IRNazanin" w:cs="IRNazanin"/>
          <w:color w:val="111111"/>
          <w:sz w:val="28"/>
          <w:szCs w:val="28"/>
          <w:rtl w:val="true"/>
          <w:lang w:bidi="fa-IR"/>
        </w:rPr>
        <w:t>.</w:t>
      </w:r>
    </w:p>
    <w:p>
      <w:pPr>
        <w:pStyle w:val="Heading5"/>
        <w:numPr>
          <w:ilvl w:val="4"/>
          <w:numId w:val="1"/>
        </w:numPr>
        <w:rPr/>
      </w:pPr>
      <w:bookmarkStart w:id="280" w:name="__RefHeading___Toc1119748_1738255347"/>
      <w:bookmarkStart w:id="281" w:name="_Toc104"/>
      <w:bookmarkEnd w:id="280"/>
      <w:r>
        <w:rPr>
          <w:rtl w:val="true"/>
        </w:rPr>
        <w:t>برداشت معتزله از قضاء و قدر</w:t>
      </w:r>
      <w:bookmarkEnd w:id="28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معتزله از قضاء و قدر دربارۀ موجودات طبیعی این است که خدا شی مقدّر و مقضیّ علیه را می‌آفریند و هرگاه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انسان در قضاء و قدر الهی است نتیجۀ آن این است که خدا خود خالق گناه باشد، آنگاه برای آن مجازات</w:t>
      </w:r>
    </w:p>
    <w:p>
      <w:pPr>
        <w:pStyle w:val="BookText"/>
        <w:rPr/>
      </w:pPr>
      <w:r>
        <w:rPr>
          <w:rFonts w:ascii="IRNazanin" w:hAnsi="IRNazanin" w:eastAsia="IRNazanin"/>
          <w:color w:val="111111"/>
          <w:sz w:val="28"/>
          <w:sz w:val="28"/>
          <w:szCs w:val="28"/>
          <w:rtl w:val="true"/>
          <w:lang w:bidi="fa-IR"/>
        </w:rPr>
        <w:t>نماید، از این جهت از قضاء و قدر دربارۀ افعال انسان، فقط اطلاع و آگاهی خدا از افعال یا فرمان به طاعات را پذیرفته‌اند، برای توضیح بیشتر برخی از کلمات آنان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 الجبار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شما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افعال بندگان، به قضای الهی صورت می‌پذیرد یا نه؟ در پاسخ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این در واژه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مقصود این است که آنها را خلق می‌کند، به خدا پناه می‌برم از این اندیشه، چگونه می‌توان افعال انسان را مخلوق خدا دانست در حالی که افعال بندگان در گرو عزم و قصد، داعی و انگیزۀ آنها است اگر خواستند انجام می‌دهند و اگر خوش نداشتند، ترک می‌کنند، هرگاه افعال بندگان با این خصوصیت مربوط به خود آنان نباشد باید گفت، افعال خدا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ویژگی را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خود او نیست، زیرا ما پیوسته از این طریقه، فعل فاعل را تشخیص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مقصود، همان ایجاب و الزام است چگونه می‌توان قضاء را به آن تفسیر کرد در حالی که برخی از افعال فاقد حسن بوده، در این صورت چطور می‌توان گفت خدا آن را واجب و یا بر وجود آن حکم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مقصود از آن اعلام و اخبار است، این در مواردی صحیح است ولی برای ادای این مقصود نباید این واژه را به کار ببریم، زیرا لفظی که در معنی صحیح و غیر صحیح به کار می‌رود نباید آن را به کار برد، مگر آن کس که حکمت و عدل او ثابت شده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اصول خمسه، </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معتزلة الیمن که زندگی و عقاید یحیی بن الحسین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زیدیه در عصر خویش، و ناقل آرای معتزله به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از رسائل العدل و التوحید او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در قرآن به سه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آگاهی و دانستن مانند قَضَیْنا إِلی بَنِی إِسْرائِیلَ فِی الْکِتابِ لَتُفْسِدُنَّ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و فرمان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و احداث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معانی قضاء در قرآن است، اگر مقصود این است که خدا بر مخلوق خود حکم بر معصیت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آن عذاب می‌کند این محال است آنگاه به این نقطه منتهی می‌گردد که مقصود از تقدیر امر به طاعت است واو امر به معصیت نمی‌کند و بندگان گناهان را پس از نهی خدا مرتکب می‌شوند و می‌گویند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مؤمن بقضاء اللّه و قدره ما کرهت نفسی و ما رضیت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معتزله الیمن،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رسائل العدل و التوحید، </w:t>
      </w:r>
      <w:r>
        <w:rPr>
          <w:rFonts w:eastAsia="IRNazanin" w:cs="IRNazanin"/>
          <w:color w:val="111111"/>
          <w:sz w:val="28"/>
          <w:szCs w:val="28"/>
          <w:lang w:bidi="fa-IR"/>
        </w:rPr>
        <w:t>108/2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عبد الجبار،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 بالتکلیف</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 گفت افعال بندگان در قلمرو قضای الهی است زیرا معنی آن این است که او آفریده است، سپس می‌گوید و به طور تفصیل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مقصود از قضاء و قدر اعلام و اخبار است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مقصود الزام است در برخی از موارد صحیح الست نه در همه موارد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مقصود خلق و آفرینش است، اطلاق آن در افعال بندگان صحیح نیست و همین احتمالات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حاکم هست، آنگاه نتیجه می‌گیرد، این لفظ در افعال خدا به کار می‌رود و بس</w:t>
      </w:r>
      <w:r>
        <w:rPr>
          <w:rFonts w:eastAsia="IRNazanin" w:cs="IRNazanin"/>
          <w:color w:val="111111"/>
          <w:sz w:val="28"/>
          <w:szCs w:val="28"/>
          <w:rtl w:val="true"/>
          <w:lang w:bidi="fa-IR"/>
        </w:rPr>
        <w:t>.</w:t>
      </w:r>
      <w:bookmarkStart w:id="282" w:name="pg17029_176710"/>
    </w:p>
    <w:p>
      <w:pPr>
        <w:pStyle w:val="BookText"/>
        <w:rPr/>
      </w:pPr>
      <w:bookmarkEnd w:id="282"/>
      <w:r>
        <w:rPr>
          <w:rFonts w:ascii="IRNazanin" w:hAnsi="IRNazanin" w:eastAsia="IRNazanin"/>
          <w:color w:val="111111"/>
          <w:sz w:val="28"/>
          <w:sz w:val="28"/>
          <w:szCs w:val="28"/>
          <w:rtl w:val="true"/>
          <w:lang w:bidi="fa-IR"/>
        </w:rPr>
        <w:t>مؤلف شرح الأساس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قضاء الزام و حکم خدا بر بندگان باشد،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اطاعات به قضای الهی است و اگر مقصود از آن آفرینش باشد،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اطاعات ما است مگر اینکه کسی به فرقۀ مجبّره بپیوندد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الاساس،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دنبالۀ کلام او جز آنچه که از قاضی و غیره نقل کردیم، چیزی نیست</w:t>
      </w:r>
      <w:r>
        <w:rPr>
          <w:rFonts w:eastAsia="IRNazanin" w:cs="IRNazanin"/>
          <w:color w:val="111111"/>
          <w:sz w:val="28"/>
          <w:szCs w:val="28"/>
          <w:rtl w:val="true"/>
          <w:lang w:bidi="fa-IR"/>
        </w:rPr>
        <w:t>.</w:t>
      </w:r>
    </w:p>
    <w:p>
      <w:pPr>
        <w:pStyle w:val="Heading5"/>
        <w:numPr>
          <w:ilvl w:val="4"/>
          <w:numId w:val="1"/>
        </w:numPr>
        <w:rPr/>
      </w:pPr>
      <w:bookmarkStart w:id="283" w:name="__RefHeading___Toc1119750_1738255347"/>
      <w:bookmarkStart w:id="284" w:name="_Toc105"/>
      <w:bookmarkEnd w:id="283"/>
      <w:r>
        <w:rPr>
          <w:rtl w:val="true"/>
        </w:rPr>
        <w:t>دوری معتزله از واقع قضا و قدر</w:t>
      </w:r>
      <w:bookmarkEnd w:id="284"/>
    </w:p>
    <w:p>
      <w:pPr>
        <w:pStyle w:val="BookText"/>
        <w:rPr/>
      </w:pPr>
      <w:r>
        <w:rPr>
          <w:rFonts w:ascii="IRNazanin" w:hAnsi="IRNazanin" w:eastAsia="IRNazanin"/>
          <w:color w:val="111111"/>
          <w:sz w:val="28"/>
          <w:sz w:val="28"/>
          <w:szCs w:val="28"/>
          <w:rtl w:val="true"/>
          <w:lang w:bidi="fa-IR"/>
        </w:rPr>
        <w:t xml:space="preserve">هدف از نقل این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بر آگاهی از دیدگاه معتزله دربارۀ قضاء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اینکه معتزله به خاطر اصل عدل برخی از معارف عقلی و قرآنی را نادیده گرفته، از آن جمله مسئلۀ قضاء و قدر است که در قرآن و بالأخص در روایات به صورت چشم‌گیر وارد شده است و این گروه به گمان منافات میان اصل عدل و اعتقاد به قضاو قدر، مسئلۀ دوّم را از جدول معارف حذف کرده و در تفسیر آن به همان معنی اعلام و اخبار، یا امر به طاعت اکتفا ورزید ه‌اند در حالی که قضاء و قدر که از معارف قرآنی است، ارتباطی به اخبار و اعلام، یا امر به اطاعت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تبیین این اصل به گونه‌ای پیرامون آن به بحث و گفتگو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و قضا در پدیده‌های جهان روشن است ولی شمول تقدیر و قضاء به افعال بندگان نیاز به توضیح دارد</w:t>
      </w:r>
      <w:r>
        <w:rPr>
          <w:rFonts w:eastAsia="IRNazanin" w:cs="IRNazanin"/>
          <w:color w:val="111111"/>
          <w:sz w:val="28"/>
          <w:szCs w:val="28"/>
          <w:rtl w:val="true"/>
          <w:lang w:bidi="fa-IR"/>
        </w:rPr>
        <w:t>.</w:t>
      </w:r>
    </w:p>
    <w:p>
      <w:pPr>
        <w:pStyle w:val="Heading5"/>
        <w:numPr>
          <w:ilvl w:val="4"/>
          <w:numId w:val="1"/>
        </w:numPr>
        <w:rPr/>
      </w:pPr>
      <w:bookmarkStart w:id="285" w:name="__RefHeading___Toc1119752_1738255347"/>
      <w:bookmarkStart w:id="286" w:name="_Toc106"/>
      <w:bookmarkEnd w:id="285"/>
      <w:r>
        <w:rPr>
          <w:rtl w:val="true"/>
        </w:rPr>
        <w:t>تفسیر قدر و قضاء در افعال بندگان</w:t>
      </w:r>
      <w:bookmarkEnd w:id="28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افعال بندگان به دو صورت مورد تعلّق قضاء و قدر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صورت کلی و دوم به صورت جزئی، در صورت نخست مقصود قوانین کلی آفرینش است که بر جهان و افعال انسان، حاکم است و هر انسانی محکوم این قوانین بوده</w:t>
      </w:r>
    </w:p>
    <w:p>
      <w:pPr>
        <w:pStyle w:val="BookText"/>
        <w:rPr/>
      </w:pPr>
      <w:r>
        <w:rPr>
          <w:rFonts w:ascii="IRNazanin" w:hAnsi="IRNazanin" w:eastAsia="IRNazanin"/>
          <w:color w:val="111111"/>
          <w:sz w:val="28"/>
          <w:sz w:val="28"/>
          <w:szCs w:val="28"/>
          <w:rtl w:val="true"/>
          <w:lang w:bidi="fa-IR"/>
        </w:rPr>
        <w:t>و برای او گریزی از آنها نیست، هر چند کلید گزینش هر یک از این قوانین در دست اوست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الهی، بر همه یکسان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این است که هر انسانی، کدامیک از سنتها را برگزیند فرض کنید دیوار عظیمی در حال فرو ریختن است، تقدیر و قضای الهی این است که نشستن زیر آن مایۀ خطر و فرار از آن موجب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سنت، بر همه یکسان حکومت می‌کند، حتی اگر معصوم هم از کنار دیوار مشرف بر انهدام بگذرد، سلامتی او را تهدید می‌کند، همچنانکه اگر یک انسان عادی از درون ندای خرد را بشنود و راه دوم را برگزیند، سلامتی خود را بیمه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دیواری در حال فرو ریختن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فورااز جای خود برخاست و از آن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ناآگاهی به علی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قطعی خدا می‌گریزی؟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قضای خدا به تقدیر او می‌گریزم</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قضاء و قدر به شمارۀ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به تفسیر حدیث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او هر دو را تقدیر کرده است و کلید هر دو را در اخیار من نهاده است و من در انتخاب هر یک از این دو سنت، آزادم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یک‌رشته سنتهای الهی به صورت قضایای شرطیه اشاره کرده که مشعر بر آن است که این سنتها تقدیر و قضای قطعی خداست، ولی قرار گرفتن در پوشش آن در اختیار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آیات اشاره می‌کنیم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اسْتَغْفِرُوا رَبَّکُمْ إِنَّهُ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یُمْدِدْکُمْ بِأَمْوالٍ وَ بَنِینَ وَ یَجْعَلْ لَکُمْ جَنّاتٍ وَ یَجْعَلْ لَکُمْ أَنْهاراً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آمرزش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بخشنده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استغفار کنید ابرهای رحمت خدا را بر سر شما می‌فرستد و شما را با ثروتها و فرزندان کمک می‌کند و برای شما باغها و نهرهایی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جملۀ شرطیه این است که بشر می‌تواند از یکی از این دو راه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استغفار، دیگری ادامۀ گناه و هر کدام برای خود عکس العملی دارد و هر دو متعلق تقدیر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انتخاب آن، در دست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تَأَذَّنَ رَبُّکُمْ لَئِنْ شَکَرْتُمْ لَأَزِیدَنَّکُمْ وَ لَئِنْ کَفَرْتُمْ إِنَّ عَذابِی لَشَدِیدٌ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اعلام کرده است اگر سپاسگزار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خود را در حق شما فزونی می‌بخشد و اگر ناسپاسی کنید، عذاب او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هر دو طرف قضاو قدر به صورت کلّی بیان‌شده است و این که هر دو سنت خداست ولی انتخاب آن در دست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أَنَّ أَهْلَ الْقُری آمَنُوا وَ اتَّقَوْا لَفَتَحْنا عَلَیْهِمْ بَرَکاتٍ مِنَ السَّماءِ وَ الْأَرْضِ وَ لکِنْ کَذَّبُوا فَأَخَذْناهُمْ بِما کانُوا یَکْسِبُونَ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شهری ایمان آوردند و از گناه پرهیز کردند، درهای برکات آسمان و زمین را به روی آنان می‌گشاییم ولی مردم از این در وارد نشدند و این سنت را رها کردند و در پوشش سنت دیگر قرار گرفتند و آن اینکه آیات الهی را تکذیب کردند، آنان را به خاطر اعمالی که انجام می‌دادند، گرفتیم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یُغَیِّرُ ما بِقَوْمٍ حَتّی یُغَیِّرُوا ما بِأَنْفُسِهِمْ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وضع زندگی مردم را دگرگون نمی‌سازد، مگرآنکه قبلا در خود آنها دگرگونی پدید آید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نوع آیات در قرآن، که حاکی از سنتهای کلی الهی است، فراوان به چشم می‌خورد و اعتقاد به چنین تقدیر و قضایی، از انسان، اختیار و آزادی را سلب نمی‌کند، اگر نگوییم که آن را محکمتر و استوارتر می‌سازد و این نوع از سنن الهی بسان دیگر اصول، نتایج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انسان کدام‌یک از آنها را</w:t>
      </w:r>
      <w:bookmarkStart w:id="287" w:name="pg17029_176713"/>
    </w:p>
    <w:p>
      <w:pPr>
        <w:pStyle w:val="BookText"/>
        <w:rPr/>
      </w:pPr>
      <w:bookmarkEnd w:id="287"/>
      <w:r>
        <w:rPr>
          <w:rFonts w:ascii="IRNazanin" w:hAnsi="IRNazanin" w:eastAsia="IRNazanin"/>
          <w:color w:val="111111"/>
          <w:sz w:val="28"/>
          <w:sz w:val="28"/>
          <w:szCs w:val="28"/>
          <w:rtl w:val="true"/>
          <w:lang w:bidi="fa-IR"/>
        </w:rPr>
        <w:t>برگزیند</w:t>
      </w:r>
      <w:r>
        <w:rPr>
          <w:rFonts w:eastAsia="IRNazanin" w:cs="IRNazanin"/>
          <w:color w:val="111111"/>
          <w:sz w:val="28"/>
          <w:szCs w:val="28"/>
          <w:rtl w:val="true"/>
          <w:lang w:bidi="fa-IR"/>
        </w:rPr>
        <w:t>.</w:t>
      </w:r>
    </w:p>
    <w:p>
      <w:pPr>
        <w:pStyle w:val="Heading5"/>
        <w:numPr>
          <w:ilvl w:val="4"/>
          <w:numId w:val="1"/>
        </w:numPr>
        <w:rPr/>
      </w:pPr>
      <w:bookmarkStart w:id="288" w:name="__RefHeading___Toc1119754_1738255347"/>
      <w:bookmarkStart w:id="289" w:name="_Toc107"/>
      <w:bookmarkEnd w:id="288"/>
      <w:r>
        <w:rPr>
          <w:rtl w:val="true"/>
        </w:rPr>
        <w:t>قضاء و قدر به صورت جزئی</w:t>
      </w:r>
      <w:bookmarkEnd w:id="289"/>
    </w:p>
    <w:p>
      <w:pPr>
        <w:pStyle w:val="BookText"/>
        <w:rPr/>
      </w:pPr>
      <w:r>
        <w:rPr>
          <w:rFonts w:ascii="IRNazanin" w:hAnsi="IRNazanin" w:eastAsia="IRNazanin"/>
          <w:color w:val="111111"/>
          <w:sz w:val="28"/>
          <w:sz w:val="28"/>
          <w:szCs w:val="28"/>
          <w:rtl w:val="true"/>
          <w:lang w:bidi="fa-IR"/>
        </w:rPr>
        <w:t>همان‌طور که تمام پدیده‌های جهان برای خود حد و مرزی دارد، همچین کارهای انسان نیز از این حد و مرز که اندازه‌گیری تکوینی است بیرون نیست، تمام افعال ما با یک‌رشته مشخصات قهری همراه است مثلا فعل هر انسانی، فعل امکانی، متصف به حسن و قبح، از مقولۀ طاعت لا معصیت، از جهان ماده یا فوق آن است، همۀ این حدود یک نوع مهندسی و اندازه گیری است که هیچ فعلی از آن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اندازه‌گیری خواه به خدا مستند باشد یا به خود انسان، مایۀ جبر و انحراف از عدل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مهم، تبیین مسئلۀ قضا به معنی ایجاب و الزام الهی است که به صدور فعلی تعلّق می‌گیرد، باید توجه نمود تا صدور شیئ، از فاعلی به حدّ لزوم نرسد، فعل تحقق پیدا نمی‌کندو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ایجاب پدیده هر چند مربوط به خود انسان است ولی این فعل، مانند دیگر افعال او نمی‌تواند بریده از خدا بوده و فقط به خود انسان مستند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 آن این است که در جهان هستی، دو نوع فاعل مستقل وجود داشته باشد، فاعلی که انسان را آفریده و فاعلی که فعل خود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حذف ثنویت چاره‌ای جز این نیست تمام آنچه که از انسان سر می‌زند، حتی ایجاب فعل را به خدا مستند بدانیم و معنی قضای الهی این است که خدا صدور فعل را از انسان حتمی گردانیده، به خاطر حتمیت و الزامی که خود انسان به فعل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 و قضاهای پیشین که جایگاه آنها مظاهر علم خدا، از الواح مجرد، یا برزخی است، هیچگاه سلب کنندۀ اختیار و آزادی نیست زیرا تقدیر و قضای الهی به</w:t>
      </w:r>
    </w:p>
    <w:p>
      <w:pPr>
        <w:pStyle w:val="BookText"/>
        <w:rPr/>
      </w:pPr>
      <w:r>
        <w:rPr>
          <w:rFonts w:ascii="IRNazanin" w:hAnsi="IRNazanin" w:eastAsia="IRNazanin"/>
          <w:color w:val="111111"/>
          <w:sz w:val="28"/>
          <w:sz w:val="28"/>
          <w:szCs w:val="28"/>
          <w:rtl w:val="true"/>
          <w:lang w:bidi="fa-IR"/>
        </w:rPr>
        <w:t>صورت مطلق نیست، بلکه همگی مقید به این هستند که فعل از فاعل خود با ویژگی خاص خود سر بزند، اگر فاعل، فاعل مختار است، تقدیر و قضای الهی این است که در آینده او با چنین ویژگی، مصدر چنین کاری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آنجاکه مسئلۀ قضاء و قدر از اهمیّت فوق العاده‌ای برخوردار است و قضای خدا، و حتمیت بخشیدن او به افعال انسان در نظر گروهی مایۀ جبر می‌باشد حتی گروهی کوشیده‌اند که افعال انسان را از قلمرو قضاء و قدر الهی بیرون ببرند، از این جهت شایسته است، دربارۀ مشکل ارادۀ ازلی که عبارت دیگری از قضای الهی است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در حل مشکل ارادۀ ازلی بسیار مهم و حساس است، شناسایی انواع علل خارجی است و از میان آنها شناسایی دو نوع علّت، اهمیّت شایانی دارد و این دو قسم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علّتی داریم که دارای شعور و ادراک و اختیار واراده است و در انجام عمل مورد نظر خود، مختار و آزاد است مانند انسان و در اصطلاح دانشمندان به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نه‌تنها وجود انسان در فعل او مؤثر است، بلکه اراده و اختیار او نیز از مبادی و علل فعل وی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مختار، علّتی است که دو راه در برابر او وجود دارد واو با کمال آزادی و اختیار یکی را بر دیگری 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دیگر از علل، درست نقطه مقابل آن است یا اصلا فاقد علم و شعور به خود و افعال خویش است و یا ادراک و احساس دارد ولی دارای اختیار واراده نیست و این دسته از علل خواه فاقد شعور باشند یا فاقد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تابش خورشید، رشد و نمو گیاه، از آن عللی است که از فعل و کار خود آگاهی ندارند و طبعا در انجام آن مضطر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و زنبور و مورچه و سایر</w:t>
      </w:r>
      <w:bookmarkStart w:id="290" w:name="pg17029_176715"/>
    </w:p>
    <w:p>
      <w:pPr>
        <w:pStyle w:val="BookText"/>
        <w:rPr/>
      </w:pPr>
      <w:bookmarkEnd w:id="290"/>
      <w:r>
        <w:rPr>
          <w:rFonts w:ascii="IRNazanin" w:hAnsi="IRNazanin" w:eastAsia="IRNazanin"/>
          <w:color w:val="111111"/>
          <w:sz w:val="28"/>
          <w:sz w:val="28"/>
          <w:szCs w:val="28"/>
          <w:rtl w:val="true"/>
          <w:lang w:bidi="fa-IR"/>
        </w:rPr>
        <w:t>جنبدگان اگر چه از کار خودآگاه هستند، امّا عمل آنها صد در صد یک عمل غریزی است که از روی انتخاب و آزادی صورت نمی‌گیرد، بلکه تمام کارهای آنان جلوه غریزه است و ارادی نیست</w:t>
      </w:r>
      <w:r>
        <w:rPr>
          <w:rFonts w:eastAsia="IRNazanin" w:cs="IRNazanin"/>
          <w:color w:val="111111"/>
          <w:sz w:val="28"/>
          <w:szCs w:val="28"/>
          <w:rtl w:val="true"/>
          <w:lang w:bidi="fa-IR"/>
        </w:rPr>
        <w:t>.</w:t>
      </w:r>
    </w:p>
    <w:p>
      <w:pPr>
        <w:pStyle w:val="Heading5"/>
        <w:numPr>
          <w:ilvl w:val="4"/>
          <w:numId w:val="1"/>
        </w:numPr>
        <w:rPr/>
      </w:pPr>
      <w:bookmarkStart w:id="291" w:name="__RefHeading___Toc1119756_1738255347"/>
      <w:bookmarkStart w:id="292" w:name="_Toc108"/>
      <w:bookmarkEnd w:id="291"/>
      <w:r>
        <w:rPr>
          <w:rtl w:val="true"/>
        </w:rPr>
        <w:t>حل مشکل اراده ازلی</w:t>
      </w:r>
      <w:bookmarkEnd w:id="292"/>
    </w:p>
    <w:p>
      <w:pPr>
        <w:pStyle w:val="BookText"/>
        <w:rPr/>
      </w:pPr>
      <w:r>
        <w:rPr>
          <w:rFonts w:ascii="IRNazanin" w:hAnsi="IRNazanin" w:eastAsia="IRNazanin"/>
          <w:color w:val="111111"/>
          <w:sz w:val="28"/>
          <w:sz w:val="28"/>
          <w:szCs w:val="28"/>
          <w:rtl w:val="true"/>
          <w:lang w:bidi="fa-IR"/>
        </w:rPr>
        <w:t>با در نظر گرفتن این دو نوع فاعل، مشکل ارادۀ ازلی که تعبیر دیگری از قضای الهی است، خود به خود حل می‌شود زیرا درست است آنچه که در جهان هستی موجود می‌شود، مورد تعلّق ارادۀ خداوند می‌باشد و خداوند از ازل خواسته است که چنین حوادثی در جهان مثلا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چگونه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وی در ازل بر این تعلّق گرفته که معلول هر پدیده‌ای از علّت ویژه خود صادر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ارادۀ او بر این تعلّق گرفته که آفتاب بدون شعور و درک، اشعۀ خود را بر دشت و دمن بریزد و زنبور و مورچه از روی غریزه وبا حس و شعور، امّا بدون اختیار و آزادی، شیرۀ درختان را بمکد و لانۀ شش گوشه بسازد و همچنین او خواسته است که انسان از روی اراده وبا کمال اختیار و آزادی کارهای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اصل وجود انسان و فعل او مورد خواست خداست، همچنین صفت و قید فعل او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نیز مورد خواست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اراده ازلی، نه‌تنها مخالف آزادی انسان نیست بلکه به نحو روشنی آن را تحکیم و تثبیت می‌کند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همان‌طور که در گذشته مطرح گردیده است، ارادۀ خداوند نافذ و قاطع است و تخلف پذیر نیست و هر چیز را به هر شکلی بخواهد به‌طور قطع به همان نحو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خداوند خواسته است که هر فعلی از علت ویژۀ خود</w:t>
      </w:r>
    </w:p>
    <w:p>
      <w:pPr>
        <w:pStyle w:val="BookText"/>
        <w:rPr/>
      </w:pPr>
      <w:r>
        <w:rPr>
          <w:rFonts w:ascii="IRNazanin" w:hAnsi="IRNazanin" w:eastAsia="IRNazanin"/>
          <w:color w:val="111111"/>
          <w:sz w:val="28"/>
          <w:sz w:val="28"/>
          <w:szCs w:val="28"/>
          <w:rtl w:val="true"/>
          <w:lang w:bidi="fa-IR"/>
        </w:rPr>
        <w:t>صادر گردد، و چون انسان نسبت به افعال خود فاعل مختار و آزاد است، ناچار خواسته است که او عمل خود را از روی انتخاب و اختیار انجام دهد، اگر ار در عمل خود مختار و آزاد باشد، کار خود را از روی اختیار انجام دهد، در این هنگام خواستۀ خدا تحقق پذیرفته است ولی اگر فرض کنیم او کار خود را به‌طور جبر و بدون اختیار انجام دهد در این هنگام کار بر طبق خواستۀ خدا نبوده و خواستۀ او جامۀ هستی نپوشیده است در صورتی که گفته شد ارادۀ وی تخلف‌ناپذیر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تمام پدیده‌های جهان مورد تعلّق ارادۀ خداست و ارادۀ تکوینی خدا بر این تعلّق گرفته است که فعلی از انسان معیّن صادر گردد ولی باید دید ارادۀ خدا به چه تعلّق گرفته است، آیا ارادۀ خداوند بر این تعلّق گرفته که انسان عملی را به هر صورت شده انجام دهد خواه از روی اختیار و خواه از روی جبر و اضطرار، یا این‌که ارادۀ ازلی او بر این تعلّق گرفته که هر معلولی از علّت خاص و ویژه خود صادر گردد؟</w:t>
      </w:r>
    </w:p>
    <w:p>
      <w:pPr>
        <w:pStyle w:val="BookText"/>
        <w:rPr/>
      </w:pPr>
      <w:r>
        <w:rPr>
          <w:rFonts w:ascii="IRNazanin" w:hAnsi="IRNazanin" w:eastAsia="IRNazanin"/>
          <w:color w:val="111111"/>
          <w:sz w:val="28"/>
          <w:sz w:val="28"/>
          <w:szCs w:val="28"/>
          <w:rtl w:val="true"/>
          <w:lang w:bidi="fa-IR"/>
        </w:rPr>
        <w:t xml:space="preserve">دربارۀ انسان که فاعل مرید و مختار است، اراده کرده است که ار فعل خود را اعم از خوب و بد از روی اراده و اختیار با کمال حریّت و آزادی انجام دهد، یک چنین ارادۀ ازلی ته تنها موجب جبر و سلب کنندۀ اختیار نیست بلکه مؤکد آن است، زیرا ارادۀ خداوند نافذ و تخلف پذیر نیست و هر چیزی را به هر نحو و شکلی بخواهد به همان نحو انجام می‌گیرد و چون در باره آنان مختار، ارادۀ آن بر این تعلّق گرفته که وی از روی اراده و اختیار، علّت فعل خود گردد، در این صورت صدور فعل، به جز از طریقی که مورد خواست خداست، محال و ممتنع خواهد بود و میان یک چنین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عمل خود را از روی اختیار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 فرسنگها فاصله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ارادۀ ازلی موجب جبر و رافع اختیار نمی‌گردد بلکه باید در نحوۀ چگونگی تعلّق ارادۀ او دقّت کافی به عمل آورد، سپس قضاوت و داوری</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تمام پدیده‌های جهان از آن جمله فعل انسان از حوزۀ ارادۀ خدا خارج نیست و در قلمرو حکومت او چیزی بدون اراده و خواصّ او انجام نمی‌گیرد و ارادۀ او از ازل بر تحقق پدیده تعلّق گرفته است، ولی آنچه را که خدا از ازل اراده کرده این است که انسان از روی اختیار و آزادی، عملی انجام دهد نه از روی جبر و اضطرار و آنچه که از ازل ارادۀ او به آن تعلّق گرفته است، این است که هر فعلی از مبادی و علل خاص خود صادر گردد، اگر فاعل مضطر است، از ازل خواسته که به اضطرار کار خود را انجام دهد، اگر فاعل آگاه و آزاد است، از روز نخست خواسته است که با کمال آزادی و آگاهانه علّت فعل خود شود، یک چنین ارادۀ ازلی موجب جبر نیست بلکه درست در نقطۀ مقابل جبر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ارادۀ ازلی خداوند در یک صورت مستلزم جبر است و در یک صورت مؤید اختیار، هرگاه بگوییم ارادۀ خدا بر این تعلّق گرفته است که هر پدیده‌ای از مبدأ خود بدون اراده و اختیار سر بزند، در این صورت وجود چین ارادۀ ازلی موجب جبری‌گری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هرگاه جهان را جهان اسباب و مسببات بدانیم و برای هر پدیده‌ای یک علّت خاص در نظر بگیریم و در میان علل، انسان را فاعل مختار بدانیم و بگوییم که خواستۀ خدا از ازل این بود که هر معلولی از علّت ویژۀ خود صادر گردد و فعل انسانی از وی با کمال آزادی و نهایت اختیار سر زند، در این صورت میان یک چنین ارادۀ ازلی و مسئلۀ جبری‌گری صدها فرسنگ فاصله وجود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293" w:name="pg17029_176719"/>
    </w:p>
    <w:p>
      <w:pPr>
        <w:pStyle w:val="Heading3"/>
        <w:numPr>
          <w:ilvl w:val="2"/>
          <w:numId w:val="1"/>
        </w:numPr>
        <w:rPr/>
      </w:pPr>
      <w:bookmarkStart w:id="294" w:name="__RefHeading___Toc1119758_1738255347"/>
      <w:bookmarkStart w:id="295" w:name="_Toc109"/>
      <w:bookmarkEnd w:id="293"/>
      <w:bookmarkEnd w:id="294"/>
      <w:r>
        <w:rPr>
          <w:rtl w:val="true"/>
        </w:rPr>
        <w:t xml:space="preserve">* </w:t>
      </w:r>
      <w:r>
        <w:rPr>
          <w:rtl w:val="true"/>
        </w:rPr>
        <w:t xml:space="preserve">اصل سوم </w:t>
      </w:r>
      <w:r>
        <w:rPr>
          <w:rtl w:val="true"/>
        </w:rPr>
        <w:t>*</w:t>
      </w:r>
      <w:bookmarkEnd w:id="295"/>
    </w:p>
    <w:p>
      <w:pPr>
        <w:pStyle w:val="Heading4"/>
        <w:numPr>
          <w:ilvl w:val="3"/>
          <w:numId w:val="1"/>
        </w:numPr>
        <w:rPr/>
      </w:pPr>
      <w:bookmarkStart w:id="296" w:name="__RefHeading___Toc1119760_1738255347"/>
      <w:bookmarkStart w:id="297" w:name="_Toc110"/>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وعد و وعید</w:t>
      </w:r>
    </w:p>
    <w:p>
      <w:pPr>
        <w:pStyle w:val="BookText"/>
        <w:rPr/>
      </w:pPr>
      <w:r>
        <w:rPr>
          <w:rFonts w:ascii="IRNazanin" w:hAnsi="IRNazanin" w:eastAsia="IRNazanin"/>
          <w:color w:val="111111"/>
          <w:sz w:val="28"/>
          <w:sz w:val="28"/>
          <w:szCs w:val="28"/>
          <w:rtl w:val="true"/>
          <w:lang w:bidi="fa-IR"/>
        </w:rPr>
        <w:t>سومین اصل از اصول پنجگانه معتزله اصل وعد و وعید است که اموری از آن استنباط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 از گنهکاران در صورت عدم توبه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جاودانگی گنهکار در آتش در صورتی که بدون توبه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اولیاء از آن مطیعان است نه عاصیان و به معنی ترفیع درجه است، نه بخشودگی گناه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احباط و تکفیر نزد معتزله و دیگر مذاهب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و وعید وعد و وعید یا نوید و بیم</w:t>
      </w:r>
    </w:p>
    <w:p>
      <w:pPr>
        <w:pStyle w:val="BookText"/>
        <w:rPr/>
      </w:pPr>
      <w:r>
        <w:rPr>
          <w:rFonts w:ascii="IRNazanin" w:hAnsi="IRNazanin" w:eastAsia="IRNazanin"/>
          <w:color w:val="111111"/>
          <w:sz w:val="28"/>
          <w:sz w:val="28"/>
          <w:szCs w:val="28"/>
          <w:rtl w:val="true"/>
          <w:lang w:bidi="fa-IR"/>
        </w:rPr>
        <w:t>سومین اصل از اصول پنجگانۀ معتزله، اصل وعد و وعید است که از آن به تبشیر و انذار و یا نوید و بیم تعبیر می‌آورند و گاهی مجازا</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وعد، نوید به ثواب است نه خود آن و همچنین وعید بیم از عقاب است نه خود آن، از این جهت گفته شد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ثواب و عقاب و یا پاداش و کیفر به کار می‌رود و این اصل موضوع یک رشته مسائلی است که بخشی از آنها از اختصاصات معتزله بوده و بخش دیگر از آن همه متکلمان می‌باشد، مسائلی که اختصاص به این گروه ندارد،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فرمانبرداری و یا نافرمانی فقط مایۀ ستایش و یا نکوهش است یا سبب استحقاق پاداش و کیفر نیز هست، و به عبارت دیگر آیا فقط سبب مدح و ذمّ است یا مایۀ پاداش و کیفر نیز می‌باشد؟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استحقاق بر هر یک از این امور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پاداش جنبۀ استحقاقی دارد یا تفضلی است از جانب خدا؟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استحقاق آیا حاکم بر آن عقل است یا شرع؟</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همۀ معاصی کبیره است، یا گناهان به کبیره و صغیره تقسیم می‌شوند؟</w:t>
      </w:r>
    </w:p>
    <w:p>
      <w:pPr>
        <w:pStyle w:val="BookText"/>
        <w:rPr/>
      </w:pPr>
      <w:r>
        <w:rPr>
          <w:rFonts w:ascii="IRNazanin" w:hAnsi="IRNazanin" w:eastAsia="IRNazanin"/>
          <w:color w:val="111111"/>
          <w:sz w:val="28"/>
          <w:sz w:val="28"/>
          <w:szCs w:val="28"/>
          <w:rtl w:val="true"/>
          <w:lang w:bidi="fa-IR"/>
        </w:rPr>
        <w:t>اینها یک‌رشته مسائلی است که همۀ متکلمان اسلامی دربارۀ آن بحث و گفتگو دارند و در این مورد، معتزلی و اشعری یکسانند و هرگز رویاروی یکدیگر قرار نگرفته‌اند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معتزله بر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یک‌رشته اصولی را مترتب کرده‌اند که از این طریق با دیگر مکاتب فاصله گرفته‌اند و در حقیقت اصل وعد و وعید رمز آنهاست و این دو لفظ در این مکتب کنایه از اصولی است که معتزله در مورد ثواب و عقاب برگزیده‌اند، اینک به این اصول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 از گناهکاران در صورت عدم توبه، در نزد خرد قبیح و زشت است و یک نوع تخلف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مرتکب گناه کبیره در صورتی که بدون توبه بمیرد، در آتش دوزخ مخلّد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مرتکب گناه کبیره در آتش جاودانه است، شفاعتی که قرآن و سنت از آن گزارش می‌دهد راجع به گروه مطیع است نه 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فرمانبرداری در سقوط عقاب و همچنین نافرمانی در نابودی ثواب مؤثر است یا نه، اولی را تکفیر، دومی را احباط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در این مسأله جانب نفی را گرفته و طاعت را در سقوط عقاب و گناه را در نابودی ثواب مؤثر نمی‌دانند و به اصطلاح، تکفیر و احباط را منکرند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وقت آن رسیده است که هریک از این مسائل چهارگانه را مورد بررسی قرار دهیم</w:t>
      </w:r>
      <w:r>
        <w:rPr>
          <w:rFonts w:eastAsia="IRNazanin" w:cs="IRNazanin"/>
          <w:color w:val="111111"/>
          <w:sz w:val="28"/>
          <w:szCs w:val="28"/>
          <w:rtl w:val="true"/>
          <w:lang w:bidi="fa-IR"/>
        </w:rPr>
        <w:t>:</w:t>
      </w:r>
      <w:bookmarkStart w:id="298" w:name="pg17029_176723"/>
    </w:p>
    <w:p>
      <w:pPr>
        <w:pStyle w:val="Heading4"/>
        <w:numPr>
          <w:ilvl w:val="3"/>
          <w:numId w:val="1"/>
        </w:numPr>
        <w:rPr/>
      </w:pPr>
      <w:bookmarkStart w:id="299" w:name="__RefHeading___Toc1119762_1738255347"/>
      <w:bookmarkStart w:id="300" w:name="_Toc111"/>
      <w:bookmarkEnd w:id="298"/>
      <w:bookmarkEnd w:id="299"/>
      <w:r>
        <w:rPr>
          <w:rtl w:val="true"/>
        </w:rPr>
        <w:t>ثمرات اصل سوم</w:t>
      </w:r>
      <w:r>
        <w:rPr>
          <w:rtl w:val="true"/>
        </w:rPr>
        <w:t xml:space="preserve">: </w:t>
      </w:r>
      <w:r>
        <w:rPr>
          <w:rtl w:val="true"/>
        </w:rPr>
        <w:t>وعد و وعید</w:t>
      </w:r>
      <w:bookmarkEnd w:id="300"/>
    </w:p>
    <w:p>
      <w:pPr>
        <w:pStyle w:val="Heading5"/>
        <w:numPr>
          <w:ilvl w:val="4"/>
          <w:numId w:val="1"/>
        </w:numPr>
        <w:rPr/>
      </w:pPr>
      <w:bookmarkStart w:id="301" w:name="__RefHeading___Toc1119764_1738255347"/>
      <w:bookmarkStart w:id="302" w:name="_Toc112"/>
      <w:bookmarkEnd w:id="301"/>
      <w:r>
        <w:rPr>
          <w:rtl w:val="true"/>
        </w:rPr>
        <w:t>اشاره</w:t>
      </w:r>
      <w:bookmarkEnd w:id="302"/>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عفو از گنهکاران در صورت عدم توبه</w:t>
      </w:r>
    </w:p>
    <w:p>
      <w:pPr>
        <w:pStyle w:val="BookText"/>
        <w:rPr/>
      </w:pPr>
      <w:r>
        <w:rPr>
          <w:rFonts w:ascii="IRNazanin" w:hAnsi="IRNazanin" w:eastAsia="IRNazanin"/>
          <w:color w:val="111111"/>
          <w:sz w:val="28"/>
          <w:sz w:val="28"/>
          <w:szCs w:val="28"/>
          <w:rtl w:val="true"/>
          <w:lang w:bidi="fa-IR"/>
        </w:rPr>
        <w:t>اعتزال مکتب کلامی است که در بغداد و بصره رشد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گروه هر چند نقطه نظرهای متحد فراوانی دارند ولی در برخی از مسائل با هم اختلاف نظر دارند که یکی همین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معتزلۀ بغداد بر منع جواز عفو تأکید می‌کنند، در حالی که معتزلۀ بصره عفو مجرمان را جایز دانسته و آن را تخلف قبیح تلقی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از گروه نخست است که عقاب مجرم را امری الزامی می‌دانند و ترک مؤاخذه را قبیح تلقی می‌کنند، در حالی که پاداش مطیع را امر الزامی نمی‌دانند و آن را از نتایج جود و احسان خدا می‌شمارند و می‌گویند استحقاقی در کار نیست، در حالی که ثواب و عقاب هر دو قرین یکدیگرند و طبعا حکم واحدی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معتزلۀ بصره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مجرم حق خداست در این صورت زمام کار در دست صاحب حق است، خواست از آن بهره می‌گیرد و نخواست آن را رها می‌کند و در حقیقت عقاب گنهکار حکم دین را دارد و طلبکار می‌تواند آن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بغدادیها که از طرفداران سر سخت لزوم مؤاخذۀ مجرمند، بر نظریۀ خود با اموری استدلال کرده‌اند که به صورت موجز ارائه می‌شود</w:t>
      </w:r>
      <w:r>
        <w:rPr>
          <w:rFonts w:eastAsia="IRNazanin" w:cs="IRNazanin"/>
          <w:color w:val="111111"/>
          <w:sz w:val="28"/>
          <w:szCs w:val="28"/>
          <w:rtl w:val="true"/>
          <w:lang w:bidi="fa-IR"/>
        </w:rPr>
        <w:t>.</w:t>
      </w:r>
    </w:p>
    <w:p>
      <w:pPr>
        <w:pStyle w:val="Heading5"/>
        <w:numPr>
          <w:ilvl w:val="4"/>
          <w:numId w:val="1"/>
        </w:numPr>
        <w:rPr/>
      </w:pPr>
      <w:bookmarkStart w:id="303" w:name="__RefHeading___Toc1119766_1738255347"/>
      <w:bookmarkStart w:id="304" w:name="_Toc113"/>
      <w:bookmarkEnd w:id="303"/>
      <w:r>
        <w:rPr>
          <w:rtl w:val="true"/>
        </w:rPr>
        <w:t>ادلۀ معتزله در اثبات این لزوم و نقد آنها</w:t>
      </w:r>
      <w:bookmarkEnd w:id="304"/>
    </w:p>
    <w:p>
      <w:pPr>
        <w:pStyle w:val="Heading6"/>
        <w:numPr>
          <w:ilvl w:val="5"/>
          <w:numId w:val="1"/>
        </w:numPr>
        <w:rPr/>
      </w:pPr>
      <w:bookmarkStart w:id="305" w:name="__RefHeading___Toc1119768_1738255347"/>
      <w:bookmarkStart w:id="306" w:name="_Toc114"/>
      <w:bookmarkEnd w:id="305"/>
      <w:r>
        <w:rPr/>
        <w:t>1</w:t>
      </w:r>
      <w:r>
        <w:rPr>
          <w:rtl w:val="true"/>
        </w:rPr>
        <w:t xml:space="preserve"> - </w:t>
      </w:r>
      <w:r>
        <w:rPr>
          <w:rtl w:val="true"/>
        </w:rPr>
        <w:t>عقاب مقتضای لطف است</w:t>
      </w:r>
      <w:bookmarkEnd w:id="30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عقاب بندگان لطفی است از جانب خدای تکلیف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مکلف</w:t>
      </w:r>
    </w:p>
    <w:p>
      <w:pPr>
        <w:pStyle w:val="BookText"/>
        <w:rPr/>
      </w:pPr>
      <w:r>
        <w:rPr>
          <w:rFonts w:ascii="IRNazanin" w:hAnsi="IRNazanin" w:eastAsia="IRNazanin"/>
          <w:color w:val="111111"/>
          <w:sz w:val="28"/>
          <w:sz w:val="28"/>
          <w:szCs w:val="28"/>
          <w:rtl w:val="true"/>
          <w:lang w:bidi="fa-IR"/>
        </w:rPr>
        <w:t>دانست که خدا او را بر عصیان و گناه حتما مؤاخذه خواهد کرد، به انجام واجب و ترک حرام نزدیک می‌شود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 الجبار، شرح اصول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در منطق معتزله، عملی است که بندگان را به ادای واجب و دوری از گناه نزدیک می‌سازد و طبعا جایگاه آن همین دنیاست نه آخرت، بنابراین،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است از جانب خدا، معنی صحیح ندارد و شاید مقصود او همان جمله‌ای است که در آخر گفتارش آمده است و آن این که انذار و بیم بر نافرمانی، لطف الهی است که مایۀ قرب بندگان به انجام واجبات و ترک محرمات می‌گردد و بیم و انذار در صورتی مؤثر می‌افتد که مکلف بداند که عفو و گذشتی در کار نیست و در غیر این صورت تأثیر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نقضا و حلّا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منطق صحیح باشد باید توبه مشروع نباشد؛ زیرا اگر مکلف بداند که توبۀ او پذیرفته نیست کمتر به گرد گناه می‌گردد یا واجبی را ترک می‌نماید و اعلام عفو از طریق توبه نقش انذار و بیم را کمرنگ کرده و اثر آن را خنثی می‌سازد گذشته از این، جواز عفو غیر لزوم آن است، چیزی که اثر بیم و انذار را خنثی می‌سازد دوّمی است نه اوّلی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بیم و انذار در باز داری انسان از گناه و نافرمانی مؤثر است، رجا و باز بودن روزنۀ امید نیز در کاهش گناه تأثیر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مأیوس از سعادت خویش برای انجام هر نوع خلافی آماده می‌باشند و چیزی را برای خود رادع و مانع نمی‌انگارند، از این جهت از نظر تربیتی باید انسان میان خوف ورجا زندگی کند، نه برای او چراغ سبز روشن کنند تا هر چه دلش بخواهد انجام دهد و نه از سعادت</w:t>
      </w:r>
      <w:bookmarkStart w:id="307" w:name="pg17029_176725"/>
    </w:p>
    <w:p>
      <w:pPr>
        <w:pStyle w:val="BookText"/>
        <w:rPr/>
      </w:pPr>
      <w:bookmarkEnd w:id="307"/>
      <w:r>
        <w:rPr>
          <w:rFonts w:ascii="IRNazanin" w:hAnsi="IRNazanin" w:eastAsia="IRNazanin"/>
          <w:color w:val="111111"/>
          <w:sz w:val="28"/>
          <w:sz w:val="28"/>
          <w:szCs w:val="28"/>
          <w:rtl w:val="true"/>
          <w:lang w:bidi="fa-IR"/>
        </w:rPr>
        <w:t>خویش محروم گردد، یا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آب از سرگذشت چه یک وجب و چه صد رجب، اکنون که من محکوم به عقاب و کیفرم، چرا دلگر خواسته‌های نفسانی خود را انجام ندهم</w:t>
      </w:r>
      <w:r>
        <w:rPr>
          <w:rFonts w:eastAsia="IRNazanin" w:cs="IRNazanin"/>
          <w:color w:val="111111"/>
          <w:sz w:val="28"/>
          <w:szCs w:val="28"/>
          <w:rtl w:val="true"/>
          <w:lang w:bidi="fa-IR"/>
        </w:rPr>
        <w:t>.</w:t>
      </w:r>
    </w:p>
    <w:p>
      <w:pPr>
        <w:pStyle w:val="Heading6"/>
        <w:numPr>
          <w:ilvl w:val="5"/>
          <w:numId w:val="1"/>
        </w:numPr>
        <w:rPr/>
      </w:pPr>
      <w:bookmarkStart w:id="308" w:name="__RefHeading___Toc1119770_1738255347"/>
      <w:bookmarkStart w:id="309" w:name="_Toc115"/>
      <w:bookmarkEnd w:id="308"/>
      <w:r>
        <w:rPr/>
        <w:t>2</w:t>
      </w:r>
      <w:r>
        <w:rPr>
          <w:rtl w:val="true"/>
        </w:rPr>
        <w:t xml:space="preserve"> - </w:t>
      </w:r>
      <w:r>
        <w:rPr>
          <w:rtl w:val="true"/>
        </w:rPr>
        <w:t>تجویز عفو، تخلف است</w:t>
      </w:r>
      <w:bookmarkEnd w:id="309"/>
    </w:p>
    <w:p>
      <w:pPr>
        <w:pStyle w:val="BookText"/>
        <w:rPr/>
      </w:pPr>
      <w:r>
        <w:rPr>
          <w:rFonts w:ascii="IRNazanin" w:hAnsi="IRNazanin" w:eastAsia="IRNazanin"/>
          <w:color w:val="111111"/>
          <w:sz w:val="28"/>
          <w:sz w:val="28"/>
          <w:szCs w:val="28"/>
          <w:rtl w:val="true"/>
          <w:lang w:bidi="fa-IR"/>
        </w:rPr>
        <w:t>خداوند مرتکب گناه کبیره را وعدۀ عقاب داده است، عفو از گنهکار نوعی تخلف در وعده و دروغ در گزارش است و هر دو بر خدا محال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عقاید عضدی،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از دو راه پاسخ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 و وعید الهی ممکن است مشروط به شروطی باشد که عدم تحقق آنها مجوز ترک عقاب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 الهی اگر مطلق بود و دارای شرطی نبود، در این صورت عفو، نوعی تخلف محسوب می‌شد ولی اگر مشروط به شرط و یا شروطی باشد، در این صورت ترک شروط به خاطر عدم تحقق شرط، تخلف به حساب نمی‌آید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این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قائلان به جواز عفو این نیست که عفو الهی حتما شامل حال مجرمان می‌باشد، بلکه مدعای آنان امکان عفو و تجویز آن در مقابل ادعای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کافی است که احتمال بدهیم برخی و یا تمام وعیدهای الهی مشروط به شروطی باشند تا در صورت فقدان شرط، به خاطر نبودن موضوع، عفو در نظر عقل، تخلف حساب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مدعا لزوم عفو بود، در این صورت جواب یاد شده کافی نبود زیرا از کجا معلوم که همۀ وعیدهای الهی مشروط بوده و مطلق نمی‌باشد و ناگفته پیداست که ترک عمل به وعید</w:t>
      </w:r>
      <w:bookmarkStart w:id="310" w:name="pg17029_176726"/>
    </w:p>
    <w:p>
      <w:pPr>
        <w:pStyle w:val="BookText"/>
        <w:rPr/>
      </w:pPr>
      <w:bookmarkEnd w:id="310"/>
      <w:r>
        <w:rPr>
          <w:rFonts w:ascii="IRNazanin" w:hAnsi="IRNazanin" w:eastAsia="IRNazanin"/>
          <w:color w:val="111111"/>
          <w:sz w:val="28"/>
          <w:sz w:val="28"/>
          <w:szCs w:val="28"/>
          <w:rtl w:val="true"/>
          <w:lang w:bidi="fa-IR"/>
        </w:rPr>
        <w:t>مطلق، در نزد خرد زشت و نازیباست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دیگر این‌که میان وعد و وعید تفاوت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عمل به وعده در نظر خرد زشت و نازیبا و ترک عمل به وعید نه‌تنها قبیح نیست، بلکه در مواردی مستحسن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انس بن مالک پیامبر صلّی الله علیه و آله و سلم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وعده الله علی عمله ثوابا فهو منجز له ومن أوعده علی عمله عقابا فهو فی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 انجام عملی وعدۀ پاداش دهد، او حتما عمل خواهد کرد و اگر بیم داد، او در انجام آن مختار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دوانی، شرح عقاید عضدیه،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انس خبر واحدی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حکم خرد بر قبح تخلف، وعد و وعید نمی‌تواند مخصص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در این مورد فهم حکم خرد است و آن این‌که آیا میان وعد و وعید در نظر خرد فرقی هست یا نه، آیا خرد عفو از مجرم را در شرایطی که مایۀ تجری دیگران نگردد، بسان تخلف از وعده می‌داند یا میان این دو قائل به فرق است و تخلف در مورد پاداش را یک نوع نامردی تلقی می‌کند و عفو از مجرم را نشانۀ نهایت سعۀ صدر می‌داند و تفاوت این دو در این جا است که ترک عمل به وعده، نادیده گرفتن حقوق دیگران است درحالی‌که ترک عمل به تهدید، جز اسقاط حق چیزی نیست</w:t>
      </w:r>
      <w:r>
        <w:rPr>
          <w:rFonts w:eastAsia="IRNazanin" w:cs="IRNazanin"/>
          <w:color w:val="111111"/>
          <w:sz w:val="28"/>
          <w:szCs w:val="28"/>
          <w:rtl w:val="true"/>
          <w:lang w:bidi="fa-IR"/>
        </w:rPr>
        <w:t>.</w:t>
      </w:r>
    </w:p>
    <w:p>
      <w:pPr>
        <w:pStyle w:val="Heading6"/>
        <w:numPr>
          <w:ilvl w:val="5"/>
          <w:numId w:val="1"/>
        </w:numPr>
        <w:rPr/>
      </w:pPr>
      <w:bookmarkStart w:id="311" w:name="__RefHeading___Toc1119772_1738255347"/>
      <w:bookmarkStart w:id="312" w:name="_Toc116"/>
      <w:bookmarkEnd w:id="311"/>
      <w:r>
        <w:rPr/>
        <w:t>3</w:t>
      </w:r>
      <w:r>
        <w:rPr>
          <w:rtl w:val="true"/>
        </w:rPr>
        <w:t xml:space="preserve"> - </w:t>
      </w:r>
      <w:r>
        <w:rPr>
          <w:rtl w:val="true"/>
        </w:rPr>
        <w:t>تجویز عفو مایۀ جرأت است</w:t>
      </w:r>
      <w:bookmarkEnd w:id="31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تجویز عفو مجرم یک نوع دعوت به گناه و اغراء به فعل قبیح است، زیرا مجرم در این صورت به اعتماد عفو مرتکب گناه می‌گردد، نتیجه این‌که مؤاخذه باز دارنده از گناه است و عفو از گناه مجرم، یک نوع ایجاد برابری میان مطیع و عاصی است که</w:t>
      </w:r>
    </w:p>
    <w:p>
      <w:pPr>
        <w:pStyle w:val="BookText"/>
        <w:rPr/>
      </w:pPr>
      <w:r>
        <w:rPr>
          <w:rFonts w:ascii="IRNazanin" w:hAnsi="IRNazanin" w:eastAsia="IRNazanin"/>
          <w:color w:val="111111"/>
          <w:sz w:val="28"/>
          <w:sz w:val="28"/>
          <w:szCs w:val="28"/>
          <w:rtl w:val="true"/>
          <w:lang w:bidi="fa-IR"/>
        </w:rPr>
        <w:t>با عدل الهی سازگار نیست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صبحی صالح، علم الکلام قسم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دلیل یاد شده را از کتاب الارشاد جوینی اخذ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از بیان گذشته روشن می‌گردد زیرا دعوت به گناه در صورتی انجام می‌گیرد که بخشودگی امر حتمی باشد نه احتمالی و اگر این گفتار صحیح باشد، باید تشریع توبه و شفاعت نیز دارای چنین سرنوشتی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مساوات میان مطیع و عاصی در صورتی است که عاصی نیز بسان مطیع دارای پاداش باشد، در صورتی که جریان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در مواردی ممکن است معاقب باشد نه مثاب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سیان مرجئه وراجیه تفاوت آشکاری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عفو الهی را امر حتمی دانسته و به ایمان قلبی اکتفا می‌ورزند وبا عمل سر و کاری ندارند و لذا این گروه را مرجئه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ایمان را جلو انداخته و به عمل اهمیت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مرجئه مشتق از ارجی، یرجی به معنی أخّر یؤخّر است و اینان گروهی هستند که ایمان را جلو و عمل را عقب می‌افکنند، یعنی با عمل سروکار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جایگاه مخالفان معتزله در این مسأله جایگاه امید ورجا و به اصطلاح، گروه راجیه یعنی امیدوار می‌باشند، در مکتب مخالفان، گنهکاران از قهر الهی بیمناکند ولی از رحمت او مأیوس نمی‌باشند و به خاطر همین امید به عفو، گاهی برای حفظ رابطۀ خود با مقام ربوبی از بخشی از گناهان خودداری می‌کنند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حال طایفۀ امامیه در این جا با معتزله مخالف بوده وبا سایر فرق اسلامی هم‌فکر می‌باشند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مستلزم کذب در گفتار نیست زیرا اگر بیم به صورت انشاء انجام بگیرد، انشاء به کذب و صدق متصف نمی‌شود و اگر به صورت اخبار باشد ممکن است عدم عمل به خاطر فقدان شرطی باشد و ترک عمل در این حالت به خاطر فقدان شرط، کذب محسوب نمی‌گردد</w:t>
      </w:r>
      <w:r>
        <w:rPr>
          <w:rFonts w:eastAsia="IRNazanin" w:cs="IRNazanin"/>
          <w:color w:val="111111"/>
          <w:sz w:val="28"/>
          <w:szCs w:val="28"/>
          <w:rtl w:val="true"/>
          <w:lang w:bidi="fa-IR"/>
        </w:rPr>
        <w:t>.</w:t>
      </w:r>
      <w:bookmarkStart w:id="313" w:name="pg17029_176729"/>
    </w:p>
    <w:p>
      <w:pPr>
        <w:pStyle w:val="Heading4"/>
        <w:numPr>
          <w:ilvl w:val="3"/>
          <w:numId w:val="1"/>
        </w:numPr>
        <w:rPr/>
      </w:pPr>
      <w:bookmarkStart w:id="314" w:name="__RefHeading___Toc1119774_1738255347"/>
      <w:bookmarkStart w:id="315" w:name="_Toc117"/>
      <w:bookmarkEnd w:id="313"/>
      <w:bookmarkEnd w:id="314"/>
      <w:r>
        <w:rPr>
          <w:rtl w:val="true"/>
        </w:rPr>
        <w:t>ثمرات اصل سوم</w:t>
      </w:r>
      <w:r>
        <w:rPr>
          <w:rtl w:val="true"/>
        </w:rPr>
        <w:t xml:space="preserve">: </w:t>
      </w:r>
      <w:r>
        <w:rPr>
          <w:rtl w:val="true"/>
        </w:rPr>
        <w:t>وعد و وعید</w:t>
      </w:r>
      <w:bookmarkEnd w:id="315"/>
    </w:p>
    <w:p>
      <w:pPr>
        <w:pStyle w:val="Heading5"/>
        <w:numPr>
          <w:ilvl w:val="4"/>
          <w:numId w:val="1"/>
        </w:numPr>
        <w:rPr/>
      </w:pPr>
      <w:bookmarkStart w:id="316" w:name="__RefHeading___Toc1119776_1738255347"/>
      <w:bookmarkStart w:id="317" w:name="_Toc118"/>
      <w:bookmarkEnd w:id="316"/>
      <w:r>
        <w:rPr>
          <w:rtl w:val="true"/>
        </w:rPr>
        <w:t>اشاره</w:t>
      </w:r>
      <w:bookmarkEnd w:id="317"/>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گنهکاران و جاودانگی در آتش</w:t>
      </w:r>
    </w:p>
    <w:p>
      <w:pPr>
        <w:pStyle w:val="BookText"/>
        <w:rPr/>
      </w:pPr>
      <w:r>
        <w:rPr>
          <w:rFonts w:ascii="IRNazanin" w:hAnsi="IRNazanin" w:eastAsia="IRNazanin"/>
          <w:color w:val="111111"/>
          <w:sz w:val="28"/>
          <w:sz w:val="28"/>
          <w:szCs w:val="28"/>
          <w:rtl w:val="true"/>
          <w:lang w:bidi="fa-IR"/>
        </w:rPr>
        <w:t xml:space="preserve">از مسائل مربوط به اصل سوم از اصول معتزله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مسألۀ جاودانگی گنهکاران در آتش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مجرمانی که بدون توبه، جهان را ترک کرده و سر در نقاب خاک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و اشاعره معتقدند که جاودانگی در آتش از ویژگیهای کافران است، گنهکار مسلمان، جز در موارد انگشت‌شماری که بعدا متذکر می‌شویم، پس از مدتی از آتش خارج شده و روانۀ بهشت می‌شوند، در حالی که معتزله جاودانگی در آتش را گسترش داده و میان کافر و مسلمان مرتکب کبیره که موفق به توبه نشده است، فرقی قائل نشده‌اند</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مورد به یک‌رشته آیات چنگ انداخته‌اند که با ملاحظۀ سیاق آنها نا استواری استدلالشان کاملا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ارائۀ نمونه‌هایی، برخی را متذکر می‌شویم</w:t>
      </w:r>
      <w:r>
        <w:rPr>
          <w:rFonts w:eastAsia="IRNazanin" w:cs="IRNazanin"/>
          <w:color w:val="111111"/>
          <w:sz w:val="28"/>
          <w:szCs w:val="28"/>
          <w:rtl w:val="true"/>
          <w:lang w:bidi="fa-IR"/>
        </w:rPr>
        <w:t>.</w:t>
      </w:r>
    </w:p>
    <w:p>
      <w:pPr>
        <w:pStyle w:val="Heading5"/>
        <w:numPr>
          <w:ilvl w:val="4"/>
          <w:numId w:val="1"/>
        </w:numPr>
        <w:rPr/>
      </w:pPr>
      <w:bookmarkStart w:id="318" w:name="__RefHeading___Toc1119778_1738255347"/>
      <w:bookmarkStart w:id="319" w:name="_Toc119"/>
      <w:bookmarkEnd w:id="318"/>
      <w:r>
        <w:rPr>
          <w:rtl w:val="true"/>
        </w:rPr>
        <w:t>تحلیل دلائل قائلان به خلود گنهکاران در آتش</w:t>
      </w:r>
      <w:bookmarkEnd w:id="319"/>
    </w:p>
    <w:p>
      <w:pPr>
        <w:pStyle w:val="Heading6"/>
        <w:numPr>
          <w:ilvl w:val="5"/>
          <w:numId w:val="1"/>
        </w:numPr>
        <w:rPr/>
      </w:pPr>
      <w:bookmarkStart w:id="320" w:name="__RefHeading___Toc1119780_1738255347"/>
      <w:bookmarkStart w:id="321" w:name="_Toc120"/>
      <w:bookmarkEnd w:id="320"/>
      <w:r>
        <w:rPr>
          <w:rtl w:val="true"/>
        </w:rPr>
        <w:t>آیۀ نخست</w:t>
      </w:r>
      <w:bookmarkEnd w:id="32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یَعْصِ اللّهَ وَ رَسُولَهُ وَ یَتَعَدَّ حُدُودَهُ یُدْخِلْهُ ناراً خالِداً فِیها وَ لَهُ عَذابٌ مُهِینٌ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bookmarkStart w:id="322" w:name="pg17029_176730"/>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خدا و رسول او را نافرمانی کند و از حدودی که مقرر شده است تعدی نماید، او را وارد آتش می‌کنند، در حالی که جاودانه در آنجاست و برای اوست عذاب خوارکننده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فرد فاسق هر چند مسلمان باشد، از کسانی است که خدا و پیامبر او را نافرمانی کرده است و به حکم آیه باید در آتش مخلد باشد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6"/>
        <w:numPr>
          <w:ilvl w:val="5"/>
          <w:numId w:val="1"/>
        </w:numPr>
        <w:rPr/>
      </w:pPr>
      <w:bookmarkStart w:id="323" w:name="__RefHeading___Toc1119782_1738255347"/>
      <w:bookmarkStart w:id="324" w:name="_Toc121"/>
      <w:bookmarkEnd w:id="323"/>
      <w:r>
        <w:rPr>
          <w:rtl w:val="true"/>
        </w:rPr>
        <w:t>پاسخ</w:t>
      </w:r>
      <w:bookmarkEnd w:id="324"/>
    </w:p>
    <w:p>
      <w:pPr>
        <w:pStyle w:val="BookText"/>
        <w:rPr/>
      </w:pPr>
      <w:r>
        <w:rPr>
          <w:rFonts w:ascii="IRNazanin" w:hAnsi="IRNazanin" w:eastAsia="IRNazanin"/>
          <w:color w:val="111111"/>
          <w:sz w:val="28"/>
          <w:sz w:val="28"/>
          <w:szCs w:val="28"/>
          <w:rtl w:val="true"/>
          <w:lang w:bidi="fa-IR"/>
        </w:rPr>
        <w:t>دقت در سیاق آیه و جملۀ وَ یَتَعَدَّ حُدُودَهُ نا استواری استدلال را روشن می‌سازد، زیرا آیه جاودانگی در آتش را از آن کسانی می‌داند که دو ویژگی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 و رسول او را نافرمانی کنند وَ مَنْ یَعْصِ اللّهَ وَ رَسُولَهُ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تمام حدود مقرر شده تعدی کنند وَ یَتَعَدَّ حُدُودَهُ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جملۀ دوم کسی است که قانون الهی را رد کند و آن را نپذیرد، به‌طور مسلم چنین کسی محکوم به کفر می‌باشد و از جرگۀ مسلمانان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که مقصود از تعدی حدود طرد تشریع الهی است، اینکه این جمله، در نهایت آیات مربوط به ارث وارد شده آنجا که قرآن در کیفیت تقسیم ارثیه سخن می‌گوید، در پایان چنین یاد 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 و رسول او را نافرمانی کرده و از حدود مقرر شده تعدی کند، جاودانه در آتشند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تشریع قرآن در کیفیت تقسیم ارث، برای گروهی از مردم آن روز قابل‌قبول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عادت کرده بودند که اموال ایتام و زنان و دختران را به نحوی به خود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محیطی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لِلرِّجالِ نَصِیبٌ مِمّا تَرَکَ</w:t>
      </w:r>
      <w:bookmarkStart w:id="325" w:name="pg17029_176731"/>
    </w:p>
    <w:p>
      <w:pPr>
        <w:pStyle w:val="BookText"/>
        <w:rPr/>
      </w:pPr>
      <w:bookmarkEnd w:id="325"/>
      <w:r>
        <w:rPr>
          <w:rFonts w:ascii="Amiri" w:hAnsi="Amiri" w:eastAsia="Amiri" w:cs="Amiri"/>
          <w:color w:val="111111"/>
          <w:sz w:val="28"/>
          <w:sz w:val="28"/>
          <w:szCs w:val="28"/>
          <w:rtl w:val="true"/>
          <w:lang w:bidi="ar-SA"/>
        </w:rPr>
        <w:t>اَلْوالِدانِ وَ الْأَقْرَبُونَ وَ لِلنِّساءِ نَصِیبٌ مِمّا تَرَکَ الْوالِدانِ وَ الْأَقْرَبُونَ مِمّا قَلَّ مِنْهُ أَوْ کَثُرَ نَصِیباً مَفْرُوضاً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مردان، از آنچه فرزندان و نزدیکان ترک گفته‌اند نصیبی است و برای زنان، از آنچه که فرزندان و نزدیکان به ارث نهاده‌اند نصیبی است لازم، خواه زیاد و خواه 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آیۀ بعد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 اموال یتیمان را می‌خورند در حقیقت در شکم خویش آتش می‌خورند و به زودی وارد آتش می‌شوند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نوع تشریع، برای عرب آن روز بسیار سنگین بود و گروهی از آنان زیر بار آن نمی‌رفتند، در چنین شرایطی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 و رسول او را نافرمانی کند و از حدود مقرر شده تعدی نماید، در آتش مخلد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کسی‌که تشریع الهی را پذیرفته ولی مغلوب غریزۀ خود گردیده و نافرمانی می‌کند،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استدلال، پاسخهای دیگری نیز گفته‌اند که به خاطر موجزگویی از نقل آنها صرف‌نظر می‌کنیم</w:t>
      </w:r>
      <w:r>
        <w:rPr>
          <w:rFonts w:eastAsia="IRNazanin" w:cs="IRNazanin"/>
          <w:color w:val="111111"/>
          <w:sz w:val="28"/>
          <w:szCs w:val="28"/>
          <w:rtl w:val="true"/>
          <w:lang w:bidi="fa-IR"/>
        </w:rPr>
        <w:t>.</w:t>
      </w:r>
    </w:p>
    <w:p>
      <w:pPr>
        <w:pStyle w:val="Heading6"/>
        <w:numPr>
          <w:ilvl w:val="5"/>
          <w:numId w:val="1"/>
        </w:numPr>
        <w:rPr/>
      </w:pPr>
      <w:bookmarkStart w:id="326" w:name="__RefHeading___Toc1119784_1738255347"/>
      <w:bookmarkStart w:id="327" w:name="_Toc122"/>
      <w:bookmarkEnd w:id="326"/>
      <w:r>
        <w:rPr>
          <w:rtl w:val="true"/>
        </w:rPr>
        <w:t>آیۀ دوم</w:t>
      </w:r>
      <w:bookmarkEnd w:id="32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یَقْتُلْ مُؤْمِناً مُتَعَمِّداً فَجَزاؤُهُ جَهَنَّمُ خالِداً فِیها وَ غَضِبَ اللّهُ عَلَیْهِ وَ لَعَنَهُ وَ أَعَدَّ لَهُ عَذاباً عَظِیماً نساء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مؤمنی را عمدا بکشد، کیفر او دوزخ است جاودانه در آنجاست و خدا بر او خشم کرده و از رحمت خود دور گردانیده و برای او عذاب بزرگی آماده کرده است</w:t>
      </w:r>
      <w:r>
        <w:rPr>
          <w:rFonts w:eastAsia="IRNazanin" w:cs="IRNazanin"/>
          <w:color w:val="111111"/>
          <w:sz w:val="28"/>
          <w:szCs w:val="28"/>
          <w:rtl w:val="true"/>
          <w:lang w:bidi="fa-IR"/>
        </w:rPr>
        <w:t>».</w:t>
      </w:r>
      <w:bookmarkStart w:id="328" w:name="pg17029_176732"/>
    </w:p>
    <w:p>
      <w:pPr>
        <w:pStyle w:val="BookText"/>
        <w:rPr/>
      </w:pPr>
      <w:bookmarkEnd w:id="328"/>
      <w:r>
        <w:rPr>
          <w:rFonts w:ascii="IRNazanin" w:hAnsi="IRNazanin" w:eastAsia="IRNazanin"/>
          <w:color w:val="111111"/>
          <w:sz w:val="28"/>
          <w:sz w:val="28"/>
          <w:szCs w:val="28"/>
          <w:rtl w:val="true"/>
          <w:lang w:bidi="fa-IR"/>
        </w:rPr>
        <w:t>ظاهر آیه این است که هرکس مؤمنی را عمدا بکشد، خواه قاتل مسلمان باشد یا کافر، در آتش دوزخ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خشم الهی و از رحمت او دور می‌باشد</w:t>
      </w:r>
      <w:r>
        <w:rPr>
          <w:rFonts w:eastAsia="IRNazanin" w:cs="IRNazanin"/>
          <w:color w:val="111111"/>
          <w:sz w:val="28"/>
          <w:szCs w:val="28"/>
          <w:rtl w:val="true"/>
          <w:lang w:bidi="fa-IR"/>
        </w:rPr>
        <w:t>.</w:t>
      </w:r>
    </w:p>
    <w:p>
      <w:pPr>
        <w:pStyle w:val="Heading6"/>
        <w:numPr>
          <w:ilvl w:val="5"/>
          <w:numId w:val="1"/>
        </w:numPr>
        <w:rPr/>
      </w:pPr>
      <w:bookmarkStart w:id="329" w:name="__RefHeading___Toc1119786_1738255347"/>
      <w:bookmarkStart w:id="330" w:name="_Toc123"/>
      <w:bookmarkEnd w:id="329"/>
      <w:r>
        <w:rPr>
          <w:rtl w:val="true"/>
        </w:rPr>
        <w:t>پاسخ</w:t>
      </w:r>
      <w:bookmarkEnd w:id="330"/>
    </w:p>
    <w:p>
      <w:pPr>
        <w:pStyle w:val="BookText"/>
        <w:rPr/>
      </w:pPr>
      <w:r>
        <w:rPr>
          <w:rFonts w:ascii="IRNazanin" w:hAnsi="IRNazanin" w:eastAsia="IRNazanin"/>
          <w:color w:val="111111"/>
          <w:sz w:val="28"/>
          <w:sz w:val="28"/>
          <w:szCs w:val="28"/>
          <w:rtl w:val="true"/>
          <w:lang w:bidi="fa-IR"/>
        </w:rPr>
        <w:t>بررسی آیات گذشته نشان می‌دهد که مفاد آیه، مربوط به کسی است که مؤمنی را به خاطر ایمان او بکشد و قتل او را مباح بشمارد و این احتمال با توجه به آیۀ نود و یکم که دربارۀ مشرکان سخن می‌گوید،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دیگر بر این تخصیص، آیات سورۀ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قاتل مؤمن به عذاب ابدی و جاودانه محکوم شده، سپس آن کس که توبه کند و ایمان بیاورد و عمل صالح انجام دهد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این گروه گواه بر این است که موضوع خلود، کافری است که فاقد ایمان باشد و قتل مؤمن را مباح بشمارد،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یَقْتُلُونَ النَّفْسَ الَّتِی حَرَّمَ اللّهُ 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یُضاعَفْ لَهُ الْعَذابُ یَوْمَ الْقِیامَةِ وَ یَخْلُدْ فِیهِ مُهاناً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تابَ وَ آمَنَ وَ عَمِلَ عَمَلاً صالِحاً از استثنا معلوم می‌شود که حکم جاودانگی در آتش مربوط به قاتل فاقد ایمان است</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مجمع البیان،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صیدا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پاسخ دیگری نیز هست و آن اینکه مسألۀ قتل مؤمن با دیگر گناهان کبیره قابل قیاس نیست، اگر دلیلی مانند آیه بر جاودانگی چنین گنهکاری در آتش دلالت کرد، نمی‌توان از آن ضابطۀ کلی در مورد تمام گناهان استنباط کرد</w:t>
      </w:r>
      <w:r>
        <w:rPr>
          <w:rFonts w:eastAsia="IRNazanin" w:cs="IRNazanin"/>
          <w:color w:val="111111"/>
          <w:sz w:val="28"/>
          <w:szCs w:val="28"/>
          <w:rtl w:val="true"/>
          <w:lang w:bidi="fa-IR"/>
        </w:rPr>
        <w:t>.</w:t>
      </w:r>
    </w:p>
    <w:p>
      <w:pPr>
        <w:pStyle w:val="Heading6"/>
        <w:numPr>
          <w:ilvl w:val="5"/>
          <w:numId w:val="1"/>
        </w:numPr>
        <w:rPr/>
      </w:pPr>
      <w:bookmarkStart w:id="331" w:name="__RefHeading___Toc1119788_1738255347"/>
      <w:bookmarkStart w:id="332" w:name="_Toc124"/>
      <w:bookmarkEnd w:id="331"/>
      <w:r>
        <w:rPr>
          <w:rtl w:val="true"/>
        </w:rPr>
        <w:t>آیۀ سوم</w:t>
      </w:r>
      <w:bookmarkEnd w:id="33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بَلی مَنْ کَسَبَ سَیِّئَةً وَ أَحاطَتْ بِهِ خَطِیئَتُهُ فَأُولئِکَ أَصْحابُ النّارِ هُمْ فِیها</w:t>
      </w:r>
      <w:bookmarkStart w:id="333" w:name="pg17029_176733"/>
    </w:p>
    <w:p>
      <w:pPr>
        <w:pStyle w:val="BookText"/>
        <w:rPr/>
      </w:pPr>
      <w:bookmarkEnd w:id="333"/>
      <w:r>
        <w:rPr>
          <w:rFonts w:ascii="IRNazanin" w:hAnsi="IRNazanin" w:eastAsia="IRNazanin"/>
          <w:color w:val="111111"/>
          <w:sz w:val="28"/>
          <w:sz w:val="28"/>
          <w:szCs w:val="28"/>
          <w:rtl w:val="true"/>
          <w:lang w:bidi="fa-IR"/>
        </w:rPr>
        <w:t>خالِدُونَ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کس بدی کسب کند و گناهان او را احاطه کند، آنان دوزخیانی هستند که در آنجا جاودانه می‌باشند</w:t>
      </w:r>
      <w:r>
        <w:rPr>
          <w:rFonts w:eastAsia="IRNazanin" w:cs="IRNazanin"/>
          <w:color w:val="111111"/>
          <w:sz w:val="28"/>
          <w:szCs w:val="28"/>
          <w:rtl w:val="true"/>
          <w:lang w:bidi="fa-IR"/>
        </w:rPr>
        <w:t>».</w:t>
      </w:r>
    </w:p>
    <w:p>
      <w:pPr>
        <w:pStyle w:val="Heading6"/>
        <w:numPr>
          <w:ilvl w:val="5"/>
          <w:numId w:val="1"/>
        </w:numPr>
        <w:rPr/>
      </w:pPr>
      <w:bookmarkStart w:id="334" w:name="__RefHeading___Toc1119790_1738255347"/>
      <w:bookmarkStart w:id="335" w:name="_Toc125"/>
      <w:bookmarkEnd w:id="334"/>
      <w:r>
        <w:rPr>
          <w:rtl w:val="true"/>
        </w:rPr>
        <w:t>پاسخ</w:t>
      </w:r>
      <w:bookmarkEnd w:id="335"/>
    </w:p>
    <w:p>
      <w:pPr>
        <w:pStyle w:val="BookText"/>
        <w:rPr/>
      </w:pPr>
      <w:r>
        <w:rPr>
          <w:rFonts w:ascii="IRNazanin" w:hAnsi="IRNazanin" w:eastAsia="IRNazanin"/>
          <w:color w:val="111111"/>
          <w:sz w:val="28"/>
          <w:sz w:val="28"/>
          <w:szCs w:val="28"/>
          <w:rtl w:val="true"/>
          <w:lang w:bidi="fa-IR"/>
        </w:rPr>
        <w:t>این آیه با توجه به آیات ماقبل، مربوط به یهود است نه دیگران و گواه بر این علاوه بر سیاق، جملۀ وَ أَحاطَتْ بِهِ خَطِیئَتُهُ است که حاکی از فزونی گناه است که قلب او را احاطه کند و نقطۀ روشنی در آن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مسلمان با ارتکاب یک گناه تا این حد تنزل نمی‌کند، درست است که گناه کبیره خطای بزرگی است ولی در قلب مؤمن نقطه‌های روشن فراوانی است که یک گناه و دو گناه روح و روان او را احاطه نمی‌کند</w:t>
      </w:r>
      <w:r>
        <w:rPr>
          <w:rFonts w:eastAsia="IRNazanin" w:cs="IRNazanin"/>
          <w:color w:val="111111"/>
          <w:sz w:val="28"/>
          <w:szCs w:val="28"/>
          <w:rtl w:val="true"/>
          <w:lang w:bidi="fa-IR"/>
        </w:rPr>
        <w:t>.</w:t>
      </w:r>
    </w:p>
    <w:p>
      <w:pPr>
        <w:pStyle w:val="Heading6"/>
        <w:numPr>
          <w:ilvl w:val="5"/>
          <w:numId w:val="1"/>
        </w:numPr>
        <w:rPr/>
      </w:pPr>
      <w:bookmarkStart w:id="336" w:name="__RefHeading___Toc1119792_1738255347"/>
      <w:bookmarkStart w:id="337" w:name="_Toc126"/>
      <w:bookmarkEnd w:id="336"/>
      <w:r>
        <w:rPr>
          <w:rtl w:val="true"/>
        </w:rPr>
        <w:t>آیۀ چهارم</w:t>
      </w:r>
      <w:bookmarkEnd w:id="337"/>
    </w:p>
    <w:p>
      <w:pPr>
        <w:pStyle w:val="BookText"/>
        <w:rPr/>
      </w:pPr>
      <w:r>
        <w:rPr>
          <w:rFonts w:ascii="IRNazanin" w:hAnsi="IRNazanin" w:eastAsia="IRNazanin"/>
          <w:color w:val="111111"/>
          <w:sz w:val="28"/>
          <w:sz w:val="28"/>
          <w:szCs w:val="28"/>
          <w:rtl w:val="true"/>
          <w:lang w:bidi="fa-IR"/>
        </w:rPr>
        <w:t>إِنَّ الْمُجْرِمِینَ فِی عَذابِ جَهَنَّمَ خالِدُونَ لا یُفَتَّرُ عَنْهُمْ وَ هُمْ فِیهِ مُبْلِسُونَ وَ ما ظَلَمْناهُمْ وَ لکِنْ کانُوا هُمُ الظّالِمِینَ زخرف</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در عذاب دوزخ جاودانه هستند، چیزی از عذاب آنان کم نمی‌شود و در آنجا از همه چیز نا امید هستند</w:t>
      </w:r>
      <w:r>
        <w:rPr>
          <w:rFonts w:eastAsia="IRNazanin" w:cs="IRNazanin"/>
          <w:color w:val="111111"/>
          <w:sz w:val="28"/>
          <w:szCs w:val="28"/>
          <w:rtl w:val="true"/>
          <w:lang w:bidi="fa-IR"/>
        </w:rPr>
        <w:t>».</w:t>
      </w:r>
    </w:p>
    <w:p>
      <w:pPr>
        <w:pStyle w:val="Heading6"/>
        <w:numPr>
          <w:ilvl w:val="5"/>
          <w:numId w:val="1"/>
        </w:numPr>
        <w:rPr/>
      </w:pPr>
      <w:bookmarkStart w:id="338" w:name="__RefHeading___Toc1119794_1738255347"/>
      <w:bookmarkStart w:id="339" w:name="_Toc127"/>
      <w:bookmarkEnd w:id="338"/>
      <w:r>
        <w:rPr>
          <w:rtl w:val="true"/>
        </w:rPr>
        <w:t>پاسخ</w:t>
      </w:r>
      <w:bookmarkEnd w:id="339"/>
    </w:p>
    <w:p>
      <w:pPr>
        <w:pStyle w:val="BookText"/>
        <w:rPr/>
      </w:pPr>
      <w:r>
        <w:rPr>
          <w:rFonts w:ascii="IRNazanin" w:hAnsi="IRNazanin" w:eastAsia="IRNazanin"/>
          <w:color w:val="111111"/>
          <w:sz w:val="28"/>
          <w:sz w:val="28"/>
          <w:szCs w:val="28"/>
          <w:rtl w:val="true"/>
          <w:lang w:bidi="fa-IR"/>
        </w:rPr>
        <w:t>آیه به حکم آیه‌های ماقبل مربوط به کافران است، نه مطلق گنهکاری که به خدا و پیامبر او ایمان آورد و شریعت او را بپذیرد و احیانا محکوم غرایز خود گردد و خلافی را انجام دهد، آنجا که می‌فرماید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آمَنُوا بِآیاتِنا وَ کانُوا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 أَزْواجُکُمْ تُحْبَرُونَ</w:t>
      </w:r>
      <w:r>
        <w:rPr>
          <w:rFonts w:eastAsia="Amiri" w:cs="Amiri" w:ascii="Amiri" w:hAnsi="Amiri"/>
          <w:color w:val="111111"/>
          <w:sz w:val="28"/>
          <w:szCs w:val="28"/>
          <w:rtl w:val="true"/>
          <w:lang w:bidi="ar-SA"/>
        </w:rPr>
        <w:t>...</w:t>
      </w:r>
      <w:bookmarkStart w:id="340" w:name="pg17029_176734"/>
    </w:p>
    <w:p>
      <w:pPr>
        <w:pStyle w:val="BookText"/>
        <w:rPr/>
      </w:pPr>
      <w:bookmarkEnd w:id="3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آیات ما ایمان آورده و مسلمانان بودند، به آنان گفته می‌شود، شما با همسران خود وارد بهشت شوید در حالی که خوشحالید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بیان پاداش افراد با ایمان، سخن از مجرمان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الْمُجْرِمِینَ فِی عَذابِ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تنگاتنگ و مقابلۀ میان دو جمله، حاکی است که آیۀ اخیر مربوط به قسم خاصی از مجرمان است که کافر باشند، نه هر خلافکاری هر چند موحد و مؤمن باشد</w:t>
      </w:r>
      <w:r>
        <w:rPr>
          <w:rFonts w:eastAsia="IRNazanin" w:cs="IRNazanin"/>
          <w:color w:val="111111"/>
          <w:sz w:val="28"/>
          <w:szCs w:val="28"/>
          <w:rtl w:val="true"/>
          <w:lang w:bidi="fa-IR"/>
        </w:rPr>
        <w:t>.</w:t>
      </w:r>
    </w:p>
    <w:p>
      <w:pPr>
        <w:pStyle w:val="Heading5"/>
        <w:numPr>
          <w:ilvl w:val="4"/>
          <w:numId w:val="1"/>
        </w:numPr>
        <w:rPr/>
      </w:pPr>
      <w:bookmarkStart w:id="341" w:name="__RefHeading___Toc1119796_1738255347"/>
      <w:bookmarkStart w:id="342" w:name="_Toc128"/>
      <w:bookmarkEnd w:id="341"/>
      <w:r>
        <w:rPr>
          <w:rtl w:val="true"/>
        </w:rPr>
        <w:t>دلایل مخالفان خلود</w:t>
      </w:r>
      <w:bookmarkEnd w:id="342"/>
    </w:p>
    <w:p>
      <w:pPr>
        <w:pStyle w:val="BookText"/>
        <w:rPr/>
      </w:pPr>
      <w:r>
        <w:rPr>
          <w:rFonts w:ascii="IRNazanin" w:hAnsi="IRNazanin" w:eastAsia="IRNazanin"/>
          <w:color w:val="111111"/>
          <w:sz w:val="28"/>
          <w:sz w:val="28"/>
          <w:szCs w:val="28"/>
          <w:rtl w:val="true"/>
          <w:lang w:bidi="fa-IR"/>
        </w:rPr>
        <w:t>معتزله با این آیات بر جاودانگی مرتکب کبیره در دوزخ استدلال کرده‌اند، ولی با بیانات پیشین نارسایی استدلال آنها کاملا روشن گردید، آنان در این مسأله از آیات مخالف چشم پوشیده و آنها را نادیده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دید وسیع بر مجموع آیات عذاب و رحمت می‌نگریستند، در برابر مرتکب کبیره چنین موضع‌گیری تند و حادی نمی‌کردند و ما در این جا برخی از آیات را می‌آوریم که بر خلاف نظریۀ آنان گواهی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یَسْتَعْجِلُونَکَ بِالسَّیِّئَةِ قَبْلَ الْحَسَنَةِ وَ قَدْ خَلَتْ مِنْ قَبْلِهِمُ الْمَثُلاتُ وَ إِنَّ رَبَّکَ لَذُو مَغْفِرَةٍ لِلنّاسِ عَلی ظُلْمِهِمْ وَ إِنَّ رَبَّکَ لَشَدِیدُ الْعِقابِ 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شتاب عذاب را پیش از رحمت، از تو می‌طلبند و پیش از آنان عقوبت امتهای گذشته تحقق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عبرت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مردم در حالی که ظالمند، دارای آمرزش است و خدای تو سخت عقوبت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حاکی است که سایۀ رحمت و آمرزش او آنچنان گسترده است که عادل و ظالم را در بر می‌گیرد و این معنی در صورتی روشن می‌گردد که بدانیم جملۀ عَلی ظُلْمِهِمْ حال از لفظ لِلنّاسِ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مغفرت خدا شامل حال مردم است در حالی که آنان ظالمند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مرتکب کبیره از افراد لِلنّاسِ عَلی ظُلْمِهِمْ است و اگر مغفرت خدا بر سر او نیز سایه افکنده است، طبعا نمی‌توان او را در آتش مخلّد دانست و بگوییم خدا از او نمی‌گذرد و پیوسته در دوزخ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اودّه علی غدره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را در حال حیله‌گری او، دوست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أصله علی 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حالی که مرا ترک کرده، ترک نمی‌کنم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مجمع البیان، </w:t>
      </w:r>
      <w:r>
        <w:rPr>
          <w:rFonts w:eastAsia="IRNazanin" w:cs="IRNazanin"/>
          <w:color w:val="111111"/>
          <w:sz w:val="28"/>
          <w:szCs w:val="28"/>
          <w:lang w:bidi="fa-IR"/>
        </w:rPr>
        <w:t>278/2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مفاد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رحمت حق بر سر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ارائه چراغ سبز به ظالم و ستمگر نیست که با توجه به مفهوم آیه هر چه بخواهند انجام دهند و روز به‌روز بر دایرۀ ظلم و ستم خود بیفزایند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رَبَّکَ لَذُو مَغْفِرَةٍ لِلنّاسِ عَلی ظُلْمِهِمْ زیرا هدف آیه ایجاد نور امید در دل ستمگران است نه اینکه تصور کنند باید راه پیشین خود را ادامه دهند، 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رحمت و مغفرت او گسترده‌تر از آن است که آنان تصور می‌کنند، می‌توانند از این راه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می‌گردد که گفتار قاضی عبد الجبار پیرامون رد استدلال با آیه،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نمی‌توانیم که ظاهر آیه را اخذ کنیم، زیرا لازمۀ آن دعوت ستمگران به ظلم است و این کار بر خدا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این نیست که آیه را مربوط به گروهی بدانیم که راه توبه را در پیش گرفته و به سوی حق بازگشتند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گفتار قاضی از دو جهت مخدوش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مقصود گروه تائب بود، شایسته بود به جای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بفرماید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یادآور شدیم این نوع از آیات رحمت، جز ایجاد روزنۀ امید چیز دیگری</w:t>
      </w:r>
    </w:p>
    <w:p>
      <w:pPr>
        <w:pStyle w:val="BookText"/>
        <w:rPr/>
      </w:pPr>
      <w:r>
        <w:rPr>
          <w:rFonts w:ascii="IRNazanin" w:hAnsi="IRNazanin" w:eastAsia="IRNazanin"/>
          <w:color w:val="111111"/>
          <w:sz w:val="28"/>
          <w:sz w:val="28"/>
          <w:szCs w:val="28"/>
          <w:rtl w:val="true"/>
          <w:lang w:bidi="fa-IR"/>
        </w:rPr>
        <w:t>نیست و هرگز نمی‌توان بر چنین امید محدود و مبهم کمر بست و گناه کرد، زیرا یک وعدۀ اجمالی است که شروط و قیود آن روشن نیست و اصولا قرآن در تمام آیات مربوط به شفاعت همین راه را پیموده است، به گرنه ای که کسی نتواند با تکیه بر آن گناه کند و قانون بشکند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یَغْفِرُ أَنْ یُشْرَکَ بِهِ وَ یَغْفِرُ ما دُونَ ذلِکَ لِمَنْ یَشاءُ وَ مَنْ یُشْرِکْ بِاللّهِ فَقَدِ افْتَری إِثْماً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شرک را نمی‌بخشد و جز آن را دربارۀ هرکس که بخواهد می‌بخشد، هرکس بر خدا شرک ورزد، گناه بزرگی را افترا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 آیه میان شرک و غیر شرک فرق می‌گذارد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نمی‌بخشد و دومی را دربارۀ هرکس بخواهد می‌بخشد و مسلما مفاد آیه ناظر به تائب از شرک نیست، زیرا در این صورت فرقی میان مشرک و غیر مشرک نیست و خداوند توبۀ هر دو گروه را می‌پذیرد، طبعا آیه مربوط به گنهکارانی است که راه توبه را نپیموده باشند و در این شرایط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نمی‌بخشد و غیر آن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مضمون آیه بهانه‌ای در دست گنهکاران نباشد، نوید خود را با جملۀ لِمَنْ یَشاءُ مقید می‌سازد تا حالت ابهام به خود گرفته و افراد نتوانند به اعتماد این ایه مرتکب گناه شوند، زیرا هیچ‌کس از تعلق مشیت خدا بر مغفرت خویش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 الجبار پیرو معتزلۀ بصره در تفسیر آیه به پیشداوری پرداخته و برای حفظ مسلک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غیر از شرک که بخشوده می‌شود مجمل است، احتمال دارد که مقصود گناهان صغیره باشد نه کبیره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چنین داوری سست و بی‌پایه است، زیرا اطلاق آیه قابل انکار نیست،</w:t>
      </w:r>
    </w:p>
    <w:p>
      <w:pPr>
        <w:pStyle w:val="BookText"/>
        <w:rPr/>
      </w:pPr>
      <w:r>
        <w:rPr>
          <w:rFonts w:ascii="IRNazanin" w:hAnsi="IRNazanin" w:eastAsia="IRNazanin"/>
          <w:color w:val="111111"/>
          <w:sz w:val="28"/>
          <w:sz w:val="28"/>
          <w:szCs w:val="28"/>
          <w:rtl w:val="true"/>
          <w:lang w:bidi="fa-IR"/>
        </w:rPr>
        <w:t>آیۀ مورد بحث با آیات نخست که وی با آنها بر عقیدۀ معتزله استدلال کرده هیچ تفاوتی ندارد، چطور آیات گروه نخست اطلاق دارد و همه نوع گناهان کبیره را می‌گیرد، ولی این آیه نسبت به کبیره و صغیره اطلاق ندارد؟</w:t>
      </w:r>
    </w:p>
    <w:p>
      <w:pPr>
        <w:pStyle w:val="BookText"/>
        <w:rPr/>
      </w:pPr>
      <w:r>
        <w:rPr>
          <w:rFonts w:ascii="IRNazanin" w:hAnsi="IRNazanin" w:eastAsia="IRNazanin"/>
          <w:color w:val="111111"/>
          <w:sz w:val="28"/>
          <w:sz w:val="28"/>
          <w:szCs w:val="28"/>
          <w:rtl w:val="true"/>
          <w:lang w:bidi="fa-IR"/>
        </w:rPr>
        <w:t>آری مقصود از موصول لِمَنْ یَشاءُ کاملا مجمل است و اجمال آن جنبۀ تربیتی دارد، چنانکه در گذشته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سخن را قاضی قاسم بن محمد زید علوی معتزلی تکرار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وعید، مطلق و واضح است و آیات گروه دوم مجمل است و باید گروه دوم را مربوط به افرادی دانست که از گناه خود توبه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داوری در آیات، معلول پیشداوری در مسألۀ مرتکب کبیره است که در نظر خرد و شرع فاقد ارزش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محمد بن زید علوی، الأساس لعقائد الأکیاس</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bookmarkStart w:id="343" w:name="pg17029_176738"/>
    </w:p>
    <w:p>
      <w:pPr>
        <w:pStyle w:val="Heading4"/>
        <w:numPr>
          <w:ilvl w:val="3"/>
          <w:numId w:val="1"/>
        </w:numPr>
        <w:rPr/>
      </w:pPr>
      <w:bookmarkStart w:id="344" w:name="__RefHeading___Toc1119798_1738255347"/>
      <w:bookmarkStart w:id="345" w:name="_Toc129"/>
      <w:bookmarkEnd w:id="343"/>
      <w:bookmarkEnd w:id="344"/>
      <w:r>
        <w:rPr>
          <w:rtl w:val="true"/>
        </w:rPr>
        <w:t>ثمرات اصل سوم</w:t>
      </w:r>
      <w:r>
        <w:rPr>
          <w:rtl w:val="true"/>
        </w:rPr>
        <w:t xml:space="preserve">: </w:t>
      </w:r>
      <w:r>
        <w:rPr>
          <w:rtl w:val="true"/>
        </w:rPr>
        <w:t>وعد و وعید</w:t>
      </w:r>
      <w:bookmarkEnd w:id="345"/>
    </w:p>
    <w:p>
      <w:pPr>
        <w:pStyle w:val="Heading5"/>
        <w:numPr>
          <w:ilvl w:val="4"/>
          <w:numId w:val="1"/>
        </w:numPr>
        <w:rPr/>
      </w:pPr>
      <w:bookmarkStart w:id="346" w:name="__RefHeading___Toc1119800_1738255347"/>
      <w:bookmarkStart w:id="347" w:name="_Toc130"/>
      <w:bookmarkEnd w:id="346"/>
      <w:r>
        <w:rPr>
          <w:rtl w:val="true"/>
        </w:rPr>
        <w:t>اشاره</w:t>
      </w:r>
      <w:bookmarkEnd w:id="347"/>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شفاعت از آن تائبان است</w:t>
      </w:r>
    </w:p>
    <w:p>
      <w:pPr>
        <w:pStyle w:val="BookText"/>
        <w:rPr/>
      </w:pPr>
      <w:r>
        <w:rPr>
          <w:rFonts w:ascii="IRNazanin" w:hAnsi="IRNazanin" w:eastAsia="IRNazanin"/>
          <w:color w:val="111111"/>
          <w:sz w:val="28"/>
          <w:sz w:val="28"/>
          <w:szCs w:val="28"/>
          <w:rtl w:val="true"/>
          <w:lang w:bidi="fa-IR"/>
        </w:rPr>
        <w:t>نه گنهکاران</w:t>
      </w:r>
    </w:p>
    <w:p>
      <w:pPr>
        <w:pStyle w:val="BookText"/>
        <w:rPr/>
      </w:pPr>
      <w:r>
        <w:rPr>
          <w:rFonts w:ascii="IRNazanin" w:hAnsi="IRNazanin" w:eastAsia="IRNazanin"/>
          <w:color w:val="111111"/>
          <w:sz w:val="28"/>
          <w:sz w:val="28"/>
          <w:szCs w:val="28"/>
          <w:rtl w:val="true"/>
          <w:lang w:bidi="fa-IR"/>
        </w:rPr>
        <w:t>از مسائل مترتب بر وعد و وعید، مسألۀ شفاعت است که قرآن بخشی از آیات خود را به آن اختصاص داده است، و در اطراف آن بحثهای گسترده‌ای است که در این جا مجال بازگویی آنها نیست و یکی از آنها تبیین حد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به خاطر پیشداوری در مسألۀ عمل به وعید، ناچار شدند که شفاعت را از آن تائبان بدانند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آن ترفیع درجه است نه بخشیدن گناه، و تمام آیات شفاعت را در قلمرو نفی و اثبات و تفصیل، از این طریق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تمام فرق اسلامی، حتی متکلمان یهود و نصارا، آن را از آن گنهکاران می‌دانند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 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بخشودگی گناهان 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دربارۀ خطا و لغزش، سخن بسیار لطیف و دقیقی دارد که به موضع‌گیری معتزله در مسائل وعد و وعید کاملا منطبق است،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 در آغاز کار بسان اسب سرکش فاقد لجامی است که انسانی بر آن سوار باشد، سوار شدن بر چنین اسبی نخستین نقطۀ لغزش است و به آن لغزشهایی می‌پیوندد و سرانجام به قیمت جان انسان تمام می‌شود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إنّ الخطایا خیل شمس، حمل علیها أهلها، و خلعت لجمها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خطبۀ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معتزله عمل به وعید را امر الزامی تلقی کردند به دنبال این لغزش لغزشهای دیگری آغاز شد،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 از گناهان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جاودانگی گنهکار در آتش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از آن تائبان است نه گنهکاران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لغزشهای دیگری که به ترتیب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به تأویل آیات و ترک ظواهر قرآن متهم می‌باشند، این نسبت در این موارد مقرون به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حفظ اندیشه‌های خود در مورد و عدو وعید، بسیاری از آیات را تأویل و به غیر ظاهرآن حمل کرده‌اند، همچنان که در مسألۀ شفاعت همین راه را پیموده‌اند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شفاعت از ابتکارات اسلام نیست، بلکه یک اندیشۀ کلامی است که در شرایع پیشین و حتی نزد عرب بت‌پرست بوده، نظریۀ قرآن دربارۀ آن طبعا مربوط به معنی معروف آن نزد اقوام و ملل خواهد بود که شفاعت را 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شناعت را از اصل نفی می‌کند و یا آن را دربست می‌پذیرد و یا دربارۀ آن به‌تفصیل قائل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داوری خود ناظر به معنی رایج آن خواهد بود، نه معنی غیر رایج که زاییدۀ اندیشۀ گروه معدودی که پس از موضع‌گیری خاص در عفو گنهکار، به چنین تفسیری دست‌یافته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معنی رایج شفاعت چه بود؟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ملاحظۀ آرای یهود و بت‌پرستان دربارۀ شفاعت، ثابت می‌کند که آنان به امید شفاعت شافعان، دست به گناه می‌زدند و معتقد بودند که در سایۀ شفاعت، گناهان آنها بخشوده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پیرامون یک چنین اندیشه با پذیرفتن اصلش، آن را به اذن خود مقید دانسته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یَشْفَعُ عِنْدَهُ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نزد او شفاعت کند، جز به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آیۀ دیگر</w:t>
      </w:r>
      <w:bookmarkStart w:id="348" w:name="pg17029_176740"/>
    </w:p>
    <w:p>
      <w:pPr>
        <w:pStyle w:val="BookText"/>
        <w:rPr/>
      </w:pPr>
      <w:bookmarkEnd w:id="348"/>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یَشْفَعُونَ إِلاّ لِمَنِ ارْتَضی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دربارۀ گروهی که مورد رضایت خدا هستند، دربارۀ کسی شفاعت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قرآن با پذیرفتن اصل شفاعت به همان معنی رایج در میان اقوام و ملل، آن را مشروط به مأذون بودن شافع و مرضی بودن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هیچ‌گاه در اندیشۀ یهود و بت پرستان اندیشۀ ترفیع درجه نبوده، یهود جهانخوار کجا و اندیشۀ ترفیع درجه کجا؟ بت‌پرستان غرق در گناه کجا و مسألۀ بالا رفتن مقام در سرای دیگر کجا؟ این دو گروه، افراد متهوری بودند که به امید شفاعت غرق در آلودگی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زبان کسانیکه روز رستاخیز را فراموش کرده بودند وبا عذاب هولناک روبرو می‌شوند، نقل می‌کند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لَنا مِنْ شُفَعاءَ فَیَشْفَعُوا لَنا أَوْ نُرَدُّ فَنَعْمَلَ غَیْرَ الَّذِی کُنّا نَعْمَلُ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ما شفیعانی هست تا در حق ما شفاعت کنند، یا به دنیا بازگردانده شویم کاری غیر آنچه انجام می‌دادیم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آیات دیگر گواه بر این است که شفاعت مورد نظر قرآن در نفی و اثبات وبا تفصیل، شفاعتی است که مایۀ بخشودگی گناه می‌باشد و بس و تفسیر آن به ترفیع درجه و تخصیص آن به تائبان، کاملا بر خلاف ظواهر آیات قرآن است</w:t>
      </w:r>
      <w:r>
        <w:rPr>
          <w:rFonts w:eastAsia="IRNazanin" w:cs="IRNazanin"/>
          <w:color w:val="111111"/>
          <w:sz w:val="28"/>
          <w:szCs w:val="28"/>
          <w:rtl w:val="true"/>
          <w:lang w:bidi="fa-IR"/>
        </w:rPr>
        <w:t>.</w:t>
      </w:r>
    </w:p>
    <w:p>
      <w:pPr>
        <w:pStyle w:val="Heading5"/>
        <w:numPr>
          <w:ilvl w:val="4"/>
          <w:numId w:val="1"/>
        </w:numPr>
        <w:rPr/>
      </w:pPr>
      <w:bookmarkStart w:id="349" w:name="__RefHeading___Toc1119802_1738255347"/>
      <w:bookmarkStart w:id="350" w:name="_Toc131"/>
      <w:bookmarkEnd w:id="349"/>
      <w:r>
        <w:rPr>
          <w:rtl w:val="true"/>
        </w:rPr>
        <w:t>با دلایل معتزله در تفسیر شفاعت آشنا شویم</w:t>
      </w:r>
      <w:bookmarkEnd w:id="350"/>
    </w:p>
    <w:p>
      <w:pPr>
        <w:pStyle w:val="BookText"/>
        <w:rPr/>
      </w:pPr>
      <w:r>
        <w:rPr>
          <w:rFonts w:ascii="IRNazanin" w:hAnsi="IRNazanin" w:eastAsia="IRNazanin"/>
          <w:color w:val="111111"/>
          <w:sz w:val="28"/>
          <w:sz w:val="28"/>
          <w:szCs w:val="28"/>
          <w:rtl w:val="true"/>
          <w:lang w:bidi="fa-IR"/>
        </w:rPr>
        <w:t>با چنین دلالتی روشن، معتزله شفاعت به معنی بخشودگی گناه را به دو دلیل نفی می‌کنند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اندیشۀ شفاعت دربارۀ فاسقان که بدون توبه از دنیا رفته‌اند، بسان شفاعت دربارۀ کسی است که فرزند کسی را کشته و در کمین است که دیگری را نیز</w:t>
      </w:r>
    </w:p>
    <w:p>
      <w:pPr>
        <w:pStyle w:val="BookText"/>
        <w:rPr/>
      </w:pPr>
      <w:r>
        <w:rPr>
          <w:rFonts w:ascii="IRNazanin" w:hAnsi="IRNazanin" w:eastAsia="IRNazanin"/>
          <w:color w:val="111111"/>
          <w:sz w:val="28"/>
          <w:sz w:val="28"/>
          <w:szCs w:val="28"/>
          <w:rtl w:val="true"/>
          <w:lang w:bidi="fa-IR"/>
        </w:rPr>
        <w:t>بکشد، اگر شفاعت دربارۀ چنین انسانی قبیح است، دربارۀ انسانی که به خاطر مرگ نمی‌تواند به عصیان خود ادامه دهد نیز قبیح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 الجبار، اصول خمسه</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قاضی جنبۀ عاطفی دارد و از طریق تحریک عواطف می‌خواهد طرف را قانع کند، حالا خواه استدلال او صحیح باشد یا نباشد، وی از نکتۀ خاصی در مورد شفاعت غفلت کرده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که قرآن از آن خبر می‌دهد، کاملا محدود و مشروط است و شرط مهم آن قطع نشدن رابطۀ ایمانی گنهکار با خدا و پیوند روحی او با شفیع است، در چنین شرایطی مشمول شفاعت شافعان می‌گردد، ولی اگر پیوند خود را با خدا و شفیع قطع کرد، قطعا از شفاعت محروم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که قاضی می‌زند، می‌تواند بیانگر حال گنهکاری باشد که تمام پلهای پشت سر خود را خراب کرده و هر نوع شایستگی را از خود سلب کرده است، قبح شفاعت در این مورد، گواه بر قبح آن در دیگر موارد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هیچ‌گاه فرد گنهکار با شفاعت شافعان از آتش بیرون نمی‌رود، به گواه اینکه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یَوْماً لا تَجْزِی نَفْسٌ عَنْ نَفْسٍ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بپرهیزید که کسی از کسی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لِلظّالِمِینَ مِنْ حَمِیمٍ وَ لا شَفِیعٍ یُطاعُ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ستمگران، نه دوستی و نه شفیعی که قول او پذیرفته شود نیست</w:t>
      </w:r>
      <w:r>
        <w:rPr>
          <w:rFonts w:eastAsia="IRNazanin" w:cs="IRNazanin"/>
          <w:color w:val="111111"/>
          <w:sz w:val="28"/>
          <w:szCs w:val="28"/>
          <w:rtl w:val="true"/>
          <w:lang w:bidi="fa-IR"/>
        </w:rPr>
        <w:t>».</w:t>
      </w:r>
      <w:r>
        <w:rPr>
          <w:rStyle w:val="FootnoteAnchor"/>
          <w:rtl w:val="true"/>
        </w:rPr>
        <w:footnoteReference w:id="17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استدلال با توجه به سیاق آیات کاملا روشن است، زیرا آیۀ نخست ناظر به شفاعت مورد نظر یهود و آیه دوم ناظر به شفاعت مورد علاقۀ بت‌پرستان است و مسلما شفاعتی که این دو گروه با آن گستردگی به آن اعتقاد دارند، قرآن آن را</w:t>
      </w:r>
      <w:bookmarkStart w:id="351" w:name="pg17029_176742"/>
    </w:p>
    <w:p>
      <w:pPr>
        <w:pStyle w:val="BookText"/>
        <w:rPr/>
      </w:pPr>
      <w:bookmarkEnd w:id="351"/>
      <w:r>
        <w:rPr>
          <w:rFonts w:ascii="IRNazanin" w:hAnsi="IRNazanin" w:eastAsia="IRNazanin"/>
          <w:color w:val="111111"/>
          <w:sz w:val="28"/>
          <w:sz w:val="28"/>
          <w:szCs w:val="28"/>
          <w:rtl w:val="true"/>
          <w:lang w:bidi="fa-IR"/>
        </w:rPr>
        <w:t>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رابطۀ ایمانی آنان با خدا و رابطۀ روحی آنها با پیامبران قطع شده باشد، مورد شفاعت قرار نمی‌گیرند، بت‌پرستان که از عبادت خدا سرزده و به عبادت مخلوق گراییده و یهودی که دستش تا مرفق در خون پیامبران فرو رفته و در گرد آوری دنیا برای خود حد و مرزی قائل نمی‌باشند، فاقد چنین رابطه‌ای می‌باشند و نفی شفاعت در این دو مورد، دلیل بر نفی شفاعت در مورد افراد با ایمان نیست که با حفظ رابطه، دچار لغزش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نفی اخص دلیل بر نفی اعم در مورد شفاعت گروه گنهکار، روایات متواتر و یا متضافری وارد شده که نمی‌توان آنها را نادیده گرفت و ما بخش مهمی از احادیث شفاعت را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القرآن</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 القرآن </w:t>
      </w:r>
      <w:r>
        <w:rPr>
          <w:rFonts w:eastAsia="IRNazanin" w:cs="IRNazanin"/>
          <w:color w:val="111111"/>
          <w:sz w:val="28"/>
          <w:szCs w:val="28"/>
          <w:lang w:bidi="fa-IR"/>
        </w:rPr>
        <w:t>289:4</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فصل شفاعت در احادیث، و علامة مجلسی، قسمت اعظم احادیث را درج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و متقی هندی در کنز العمال، </w:t>
      </w:r>
      <w:r>
        <w:rPr>
          <w:rFonts w:eastAsia="IRNazanin" w:cs="IRNazanin"/>
          <w:color w:val="111111"/>
          <w:sz w:val="28"/>
          <w:szCs w:val="28"/>
          <w:lang w:bidi="fa-IR"/>
        </w:rPr>
        <w:t>628/14</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آورده‌ایم، رجوع به این روایات، صحت معنی معروف شفاعت را ثابت می‌نماید و روشن می‌شود که شفاعت از آن افراد گنهکاری است که به عللی نتوانسته‌اند مغفرت خدا را در دنیا جلب کنند و پیامبر در حق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إدّخرت شفاعتی لأهل الکبائر من امتی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شفاعت خود را برای گنهکار ات خود ذخیره کرده‌ام، آنان که مرتکب گناه کبیره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حدیث و امثال اینها جز یک روزنۀ امید برای این گروه چیزی نیست و هرگز نمی‌توان به امید آن مرتکب گناه شد</w:t>
      </w:r>
      <w:r>
        <w:rPr>
          <w:rFonts w:eastAsia="IRNazanin" w:cs="IRNazanin"/>
          <w:color w:val="111111"/>
          <w:sz w:val="28"/>
          <w:szCs w:val="28"/>
          <w:rtl w:val="true"/>
          <w:lang w:bidi="fa-IR"/>
        </w:rPr>
        <w:t>.</w:t>
      </w:r>
    </w:p>
    <w:p>
      <w:pPr>
        <w:pStyle w:val="Heading5"/>
        <w:numPr>
          <w:ilvl w:val="4"/>
          <w:numId w:val="1"/>
        </w:numPr>
        <w:rPr/>
      </w:pPr>
      <w:bookmarkStart w:id="352" w:name="__RefHeading___Toc1119804_1738255347"/>
      <w:bookmarkStart w:id="353" w:name="_Toc132"/>
      <w:bookmarkEnd w:id="352"/>
      <w:r>
        <w:rPr>
          <w:rtl w:val="true"/>
        </w:rPr>
        <w:t>تفاوت مرجئه و وراجیه</w:t>
      </w:r>
      <w:bookmarkEnd w:id="35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کردیم و گفتیم، گروه مرجئه غیر از گروه راجیه</w:t>
      </w:r>
    </w:p>
    <w:p>
      <w:pPr>
        <w:pStyle w:val="BookText"/>
        <w:rPr/>
      </w:pPr>
      <w:r>
        <w:rPr>
          <w:rFonts w:ascii="IRNazanin" w:hAnsi="IRNazanin" w:eastAsia="IRNazanin"/>
          <w:color w:val="111111"/>
          <w:sz w:val="28"/>
          <w:sz w:val="28"/>
          <w:szCs w:val="28"/>
          <w:rtl w:val="true"/>
          <w:lang w:bidi="fa-IR"/>
        </w:rPr>
        <w:t>هستند و این دو گروه را نباید به هم مخلوط کرد، گروه نخست هدفی جز مشروع جلوه دادن کار گنهکاران از خلفای اموی و عباسی و اطرافیان آنان نداشتند، آنان مردم را به ایمان منهای عمل دعوت می‌کردند در حالی که گروه دوم به هر دو دعوت می‌نمایند، روزنۀ امید را برای گنهکار نمی‌ببندند تا در سایۀ امید به نجات، کمتر گناه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مسلمانان، جز گروه اندکی که منقرض شده‌اند، همگی راجیه و امیدوارانند که شعار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تَقْنَطُوا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گفته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ندارم هیچ‌گونه توشۀ راه به جز لا تقنطوا من رحمة اللّه</w:t>
      </w:r>
      <w:bookmarkStart w:id="354" w:name="pg17029_176744"/>
    </w:p>
    <w:p>
      <w:pPr>
        <w:pStyle w:val="Heading4"/>
        <w:numPr>
          <w:ilvl w:val="3"/>
          <w:numId w:val="1"/>
        </w:numPr>
        <w:rPr/>
      </w:pPr>
      <w:bookmarkStart w:id="355" w:name="__RefHeading___Toc1119806_1738255347"/>
      <w:bookmarkStart w:id="356" w:name="_Toc133"/>
      <w:bookmarkEnd w:id="354"/>
      <w:bookmarkEnd w:id="355"/>
      <w:r>
        <w:rPr>
          <w:rtl w:val="true"/>
        </w:rPr>
        <w:t>ثمرات اصل سوم</w:t>
      </w:r>
      <w:r>
        <w:rPr>
          <w:rtl w:val="true"/>
        </w:rPr>
        <w:t xml:space="preserve">: </w:t>
      </w:r>
      <w:r>
        <w:rPr>
          <w:rtl w:val="true"/>
        </w:rPr>
        <w:t>وعد و وعید</w:t>
      </w:r>
      <w:bookmarkEnd w:id="356"/>
    </w:p>
    <w:p>
      <w:pPr>
        <w:pStyle w:val="Heading5"/>
        <w:numPr>
          <w:ilvl w:val="4"/>
          <w:numId w:val="1"/>
        </w:numPr>
        <w:rPr/>
      </w:pPr>
      <w:bookmarkStart w:id="357" w:name="__RefHeading___Toc1119808_1738255347"/>
      <w:bookmarkStart w:id="358" w:name="_Toc134"/>
      <w:bookmarkEnd w:id="357"/>
      <w:r>
        <w:rPr>
          <w:rtl w:val="true"/>
        </w:rPr>
        <w:t>اشاره</w:t>
      </w:r>
      <w:bookmarkEnd w:id="358"/>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احباط و تکفیر</w:t>
      </w:r>
    </w:p>
    <w:p>
      <w:pPr>
        <w:pStyle w:val="BookText"/>
        <w:rPr/>
      </w:pPr>
      <w:r>
        <w:rPr>
          <w:rFonts w:ascii="IRNazanin" w:hAnsi="IRNazanin" w:eastAsia="IRNazanin"/>
          <w:color w:val="111111"/>
          <w:sz w:val="28"/>
          <w:sz w:val="28"/>
          <w:szCs w:val="28"/>
          <w:rtl w:val="true"/>
          <w:lang w:bidi="fa-IR"/>
        </w:rPr>
        <w:t>این دو واژه از قرآن اخذ شده و رمز دو مسألۀ کلامی هستند که معتزله در این دو، با دیگر مسلمانان فاصله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قبلا به تفسیر دو واژه بپردازیم، آنگاه نقطه نظرهای ارباب مکاتب کلامی را در این دو مسأله یادآور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أحبط الله عمل الکافر خدا عمل او را پوچ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پوشش و یا پوشانیدن گرفته‌شده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به زارع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دانه را زیر خاک پنهان می‌سازد،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الْکُفّارَ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زارعان را گیاه زمین خشنودشان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کافر در مقابل مؤمن، کافر می‌گویند از این جهت است که حق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احباط در اصطلاح متکلمان این است که اعمال صالح یک انسان، به وسیلۀ عمل بد، پوچ و نابود گردد و به عبارت دیگر ذنب متأخر، اعمال صالح پیشین را ابطال کند و در مقابل آن تکفیر است که عمل صالح، عمل ناشایست را بپوشاند و سیئه را از اثر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 الجبار، در تعریف هر دو می‌گوید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هر مکلفی از سه صورت خالی نیست گاهی سراسر آن را اطاعت</w:t>
      </w:r>
      <w:bookmarkStart w:id="359" w:name="pg17029_176745"/>
    </w:p>
    <w:p>
      <w:pPr>
        <w:pStyle w:val="BookText"/>
        <w:rPr/>
      </w:pPr>
      <w:bookmarkEnd w:id="359"/>
      <w:r>
        <w:rPr>
          <w:rFonts w:ascii="IRNazanin" w:hAnsi="IRNazanin" w:eastAsia="IRNazanin"/>
          <w:color w:val="111111"/>
          <w:sz w:val="28"/>
          <w:sz w:val="28"/>
          <w:szCs w:val="28"/>
          <w:rtl w:val="true"/>
          <w:lang w:bidi="fa-IR"/>
        </w:rPr>
        <w:t>و فرمانبرداری، و گاهی عصیان و نافرمانی و ثالثا مختلط از هر دو تشکیل می‌دهد و در دو گروه نخست، برای احباط و تکفیر جایگاهی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دو، صورت سوم است آنگاه که اطاعت و عصیان یکسان نباشند در این صورت اقل محکوم اکثر است، هرگاه اقل گناه باشد، نام آن تکفیر و اگر اطاعت باشد، نام آن احباط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خمسه</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Heading5"/>
        <w:numPr>
          <w:ilvl w:val="4"/>
          <w:numId w:val="1"/>
        </w:numPr>
        <w:rPr/>
      </w:pPr>
      <w:bookmarkStart w:id="360" w:name="__RefHeading___Toc1119810_1738255347"/>
      <w:bookmarkStart w:id="361" w:name="_Toc135"/>
      <w:bookmarkEnd w:id="360"/>
      <w:r>
        <w:rPr>
          <w:rtl w:val="true"/>
        </w:rPr>
        <w:t>مقیاس در احباط چیست؟</w:t>
      </w:r>
      <w:bookmarkEnd w:id="361"/>
    </w:p>
    <w:p>
      <w:pPr>
        <w:pStyle w:val="BookText"/>
        <w:rPr/>
      </w:pPr>
      <w:r>
        <w:rPr>
          <w:rFonts w:ascii="IRNazanin" w:hAnsi="IRNazanin" w:eastAsia="IRNazanin"/>
          <w:color w:val="111111"/>
          <w:sz w:val="28"/>
          <w:sz w:val="28"/>
          <w:szCs w:val="28"/>
          <w:rtl w:val="true"/>
          <w:lang w:bidi="fa-IR"/>
        </w:rPr>
        <w:t>در بیان قاضی، جایگاه احباط و تکفیر، اختلاف حجم اعمال نیک و بد است و پیوسته عمل اقل خواه حسنه باشد خواه سیئه محکوم حکم اکثر است، اگر گناه کم باشد، به وسیلۀ اعمال صالح زیاد مستور می‌گردد و اگر حسنه کم باشد، به وسیلۀ گناه کثیر بی‌اثر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مقیاس در داوری حجیم بودن یکی از دو نوع عمل است، نه تقدم یکی و تأخر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 موقع حسابرسی، سنگینی و یا سبکی حسنات و یا سیئات، میزان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گروه که محور را افزونی و کمی حسنه و یا سیئه می‌دانند، در تفسیر احباط و معیار آن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زیاد، حسنات کم را نابود می‌سازد بدون اینکه از کمیت گناه بکاهد، در حالی که فرزندش ابو هاشم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حسنۀ قلیله، معادل خود را از سیئه کم می‌کند و نابود می‌سازد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برخی در مسألۀ احباط، مقیاس را تقدم و تأخر حسنه و سیئه دانسته است و می‌گوید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کبیرۀ متأخر تمام اعمال صالح را بی‌اثر ساخته، هرچند از نظر</w:t>
      </w:r>
      <w:bookmarkStart w:id="362" w:name="pg17029_176746"/>
    </w:p>
    <w:p>
      <w:pPr>
        <w:pStyle w:val="BookText"/>
        <w:rPr/>
      </w:pPr>
      <w:bookmarkEnd w:id="362"/>
      <w:r>
        <w:rPr>
          <w:rFonts w:ascii="IRNazanin" w:hAnsi="IRNazanin" w:eastAsia="IRNazanin"/>
          <w:color w:val="111111"/>
          <w:sz w:val="28"/>
          <w:sz w:val="28"/>
          <w:szCs w:val="28"/>
          <w:rtl w:val="true"/>
          <w:lang w:bidi="fa-IR"/>
        </w:rPr>
        <w:t>کمیت به پایۀ حسنات نرسد، بنابراین یک گناه کبیره، خط بطلان بر تمام اعمال صالح شصت سالۀ انسانی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آرای ابو علی و ابو هاشم و نظریۀ اخیر، معتزله در تفسیر احباط خود دچار اختلاف شده هر چند اصل آن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با تفسیر احباط و تکفیر آشنا شدیم، بهتر است به دلایل طرفیت گوش فرا دهیم</w:t>
      </w:r>
      <w:r>
        <w:rPr>
          <w:rFonts w:eastAsia="IRNazanin" w:cs="IRNazanin"/>
          <w:color w:val="111111"/>
          <w:sz w:val="28"/>
          <w:szCs w:val="28"/>
          <w:rtl w:val="true"/>
          <w:lang w:bidi="fa-IR"/>
        </w:rPr>
        <w:t>.</w:t>
      </w:r>
    </w:p>
    <w:p>
      <w:pPr>
        <w:pStyle w:val="Heading5"/>
        <w:numPr>
          <w:ilvl w:val="4"/>
          <w:numId w:val="1"/>
        </w:numPr>
        <w:rPr/>
      </w:pPr>
      <w:bookmarkStart w:id="363" w:name="__RefHeading___Toc1119812_1738255347"/>
      <w:bookmarkStart w:id="364" w:name="_Toc136"/>
      <w:bookmarkEnd w:id="363"/>
      <w:r>
        <w:rPr>
          <w:rtl w:val="true"/>
        </w:rPr>
        <w:t>احباط در کشاکش جواز و منع</w:t>
      </w:r>
      <w:bookmarkEnd w:id="364"/>
    </w:p>
    <w:p>
      <w:pPr>
        <w:pStyle w:val="BookText"/>
        <w:rPr/>
      </w:pPr>
      <w:r>
        <w:rPr>
          <w:rFonts w:ascii="IRNazanin" w:hAnsi="IRNazanin" w:eastAsia="IRNazanin"/>
          <w:color w:val="111111"/>
          <w:sz w:val="28"/>
          <w:sz w:val="28"/>
          <w:szCs w:val="28"/>
          <w:rtl w:val="true"/>
          <w:lang w:bidi="fa-IR"/>
        </w:rPr>
        <w:t xml:space="preserve">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آن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وقت آن رسیده است که حکم آن را از خرد و کتاب و سنت بپرسیم، معتزله که از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حکم خرد را دربارۀ آن چنین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پروندۀ زندگی او را دو نوع عمل نیک و بد تشکیل دهد و از طرفی می‌دانیم پاداش و همچنین کیفر الهی نسبت به هر عمل موقت نیست، بلکه دایمی است، یعنی عمل صالح مستلزم پاداش دایم و عمل ناصالح مستلزم کیفر جاودان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اصل، سرنوشت چنین انسانی می‌تواند به یکی از صور یاد شده در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پاداش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کیفر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هیچ‌یک از ثواب و عقاب، روبرو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واحدی هر دو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نیک کم، محکوم عمل زیاد بد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احتمال نخست، بر خلاف اجماع است و چهارمی کاملا محال است</w:t>
      </w:r>
    </w:p>
    <w:p>
      <w:pPr>
        <w:pStyle w:val="BookText"/>
        <w:rPr/>
      </w:pPr>
      <w:r>
        <w:rPr>
          <w:rFonts w:ascii="IRNazanin" w:hAnsi="IRNazanin" w:eastAsia="IRNazanin"/>
          <w:color w:val="111111"/>
          <w:sz w:val="28"/>
          <w:sz w:val="28"/>
          <w:szCs w:val="28"/>
          <w:rtl w:val="true"/>
          <w:lang w:bidi="fa-IR"/>
        </w:rPr>
        <w:t>و چاره ای جز قبول احتمال پنجم نیست و این همان نظریۀ ابو علی و ابو هاشم جبائیان است که قائل به احباطند، چیزی که هست در طریق اجرا با هم اختلاف دارند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 الجبار، اصول خمسه</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او در کتاب خود پیرامون سه احتمال اخیر سخن گفته و دربارۀ دو احتمال نخست، سخنی نگفته است و علت آن روشن بودن بطلان آن است و در گذشته اختلاف هر دو در کیفیت احباط،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اساس این استدلال را جاودانگی مرتکب کبیره در عذاب تشکیل می‌دهد، درحالی‌که این اصل ثابت نیست، بلکه خلاف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احتمال ششمی وجود دارد و آن اینکه مدتی در آتش دوزخ معذب شود، سپس از آتش خارج شده، برای نیل به پاداش خود روانۀ بهشت گردد و در آنجا جاودانه قرار گیرد؛</w:t>
      </w:r>
    </w:p>
    <w:p>
      <w:pPr>
        <w:pStyle w:val="BookText"/>
        <w:rPr/>
      </w:pPr>
      <w:r>
        <w:rPr>
          <w:rFonts w:ascii="IRNazanin" w:hAnsi="IRNazanin" w:eastAsia="IRNazanin"/>
          <w:color w:val="111111"/>
          <w:sz w:val="28"/>
          <w:sz w:val="28"/>
          <w:szCs w:val="28"/>
          <w:rtl w:val="true"/>
          <w:lang w:bidi="fa-IR"/>
        </w:rPr>
        <w:t xml:space="preserve">زیرا آیات قرآن، بر خلود بهشتیان تصریح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الخلد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الخلد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پس از بیان این دلیل، دست به دامن بیان دومی شده که با دلیل و برهان همراه نیست و آن اینکه ارتکاب گناه کبیره، فاعل را از صلاحیت دریافت پاداش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نقطه یا نقاط سیاه در پروندۀ زندگی کافی است که او را از قبل، به پاداش اعمال صالح مانع گردد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بیانی جز ادعا، چیزی نیست، زیرا همۀ معاصی حکم واحدی ندارند و آنچنان نیست که همۀ آنها پیوند انسان را با خدا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مایۀ دوری از مقام ربوبی می‌گردد، گناهی مانند کفر و ارتداد و نفاق، قطع رابطه را به دنبال دارند</w:t>
      </w:r>
      <w:bookmarkStart w:id="365" w:name="pg17029_176748"/>
    </w:p>
    <w:p>
      <w:pPr>
        <w:pStyle w:val="BookText"/>
        <w:rPr/>
      </w:pPr>
      <w:bookmarkEnd w:id="365"/>
      <w:r>
        <w:rPr>
          <w:rFonts w:ascii="IRNazanin" w:hAnsi="IRNazanin" w:eastAsia="IRNazanin"/>
          <w:color w:val="111111"/>
          <w:sz w:val="28"/>
          <w:sz w:val="28"/>
          <w:szCs w:val="28"/>
          <w:rtl w:val="true"/>
          <w:lang w:bidi="fa-IR"/>
        </w:rPr>
        <w:t>و مجرمی بسان کافر و مرتد، صلاحیت دریافت ثواب ندارد، درحالی‌که دیگر گناهان چنین نیست و به اصطلاح نمی‌توان همه را به یک چوب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کتابهای معتزله برای احباط جز این دو دلیل، دلیل دیگری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الست که به دلایل منکران گوش فرا دهیم</w:t>
      </w:r>
      <w:r>
        <w:rPr>
          <w:rFonts w:eastAsia="IRNazanin" w:cs="IRNazanin"/>
          <w:color w:val="111111"/>
          <w:sz w:val="28"/>
          <w:szCs w:val="28"/>
          <w:rtl w:val="true"/>
          <w:lang w:bidi="fa-IR"/>
        </w:rPr>
        <w:t>.</w:t>
      </w:r>
    </w:p>
    <w:p>
      <w:pPr>
        <w:pStyle w:val="Heading5"/>
        <w:numPr>
          <w:ilvl w:val="4"/>
          <w:numId w:val="1"/>
        </w:numPr>
        <w:rPr/>
      </w:pPr>
      <w:bookmarkStart w:id="366" w:name="__RefHeading___Toc1119814_1738255347"/>
      <w:bookmarkStart w:id="367" w:name="_Toc137"/>
      <w:bookmarkEnd w:id="366"/>
      <w:r>
        <w:rPr>
          <w:rtl w:val="true"/>
        </w:rPr>
        <w:t>دلیل نافیان احباط</w:t>
      </w:r>
      <w:bookmarkEnd w:id="367"/>
    </w:p>
    <w:p>
      <w:pPr>
        <w:pStyle w:val="BookText"/>
        <w:rPr/>
      </w:pPr>
      <w:r>
        <w:rPr>
          <w:rFonts w:ascii="IRNazanin" w:hAnsi="IRNazanin" w:eastAsia="IRNazanin"/>
          <w:color w:val="111111"/>
          <w:sz w:val="28"/>
          <w:sz w:val="28"/>
          <w:szCs w:val="28"/>
          <w:rtl w:val="true"/>
          <w:lang w:bidi="fa-IR"/>
        </w:rPr>
        <w:t>اندیشۀ احباط، مستلزم تجویز ظلم بر خداست، زیرا کسی‌که همکار نیک و هم کار بد انجام داده است، از سه حالت بیرون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سیّئات او بر حسناتش غلبه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حسنات او بر سیّئاتش فزونی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میزان عمل، بر او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احباط، حال شخص نخست مانند حال کسی است که اصلا کار نیک انجام نداده و حال شخص دوم بسان انسانی است که هرگز کار بد انجام نداده و حال شخص سوم بسان کسی است که هیچ‌کدام را انجام نداده است و این جز ظلم چیزی نیست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حلی، کشف المراد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که علامۀ حلی بر آن اعتماد کرده است، می‌تواند با نظریۀ ابو علی در احباط، همخوان باشد؛ زیرا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سیئۀ زیاد، حسنۀ کم را نابود می‌سازد بدون آنکه از حجم گناه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پیداست نادیده گرفتن حسنات انسان هرچه کم باشد، نوعی ظلم و ستم است، ولی بنابر نظریۀ فرزندش ابو هاشم که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می‌کشد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به‌اندازه‌ای که کار نیک انجام داده است، از مقدار سیئات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ظلمی متوجه او نمی‌گردد</w:t>
      </w:r>
      <w:r>
        <w:rPr>
          <w:rFonts w:eastAsia="IRNazanin" w:cs="IRNazanin"/>
          <w:color w:val="111111"/>
          <w:sz w:val="28"/>
          <w:szCs w:val="28"/>
          <w:rtl w:val="true"/>
          <w:lang w:bidi="fa-IR"/>
        </w:rPr>
        <w:t>.</w:t>
      </w:r>
      <w:bookmarkStart w:id="368" w:name="pg17029_176749"/>
    </w:p>
    <w:p>
      <w:pPr>
        <w:pStyle w:val="BookText"/>
        <w:rPr/>
      </w:pPr>
      <w:bookmarkEnd w:id="368"/>
      <w:r>
        <w:rPr>
          <w:rFonts w:ascii="IRNazanin" w:hAnsi="IRNazanin" w:eastAsia="IRNazanin"/>
          <w:color w:val="111111"/>
          <w:sz w:val="28"/>
          <w:sz w:val="28"/>
          <w:szCs w:val="28"/>
          <w:rtl w:val="true"/>
          <w:lang w:bidi="fa-IR"/>
        </w:rPr>
        <w:t xml:space="preserve">مسلّما شرح اصول خمسۀ قاضی نزد علامۀ حلی نبوده که بر چنین استدلالی تکیه کرده است، زیرا قاضی عبد الجبار نظریۀ ابو هاشم را بر می‌گزیند و آن را قابل‌اعتماد قلمداد می‌نماید، و بنابر نظریۀ ایشان کوچکترین ستمی در کار نیست، زیرا عمل صالح، آنجا که جدا از معصیت باشد، مایۀ پاداش است و اگر با معصیت همراه گردد، باید به سهم خود از تأثیر گناه بکاهد، زیرا دفع ضرر نیز نوعی سود است، آری مذهب پدر که صاحب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خود خیری نمی‌بیند، بر خلاف تصریح خداست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 الجبار، اصول خمسه</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روشنترین دلیل عقلی بر بطلان احباط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آنگاه که پاداش عمل مطلق بوده و مشروط به عدم عصیان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مستلزم خلف در وعدۀ الهی است، وعده‌ای که خلف پذیر نیست و عقل و نقل بر امتناع خلف اتفاق نظر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تَحْسَبَنَّ اللّهَ مُخْلِفَ وَعْدِهِ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آیات قرآن، آیۀ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گواه بر بطلان احباط باشد،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اندازۀ سنگینی ذره‌ای کار خیر انجام دهد،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دیدن عمل، دیدن نتایج آن، پاداش است و در احباط حتی در نظریۀ ابی هاشم، عمل و اثر آن دیده نمی‌شود و کاستن از سنگینی گناه، غیر از دیدن خود عمل و حتی اثر بلاواسطۀ آن است</w:t>
      </w:r>
      <w:r>
        <w:rPr>
          <w:rFonts w:eastAsia="IRNazanin" w:cs="IRNazanin"/>
          <w:color w:val="111111"/>
          <w:sz w:val="28"/>
          <w:szCs w:val="28"/>
          <w:rtl w:val="true"/>
          <w:lang w:bidi="fa-IR"/>
        </w:rPr>
        <w:t>.</w:t>
      </w:r>
    </w:p>
    <w:p>
      <w:pPr>
        <w:pStyle w:val="Heading5"/>
        <w:numPr>
          <w:ilvl w:val="4"/>
          <w:numId w:val="1"/>
        </w:numPr>
        <w:rPr/>
      </w:pPr>
      <w:bookmarkStart w:id="369" w:name="__RefHeading___Toc1119816_1738255347"/>
      <w:bookmarkStart w:id="370" w:name="_Toc138"/>
      <w:bookmarkEnd w:id="369"/>
      <w:r>
        <w:rPr>
          <w:rtl w:val="true"/>
        </w:rPr>
        <w:t>پرسش و پاسخ</w:t>
      </w:r>
      <w:bookmarkEnd w:id="370"/>
    </w:p>
    <w:p>
      <w:pPr>
        <w:pStyle w:val="Heading6"/>
        <w:numPr>
          <w:ilvl w:val="5"/>
          <w:numId w:val="1"/>
        </w:numPr>
        <w:rPr/>
      </w:pPr>
      <w:bookmarkStart w:id="371" w:name="__RefHeading___Toc1119818_1738255347"/>
      <w:bookmarkStart w:id="372" w:name="_Toc139"/>
      <w:bookmarkEnd w:id="371"/>
      <w:r>
        <w:rPr>
          <w:rtl w:val="true"/>
        </w:rPr>
        <w:t>اشاره</w:t>
      </w:r>
      <w:bookmarkEnd w:id="37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مکاتب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جزئی پذیرفته و در قرآن نیز در مواردی به آن تصریح شد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آنان با معتزله در کلی بودن این</w:t>
      </w:r>
      <w:bookmarkStart w:id="373" w:name="pg17029_176750"/>
    </w:p>
    <w:p>
      <w:pPr>
        <w:pStyle w:val="BookText"/>
        <w:rPr/>
      </w:pPr>
      <w:bookmarkEnd w:id="373"/>
      <w:r>
        <w:rPr>
          <w:rFonts w:ascii="IRNazanin" w:hAnsi="IRNazanin" w:eastAsia="IRNazanin"/>
          <w:color w:val="111111"/>
          <w:sz w:val="28"/>
          <w:sz w:val="28"/>
          <w:szCs w:val="28"/>
          <w:rtl w:val="true"/>
          <w:lang w:bidi="fa-IR"/>
        </w:rPr>
        <w:t>اصل است، وگرنه صورت جزئی آن مورد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 می‌شود که صحت احباط به نحو جزئی با این آیه و امثال آن چگونه امکان‌پذیر است؟</w:t>
      </w:r>
    </w:p>
    <w:p>
      <w:pPr>
        <w:pStyle w:val="Heading6"/>
        <w:numPr>
          <w:ilvl w:val="5"/>
          <w:numId w:val="1"/>
        </w:numPr>
        <w:rPr/>
      </w:pPr>
      <w:bookmarkStart w:id="374" w:name="__RefHeading___Toc1119820_1738255347"/>
      <w:bookmarkStart w:id="375" w:name="_Toc140"/>
      <w:bookmarkEnd w:id="374"/>
      <w:r>
        <w:rPr>
          <w:rtl w:val="true"/>
        </w:rPr>
        <w:t>پاسخ</w:t>
      </w:r>
      <w:bookmarkEnd w:id="375"/>
    </w:p>
    <w:p>
      <w:pPr>
        <w:pStyle w:val="BookText"/>
        <w:rPr/>
      </w:pPr>
      <w:r>
        <w:rPr>
          <w:rFonts w:ascii="IRNazanin" w:hAnsi="IRNazanin" w:eastAsia="IRNazanin"/>
          <w:color w:val="111111"/>
          <w:sz w:val="28"/>
          <w:sz w:val="28"/>
          <w:szCs w:val="28"/>
          <w:rtl w:val="true"/>
          <w:lang w:bidi="fa-IR"/>
        </w:rPr>
        <w:t xml:space="preserve">قائلان به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احباط را در این موارد از طریق مشروط بودن نویدهای الهی حل می‌کنند و یادآور می‌شوند که نوید الهی مشروط به این بود که عامل کار نیک، مثلا بعدها مرتد نشود و چون شرط تحقق نپذیرفت، قهرا محرومیت از پاداش، تخلفی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پرسش دیگری نیز مطرح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احباط در این موارد، از طریق فقدان شرط مستلزم آن است که این فرد اصلا مستحق پاداش نباشد،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فاقد موضوع خواهد بود، یعنی ثوابی در کار نبوده که گناه کبیره آن را 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پاسخ آن روشن است، زیرا هر چند ثوابی به صورت محقق در کار نبوده، اما مقتضی و جزء از علت آن تحقق یافته بود و چون به وسیلۀ سیئه، زمینه را از تأثیر انداخت، تو گویی پاداش خود را پوچ و نابود ساخت و واژۀ ابطال، در صورت ابطال زمینه، در استعمالات مردم رایج است</w:t>
      </w:r>
      <w:r>
        <w:rPr>
          <w:rFonts w:eastAsia="IRNazanin" w:cs="IRNazanin"/>
          <w:color w:val="111111"/>
          <w:sz w:val="28"/>
          <w:szCs w:val="28"/>
          <w:rtl w:val="true"/>
          <w:lang w:bidi="fa-IR"/>
        </w:rPr>
        <w:t>.</w:t>
      </w:r>
    </w:p>
    <w:p>
      <w:pPr>
        <w:pStyle w:val="Heading5"/>
        <w:numPr>
          <w:ilvl w:val="4"/>
          <w:numId w:val="1"/>
        </w:numPr>
        <w:rPr/>
      </w:pPr>
      <w:bookmarkStart w:id="376" w:name="__RefHeading___Toc1119822_1738255347"/>
      <w:bookmarkStart w:id="377" w:name="_Toc141"/>
      <w:bookmarkEnd w:id="376"/>
      <w:r>
        <w:rPr>
          <w:rtl w:val="true"/>
        </w:rPr>
        <w:t>موارد احباط در قرآن</w:t>
      </w:r>
      <w:bookmarkEnd w:id="377"/>
    </w:p>
    <w:p>
      <w:pPr>
        <w:pStyle w:val="Heading6"/>
        <w:numPr>
          <w:ilvl w:val="5"/>
          <w:numId w:val="1"/>
        </w:numPr>
        <w:rPr/>
      </w:pPr>
      <w:bookmarkStart w:id="378" w:name="__RefHeading___Toc1119824_1738255347"/>
      <w:bookmarkStart w:id="379" w:name="_Toc142"/>
      <w:bookmarkEnd w:id="378"/>
      <w:r>
        <w:rPr>
          <w:rtl w:val="true"/>
        </w:rPr>
        <w:t>اشاره</w:t>
      </w:r>
      <w:bookmarkEnd w:id="37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احباط به صورت ضابطۀ کلی مورد پذیرش نیست، ولی در مواردی‌که قرآن و سنت بر آن تصریح دارند، از پذیرش آن چاره‌ای نیست و مسلما احباط در این موارد، به همان معنی خواهد بود که هم‌اکنون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نوید الهی در جهان ثبوت، مشروط بر این بود که به دنبال آن عمل صالح، گناه خاصی نیاید و در غیر این صورت کوچکترین نویدی در کار نخواهد بود</w:t>
      </w:r>
      <w:r>
        <w:rPr>
          <w:rFonts w:eastAsia="IRNazanin" w:cs="IRNazanin"/>
          <w:color w:val="111111"/>
          <w:sz w:val="28"/>
          <w:szCs w:val="28"/>
          <w:rtl w:val="true"/>
          <w:lang w:bidi="fa-IR"/>
        </w:rPr>
        <w:t>.</w:t>
      </w:r>
      <w:bookmarkStart w:id="380" w:name="pg17029_176751"/>
    </w:p>
    <w:p>
      <w:pPr>
        <w:pStyle w:val="BookText"/>
        <w:rPr/>
      </w:pPr>
      <w:bookmarkEnd w:id="380"/>
      <w:r>
        <w:rPr>
          <w:rFonts w:ascii="IRNazanin" w:hAnsi="IRNazanin" w:eastAsia="IRNazanin"/>
          <w:color w:val="111111"/>
          <w:sz w:val="28"/>
          <w:sz w:val="28"/>
          <w:szCs w:val="28"/>
          <w:rtl w:val="true"/>
          <w:lang w:bidi="fa-IR"/>
        </w:rPr>
        <w:t>از آیات قرآن استفاده می‌شود که برخی از معاصی، مایۀ احباط و بطلان اعمال پاک پیشین می‌شود، این بخش از بحث جنبۀ تفسیری دارد و فقط برای تکمیل مطلب، به آیات آن اشاره می‌شود</w:t>
      </w:r>
      <w:r>
        <w:rPr>
          <w:rFonts w:eastAsia="IRNazanin" w:cs="IRNazanin"/>
          <w:color w:val="111111"/>
          <w:sz w:val="28"/>
          <w:szCs w:val="28"/>
          <w:rtl w:val="true"/>
          <w:lang w:bidi="fa-IR"/>
        </w:rPr>
        <w:t>.</w:t>
      </w:r>
    </w:p>
    <w:p>
      <w:pPr>
        <w:pStyle w:val="Heading6"/>
        <w:numPr>
          <w:ilvl w:val="5"/>
          <w:numId w:val="1"/>
        </w:numPr>
        <w:rPr/>
      </w:pPr>
      <w:bookmarkStart w:id="381" w:name="__RefHeading___Toc1119826_1738255347"/>
      <w:bookmarkStart w:id="382" w:name="_Toc143"/>
      <w:bookmarkEnd w:id="381"/>
      <w:r>
        <w:rPr/>
        <w:t>1</w:t>
      </w:r>
      <w:r>
        <w:rPr>
          <w:rtl w:val="true"/>
        </w:rPr>
        <w:t xml:space="preserve"> - </w:t>
      </w:r>
      <w:r>
        <w:rPr>
          <w:rtl w:val="true"/>
        </w:rPr>
        <w:t>ارتداد پس از اسلام</w:t>
      </w:r>
      <w:bookmarkEnd w:id="382"/>
    </w:p>
    <w:p>
      <w:pPr>
        <w:pStyle w:val="BookText"/>
        <w:rPr/>
      </w:pPr>
      <w:r>
        <w:rPr>
          <w:rFonts w:ascii="IRNazanin" w:hAnsi="IRNazanin" w:eastAsia="IRNazanin"/>
          <w:color w:val="111111"/>
          <w:sz w:val="28"/>
          <w:sz w:val="28"/>
          <w:szCs w:val="28"/>
          <w:rtl w:val="true"/>
          <w:lang w:bidi="fa-IR"/>
        </w:rPr>
        <w:t>هرگاه مؤمن پس از مدتی راه ارتداد در پیش گیرد، ایمان و عمل صالح آنان در نزد خدا بی‌ارزش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یَرْتَدِدْ مِنْکُمْ عَنْ دِینِهِ فَیَمُتْ وَ هُوَ کافِرٌ فَأُولئِکَ حَبِطَتْ أَعْمالُهُمْ فِی الدُّنْیا وَ الْآخِرَةِ وَ أُولئِکَ أَصْحابُ النّارِ هُمْ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هرکدام از شما از دین خود بازگردد و کافر بمیرد، اعمال آنان در دنیا و آخرت باطل گردیده و از دوزخیانند که در آن جاودانه هستند</w:t>
      </w:r>
      <w:r>
        <w:rPr>
          <w:rFonts w:eastAsia="IRNazanin" w:cs="IRNazanin"/>
          <w:color w:val="111111"/>
          <w:sz w:val="28"/>
          <w:szCs w:val="28"/>
          <w:rtl w:val="true"/>
          <w:lang w:bidi="fa-IR"/>
        </w:rPr>
        <w:t>».</w:t>
      </w:r>
    </w:p>
    <w:p>
      <w:pPr>
        <w:pStyle w:val="Heading6"/>
        <w:numPr>
          <w:ilvl w:val="5"/>
          <w:numId w:val="1"/>
        </w:numPr>
        <w:rPr/>
      </w:pPr>
      <w:bookmarkStart w:id="383" w:name="__RefHeading___Toc1119828_1738255347"/>
      <w:bookmarkStart w:id="384" w:name="_Toc144"/>
      <w:bookmarkEnd w:id="383"/>
      <w:r>
        <w:rPr/>
        <w:t>2</w:t>
      </w:r>
      <w:r>
        <w:rPr>
          <w:rtl w:val="true"/>
        </w:rPr>
        <w:t xml:space="preserve"> - </w:t>
      </w:r>
      <w:r>
        <w:rPr>
          <w:rtl w:val="true"/>
        </w:rPr>
        <w:t>شرک مقارن عمل صالح</w:t>
      </w:r>
      <w:bookmarkEnd w:id="384"/>
    </w:p>
    <w:p>
      <w:pPr>
        <w:pStyle w:val="BookText"/>
        <w:rPr/>
      </w:pPr>
      <w:r>
        <w:rPr>
          <w:rFonts w:ascii="IRNazanin" w:hAnsi="IRNazanin" w:eastAsia="IRNazanin"/>
          <w:color w:val="111111"/>
          <w:sz w:val="28"/>
          <w:sz w:val="28"/>
          <w:szCs w:val="28"/>
          <w:rtl w:val="true"/>
          <w:lang w:bidi="fa-IR"/>
        </w:rPr>
        <w:t>از بیانی که دربارۀ ارتداد انجام گرفت، تکلیف شرک نیز روشن می‌گردد، چنانکه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کانَ لِلْمُشْرِکِینَ أَنْ یَعْمُرُوا مَساجِدَ اللّهِ شاهِدِینَ عَلی أَنْفُسِهِمْ بِالْکُفْرِ أُولئِکَ حَبِطَتْ أَعْمالُهُمْ وَ فِی النّارِ هُمْ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مشرکان نیست که مساجد خدا را تعمیر کنند، در حالی بر کفر خود گواهی می‌دهند آنان کسانی هستند که اعمال آنها باطل گردیده و در آتش جاودانه هستند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آیه گواه بر این است که پذیرش اعمال صالح مشروط بر این است که عامل به هنگام عمل، موحد بوده و یا پس از عمل از آیین حق به کفر باز نگردد</w:t>
      </w:r>
      <w:r>
        <w:rPr>
          <w:rFonts w:eastAsia="IRNazanin" w:cs="IRNazanin"/>
          <w:color w:val="111111"/>
          <w:sz w:val="28"/>
          <w:szCs w:val="28"/>
          <w:rtl w:val="true"/>
          <w:lang w:bidi="fa-IR"/>
        </w:rPr>
        <w:t>.</w:t>
      </w:r>
      <w:bookmarkStart w:id="385" w:name="pg17029_176752"/>
    </w:p>
    <w:p>
      <w:pPr>
        <w:pStyle w:val="Heading6"/>
        <w:numPr>
          <w:ilvl w:val="5"/>
          <w:numId w:val="1"/>
        </w:numPr>
        <w:rPr/>
      </w:pPr>
      <w:bookmarkStart w:id="386" w:name="__RefHeading___Toc1119830_1738255347"/>
      <w:bookmarkStart w:id="387" w:name="_Toc145"/>
      <w:bookmarkEnd w:id="385"/>
      <w:bookmarkEnd w:id="386"/>
      <w:r>
        <w:rPr/>
        <w:t>3</w:t>
      </w:r>
      <w:r>
        <w:rPr>
          <w:rtl w:val="true"/>
        </w:rPr>
        <w:t xml:space="preserve"> - </w:t>
      </w:r>
      <w:r>
        <w:rPr>
          <w:rtl w:val="true"/>
        </w:rPr>
        <w:t>ناخوشایندی از دستورات خدا</w:t>
      </w:r>
      <w:bookmarkEnd w:id="387"/>
    </w:p>
    <w:p>
      <w:pPr>
        <w:pStyle w:val="BookText"/>
        <w:rPr/>
      </w:pPr>
      <w:r>
        <w:rPr>
          <w:rFonts w:ascii="IRNazanin" w:hAnsi="IRNazanin" w:eastAsia="IRNazanin"/>
          <w:color w:val="111111"/>
          <w:sz w:val="28"/>
          <w:sz w:val="28"/>
          <w:szCs w:val="28"/>
          <w:rtl w:val="true"/>
          <w:lang w:bidi="fa-IR"/>
        </w:rPr>
        <w:t>ناخوشایندی از دستورات خدا مایۀ حبط اعمال می‌گردد،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فَتَعْساً لَهُمْ وَ أَضَلَّ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کَرِهُوا ما أَنْزَلَ اللّهُ فَأَحْبَطَ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کافر شدند خود و اعمالشان نابود باد، به خاطر اینکه آنچه را که خدا نازل کرده است مکروه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وارد در این آیه می‌تواند دامن مسلمان را بگیرد، آنگاه که آگاهانه بر برخی از تشریع الهی انگشت اعتراض بگذارد، بنابراین حبط در این آیه اختصاص به کافر ندارد، هر چند مورد آیه کافر است</w:t>
      </w:r>
      <w:r>
        <w:rPr>
          <w:rFonts w:eastAsia="IRNazanin" w:cs="IRNazanin"/>
          <w:color w:val="111111"/>
          <w:sz w:val="28"/>
          <w:szCs w:val="28"/>
          <w:rtl w:val="true"/>
          <w:lang w:bidi="fa-IR"/>
        </w:rPr>
        <w:t>.</w:t>
      </w:r>
    </w:p>
    <w:p>
      <w:pPr>
        <w:pStyle w:val="Heading6"/>
        <w:numPr>
          <w:ilvl w:val="5"/>
          <w:numId w:val="1"/>
        </w:numPr>
        <w:rPr/>
      </w:pPr>
      <w:bookmarkStart w:id="388" w:name="__RefHeading___Toc1119832_1738255347"/>
      <w:bookmarkStart w:id="389" w:name="_Toc146"/>
      <w:bookmarkEnd w:id="388"/>
      <w:r>
        <w:rPr/>
        <w:t>4</w:t>
      </w:r>
      <w:r>
        <w:rPr>
          <w:rtl w:val="true"/>
        </w:rPr>
        <w:t xml:space="preserve"> - </w:t>
      </w:r>
      <w:r>
        <w:rPr>
          <w:rtl w:val="true"/>
        </w:rPr>
        <w:t>کفر</w:t>
      </w:r>
      <w:bookmarkEnd w:id="389"/>
    </w:p>
    <w:p>
      <w:pPr>
        <w:pStyle w:val="Heading6"/>
        <w:numPr>
          <w:ilvl w:val="5"/>
          <w:numId w:val="1"/>
        </w:numPr>
        <w:rPr/>
      </w:pPr>
      <w:bookmarkStart w:id="390" w:name="__RefHeading___Toc1119834_1738255347"/>
      <w:bookmarkStart w:id="391" w:name="_Toc147"/>
      <w:bookmarkEnd w:id="390"/>
      <w:r>
        <w:rPr/>
        <w:t>5</w:t>
      </w:r>
      <w:r>
        <w:rPr>
          <w:rtl w:val="true"/>
        </w:rPr>
        <w:t xml:space="preserve"> - </w:t>
      </w:r>
      <w:r>
        <w:rPr>
          <w:rtl w:val="true"/>
        </w:rPr>
        <w:t>بازداشتن مردم از راه خدا</w:t>
      </w:r>
      <w:bookmarkEnd w:id="391"/>
    </w:p>
    <w:p>
      <w:pPr>
        <w:pStyle w:val="Heading6"/>
        <w:numPr>
          <w:ilvl w:val="5"/>
          <w:numId w:val="1"/>
        </w:numPr>
        <w:rPr/>
      </w:pPr>
      <w:bookmarkStart w:id="392" w:name="__RefHeading___Toc1119836_1738255347"/>
      <w:bookmarkStart w:id="393" w:name="_Toc148"/>
      <w:bookmarkEnd w:id="392"/>
      <w:r>
        <w:rPr/>
        <w:t>6</w:t>
      </w:r>
      <w:r>
        <w:rPr>
          <w:rtl w:val="true"/>
        </w:rPr>
        <w:t xml:space="preserve"> - </w:t>
      </w:r>
      <w:r>
        <w:rPr>
          <w:rtl w:val="true"/>
        </w:rPr>
        <w:t>مخالفت با پیامبر</w:t>
      </w:r>
      <w:bookmarkEnd w:id="393"/>
    </w:p>
    <w:p>
      <w:pPr>
        <w:pStyle w:val="BookText"/>
        <w:rPr/>
      </w:pPr>
      <w:r>
        <w:rPr>
          <w:rFonts w:ascii="IRNazanin" w:hAnsi="IRNazanin" w:eastAsia="IRNazanin"/>
          <w:color w:val="111111"/>
          <w:sz w:val="28"/>
          <w:sz w:val="28"/>
          <w:szCs w:val="28"/>
          <w:rtl w:val="true"/>
          <w:lang w:bidi="fa-IR"/>
        </w:rPr>
        <w:t>عوامل سه‌گانه در آیۀ یاد شده در زیر، سبب احباط معرفی‌شده است،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وَ صَدُّوا عَنْ سَبِیلِ اللّهِ وَ شَاقُّوا الرَّسُولَ مِنْ بَعْدِ ما تَبَیَّنَ لَهُمُ الْهُدی لَنْ یَضُرُّوا اللّهَ شَیْئاً وَ سَیُحْبِطُ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کافر شده و مردم را از راه خدا باز داشتند وبا پیامبر به مخالفت برخاستند، پس از آنکه حق بر آنها آشکار گشت، خدا را ضرر نمی‌زنند و اعمال آنان حبط می‌شود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هریک از این سه عامل به‌طور مستقل مایۀ احباط است، یا همگی تحت عنوان کفر داخل بوده و دومی و سومی، نشانۀ کفر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آیه نمی‌توان</w:t>
      </w:r>
      <w:bookmarkStart w:id="394" w:name="pg17029_176753"/>
    </w:p>
    <w:p>
      <w:pPr>
        <w:pStyle w:val="BookText"/>
        <w:rPr/>
      </w:pPr>
      <w:bookmarkEnd w:id="394"/>
      <w:r>
        <w:rPr>
          <w:rFonts w:ascii="IRNazanin" w:hAnsi="IRNazanin" w:eastAsia="IRNazanin"/>
          <w:color w:val="111111"/>
          <w:sz w:val="28"/>
          <w:sz w:val="28"/>
          <w:szCs w:val="28"/>
          <w:rtl w:val="true"/>
          <w:lang w:bidi="fa-IR"/>
        </w:rPr>
        <w:t>استقلال و یا عدم استقلال هریک را استنباط کرد، زیرا در مقام بیان این جهت از بحث نیست و موضوع خالی از ثمرۀ کلامی و فقهی نیست، حالا اگر کسی با اعتقاد به رسالت پیامبر گرامی به خاطر یک‌رشته از خواسته‌های مادی، مردم را از راه خدا باز دارد و یا با پیامبر به مخالفت برخیزد، ولی در دل به حقانیت او معتقد گردد، اگر بگوییم همگی تحت عنوان کفر است در این صورت مایۀ احباط نبوده ولی در صورت استقلال هریک از این سه عامل، اعمال او باطل می‌گردد؟</w:t>
      </w:r>
    </w:p>
    <w:p>
      <w:pPr>
        <w:pStyle w:val="BookText"/>
        <w:rPr/>
      </w:pPr>
      <w:r>
        <w:rPr>
          <w:rFonts w:ascii="IRNazanin" w:hAnsi="IRNazanin" w:eastAsia="IRNazanin"/>
          <w:color w:val="111111"/>
          <w:sz w:val="28"/>
          <w:sz w:val="28"/>
          <w:szCs w:val="28"/>
          <w:rtl w:val="true"/>
          <w:lang w:bidi="fa-IR"/>
        </w:rPr>
        <w:t xml:space="preserve">در آینده خواهیم گفت که یکی از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زدن در محضر پیامبر است، اگر یک چنین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فاعل مسلمان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احباط می‌گردد، بازداری از راه خدا و یا مخالفت با پیامبر، به‌طور اولویت مایۀ احباط خواهد بود</w:t>
      </w:r>
      <w:r>
        <w:rPr>
          <w:rFonts w:eastAsia="IRNazanin" w:cs="IRNazanin"/>
          <w:color w:val="111111"/>
          <w:sz w:val="28"/>
          <w:szCs w:val="28"/>
          <w:rtl w:val="true"/>
          <w:lang w:bidi="fa-IR"/>
        </w:rPr>
        <w:t>.</w:t>
      </w:r>
    </w:p>
    <w:p>
      <w:pPr>
        <w:pStyle w:val="Heading6"/>
        <w:numPr>
          <w:ilvl w:val="5"/>
          <w:numId w:val="1"/>
        </w:numPr>
        <w:rPr/>
      </w:pPr>
      <w:bookmarkStart w:id="395" w:name="__RefHeading___Toc1119838_1738255347"/>
      <w:bookmarkStart w:id="396" w:name="_Toc149"/>
      <w:bookmarkEnd w:id="395"/>
      <w:r>
        <w:rPr/>
        <w:t>7</w:t>
      </w:r>
      <w:r>
        <w:rPr>
          <w:rtl w:val="true"/>
        </w:rPr>
        <w:t xml:space="preserve"> - </w:t>
      </w:r>
      <w:r>
        <w:rPr>
          <w:rtl w:val="true"/>
        </w:rPr>
        <w:t>قتل پیامبران</w:t>
      </w:r>
      <w:bookmarkEnd w:id="396"/>
    </w:p>
    <w:p>
      <w:pPr>
        <w:pStyle w:val="Heading6"/>
        <w:numPr>
          <w:ilvl w:val="5"/>
          <w:numId w:val="1"/>
        </w:numPr>
        <w:rPr/>
      </w:pPr>
      <w:bookmarkStart w:id="397" w:name="__RefHeading___Toc1119840_1738255347"/>
      <w:bookmarkStart w:id="398" w:name="_Toc150"/>
      <w:bookmarkEnd w:id="397"/>
      <w:r>
        <w:rPr/>
        <w:t>8</w:t>
      </w:r>
      <w:r>
        <w:rPr>
          <w:rtl w:val="true"/>
        </w:rPr>
        <w:t xml:space="preserve"> - </w:t>
      </w:r>
      <w:r>
        <w:rPr>
          <w:rtl w:val="true"/>
        </w:rPr>
        <w:t>قتل امر کنندگان به قسط و عدل</w:t>
      </w:r>
      <w:bookmarkEnd w:id="398"/>
    </w:p>
    <w:p>
      <w:pPr>
        <w:pStyle w:val="BookText"/>
        <w:rPr/>
      </w:pPr>
      <w:r>
        <w:rPr>
          <w:rFonts w:ascii="IRNazanin" w:hAnsi="IRNazanin" w:eastAsia="IRNazanin"/>
          <w:color w:val="111111"/>
          <w:sz w:val="28"/>
          <w:sz w:val="28"/>
          <w:szCs w:val="28"/>
          <w:rtl w:val="true"/>
          <w:lang w:bidi="fa-IR"/>
        </w:rPr>
        <w:t>در آیۀ یاد شده در زیر، دو عامل وارد شده است چنانکه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الَّذِینَ یَکْفُرُونَ بِآیاتِ اللّهِ وَ یَقْتُلُونَ النَّبِیِّینَ بِغَیْرِ حَقٍّ، وَ یَقْتُلُونَ الَّذِینَ یَأْمُرُونَ بِالْقِسْطِ مِنَ النّاسِ فَبَشِّرْهُمْ بِعَذابٍ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حَبِطَتْ أَعْمالُهُمْ فِی الدُّنْیا وَ الْآخِرَةِ وَ ما لَهُمْ مِنْ ناصِرِینَ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به آیات الهی کفر ورزیدند و پیامبران را به ناحق و کسانی را که مردم را به 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می‌دهند،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عذاب دردناک نوید بده، آنان کسانی هستند که اعمال آنها در دنیا و آخرت نابود شده و برای آنان، کمک‌کننده نیست</w:t>
      </w:r>
      <w:r>
        <w:rPr>
          <w:rFonts w:eastAsia="IRNazanin" w:cs="IRNazanin"/>
          <w:color w:val="111111"/>
          <w:sz w:val="28"/>
          <w:szCs w:val="28"/>
          <w:rtl w:val="true"/>
          <w:lang w:bidi="fa-IR"/>
        </w:rPr>
        <w:t>».</w:t>
      </w:r>
    </w:p>
    <w:p>
      <w:pPr>
        <w:pStyle w:val="Heading6"/>
        <w:numPr>
          <w:ilvl w:val="5"/>
          <w:numId w:val="1"/>
        </w:numPr>
        <w:rPr/>
      </w:pPr>
      <w:bookmarkStart w:id="399" w:name="__RefHeading___Toc1119842_1738255347"/>
      <w:bookmarkStart w:id="400" w:name="_Toc151"/>
      <w:bookmarkEnd w:id="399"/>
      <w:r>
        <w:rPr/>
        <w:t>9</w:t>
      </w:r>
      <w:r>
        <w:rPr>
          <w:rtl w:val="true"/>
        </w:rPr>
        <w:t xml:space="preserve"> - </w:t>
      </w:r>
      <w:r>
        <w:rPr>
          <w:rtl w:val="true"/>
        </w:rPr>
        <w:t>اسائۀ ادب با پیامبر</w:t>
      </w:r>
      <w:bookmarkEnd w:id="40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اسائه ادب به پیامبر و فریاد کشیدن نزد او، سبب حبط عمل می‌گردد و در این</w:t>
      </w:r>
      <w:bookmarkStart w:id="401" w:name="pg17029_176754"/>
    </w:p>
    <w:p>
      <w:pPr>
        <w:pStyle w:val="BookText"/>
        <w:rPr/>
      </w:pPr>
      <w:bookmarkEnd w:id="401"/>
      <w:r>
        <w:rPr>
          <w:rFonts w:ascii="IRNazanin" w:hAnsi="IRNazanin" w:eastAsia="IRNazanin"/>
          <w:color w:val="111111"/>
          <w:sz w:val="28"/>
          <w:sz w:val="28"/>
          <w:szCs w:val="28"/>
          <w:rtl w:val="true"/>
          <w:lang w:bidi="fa-IR"/>
        </w:rPr>
        <w:t>مورد کافر و مؤمن یکسان است و آیۀ مورد استناد دربارۀ مؤمنان وارد شده است،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تَرْفَعُوا أَصْواتَکُمْ فَوْقَ صَوْتِ النَّبِیِّ وَ لا تَجْهَرُوا لَهُ بِالْقَوْلِ کَجَهْرِ بَعْضِکُمْ لِبَعْضٍ أَنْ تَحْبَطَ أَعْمالُکُمْ وَ أَنْتُمْ لا تَشْعُرُونَ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افراد با ایمان، در محضر پیامبر، بلندتر از او سخن نگویید و نزد او داد و فریاد نکنید، مانند داد و فریاد برخی نزد برخی دیگر، مبادا اعمال شمما در حالی که نمی‌دانید،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نمی‌توان گفت هر نوع اسائۀ ادب مایۀ حبط عمل می‌گردد، مگر اینکه مایۀ هتک پیامبر به شمار آید</w:t>
      </w:r>
      <w:r>
        <w:rPr>
          <w:rFonts w:eastAsia="IRNazanin" w:cs="IRNazanin"/>
          <w:color w:val="111111"/>
          <w:sz w:val="28"/>
          <w:szCs w:val="28"/>
          <w:rtl w:val="true"/>
          <w:lang w:bidi="fa-IR"/>
        </w:rPr>
        <w:t>.</w:t>
      </w:r>
    </w:p>
    <w:p>
      <w:pPr>
        <w:pStyle w:val="Heading6"/>
        <w:numPr>
          <w:ilvl w:val="5"/>
          <w:numId w:val="1"/>
        </w:numPr>
        <w:rPr/>
      </w:pPr>
      <w:bookmarkStart w:id="402" w:name="__RefHeading___Toc1119844_1738255347"/>
      <w:bookmarkStart w:id="403" w:name="_Toc152"/>
      <w:bookmarkEnd w:id="402"/>
      <w:r>
        <w:rPr/>
        <w:t>10</w:t>
      </w:r>
      <w:r>
        <w:rPr>
          <w:rtl w:val="true"/>
        </w:rPr>
        <w:t xml:space="preserve"> - </w:t>
      </w:r>
      <w:r>
        <w:rPr>
          <w:rtl w:val="true"/>
        </w:rPr>
        <w:t>اقبال به دنیا و اعراض از سرای دیگر</w:t>
      </w:r>
      <w:bookmarkEnd w:id="403"/>
    </w:p>
    <w:p>
      <w:pPr>
        <w:pStyle w:val="BookText"/>
        <w:rPr/>
      </w:pPr>
      <w:r>
        <w:rPr>
          <w:rFonts w:ascii="IRNazanin" w:hAnsi="IRNazanin" w:eastAsia="IRNazanin"/>
          <w:color w:val="111111"/>
          <w:sz w:val="28"/>
          <w:sz w:val="28"/>
          <w:szCs w:val="28"/>
          <w:rtl w:val="true"/>
          <w:lang w:bidi="fa-IR"/>
        </w:rPr>
        <w:t>در آیه ای گرایش به دنیا و روی گردانی از سرای دیگر از اسباب حبط عمل معرفی‌شده است،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یُرِیدُ الْحَیاةَ الدُّنْیا وَ زِینَتَها نُوَفِّ إِلَیْهِمْ أَعْمالَهُمْ فِیها وَ هُمْ فِیها لا یُبْخَسُونَ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لَیْسَ لَهُمْ فِی الْآخِرَةِ إِلاَّ النّارُ وَ حَبِطَ ما صَنَعُوا فِیها وَ باطِلٌ 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دنیا و تجمل آن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آنان را بدون کم‌وکاست می‌دهیم، آنان کسانی هستند که برای آنها در سرای دیگر، چیزی جز آتش نیست و آنچه در این جهان انجام داده‌اند نابود می‌شود و اعمالشان باطل است</w:t>
      </w:r>
      <w:r>
        <w:rPr>
          <w:rFonts w:eastAsia="IRNazanin" w:cs="IRNazanin"/>
          <w:color w:val="111111"/>
          <w:sz w:val="28"/>
          <w:szCs w:val="28"/>
          <w:rtl w:val="true"/>
          <w:lang w:bidi="fa-IR"/>
        </w:rPr>
        <w:t>».</w:t>
      </w:r>
    </w:p>
    <w:p>
      <w:pPr>
        <w:pStyle w:val="Heading6"/>
        <w:numPr>
          <w:ilvl w:val="5"/>
          <w:numId w:val="1"/>
        </w:numPr>
        <w:rPr/>
      </w:pPr>
      <w:bookmarkStart w:id="404" w:name="__RefHeading___Toc1119846_1738255347"/>
      <w:bookmarkStart w:id="405" w:name="_Toc153"/>
      <w:bookmarkEnd w:id="404"/>
      <w:r>
        <w:rPr/>
        <w:t>11</w:t>
      </w:r>
      <w:r>
        <w:rPr>
          <w:rtl w:val="true"/>
        </w:rPr>
        <w:t xml:space="preserve"> - </w:t>
      </w:r>
      <w:r>
        <w:rPr>
          <w:rtl w:val="true"/>
        </w:rPr>
        <w:t>انکار آخرت</w:t>
      </w:r>
      <w:bookmarkEnd w:id="40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آخرت یکی از عوامل حبط اعمال است، هرچند خود، عامل مستقلی نیست بلکه بازگشت به کفر است،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کَذَّبُوا بِآیاتِنا وَ لِقاءِ الْآخِرَةِ حَبِطَتْ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کهف</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bookmarkStart w:id="406" w:name="pg17029_176755"/>
    </w:p>
    <w:p>
      <w:pPr>
        <w:pStyle w:val="BookText"/>
        <w:rPr/>
      </w:pPr>
      <w:bookmarkEnd w:id="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آیات و بقای در سرای دیگر را تکذیب کرده‌اند، اعمال خیر آنها باطل می‌گردد</w:t>
      </w:r>
      <w:r>
        <w:rPr>
          <w:rFonts w:eastAsia="IRNazanin" w:cs="IRNazanin"/>
          <w:color w:val="111111"/>
          <w:sz w:val="28"/>
          <w:szCs w:val="28"/>
          <w:rtl w:val="true"/>
          <w:lang w:bidi="fa-IR"/>
        </w:rPr>
        <w:t>».</w:t>
      </w:r>
    </w:p>
    <w:p>
      <w:pPr>
        <w:pStyle w:val="Heading6"/>
        <w:numPr>
          <w:ilvl w:val="5"/>
          <w:numId w:val="1"/>
        </w:numPr>
        <w:rPr/>
      </w:pPr>
      <w:bookmarkStart w:id="407" w:name="__RefHeading___Toc1119848_1738255347"/>
      <w:bookmarkStart w:id="408" w:name="_Toc154"/>
      <w:bookmarkEnd w:id="407"/>
      <w:r>
        <w:rPr/>
        <w:t>12</w:t>
      </w:r>
      <w:r>
        <w:rPr>
          <w:rtl w:val="true"/>
        </w:rPr>
        <w:t xml:space="preserve"> - </w:t>
      </w:r>
      <w:r>
        <w:rPr>
          <w:rtl w:val="true"/>
        </w:rPr>
        <w:t>نفاق</w:t>
      </w:r>
      <w:bookmarkEnd w:id="408"/>
    </w:p>
    <w:p>
      <w:pPr>
        <w:pStyle w:val="BookText"/>
        <w:rPr/>
      </w:pPr>
      <w:r>
        <w:rPr>
          <w:rFonts w:ascii="IRNazanin" w:hAnsi="IRNazanin" w:eastAsia="IRNazanin"/>
          <w:color w:val="111111"/>
          <w:sz w:val="28"/>
          <w:sz w:val="28"/>
          <w:szCs w:val="28"/>
          <w:rtl w:val="true"/>
          <w:lang w:bidi="fa-IR"/>
        </w:rPr>
        <w:t>نفاق که یکی از شعب بسیار مذموم کفر است، از عوامل حبط معرفی‌شده است،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یَعْلَمُ اللّهُ الْمُعَوِّقِینَ مِنْکُمْ وَ الْقائِلِینَ لِإِخْوانِهِمْ هَلُمَّ إِلَیْنا وَ لا یَأْتُونَ الْبَأْسَ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لَمْ یُؤْمِنُوا فَأَحْبَطَ اللّهُ أَعْمالَهُمْ وَ کانَ ذلِکَ عَلَی اللّهِ یَسِیراً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آنان را که شماها را از شرکت در جنگ باز می‌دارند و کسانی را که به برادران خود می‌گویند، به سوی ما بیایید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جنگ شرکت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و جز مقدار کمی در نبرد شرکت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ایمان نیاورده‌اند و خدا اعمال نیک آنها را نابود کرد و این کار بر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 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استفاده نمود، مقصود گروهی از منافقان است که به‌ظاهر مسلمان بوده و در باطن کافر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بخش آوردیم، اسباب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است که اگر به تجزیه و تحلیل آنها بپردازیم، به عوامل کمی بازگشت می‌کنند</w:t>
      </w:r>
      <w:r>
        <w:rPr>
          <w:rFonts w:eastAsia="IRNazanin" w:cs="IRNazanin"/>
          <w:color w:val="111111"/>
          <w:sz w:val="28"/>
          <w:szCs w:val="28"/>
          <w:rtl w:val="true"/>
          <w:lang w:bidi="fa-IR"/>
        </w:rPr>
        <w:t>.</w:t>
      </w:r>
    </w:p>
    <w:p>
      <w:pPr>
        <w:pStyle w:val="Heading5"/>
        <w:numPr>
          <w:ilvl w:val="4"/>
          <w:numId w:val="1"/>
        </w:numPr>
        <w:rPr/>
      </w:pPr>
      <w:bookmarkStart w:id="409" w:name="__RefHeading___Toc1119850_1738255347"/>
      <w:bookmarkStart w:id="410" w:name="_Toc155"/>
      <w:bookmarkEnd w:id="409"/>
      <w:r>
        <w:rPr>
          <w:rtl w:val="true"/>
        </w:rPr>
        <w:t>تکفیر</w:t>
      </w:r>
      <w:bookmarkEnd w:id="41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نابودی حسنات به وسیلۀ سیئات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آن را تشکیل می‌دهد و آن پوشاندن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صحیحتر محو آن به وسیلۀ اعمال نیک است، اشکال ظلم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می‌شد، در مورد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متصور نیست، زیرا همان‌طور که در گذشته یادآور شدیم، تخلف در وعد قبیح و نازیباست،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مانع ندارد که خدا از حق خود بگذرد و مؤاخذه ننماید، تا چه رسد که از روز نخست عقاب خود را مشروط بر نبردن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و نامۀ اعمال فاعل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عدم عقاب به خاطر فقدان شرط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آیات،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ولی هرگز از آنها نمی‌توان ضابطه‌ای کلی اتخاذ نمود، بلکه اجمالا دلالت دارند که خداوند از روی کرم، احیانا سیئات بندۀ خود را به خاطر یک رشته حسنات، نادیده گرفته و بر آنها عتاب نمی‌کند، چنانکه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تَجْتَنِبُوا کَبائِرَ ما تُنْهَوْنَ عَنْهُ نُکَفِّرْ عَنْکُمْ سَیِّئاتِکُمْ وَ نُدْخِلْکُمْ مُدْخَلاً کَرِیماً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منهیات بزرگ خود داری کنید،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نابود می‌کنیم و همگان را به جای گرامی وارد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حاکی است که خود داری از گناهان بزرگ، مایۀ نابودی گناهان کوچک می‌گردد و اگر بناست از مفاد آیه ضابطه‌ای کلی اتخاذ کنیم، فقط می‌توانیم در مورد گناهان صغیره بر یک چنین ضابطه‌ای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آیات، تقوا و احیانا ایمان و عمل صالح و ایمان به آنچه که بر پیامبر نازل شد، عامل تکفیر معرفی‌شده اند</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تَتَّقُوا اللّهَ یَجْعَلْ لَکُمْ فُرْقاناً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می‌توانید در تفسیر آیات آنها، به تفاسیر مراجعه نمایید</w:t>
      </w:r>
      <w:r>
        <w:rPr>
          <w:rFonts w:eastAsia="Amiri" w:cs="Amiri" w:ascii="Amiri" w:hAnsi="Amiri"/>
          <w:color w:val="111111"/>
          <w:sz w:val="28"/>
          <w:szCs w:val="28"/>
          <w:rtl w:val="true"/>
          <w:lang w:bidi="ar-SA"/>
        </w:rPr>
        <w:t>.</w:t>
      </w:r>
      <w:bookmarkStart w:id="411" w:name="pg17029_176757"/>
    </w:p>
    <w:p>
      <w:pPr>
        <w:pStyle w:val="Heading3"/>
        <w:numPr>
          <w:ilvl w:val="2"/>
          <w:numId w:val="1"/>
        </w:numPr>
        <w:rPr/>
      </w:pPr>
      <w:bookmarkStart w:id="412" w:name="__RefHeading___Toc1119852_1738255347"/>
      <w:bookmarkStart w:id="413" w:name="_Toc156"/>
      <w:bookmarkEnd w:id="411"/>
      <w:bookmarkEnd w:id="412"/>
      <w:r>
        <w:rPr>
          <w:rtl w:val="true"/>
        </w:rPr>
        <w:t xml:space="preserve">* </w:t>
      </w:r>
      <w:r>
        <w:rPr>
          <w:rtl w:val="true"/>
        </w:rPr>
        <w:t xml:space="preserve">اصل چهارم </w:t>
      </w:r>
      <w:r>
        <w:rPr>
          <w:rtl w:val="true"/>
        </w:rPr>
        <w:t>*</w:t>
      </w:r>
      <w:bookmarkEnd w:id="413"/>
    </w:p>
    <w:p>
      <w:pPr>
        <w:pStyle w:val="Heading4"/>
        <w:numPr>
          <w:ilvl w:val="3"/>
          <w:numId w:val="1"/>
        </w:numPr>
        <w:rPr/>
      </w:pPr>
      <w:bookmarkStart w:id="414" w:name="__RefHeading___Toc1119854_1738255347"/>
      <w:bookmarkStart w:id="415" w:name="_Toc157"/>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منزلت بین المنزلتین</w:t>
      </w:r>
    </w:p>
    <w:p>
      <w:pPr>
        <w:pStyle w:val="BookText"/>
        <w:rPr/>
      </w:pPr>
      <w:r>
        <w:rPr>
          <w:rFonts w:ascii="IRNazanin" w:hAnsi="IRNazanin" w:eastAsia="IRNazanin"/>
          <w:color w:val="111111"/>
          <w:sz w:val="28"/>
          <w:sz w:val="28"/>
          <w:szCs w:val="28"/>
          <w:rtl w:val="true"/>
          <w:lang w:bidi="fa-IR"/>
        </w:rPr>
        <w:t>مسئلۀ مرتکب کبیره در دوران خلافت عثمان مطرح گردید زیرا خلافکاریها و و انحرافهایی در قلمرو حکومت او به‌روشنی انجام می‌گرفت و در این مورد سه نظریه تا اواخر قرن یکم مطرح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مرتکب کبیره مؤمن فاسق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مرتکب کبیره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را خوارج پس از جنگ صفین برگزیدند و به آن دامن می‌زدند و تا اواخر قرن اول پیوسته این بحث ادامه داشت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منزلت بین المنزلتین در آغاز قرن دوم واصل بن عطا نظریۀ سومی را ابراز کرد و آن اینکه مرتکب کبیره نه مؤمن است نه کافر بلکه در مرتبه‌ای میان این دو قرار دارد و این همان اصل چهارم است که در این بخش از آن بحث می‌شود</w:t>
      </w:r>
      <w:r>
        <w:rPr>
          <w:rFonts w:eastAsia="IRNazanin" w:cs="IRNazanin"/>
          <w:color w:val="111111"/>
          <w:sz w:val="28"/>
          <w:szCs w:val="28"/>
          <w:rtl w:val="true"/>
          <w:lang w:bidi="fa-IR"/>
        </w:rPr>
        <w:t>.</w:t>
      </w:r>
      <w:bookmarkStart w:id="416" w:name="pg17029_176759"/>
    </w:p>
    <w:p>
      <w:pPr>
        <w:pStyle w:val="BookText"/>
        <w:rPr/>
      </w:pPr>
      <w:bookmarkEnd w:id="416"/>
      <w:r>
        <w:rPr>
          <w:rFonts w:ascii="IRNazanin" w:hAnsi="IRNazanin" w:eastAsia="IRNazanin"/>
          <w:color w:val="111111"/>
          <w:sz w:val="28"/>
          <w:sz w:val="28"/>
          <w:szCs w:val="28"/>
          <w:rtl w:val="true"/>
          <w:lang w:bidi="fa-IR"/>
        </w:rPr>
        <w:t>اصل چهارم منزلت بین المنزلتین</w:t>
      </w:r>
    </w:p>
    <w:p>
      <w:pPr>
        <w:pStyle w:val="BookText"/>
        <w:rPr/>
      </w:pPr>
      <w:r>
        <w:rPr>
          <w:rFonts w:ascii="IRNazanin" w:hAnsi="IRNazanin" w:eastAsia="IRNazanin"/>
          <w:color w:val="111111"/>
          <w:sz w:val="28"/>
          <w:sz w:val="28"/>
          <w:szCs w:val="28"/>
          <w:rtl w:val="true"/>
          <w:lang w:bidi="fa-IR"/>
        </w:rPr>
        <w:t xml:space="preserve">مرتکب گناه کبیره در اواخر نیمه نخست از قرن اول، موضوع یک‌رشته مسائل کلامی گردید که با قسمتی از آنها در اصل سوم آشنا شدیم و یکی از آن مسائل توصیف او با ایمان و یا کفر و فسق است و در این مورد دو نظر ابراز گردید که سرانجام منتهی به نظریۀ سوم شد که از ابتکارات پایه‌گذار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بن عطاست و پیروان این مکتب نیز در طول زمان بر آن صحّه نهاده‌اند، اینک نظریات سه‌گانه در این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مرتکب کبیره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مرتکب کبیره مؤمن فاسق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مؤمن است و نه کافر، بلکه در مقامی میان این دو</w:t>
      </w:r>
      <w:r>
        <w:rPr>
          <w:rFonts w:eastAsia="IRNazanin" w:cs="IRNazanin"/>
          <w:color w:val="111111"/>
          <w:sz w:val="28"/>
          <w:szCs w:val="28"/>
          <w:rtl w:val="true"/>
          <w:lang w:bidi="fa-IR"/>
        </w:rPr>
        <w:t>.</w:t>
      </w:r>
    </w:p>
    <w:p>
      <w:pPr>
        <w:pStyle w:val="Heading4"/>
        <w:numPr>
          <w:ilvl w:val="3"/>
          <w:numId w:val="1"/>
        </w:numPr>
        <w:rPr/>
      </w:pPr>
      <w:bookmarkStart w:id="417" w:name="__RefHeading___Toc1119856_1738255347"/>
      <w:bookmarkStart w:id="418" w:name="_Toc158"/>
      <w:bookmarkEnd w:id="417"/>
      <w:r>
        <w:rPr>
          <w:rtl w:val="true"/>
        </w:rPr>
        <w:t>مرتکب کبیره کافر است</w:t>
      </w:r>
      <w:bookmarkEnd w:id="418"/>
    </w:p>
    <w:p>
      <w:pPr>
        <w:pStyle w:val="BookText"/>
        <w:rPr/>
      </w:pPr>
      <w:r>
        <w:rPr>
          <w:rFonts w:ascii="IRNazanin" w:hAnsi="IRNazanin" w:eastAsia="IRNazanin"/>
          <w:color w:val="111111"/>
          <w:sz w:val="28"/>
          <w:sz w:val="28"/>
          <w:szCs w:val="28"/>
          <w:rtl w:val="true"/>
          <w:lang w:bidi="fa-IR"/>
        </w:rPr>
        <w:t>نظریۀ نخست را خوارج برگزیده زیرا عمل را جز ایمان می‌دانند و هر کس واجبی را ترک کند و حرامی را مرتکب گردد، از جرگۀ مؤمنان بیرون رفته و در عداد کافران قرار می‌گیرد، در این میان فقط گروه اباضیه در توصیف مرتکب کبیره به کفر تصرف کرده و می‌گویند، مقصود کفران نعمت است، نه کفر ملت که در مقابل ایمان قرار می‌گیرد</w:t>
      </w:r>
      <w:r>
        <w:rPr>
          <w:rFonts w:eastAsia="IRNazanin" w:cs="IRNazanin"/>
          <w:color w:val="111111"/>
          <w:sz w:val="28"/>
          <w:szCs w:val="28"/>
          <w:rtl w:val="true"/>
          <w:lang w:bidi="fa-IR"/>
        </w:rPr>
        <w:t>.</w:t>
      </w:r>
    </w:p>
    <w:p>
      <w:pPr>
        <w:pStyle w:val="Heading4"/>
        <w:numPr>
          <w:ilvl w:val="3"/>
          <w:numId w:val="1"/>
        </w:numPr>
        <w:rPr/>
      </w:pPr>
      <w:bookmarkStart w:id="419" w:name="__RefHeading___Toc1119858_1738255347"/>
      <w:bookmarkStart w:id="420" w:name="_Toc159"/>
      <w:bookmarkEnd w:id="419"/>
      <w:r>
        <w:rPr>
          <w:rtl w:val="true"/>
        </w:rPr>
        <w:t>مرتکب کبیره مؤمن فاسق است</w:t>
      </w:r>
      <w:bookmarkEnd w:id="42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نظریۀ دوم، نظر معروف میان فقها و محدثان و متکلمان فرق اسلامی است که ارتکاب گناه را مایۀ خروج از ایمان ندانسته، چیزی که هست او را مؤمن فاسق می‌خوانند</w:t>
      </w:r>
      <w:r>
        <w:rPr>
          <w:rFonts w:eastAsia="IRNazanin" w:cs="IRNazanin"/>
          <w:color w:val="111111"/>
          <w:sz w:val="28"/>
          <w:szCs w:val="28"/>
          <w:rtl w:val="true"/>
          <w:lang w:bidi="fa-IR"/>
        </w:rPr>
        <w:t>.</w:t>
      </w:r>
      <w:bookmarkStart w:id="421" w:name="pg17029_176760"/>
    </w:p>
    <w:p>
      <w:pPr>
        <w:pStyle w:val="Heading4"/>
        <w:numPr>
          <w:ilvl w:val="3"/>
          <w:numId w:val="1"/>
        </w:numPr>
        <w:rPr/>
      </w:pPr>
      <w:bookmarkStart w:id="422" w:name="__RefHeading___Toc1119860_1738255347"/>
      <w:bookmarkStart w:id="423" w:name="_Toc160"/>
      <w:bookmarkEnd w:id="421"/>
      <w:bookmarkEnd w:id="422"/>
      <w:r>
        <w:rPr>
          <w:rtl w:val="true"/>
        </w:rPr>
        <w:t>مرتکب کبیره نه مؤمن است نه کافر بلکه در منزلتی بین آن دو</w:t>
      </w:r>
      <w:bookmarkEnd w:id="423"/>
    </w:p>
    <w:p>
      <w:pPr>
        <w:pStyle w:val="Heading5"/>
        <w:numPr>
          <w:ilvl w:val="4"/>
          <w:numId w:val="1"/>
        </w:numPr>
        <w:rPr/>
      </w:pPr>
      <w:bookmarkStart w:id="424" w:name="__RefHeading___Toc1119862_1738255347"/>
      <w:bookmarkStart w:id="425" w:name="_Toc161"/>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نظریۀ سوم از معتزله است،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نه مؤمن است و نه کافر، بلکه در حد وسطی قرار می‌گیرد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یادآور شدیم، علت اینکه این گروه را معتزله می‌خوانند، این است که آنان به وسیلۀ این نظریه مرتکب کبیره را از جامعۀ اسلامی منعزل کرده و از آن جدا ساخته‌اند و یا وسیلۀ این رأی و آرای دیگر، از جامعۀ اسلامی منعزل گردیده‌اند</w:t>
      </w:r>
      <w:r>
        <w:rPr>
          <w:rFonts w:eastAsia="IRNazanin" w:cs="IRNazanin"/>
          <w:color w:val="111111"/>
          <w:sz w:val="28"/>
          <w:szCs w:val="28"/>
          <w:rtl w:val="true"/>
          <w:lang w:bidi="fa-IR"/>
        </w:rPr>
        <w:t>.</w:t>
      </w:r>
    </w:p>
    <w:p>
      <w:pPr>
        <w:pStyle w:val="Heading5"/>
        <w:numPr>
          <w:ilvl w:val="4"/>
          <w:numId w:val="1"/>
        </w:numPr>
        <w:rPr/>
      </w:pPr>
      <w:bookmarkStart w:id="426" w:name="__RefHeading___Toc1119864_1738255347"/>
      <w:bookmarkStart w:id="427" w:name="_Toc162"/>
      <w:bookmarkEnd w:id="426"/>
      <w:r>
        <w:rPr>
          <w:rtl w:val="true"/>
        </w:rPr>
        <w:t xml:space="preserve">- </w:t>
      </w:r>
      <w:r>
        <w:rPr>
          <w:rtl w:val="true"/>
        </w:rPr>
        <w:t>دلائل معتزله بر عقیده خویش و نقد آن</w:t>
      </w:r>
      <w:bookmarkEnd w:id="427"/>
    </w:p>
    <w:p>
      <w:pPr>
        <w:pStyle w:val="BookText"/>
        <w:rPr/>
      </w:pPr>
      <w:r>
        <w:rPr>
          <w:rFonts w:ascii="IRNazanin" w:hAnsi="IRNazanin" w:eastAsia="IRNazanin"/>
          <w:color w:val="111111"/>
          <w:sz w:val="28"/>
          <w:sz w:val="28"/>
          <w:szCs w:val="28"/>
          <w:rtl w:val="true"/>
          <w:lang w:bidi="fa-IR"/>
        </w:rPr>
        <w:t>مهم در این جا بررسی دلیل چنین اصل است، آنان به طرق گوناگون بر این اصل استدلال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واصل بن عطا در مناظرۀ همتای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توصیف او به ایمان و کفر و نفاق اختلاف نظر دارند، ولی همگان او را فاسق می‌خوانند، ما مورد اتفاق را می‌گیریم و باقیمانده را رها می‌سازیم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سید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کاملا تمام است، از اتفاق مسلمانان جز این نمی‌توان نتیجه گرفت که مرتکب کبیره فاسق است، اما نه مؤمن است نه کافر هرگز به دست نمی‌آید، مناظره‌ای که میان آن دو صورت گرفته و سید مرتضی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 است، خالی از مغالطه نیست و ما جایگاه مغالطه را در کلام هر دو،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داده‌ایم، علاقمندان می‌توانند به آنجا مراجعه نمایند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در لغت هر چند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شرع از آن معنی دیگری اراده شده و آن کسی است که شایستۀ ستایش و تعظیم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است که خدا هرکجا از مؤمن سخن گفته، آن را با مدح و تعظیم همراه ساخته است، 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الْمُؤْمِنُونَ </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إِذا ذُکِرَ اللّهُ وَجِلَتْ قُلُوبُهُمْ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 بِاللّهِ وَ رَسُولِهِ وَ إِذا کانُوا مَعَهُ عَلی أَمْرٍ جامِعٍ لَمْ یَذْهَبُوا حَتّی یَسْتَأْذِنُوهُ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آیات حاکی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قرآن، کسی است که شایستۀ مدح و تعظیم باشد و همچنین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پیداست مرتکب کبیره شایستۀ هیچ نوع ستایش و بزرگداشت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دلیل نیز بسان دلیل گذشته سست و بی‌پایه است و اساس اشتباه را خلط معنی لازم آن تشکیل می‌دهد، لفظ مؤمن یک معنی بیش ندارد و از زمان نزول قرآن تاکنون در همان معنی به کار رفته است، چیزی که هست، از لوازم ایمان و تمجید و ستایش است، نه اینکه این دو، معنی مستقیم لفظ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بر اینکه این لفظ بر همان معنی نخستین خود باقی است، این است که در آیات زیادی اگر لفظ مؤمن را برداریم و به جای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 و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آیه انسجام خود را از دست می‌دهد؛ مانندآیات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لَعَبْدٌ مُؤْمِنٌ خَیْرٌ مِنْ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کانَ لِمُؤْمِنٍ أَنْ یَقْتُلَ مُؤْمِناً إِلاّ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لِمُؤْمِنٍ وَ لا مُؤْمِنَةٍ إِذا قَضَی اللّهُ وَ رَسُولُهُ أَمْراً أَنْ یَکُونَ لَهُمُ الْخِیَرَةُ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متعلق ایمان بیان‌شده و هرگز نمی‌توان لفظ ایمان را در آنها به الفاظی مانند مدح و ستایش تفسیر کرد، مانند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آمَنُوا بِاللّهِ وَ رُسُلِهِ وَ لَمْ یُفَرِّقُوا بَیْنَ أَحَدٍ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الَّذِینَ آمَنُوا بِاللّهِ وَ اعْتَصَمُوا بِهِ مگر اینکه قاضی میان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ایمان فرق بگذارد و انتقال از معنی نخست را به قسم اول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باقی‌مانده این است که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مرتکب کبیره مؤمن است در حالی که خدا همۀ مؤمنان را تمجید می‌کند، در حالی که فاسق شایستۀ تمجید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این است که ایمان دارای درجات متعددی است و این ستایشها مربوط به درجات بالای از ایمان است و در حقیقت دعوت به این است که تمام افراد با ایمان، خود را به این درجات برسانند، حتی در بسیاری از آیات جنبۀ اضافی و نسبی را دارد، نه اینکه کسانی‌که واجد این صفات نیستند در واقع مؤمن نمی‌باشند، 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الْمُؤْمِنُونَ الَّذِینَ آمَنُوا بِاللّهِ وَ رَسُولِهِ ثُمَّ لَمْ یَرْتابُوا وَ جاهَدُوا بِأَمْوالِهِمْ وَ أَنْفُسِهِمْ فِی سَبِیلِ اللّهِ أُولئِکَ هُمُ 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قاضی برای اثبات مدعای خود، با دلایل بسیار سست استدلال کرده که شایستۀ مقام او نبوده و ما از اشاره به آنها خودداری می‌کنیم</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 الجبار، </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در اینجا دلایلی است که خوارج با آنها بر دخول عمل در ماهیت ایمان احتجاج کرده وبر این تأکید قطعی دارند و ما چون در بخش جوارح دلایل آنها را خواهیم آورد، از اشاره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پرهیز از 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می‌کنیم و زمام سخن را به اصل پنجم معتزله متوجه می‌سازیم</w:t>
      </w:r>
      <w:r>
        <w:rPr>
          <w:rFonts w:eastAsia="IRNazanin" w:cs="IRNazanin"/>
          <w:color w:val="111111"/>
          <w:sz w:val="28"/>
          <w:szCs w:val="28"/>
          <w:rtl w:val="true"/>
          <w:lang w:bidi="fa-IR"/>
        </w:rPr>
        <w:t>.</w:t>
      </w:r>
      <w:bookmarkStart w:id="428" w:name="pg17029_176763"/>
    </w:p>
    <w:p>
      <w:pPr>
        <w:pStyle w:val="Heading3"/>
        <w:numPr>
          <w:ilvl w:val="2"/>
          <w:numId w:val="1"/>
        </w:numPr>
        <w:rPr/>
      </w:pPr>
      <w:bookmarkStart w:id="429" w:name="__RefHeading___Toc1119866_1738255347"/>
      <w:bookmarkStart w:id="430" w:name="_Toc163"/>
      <w:bookmarkEnd w:id="428"/>
      <w:bookmarkEnd w:id="429"/>
      <w:r>
        <w:rPr>
          <w:rtl w:val="true"/>
        </w:rPr>
        <w:t xml:space="preserve">* </w:t>
      </w:r>
      <w:r>
        <w:rPr>
          <w:rtl w:val="true"/>
        </w:rPr>
        <w:t xml:space="preserve">اصل پنجم اصل </w:t>
      </w:r>
      <w:r>
        <w:rPr>
          <w:rtl w:val="true"/>
        </w:rPr>
        <w:t>*</w:t>
      </w:r>
      <w:bookmarkEnd w:id="430"/>
    </w:p>
    <w:p>
      <w:pPr>
        <w:pStyle w:val="Heading4"/>
        <w:numPr>
          <w:ilvl w:val="3"/>
          <w:numId w:val="1"/>
        </w:numPr>
        <w:rPr/>
      </w:pPr>
      <w:bookmarkStart w:id="431" w:name="__RefHeading___Toc1119868_1738255347"/>
      <w:bookmarkStart w:id="432" w:name="_Toc164"/>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مسألۀ امر به معروف و نهی از منکر، آخرین اصل از اصول پنجگانۀ معتزله است و در ترجمة واصل بن عطا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گروهی را به عنوان آمران به معروف و ناهیان از منکر به اطراف اعزام کرد، دربارۀ این اصل مسائل گوناگونی است که به نحو موجز از آنها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امربه‌معروف و نهی از منکر واجب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وجوب، حاکم بر آن نقل است یا عقل؟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وجوب این دو،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وجوب، وجوب آن دو، عینی است یا کفایی؟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مراتب مختلف امربه‌معروف و نهی از منکر چیست؟</w:t>
      </w:r>
      <w:bookmarkStart w:id="433" w:name="pg17029_176765"/>
    </w:p>
    <w:p>
      <w:pPr>
        <w:pStyle w:val="Heading4"/>
        <w:numPr>
          <w:ilvl w:val="3"/>
          <w:numId w:val="1"/>
        </w:numPr>
        <w:rPr/>
      </w:pPr>
      <w:bookmarkStart w:id="434" w:name="__RefHeading___Toc1119870_1738255347"/>
      <w:bookmarkStart w:id="435" w:name="_Toc165"/>
      <w:bookmarkEnd w:id="433"/>
      <w:bookmarkEnd w:id="434"/>
      <w:r>
        <w:rPr/>
        <w:t>1</w:t>
      </w:r>
      <w:r>
        <w:rPr>
          <w:rtl w:val="true"/>
        </w:rPr>
        <w:t xml:space="preserve"> - </w:t>
      </w:r>
      <w:r>
        <w:rPr>
          <w:rtl w:val="true"/>
        </w:rPr>
        <w:t>وجوب امر به معروف و نهی از منکر</w:t>
      </w:r>
      <w:bookmarkEnd w:id="435"/>
    </w:p>
    <w:p>
      <w:pPr>
        <w:pStyle w:val="BookText"/>
        <w:rPr/>
      </w:pPr>
      <w:r>
        <w:rPr>
          <w:rFonts w:ascii="IRNazanin" w:hAnsi="IRNazanin" w:eastAsia="IRNazanin"/>
          <w:color w:val="111111"/>
          <w:sz w:val="28"/>
          <w:sz w:val="28"/>
          <w:szCs w:val="28"/>
          <w:rtl w:val="true"/>
          <w:lang w:bidi="fa-IR"/>
        </w:rPr>
        <w:t>قاضی عبد الجبار، وجوب هر دو را مورد اتفاق امت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امت کسی با وجوب آن دو مخالف نیست، جز گروه امامیه</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 الجبار، اصول خمسه</w:t>
      </w:r>
      <w:r>
        <w:rPr>
          <w:rFonts w:eastAsia="IRNazanin" w:cs="IRNazanin"/>
          <w:color w:val="111111"/>
          <w:sz w:val="28"/>
          <w:szCs w:val="28"/>
          <w:rtl w:val="true"/>
          <w:lang w:bidi="fa-IR"/>
        </w:rPr>
        <w:t xml:space="preserve">: /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اتفاق امت را بر وجوب آن دو نقل می‌کند، ولی سرانجام امامیه را مخالف اتفاقات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او در این نسبت راه خطا پیموده و علت آن این است که به کتب امامیه مراجعه نکرده وبا دانشمندان آنان در این مورد سخن نگفته است، در حالی که کتابهای فقهی و کلامی امامیه بر وجوب آن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دو عامل اصلاح جامعه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بالمعروف و النهی عن المنکر، سبیل الأنبیاء و منهاج الصلحا، فریضة عظیمة تقام بها الفرائض، و تؤمّن المذاهب، و تحلّ المکاسب و تردّ المظالم و تعمّر الأرض، و ینتصف من الأعداء و یستقیم الأمر</w:t>
      </w:r>
      <w:r>
        <w:rPr>
          <w:rFonts w:eastAsia="IRNazanin" w:cs="IRNazanin"/>
          <w:color w:val="111111"/>
          <w:sz w:val="28"/>
          <w:szCs w:val="28"/>
          <w:rtl w:val="true"/>
          <w:lang w:bidi="fa-IR"/>
        </w:rPr>
        <w:t>».</w:t>
      </w:r>
      <w:r>
        <w:rPr>
          <w:rStyle w:val="FootnoteAnchor"/>
          <w:rtl w:val="true"/>
        </w:rPr>
        <w:footnoteReference w:id="18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راه پیامبران، طریقۀ صالحان است، فریضۀ بزرگی هستند که به وسیلۀ این دو، واجبات تحقق می‌پذیرد و راهها امن و کسبها حلال و اموال به صاحبانشان پس داده می‌شود و زمین آباد و دشمنان قصاص می‌شوند و امور مسلمانان اصلاح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مسامحۀ قاضی و امثال او در شگفت است که چگونه چنین اندیشۀ باطلی را به امامیه که پیوسته یک‌سوم مسلمین را تشکیل می‌دهند نسبت می‌دهد، در حالی که معاصر او شیخ مفید استاد کلام شیعه، در کتابهای کلامی خود بر وجوب آن تصریح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نهی از منکر به وسیلۀ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واجب کفایی است، تا حجت بر جاهل تمام شود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الأمر بالمعروف و النهی عن المنکر باللسان فرض علی الکفایة بشرط الحاجة إلیه لقیام الحجة علی من لاعلم لدیه إلاّ بذکره أو حصول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در تجرید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الأمر بالمعروف واجب و کذا النهی عن المنکر، و بالمندوب مندوب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واجب است و امر به مستحب، بسان خود او مستحب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شاید چیزی که مایۀ اشباه قاضی شده است، مسألۀ وجوب جهاد ابتدایی با کافران است که در سخنان امام هشتم، چنین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همراه با امام عادل واجب است، آن کس که در این جهاد در راه جان و مال خود کشته شود، شهید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آیا مقصود از امام عادل، امام معصوم است یا مطلق پیشوای عادل؟ گروهی از محققان آن را به پیشوای عادل زمان هرچند امام معصوم نباشد تفسیر می‌کنند و فرمان او را در وجوب جهاد کافی می‌دانند</w:t>
      </w:r>
      <w:r>
        <w:rPr>
          <w:rFonts w:eastAsia="IRNazanin" w:cs="IRNazanin"/>
          <w:color w:val="111111"/>
          <w:sz w:val="28"/>
          <w:szCs w:val="28"/>
          <w:rtl w:val="true"/>
          <w:lang w:bidi="fa-IR"/>
        </w:rPr>
        <w:t>.</w:t>
      </w:r>
      <w:r>
        <w:rPr>
          <w:rStyle w:val="FootnoteAnchor"/>
          <w:rtl w:val="true"/>
        </w:rPr>
        <w:footnoteReference w:id="19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عبد الجبار، امامیه را به قول به عدم وجوب امر به معروف متهم کرده،</w:t>
      </w:r>
      <w:bookmarkStart w:id="436" w:name="pg17029_176767"/>
    </w:p>
    <w:p>
      <w:pPr>
        <w:pStyle w:val="BookText"/>
        <w:rPr/>
      </w:pPr>
      <w:bookmarkEnd w:id="436"/>
      <w:r>
        <w:rPr>
          <w:rFonts w:ascii="IRNazanin" w:hAnsi="IRNazanin" w:eastAsia="IRNazanin"/>
          <w:color w:val="111111"/>
          <w:sz w:val="28"/>
          <w:sz w:val="28"/>
          <w:szCs w:val="28"/>
          <w:rtl w:val="true"/>
          <w:lang w:bidi="fa-IR"/>
        </w:rPr>
        <w:t>ولی از عقیدۀ اشاعره در مورد پیروی از دستور سلطان ستمگر سخنی به میان نیاورده است، در حالی که آنان اطاعت او را واجب و خروج بر او را حرام و اطاعت او را مادامی‌که امر به حرام نکند، اطاعت خدا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چنین تسلیم در برابر ظالم و ستمگر با وجوب امر به معروف سازگار است، در حالی که احادیث مروی از پیامبر بر خلاف 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جهاد، گفتار عادلانه است نزد حاکم ستمگر</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سنن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الفن،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مردم ستمگر را ببینند واو را از کار خود باز ندارند، ممکن است عذاب همگان را فرا گیرد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ما در آغاز کتاب، از مسامحه و سهل انگاری نگارندگان تاریخ عقاید، سخنی به میان آوردیم و گفتیم، غالبا این گروه در نگارش عقاید اقوام و ملل، دچار اشتباه شده، زیرا به مصادر اصلی مذاهب مراجعه نکرده‌اند و این مورد و موارد دیگری که قبلا تذکر دادیم و یا در آینده به آن اشاره خواهیم کرد، گواه برای گفتار است</w:t>
      </w:r>
      <w:r>
        <w:rPr>
          <w:rFonts w:eastAsia="IRNazanin" w:cs="IRNazanin"/>
          <w:color w:val="111111"/>
          <w:sz w:val="28"/>
          <w:szCs w:val="28"/>
          <w:rtl w:val="true"/>
          <w:lang w:bidi="fa-IR"/>
        </w:rPr>
        <w:t>.</w:t>
      </w:r>
    </w:p>
    <w:p>
      <w:pPr>
        <w:pStyle w:val="Heading4"/>
        <w:numPr>
          <w:ilvl w:val="3"/>
          <w:numId w:val="1"/>
        </w:numPr>
        <w:rPr/>
      </w:pPr>
      <w:bookmarkStart w:id="437" w:name="__RefHeading___Toc1119872_1738255347"/>
      <w:bookmarkStart w:id="438" w:name="_Toc166"/>
      <w:bookmarkEnd w:id="437"/>
      <w:r>
        <w:rPr/>
        <w:t>2</w:t>
      </w:r>
      <w:r>
        <w:rPr>
          <w:rtl w:val="true"/>
        </w:rPr>
        <w:t xml:space="preserve"> - </w:t>
      </w:r>
      <w:r>
        <w:rPr>
          <w:rtl w:val="true"/>
        </w:rPr>
        <w:t>وجوب آن عقلی است یا شرعی</w:t>
      </w:r>
      <w:bookmarkEnd w:id="438"/>
    </w:p>
    <w:p>
      <w:pPr>
        <w:pStyle w:val="BookText"/>
        <w:rPr/>
      </w:pPr>
      <w:r>
        <w:rPr>
          <w:rFonts w:ascii="IRNazanin" w:hAnsi="IRNazanin" w:eastAsia="IRNazanin"/>
          <w:color w:val="111111"/>
          <w:sz w:val="28"/>
          <w:sz w:val="28"/>
          <w:szCs w:val="28"/>
          <w:rtl w:val="true"/>
          <w:lang w:bidi="fa-IR"/>
        </w:rPr>
        <w:t xml:space="preserve">بحث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تسلیم وجوب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دلیل حاکم بر آن است، آیا خرد حاکم بر آن است یا وحی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یا شرع؟</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علی جبایی وجوب آن را عقلی دانسته 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آن را شرعی انگاشته و فقط یک مورد را استثنا کرده است و آن موقعی‌که ستم کسی برکسی،</w:t>
      </w:r>
    </w:p>
    <w:p>
      <w:pPr>
        <w:pStyle w:val="BookText"/>
        <w:rPr/>
      </w:pPr>
      <w:r>
        <w:rPr>
          <w:rFonts w:ascii="IRNazanin" w:hAnsi="IRNazanin" w:eastAsia="IRNazanin"/>
          <w:color w:val="111111"/>
          <w:sz w:val="28"/>
          <w:sz w:val="28"/>
          <w:szCs w:val="28"/>
          <w:rtl w:val="true"/>
          <w:lang w:bidi="fa-IR"/>
        </w:rPr>
        <w:t>مایۀ حزن او شود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 الجبار، اصول خمسه</w:t>
      </w:r>
      <w:r>
        <w:rPr>
          <w:rFonts w:eastAsia="IRNazanin" w:cs="IRNazanin"/>
          <w:color w:val="111111"/>
          <w:sz w:val="28"/>
          <w:szCs w:val="28"/>
          <w:rtl w:val="true"/>
          <w:lang w:bidi="fa-IR"/>
        </w:rPr>
        <w:t xml:space="preserve">: /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در وجوب عقلی این دو عامل سعادت‌بخش، نوعی شک در امور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وجوب عقلی آن تردید می‌کنند، به زندگی افراد از دیدگاه فردی می‌نگرند که هر فردی برای خود زندگی مستقلی دارد، ولی اگر به زندگی انسانها از دیدگاه اجتماعی بنگرند و اینکه سعادت انسانها کاملا به یکدیگر بستگی دارد و اگر در جامعه کار خوبی صورت گیرد، همگان از آن بهره‌مند می‌شوند و اگر کار بدی تحقق پذیرد، دامن همه را می‌گیرد، قطعا در گفتار خود تجدید نظر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چنین بستگی است که آزادیهای فردی تا آنجا محترم است که به صلاح و سعادت جامعه لطمه وارد نسازد، در غیر این صورت کاملا محدود شده و ممنوع اعلام می‌گردد، بنابراین جهل و نادانی انسان نسبت به احکام و یا آلودگی او در گناه، اثر مستقیمی در سرنوشت دیگران دارد، از این جهت و لو به خاطر سعادت خویش باشد، باید به وظیفۀ امر به معروف قیام کنیم و او را از چنگال جهل و آلودگی برهانیم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در تبیین کیفیت وحدت سرنوشت یک جامعه، مثل بسیار ارزنده‌ای دارد که ترجمۀ آزاد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یک جامعه بسان سرنشینان کشتی واحدی است که دارای طبقاتی باشد، برخی در قسمت بالا و برخی دیگر در طبقۀ پایین جای گرفته باشند، هرگاه سرنشینان طبقۀ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علتی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سوراخ کردن کشتی باشند و عمل خود را چنین مدلل سازند که ما جایگاه خود را سوراخ می‌کنیم وبا جایگاه شما کاری نداریم، باید آنان را از این کار باز داشت و گرنه همگی نابود می‌شوند، زیرا سرنوشت همگان به هم بسته است و نفوذ آب در طبقۀ پایین، مستلزم غرق شدن تمام کشتی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صلّی الله علیه و آله و سلم حدیثی را نقل می‌کند که بیانگر همین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انسان در خفا مرتکب گناهی گردد، فقط به خود ضرر می‌رساند و اگر آشکارا انجام دهد و کسی از او انتقاد نکند، سعادت عموم را در خطر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نقل حدیث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عمل ناهنجار خود، دین خدا را مو هون ساخته و دشمنان خدا را به پیروی از خود دعوت می‌نماید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امر به معروف،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المعصیة إذا عمل بها العبد سرا لم تضر إلّا عاملها، فإن اعمل علانیة و لم یغیر علیه، أضرت بالعامة و 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إنّه یذل بعمله دین الله و یقتدی به أهل عداوة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می‌گردد که عمّل و خرد برای حفظ سعادت اجتماع که ضامن سعادت فرد نیز هست، بر لزوم امر به مسروف و باز داری از منکر به‌طور اجمال حکم می‌کند یعنی آنجا که اگر سهل‌انگاری شود، سعادت جامعه و خود انسان دستخوش اختلال می‌گردد و چون تشخیص مواردآن به صورت دقیق روشن نیست، از باب مقدمه در همه‌جا باید در اجرای این دو اصل کوشش کرد، تا غرض اصلی تحقق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یادآور شدیم که لطف محصّل مطلقا واجب و لطف مقرّب نیز در شرایطی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امر به معروف و نهی از منکر، به‌طورکلی از اقسام لطف مقرّب است که اگر در آن مسامحه شود، نوع مردم نسبت به واجبات بی‌تفاوت بوده و یا در آلودگی فرو می‌روند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دو دلیل روشن، ابو هاشم از معتزله و خواجه از امامیه، وجوب آن را فقط سمعی دانسته‌اند و انتظار ما از خواجه غیر این بوده واو در تجرید الإعتقاد،</w:t>
      </w:r>
      <w:bookmarkStart w:id="439" w:name="pg17029_176770"/>
    </w:p>
    <w:p>
      <w:pPr>
        <w:pStyle w:val="BookText"/>
        <w:rPr/>
      </w:pPr>
      <w:bookmarkEnd w:id="439"/>
      <w:r>
        <w:rPr>
          <w:rFonts w:ascii="IRNazanin" w:hAnsi="IRNazanin" w:eastAsia="IRNazanin"/>
          <w:color w:val="111111"/>
          <w:sz w:val="28"/>
          <w:sz w:val="28"/>
          <w:szCs w:val="28"/>
          <w:rtl w:val="true"/>
          <w:lang w:bidi="fa-IR"/>
        </w:rPr>
        <w:t xml:space="preserve">بر عدم وجوب امر به معروف از نظر عقل استدلال نموده که کاملا ناتوان است و ما مشروح بیان او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فی الملل و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375/3</w:t>
      </w:r>
      <w:r>
        <w:rPr>
          <w:rFonts w:ascii="IRNazanin" w:hAnsi="IRNazanin" w:eastAsia="IRNazanin"/>
          <w:color w:val="111111"/>
          <w:sz w:val="28"/>
          <w:sz w:val="28"/>
          <w:szCs w:val="28"/>
          <w:rtl w:val="true"/>
          <w:lang w:bidi="fa-IR"/>
        </w:rPr>
        <w:t xml:space="preserve">، به کتاب الروضة البهیة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جهاد، فصل خامس، مراجعه شود</w:t>
      </w:r>
      <w:r>
        <w:rPr>
          <w:rFonts w:eastAsia="IRNazanin" w:cs="IRNazanin"/>
          <w:color w:val="111111"/>
          <w:sz w:val="28"/>
          <w:szCs w:val="28"/>
          <w:rtl w:val="true"/>
          <w:lang w:bidi="fa-IR"/>
        </w:rPr>
        <w:t>.</w:t>
      </w:r>
    </w:p>
    <w:p>
      <w:pPr>
        <w:pStyle w:val="Heading4"/>
        <w:numPr>
          <w:ilvl w:val="3"/>
          <w:numId w:val="1"/>
        </w:numPr>
        <w:rPr/>
      </w:pPr>
      <w:bookmarkStart w:id="440" w:name="__RefHeading___Toc1119874_1738255347"/>
      <w:bookmarkStart w:id="441" w:name="_Toc167"/>
      <w:bookmarkEnd w:id="440"/>
      <w:r>
        <w:rPr/>
        <w:t>3</w:t>
      </w:r>
      <w:r>
        <w:rPr>
          <w:rtl w:val="true"/>
        </w:rPr>
        <w:t xml:space="preserve"> - </w:t>
      </w:r>
      <w:r>
        <w:rPr>
          <w:rtl w:val="true"/>
        </w:rPr>
        <w:t>شرایط وجوب امر به معروف</w:t>
      </w:r>
      <w:bookmarkEnd w:id="441"/>
    </w:p>
    <w:p>
      <w:pPr>
        <w:pStyle w:val="BookText"/>
        <w:rPr/>
      </w:pPr>
      <w:r>
        <w:rPr>
          <w:rFonts w:ascii="IRNazanin" w:hAnsi="IRNazanin" w:eastAsia="IRNazanin"/>
          <w:color w:val="111111"/>
          <w:sz w:val="28"/>
          <w:sz w:val="28"/>
          <w:szCs w:val="28"/>
          <w:rtl w:val="true"/>
          <w:lang w:bidi="fa-IR"/>
        </w:rPr>
        <w:t>فقیهان اسلام برای وجوب این دو، شرایطی را ذکر کرده‌اند،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کامل آمر و ناهی از واجب و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تأثیر امر و نهی در 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راستا به او و کسانش مفسده‌ای متوجه نشود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این جا شرط چهارمی نیز هست که علامۀ حلی از آن یاد نکرده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وجوب و یا حرمت، دربارۀ طرف منجز باشد و در غیر این صورت مانند اکل میته نسبت به انسان مضطر،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دیگر اینکه، شرط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توجه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کلیت ندارد و در مواردی حتی با بودن مفسده، باید قدم برداشت و آن در صورتی است که اگر اقدامی انجام نگیرد، لطمۀ شدیدی بر دین وارد می‌شود، در این صورت حتی تقیه حرام می‌باشد و باید با دادن خون، به داد دین مردم رسید</w:t>
      </w:r>
      <w:r>
        <w:rPr>
          <w:rFonts w:eastAsia="IRNazanin" w:cs="IRNazanin"/>
          <w:color w:val="111111"/>
          <w:sz w:val="28"/>
          <w:szCs w:val="28"/>
          <w:rtl w:val="true"/>
          <w:lang w:bidi="fa-IR"/>
        </w:rPr>
        <w:t>.</w:t>
      </w:r>
    </w:p>
    <w:p>
      <w:pPr>
        <w:pStyle w:val="Heading4"/>
        <w:numPr>
          <w:ilvl w:val="3"/>
          <w:numId w:val="1"/>
        </w:numPr>
        <w:rPr/>
      </w:pPr>
      <w:bookmarkStart w:id="442" w:name="__RefHeading___Toc1119876_1738255347"/>
      <w:bookmarkStart w:id="443" w:name="_Toc168"/>
      <w:bookmarkEnd w:id="442"/>
      <w:r>
        <w:rPr/>
        <w:t>4</w:t>
      </w:r>
      <w:r>
        <w:rPr>
          <w:rtl w:val="true"/>
        </w:rPr>
        <w:t xml:space="preserve"> - </w:t>
      </w:r>
      <w:r>
        <w:rPr>
          <w:rtl w:val="true"/>
        </w:rPr>
        <w:t>واجب عینی است یا کفایی</w:t>
      </w:r>
      <w:bookmarkEnd w:id="44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این است که وجوب آن دو کفایی است و ملاک واجب کفایی در هر دو هست، زیرا هرگاه تذکر طرف از طریق فردی انجام گرفت و 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طرف از</w:t>
      </w:r>
      <w:bookmarkStart w:id="444" w:name="pg17029_176771"/>
    </w:p>
    <w:p>
      <w:pPr>
        <w:pStyle w:val="BookText"/>
        <w:rPr/>
      </w:pPr>
      <w:bookmarkEnd w:id="444"/>
      <w:r>
        <w:rPr>
          <w:rFonts w:ascii="IRNazanin" w:hAnsi="IRNazanin" w:eastAsia="IRNazanin"/>
          <w:color w:val="111111"/>
          <w:sz w:val="28"/>
          <w:sz w:val="28"/>
          <w:szCs w:val="28"/>
          <w:rtl w:val="true"/>
          <w:lang w:bidi="fa-IR"/>
        </w:rPr>
        <w:t>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 بقای وجوب برای فرد دیگر بی‌ملاک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غرض بالاتر از تذکر باشد، مانند تحقق فریضه و انتفای منکر در خارج، در این جا همه باید دست به دست هم بدهند تا غرض تحقق پذیرد و جریان در جهاد دفاعی و ابتدایی از این مقوله است</w:t>
      </w:r>
      <w:r>
        <w:rPr>
          <w:rFonts w:eastAsia="IRNazanin" w:cs="IRNazanin"/>
          <w:color w:val="111111"/>
          <w:sz w:val="28"/>
          <w:szCs w:val="28"/>
          <w:rtl w:val="true"/>
          <w:lang w:bidi="fa-IR"/>
        </w:rPr>
        <w:t>.</w:t>
      </w:r>
    </w:p>
    <w:p>
      <w:pPr>
        <w:pStyle w:val="Heading4"/>
        <w:numPr>
          <w:ilvl w:val="3"/>
          <w:numId w:val="1"/>
        </w:numPr>
        <w:rPr/>
      </w:pPr>
      <w:bookmarkStart w:id="445" w:name="__RefHeading___Toc1119878_1738255347"/>
      <w:bookmarkStart w:id="446" w:name="_Toc169"/>
      <w:bookmarkEnd w:id="445"/>
      <w:r>
        <w:rPr/>
        <w:t>5</w:t>
      </w:r>
      <w:r>
        <w:rPr>
          <w:rtl w:val="true"/>
        </w:rPr>
        <w:t xml:space="preserve"> - </w:t>
      </w:r>
      <w:r>
        <w:rPr>
          <w:rtl w:val="true"/>
        </w:rPr>
        <w:t>مراتب آن دو</w:t>
      </w:r>
      <w:bookmarkEnd w:id="44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آن از کراهت قلبی گرفته و در توسل به زور و قدرت ختم می‌گردد، برخی از مراتب آن همگانی و برخی دیگر از شئون ولایت است که باید دولتهای اسلامی به آن جامۀ عمل بپوشانند</w:t>
      </w:r>
      <w:r>
        <w:rPr>
          <w:rFonts w:eastAsia="IRNazanin" w:cs="IRNazanin"/>
          <w:color w:val="111111"/>
          <w:sz w:val="28"/>
          <w:szCs w:val="28"/>
          <w:rtl w:val="true"/>
          <w:lang w:bidi="fa-IR"/>
        </w:rPr>
        <w:t>.</w:t>
      </w:r>
      <w:bookmarkStart w:id="447" w:name="pg17029_176772"/>
    </w:p>
    <w:p>
      <w:pPr>
        <w:pStyle w:val="Heading2"/>
        <w:numPr>
          <w:ilvl w:val="1"/>
          <w:numId w:val="1"/>
        </w:numPr>
        <w:rPr/>
      </w:pPr>
      <w:bookmarkStart w:id="448" w:name="__RefHeading___Toc1119880_1738255347"/>
      <w:bookmarkStart w:id="449" w:name="_Toc170"/>
      <w:bookmarkEnd w:id="447"/>
      <w:bookmarkEnd w:id="448"/>
      <w:r>
        <w:rPr>
          <w:rtl w:val="true"/>
        </w:rPr>
        <w:t>سرگذشت معتزله از پیدایش تا انقراض</w:t>
      </w:r>
      <w:bookmarkEnd w:id="449"/>
    </w:p>
    <w:p>
      <w:pPr>
        <w:pStyle w:val="Heading3"/>
        <w:numPr>
          <w:ilvl w:val="2"/>
          <w:numId w:val="1"/>
        </w:numPr>
        <w:rPr/>
      </w:pPr>
      <w:bookmarkStart w:id="450" w:name="__RefHeading___Toc1119882_1738255347"/>
      <w:bookmarkStart w:id="451" w:name="_Toc171"/>
      <w:bookmarkEnd w:id="450"/>
      <w:r>
        <w:rPr/>
        <w:t>1</w:t>
      </w:r>
      <w:bookmarkEnd w:id="451"/>
    </w:p>
    <w:p>
      <w:pPr>
        <w:pStyle w:val="Heading4"/>
        <w:numPr>
          <w:ilvl w:val="3"/>
          <w:numId w:val="1"/>
        </w:numPr>
        <w:rPr/>
      </w:pPr>
      <w:bookmarkStart w:id="452" w:name="__RefHeading___Toc1119884_1738255347"/>
      <w:bookmarkStart w:id="453" w:name="_Toc172"/>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معتزله در کشاکش قدرت و ضعف</w:t>
      </w:r>
    </w:p>
    <w:p>
      <w:pPr>
        <w:pStyle w:val="BookText"/>
        <w:rPr/>
      </w:pPr>
      <w:r>
        <w:rPr>
          <w:rFonts w:ascii="IRNazanin" w:hAnsi="IRNazanin" w:eastAsia="IRNazanin"/>
          <w:color w:val="111111"/>
          <w:sz w:val="28"/>
          <w:sz w:val="28"/>
          <w:szCs w:val="28"/>
          <w:rtl w:val="true"/>
          <w:lang w:bidi="fa-IR"/>
        </w:rPr>
        <w:t xml:space="preserve">با اصول پنجگانۀ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شدیم، اکنون وقت آن رسیده که از قضاوت تاریخ دربارۀ آنان آگاه شویم و در این مورد، دو موضوع را مورد بحث قرار می‌دهیم</w:t>
      </w:r>
      <w:r>
        <w:rPr>
          <w:rFonts w:eastAsia="IRNazanin" w:cs="IRNazanin"/>
          <w:color w:val="111111"/>
          <w:sz w:val="28"/>
          <w:szCs w:val="28"/>
          <w:rtl w:val="true"/>
          <w:lang w:bidi="fa-IR"/>
        </w:rPr>
        <w:t>:</w:t>
      </w:r>
    </w:p>
    <w:p>
      <w:pPr>
        <w:pStyle w:val="Heading4"/>
        <w:numPr>
          <w:ilvl w:val="3"/>
          <w:numId w:val="1"/>
        </w:numPr>
        <w:rPr/>
      </w:pPr>
      <w:bookmarkStart w:id="454" w:name="__RefHeading___Toc1119886_1738255347"/>
      <w:bookmarkStart w:id="455" w:name="_Toc173"/>
      <w:bookmarkEnd w:id="454"/>
      <w:r>
        <w:rPr/>
        <w:t>1</w:t>
      </w:r>
      <w:r>
        <w:rPr>
          <w:rtl w:val="true"/>
        </w:rPr>
        <w:t xml:space="preserve"> - </w:t>
      </w:r>
      <w:r>
        <w:rPr>
          <w:rtl w:val="true"/>
        </w:rPr>
        <w:t>معتزله و اتهام به آلودگی اخلاقی</w:t>
      </w:r>
      <w:bookmarkEnd w:id="455"/>
    </w:p>
    <w:p>
      <w:pPr>
        <w:pStyle w:val="BookText"/>
        <w:rPr/>
      </w:pPr>
      <w:r>
        <w:rPr>
          <w:rFonts w:ascii="IRNazanin" w:hAnsi="IRNazanin" w:eastAsia="IRNazanin"/>
          <w:color w:val="111111"/>
          <w:sz w:val="28"/>
          <w:sz w:val="28"/>
          <w:szCs w:val="28"/>
          <w:rtl w:val="true"/>
          <w:lang w:bidi="fa-IR"/>
        </w:rPr>
        <w:t>معتزله از روز نخست به صورت گروه عقل‌گرا و مدافع از اصول اسلام در پرتو دلیل و برهان، طلوع کردند و تا آنجا که قدرت و توان داشتند، در این راه پیش رفتند و زندگی پیشوایان آنها روشنترین گواه بر این مطلب است، البته این نه به آن معنی است که در همه‌جا به درستی سخن گفته‌اند و احیانا پا روی حق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مسلّم است این است که این گروه، در آغوش مناظره با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ملاحده، مجسمه، مجبره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مبارز که حیات و عقیده و عنوان گروه مخالف را به خطر می‌افکند بدون واکنش از طرف مخالف نخواهند بود و گاهی دشمن شکست‌خورده، به خاطر حفظ موقعیت خود از هر حربه‌ای بهره می‌گیرد، از این جهت برخی از مخالفان معتزله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مختلف الحدیث،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وابو منصور بغدادی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به آلودگی اخلاقی متهم کرده و در</w:t>
      </w:r>
    </w:p>
    <w:p>
      <w:pPr>
        <w:pStyle w:val="BookText"/>
        <w:rPr/>
      </w:pPr>
      <w:r>
        <w:rPr>
          <w:rFonts w:ascii="IRNazanin" w:hAnsi="IRNazanin" w:eastAsia="IRNazanin"/>
          <w:color w:val="111111"/>
          <w:sz w:val="28"/>
          <w:sz w:val="28"/>
          <w:szCs w:val="28"/>
          <w:rtl w:val="true"/>
          <w:lang w:bidi="fa-IR"/>
        </w:rPr>
        <w:t xml:space="preserve">این موارد چیزهایی نقل کرده‌اند که ما تفصیل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المللی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کرده‌ایم</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فی الملل و النحل، </w:t>
      </w:r>
      <w:r>
        <w:rPr>
          <w:rFonts w:eastAsia="IRNazanin" w:cs="IRNazanin"/>
          <w:color w:val="111111"/>
          <w:sz w:val="28"/>
          <w:szCs w:val="28"/>
          <w:lang w:bidi="fa-IR"/>
        </w:rPr>
        <w:t>379/3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از اتهامها در تاریخ مناظره‌ها و مبارزه‌های عقیدتی فراوان و غالبا فاقد ارزش است، بالأخص که ناقل آنها ابن قتیبۀ سلفی و ابو منصور اشعری باشد که از دشمنان قسم خوردۀ معتزله به شمار می‌روند و دومی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حد بد زبان است، او بر خود و عقاید شیخ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از عصمت پوشانیده و دیگران را ضال و مضلّ می‌داند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یک نفر یا دو نفر از معتزله، دچار انحراف اخلاقی شده و بساط شراب پهن می‌کردند، ولی این دلیل نمی‌شود که این گروه همگی به آلودگی متهم شوند، در حالی که در سوابق زندگی آنان بسیار نقاط درخشان است،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 بن برد، متهم به الحاد و انحراف عقیدتی بود، واصل بن عطا او را به قتل تهدید کرد و سرانجام او را از بصره تبعید نمود وقتی واصل درگذشت، او به بصره بازگشت و صفوان انصاری او را با ابیاتی مخاطب قرار می‌دهد که یک بیت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إلی الامصار من بعد واصل و کنت شریرا فی التهائم و النجد</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پس از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بازگشتی، در حالی که به صورت یک انسان شرور در بیابانهای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واصل بن عطا گروهی را برای نشر عقیدۀ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و اکناف فرستاد و مرتضی در طبقات معتزله، اسامی آنها را آورده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مسألة فی الرد علی المأنویة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سالم را برای مناظره با جهم بن صفوان روانۀ خراسان کرد، تا با او به مناظره بپردازد و پس از درگذشت واصل، پیروان او نیز این راه را ادامه دادند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المنیة و الأمل،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برای مناظره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آسیا، بر خلاف میل باطنی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 را روانه کرد، زیرا در میان اهل حدیث، شخص شایسته‌ای نبود که بتواند با این گروه دست و پنجه نرم کند و رجوع به اهل‌بیت پیامبر و دست پرورده‌های آنان، با خط سیاسی بنی‌عباس سازگار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عبد الجبار متوفای سال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با تمام حق کشیهایی که در کتاب المغنی خصوصا در جلد بیستم در حق شیعه انجام داده، ولی کار او در مقام مبارزه با ملحدان و شکاکان قابل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القرآن عن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نفیسی است که از او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دیگر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دلائل نبوة سیدنا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صدد نشر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عین مخالفت با اغراق گویی و پوشانیدن لباس عصمت بر اندام دانشمندان معتزلی، یادآور می‌شویم که در مقام معدل گیری، این گروه امتیازاتی دارند که اشاعره فاقد آن می‌باشند و در عین حال، در میان هر دو گروه متطرف و حاد، معتدل و منصف، فراوان پیدا می‌شوند و سخن ما دربارۀ همۀ گروههای اسلامی گفتار خداست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اغْفِرْ لَنا وَ لِإِخْوانِنَا الَّذِینَ سَبَقُونا بِالْإِیمانِ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456" w:name="pg17029_176775"/>
    </w:p>
    <w:p>
      <w:pPr>
        <w:pStyle w:val="Heading4"/>
        <w:numPr>
          <w:ilvl w:val="3"/>
          <w:numId w:val="1"/>
        </w:numPr>
        <w:rPr/>
      </w:pPr>
      <w:bookmarkStart w:id="457" w:name="__RefHeading___Toc1119888_1738255347"/>
      <w:bookmarkStart w:id="458" w:name="_Toc174"/>
      <w:bookmarkEnd w:id="456"/>
      <w:bookmarkEnd w:id="457"/>
      <w:r>
        <w:rPr>
          <w:rtl w:val="true"/>
        </w:rPr>
        <w:t>معتزله در اوج قدرت</w:t>
      </w:r>
      <w:bookmarkEnd w:id="458"/>
    </w:p>
    <w:p>
      <w:pPr>
        <w:pStyle w:val="BookText"/>
        <w:rPr/>
      </w:pPr>
      <w:r>
        <w:rPr>
          <w:rFonts w:ascii="IRNazanin" w:hAnsi="IRNazanin" w:eastAsia="IRNazanin"/>
          <w:color w:val="111111"/>
          <w:sz w:val="28"/>
          <w:sz w:val="28"/>
          <w:szCs w:val="28"/>
          <w:rtl w:val="true"/>
          <w:lang w:bidi="fa-IR"/>
        </w:rPr>
        <w:t>مکتب اعتزال به صورت یک مکتب کلامی در اوایل قرن دوم پی‌ریزی گردید و به تدریج رو به تکامل نهاد و از زمان خلفای بنی‌امیه، فقط دو نفر به این مکتب تمایل نشان دادند و آن دو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ولید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بن 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خلیفۀ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بساط خلافت امویها برچیده شد و خلفای عباسی روی کار آمدند، در دوران خلافت ابو جعافر منصور دوانیقی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ستارۀ اقبال معتزله درخشید و عمرو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شمارۀ دوم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خلیفۀ وقت رابطۀ صمیمی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ابو جعفر، زمام امور به دست مهدی عباسی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او تحرکی برای معتزله مشاهده نشد و گویا به اهل حدیث تمایل داشت و با معتزله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رجالی معروف امامیه از هشام نقل می‌کند که مهدی بر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می‌گرفت و ابن مفضل شرحی پیرامون فرق اسلامی بر او نوشت و او دستور داد که آن را برای مردم در نقاط مختلف شهر قرائت کنند</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مخالف با اهل حدیث است که شاخص آنها، معتزله و شیعه و مرجئه و محکمه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شاید این کتاب که کشی از او یاد می‌کند، نخستین کتابی باشد که پیرامون فرق اسلامی و ملل و نحل نوشته شده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مهدی عباسی، هارون عباسی روی کارآمد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برادرش مهدی، از بحث و مناظره جلوگیری می‌کرد و گروهی از اهل کلام را روانۀ زندان کرد و از روی ناچاری برای مناظره با سمنیها، یک نفر از معتزله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فرزندان ابو جعفر منصور، به نامهای مهدی و هارون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خلافت در خانۀ فرزند هارون به نام مأمون الرشید زانو زد در عصر او ستارۀ اقبال معتزله در بلندای افق درخشیدن گرفت و تمام مراکز دولتی در قبضۀ قدرت آنان در آمد، او نیز با کمال صمیمیت با معتزله رفتار کرد و یکی از علل رفتار او با معتزله این بود که مأمون فردی درس خوانده و تا حذی اهل منطق و تعقل بود، مکتب معتزله با روحیات او کاملا سازگار بود، از این جهت برای حرکتهای فرهنگی، علمی و قضایی معتزله، چراغ سبز روشن کرد و دست آنها را در نصب و عزل مقامات مسئول باز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در سال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در طوس درگذشت و مأمون پس از یک‌رشته جنگ و نبرد با برادر خود امین، سرانجام در سال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زمام امور را به عنوان خلیفۀ مسلمین به دست گرفت و از همان روز، با معتزله کنار آمد و پس از شهادت امام هشتم علیه السّلام در سال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جهان اسلام در قلمرو مأمون و علمای معتزله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خلق قرآن که اهل حدیث دربارۀ آن حساسیت خاصی داشت و معتزله نیز طرفدار آن بودند، توجه خلیفه را به خود جلب کرد وبا یک محاسبۀ کوچک دریافت که معنی عدم خلق قرآن، قدیم بودن آن است و لازم آن آسیب‌پذیری توحید است که پیامبر اسلام برای تحکیم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خلاف عقیدۀ اهل حدیث، دو مطلب را عنوان کرد که هر دو خشم آنان را برانگیخت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حدوث قرآن و اینکه این کتاب آسمانی، مخلوف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تفضیل علی بر خلفای پیشین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اندی دریافت که محدثان و در پیشاپیش آنان احمد بن حنبل، بر قدیم بودن قرآن اصرار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بغداد نامه‌ای به رئیس شرطۀ عاصمه نوشت و در آن دستور داد، از عقاید قضات و محدثان در مورد خلقت قرآن</w:t>
      </w:r>
      <w:bookmarkStart w:id="459" w:name="pg17029_176777"/>
    </w:p>
    <w:p>
      <w:pPr>
        <w:pStyle w:val="BookText"/>
        <w:rPr/>
      </w:pPr>
      <w:bookmarkEnd w:id="459"/>
      <w:r>
        <w:rPr>
          <w:rFonts w:ascii="IRNazanin" w:hAnsi="IRNazanin" w:eastAsia="IRNazanin"/>
          <w:color w:val="111111"/>
          <w:sz w:val="28"/>
          <w:sz w:val="28"/>
          <w:szCs w:val="28"/>
          <w:rtl w:val="true"/>
          <w:lang w:bidi="fa-IR"/>
        </w:rPr>
        <w:t>و عدم خلقت آن بررسی به عمل آورد، در بخشی از این نامه چنین آمده است</w:t>
      </w:r>
      <w:r>
        <w:rPr>
          <w:rFonts w:eastAsia="IRNazanin" w:cs="IRNazanin"/>
          <w:color w:val="111111"/>
          <w:sz w:val="28"/>
          <w:szCs w:val="28"/>
          <w:rtl w:val="true"/>
          <w:lang w:bidi="fa-IR"/>
        </w:rPr>
        <w:t>:</w:t>
      </w:r>
    </w:p>
    <w:p>
      <w:pPr>
        <w:pStyle w:val="Heading4"/>
        <w:numPr>
          <w:ilvl w:val="3"/>
          <w:numId w:val="1"/>
        </w:numPr>
        <w:rPr/>
      </w:pPr>
      <w:bookmarkStart w:id="460" w:name="__RefHeading___Toc1119890_1738255347"/>
      <w:bookmarkStart w:id="461" w:name="_Toc175"/>
      <w:bookmarkEnd w:id="460"/>
      <w:r>
        <w:rPr>
          <w:rtl w:val="true"/>
        </w:rPr>
        <w:t>نامه‌های چهارگانه مأمون به رئیس شرطه بغداد</w:t>
      </w:r>
      <w:bookmarkEnd w:id="461"/>
    </w:p>
    <w:p>
      <w:pPr>
        <w:pStyle w:val="Heading5"/>
        <w:numPr>
          <w:ilvl w:val="4"/>
          <w:numId w:val="1"/>
        </w:numPr>
        <w:rPr/>
      </w:pPr>
      <w:bookmarkStart w:id="462" w:name="__RefHeading___Toc1119892_1738255347"/>
      <w:bookmarkStart w:id="463" w:name="_Toc176"/>
      <w:bookmarkEnd w:id="462"/>
      <w:r>
        <w:rPr>
          <w:rtl w:val="true"/>
        </w:rPr>
        <w:t>نامۀ اول خلیفه</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 حاضر در بغداد را گردآور و نامۀ امیر مؤمنان را برای آنان بخوان و آنان را در آنچه می‌گویند بیازما و عقیدۀ آنان را دربارۀ خلق قرآن و حدوث آن کشف کن، بدان امیر مؤمنان در کارهای خود و در امور مسلمین که خدا به او واگذار کرده است، از افرادی که به دین آنها اطمینان و وثوقی نیست و یا توحید آنها خالص نباشد، کمک نمی‌گیرد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تاریخ، </w:t>
      </w:r>
      <w:r>
        <w:rPr>
          <w:rFonts w:eastAsia="IRNazanin" w:cs="IRNazanin"/>
          <w:color w:val="111111"/>
          <w:sz w:val="28"/>
          <w:szCs w:val="28"/>
          <w:lang w:bidi="fa-IR"/>
        </w:rPr>
        <w:t>188/7</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سالهای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دستور داد مجلسی برگزار گردد و کلیه قضات و محدثان سرشناس به آنجا دعوت شوند و آنگاه تفتیش عقاید آغاز شود و گروه مخالف با عقیدۀ خلیفه، از کار برکنار شوند و شهادت و گواهی آنان هیچ‌گاه قبول نشود</w:t>
      </w:r>
      <w:r>
        <w:rPr>
          <w:rFonts w:eastAsia="IRNazanin" w:cs="IRNazanin"/>
          <w:color w:val="111111"/>
          <w:sz w:val="28"/>
          <w:szCs w:val="28"/>
          <w:rtl w:val="true"/>
          <w:lang w:bidi="fa-IR"/>
        </w:rPr>
        <w:t>.</w:t>
      </w:r>
    </w:p>
    <w:p>
      <w:pPr>
        <w:pStyle w:val="Heading5"/>
        <w:numPr>
          <w:ilvl w:val="4"/>
          <w:numId w:val="1"/>
        </w:numPr>
        <w:rPr/>
      </w:pPr>
      <w:bookmarkStart w:id="464" w:name="__RefHeading___Toc1119894_1738255347"/>
      <w:bookmarkStart w:id="465" w:name="_Toc177"/>
      <w:bookmarkEnd w:id="464"/>
      <w:r>
        <w:rPr>
          <w:rtl w:val="true"/>
        </w:rPr>
        <w:t>نامۀ دوم خلیفه</w:t>
      </w:r>
      <w:bookmarkEnd w:id="465"/>
    </w:p>
    <w:p>
      <w:pPr>
        <w:pStyle w:val="BookText"/>
        <w:rPr/>
      </w:pPr>
      <w:r>
        <w:rPr>
          <w:rFonts w:ascii="IRNazanin" w:hAnsi="IRNazanin" w:eastAsia="IRNazanin"/>
          <w:color w:val="111111"/>
          <w:sz w:val="28"/>
          <w:sz w:val="28"/>
          <w:szCs w:val="28"/>
          <w:rtl w:val="true"/>
          <w:lang w:bidi="fa-IR"/>
        </w:rPr>
        <w:t>خلیفه که در خارج از بغداد مشغول کشورگشایی بود، در نامۀ دیگر از رئیس شرطۀ بغداد خواست که هفت نفر از محدثان سرشناس را به محضر او اعزام کند تا شخصا دربارۀ عقیدۀ آنان در موضوع خلق قرآن تحقیق کند، این هفت نفر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سعد، مؤلف طبقات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مسلم مستحلی، یزید بن هارون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زهیر بن حرب، ابو حیثمه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بن داود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بن ابی مسعود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دورقی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شرطه همگان را به حضور خلیفه اعزام کرد و همۀ آنان بر خلاف عقیدۀ خود بر خلق قرآن اقرار کردند، سپس آنها را با مأمور روانۀ بغداد ساخت و رئیس شرطه به امر مأمون، همه را در خانۀ خود احضار نمود و در محضر فقها و مشایخ اهل</w:t>
      </w:r>
      <w:bookmarkStart w:id="466" w:name="pg17029_176778"/>
    </w:p>
    <w:p>
      <w:pPr>
        <w:pStyle w:val="BookText"/>
        <w:rPr/>
      </w:pPr>
      <w:bookmarkEnd w:id="466"/>
      <w:r>
        <w:rPr>
          <w:rFonts w:ascii="IRNazanin" w:hAnsi="IRNazanin" w:eastAsia="IRNazanin"/>
          <w:color w:val="111111"/>
          <w:sz w:val="28"/>
          <w:sz w:val="28"/>
          <w:szCs w:val="28"/>
          <w:rtl w:val="true"/>
          <w:lang w:bidi="fa-IR"/>
        </w:rPr>
        <w:t>حدیث، عقیدۀ آنان را دربارۀ قرآن بازگو نمود، آنان نیز نظر رئیس شرطه را تصدیق کردند، آنگاه همگان را آزاد نمود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تاریخ، </w:t>
      </w:r>
      <w:r>
        <w:rPr>
          <w:rFonts w:eastAsia="IRNazanin" w:cs="IRNazanin"/>
          <w:color w:val="111111"/>
          <w:sz w:val="28"/>
          <w:szCs w:val="28"/>
          <w:lang w:bidi="fa-IR"/>
        </w:rPr>
        <w:t>188/7</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سالهای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از نقاطی است که علمای اهل سنت، راه تقیه را در پیش گرفته و برای حفظ جان بر خلاف عقیدۀ خود سخن گفته اند، آنان که تقیه را بر شیعه خرده می‌گیرند، خود از آن بهره می‌گیرند فَاعْتَبِرُوا یا أُولِی الْأَبْصارِ </w:t>
      </w:r>
      <w:r>
        <w:rPr>
          <w:rFonts w:eastAsia="IRNazanin" w:cs="IRNazanin"/>
          <w:color w:val="111111"/>
          <w:sz w:val="28"/>
          <w:szCs w:val="28"/>
          <w:rtl w:val="true"/>
          <w:lang w:bidi="fa-IR"/>
        </w:rPr>
        <w:t>.</w:t>
      </w:r>
    </w:p>
    <w:p>
      <w:pPr>
        <w:pStyle w:val="Heading5"/>
        <w:numPr>
          <w:ilvl w:val="4"/>
          <w:numId w:val="1"/>
        </w:numPr>
        <w:rPr/>
      </w:pPr>
      <w:bookmarkStart w:id="467" w:name="__RefHeading___Toc1119896_1738255347"/>
      <w:bookmarkStart w:id="468" w:name="_Toc178"/>
      <w:bookmarkEnd w:id="467"/>
      <w:r>
        <w:rPr>
          <w:rtl w:val="true"/>
        </w:rPr>
        <w:t>نامه سوم مأمون</w:t>
      </w:r>
      <w:bookmarkEnd w:id="468"/>
    </w:p>
    <w:p>
      <w:pPr>
        <w:pStyle w:val="BookText"/>
        <w:rPr/>
      </w:pPr>
      <w:r>
        <w:rPr>
          <w:rFonts w:ascii="IRNazanin" w:hAnsi="IRNazanin" w:eastAsia="IRNazanin"/>
          <w:color w:val="111111"/>
          <w:sz w:val="28"/>
          <w:sz w:val="28"/>
          <w:szCs w:val="28"/>
          <w:rtl w:val="true"/>
          <w:lang w:bidi="fa-IR"/>
        </w:rPr>
        <w:t>مأمون به این کار اکتفا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سوم و مستدل و مبسوطی نوشت و در آن از جهات گوناگون بر حدوث قرآن استدلال کرد و یادآور شد که قائلان بر قدیم بودن قرآن، تجدید کنندگان عقیدۀ مسیحیان دربارۀ حضرت مسیح هستند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مخلوق نیست، زیرا کلمۀ خداست و دستور داد که دو شخصیت حدیثی را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عیسی و عبد الرحمان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کند و از عقیدۀ آنان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 کند، اگر این دو نفر با عقیدۀ امیر مؤمنان همآهنگ بودند، در این صورت امتحان دیگران را که به مجالس آنان تردد می‌کنند، به آنان واگذار نماید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وقتی نامۀ مأمون به دست رئیس شرطۀ بغداد اسحاق بن ابراهیم رسید، گروهی از محدثان را که تاریخ اسامی بیست و شش تن از آنان را نام می‌برد، دعوت کرد و برای همگان نامه مفصل خلیفه را خواند و از عقیدۀ آنان دربارۀ خلق قرآن سؤال کرد، آنان در پاسخ به سؤالهای اسحاق طفره می‌رفتند و حاضر نبودند که صریحا بگویند قرآن حادث و مخلوق خداست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شرطه صورت مذاکرات را برای مأمون فرستاد و منتظر دستور مجدد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پاسخ نامۀ او یا چهارمین نامۀ مأمون رسید</w:t>
      </w:r>
      <w:r>
        <w:rPr>
          <w:rFonts w:eastAsia="IRNazanin" w:cs="IRNazanin"/>
          <w:color w:val="111111"/>
          <w:sz w:val="28"/>
          <w:szCs w:val="28"/>
          <w:rtl w:val="true"/>
          <w:lang w:bidi="fa-IR"/>
        </w:rPr>
        <w:t>.</w:t>
      </w:r>
      <w:bookmarkStart w:id="469" w:name="pg17029_176779"/>
    </w:p>
    <w:p>
      <w:pPr>
        <w:pStyle w:val="Heading5"/>
        <w:numPr>
          <w:ilvl w:val="4"/>
          <w:numId w:val="1"/>
        </w:numPr>
        <w:rPr/>
      </w:pPr>
      <w:bookmarkStart w:id="470" w:name="__RefHeading___Toc1119898_1738255347"/>
      <w:bookmarkStart w:id="471" w:name="_Toc179"/>
      <w:bookmarkEnd w:id="469"/>
      <w:bookmarkEnd w:id="470"/>
      <w:r>
        <w:rPr>
          <w:rtl w:val="true"/>
        </w:rPr>
        <w:t>نامۀ چهارم مأمون</w:t>
      </w:r>
      <w:bookmarkEnd w:id="471"/>
    </w:p>
    <w:p>
      <w:pPr>
        <w:pStyle w:val="BookText"/>
        <w:rPr/>
      </w:pPr>
      <w:r>
        <w:rPr>
          <w:rFonts w:ascii="IRNazanin" w:hAnsi="IRNazanin" w:eastAsia="IRNazanin"/>
          <w:color w:val="111111"/>
          <w:sz w:val="28"/>
          <w:sz w:val="28"/>
          <w:szCs w:val="28"/>
          <w:rtl w:val="true"/>
          <w:lang w:bidi="fa-IR"/>
        </w:rPr>
        <w:t>مأمون نامۀ اسحاق را به دقت مطالعه کرد و از امتناع آنان از اقرار صریح به خلق قرآن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نامۀ چهارم دستور داد که دو نفر از آنان را اگر توبه نکنند، گردن بزند و بیست و چهار نفر را دست‌بسته به اردوگاهی که خلیفه در آن به سر می‌برد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چهارم خلیفه به دست رئیس شرطۀ 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نامه را بر همگان خواند، محدثان وقتی از موضع قاطع خلیفه آگاه شدند، همگی جز چهار نفر از امتناع دست برداشتند و لسان آن هفت نفر بر خلاف عقیدۀ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حدوث قرآن گواهی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تقیه، برای نجات حال خود راه تقیه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چهار نفر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سجاده، قوایری و محمد بن نوح، بر عقیدۀ خود اصرار ورزیدند، از این جهت به فرمان اسحاق به زنجیر کشیده شدند و تصمیم بر این شد که فردا به طرسوس</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زنبور جزء سرزمین شامات،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فعلا در دست اسرائیل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معجم البلدان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 خلیفه اعزام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رئیس شرطه به هنگام اعزام، از آنان در خواست کرد که بر خلق قرآن اعتراف کنند، دو نفر از آنها به نامهای سجاده و قوایری، بر آن اعتراف نمودند و سرانجام آزاد شدند، ولی دو نفر بر عقیدۀ خود اصرار ورزیدند و دست بسته همراه با نامه، به اقامتگاه خلیفه اعزام شدند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تبعیدیان در مسیر خود وقتی به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رشیدند، خبر درگذشت مأمون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نفر را با مأمور به بغداد بازگردانید و وقتی به رئیس شرطه تحویل داده شدند، هر دو را آزاد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ملازم خانه‌هاشان باشند، سپس اجازۀ خروج به بیرون از منزل را داد</w:t>
      </w:r>
      <w:r>
        <w:rPr>
          <w:rFonts w:eastAsia="IRNazanin" w:cs="IRNazanin"/>
          <w:color w:val="111111"/>
          <w:sz w:val="28"/>
          <w:szCs w:val="28"/>
          <w:rtl w:val="true"/>
          <w:lang w:bidi="fa-IR"/>
        </w:rPr>
        <w:t>.</w:t>
      </w:r>
      <w:bookmarkStart w:id="472" w:name="pg17029_176780"/>
    </w:p>
    <w:p>
      <w:pPr>
        <w:pStyle w:val="Heading4"/>
        <w:numPr>
          <w:ilvl w:val="3"/>
          <w:numId w:val="1"/>
        </w:numPr>
        <w:rPr/>
      </w:pPr>
      <w:bookmarkStart w:id="473" w:name="__RefHeading___Toc1119900_1738255347"/>
      <w:bookmarkStart w:id="474" w:name="_Toc180"/>
      <w:bookmarkEnd w:id="472"/>
      <w:bookmarkEnd w:id="473"/>
      <w:r>
        <w:rPr>
          <w:rtl w:val="true"/>
        </w:rPr>
        <w:t>محنت احمد</w:t>
      </w:r>
      <w:bookmarkEnd w:id="474"/>
    </w:p>
    <w:p>
      <w:pPr>
        <w:pStyle w:val="BookText"/>
        <w:rPr/>
      </w:pPr>
      <w:r>
        <w:rPr>
          <w:rFonts w:ascii="IRNazanin" w:hAnsi="IRNazanin" w:eastAsia="IRNazanin"/>
          <w:color w:val="111111"/>
          <w:sz w:val="28"/>
          <w:sz w:val="28"/>
          <w:szCs w:val="28"/>
          <w:rtl w:val="true"/>
          <w:lang w:bidi="fa-IR"/>
        </w:rPr>
        <w:t xml:space="preserve">در تاریخ مناقشات معتزله با اهل حدیث، موضوعی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مقصود از آن آزمایش احمد و پایۀ استقامت او در راه عقیده است واو در تاریخ، دو بار در بوتۀ آزمایش قرارگرفته، یکی در دوران مأمون، دیگری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راه مأمون را می‌پیمود وبر محدثان سخت می‌گرفت و به معتزله آزادی در تدریس و تبلیغ می‌داد که تفصیل آن را بعدا می‌نگاریم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استقامت احمد قابل ستایش است، هر چند عقیدۀ او پایۀ صحیحی نداشت و مأمون در نامۀ چهارم خود یادآور می‌شود که آفت احمد در جهل و ناآگاهی اوست</w:t>
      </w:r>
      <w:r>
        <w:rPr>
          <w:rFonts w:eastAsia="IRNazanin" w:cs="IRNazanin"/>
          <w:color w:val="111111"/>
          <w:sz w:val="28"/>
          <w:szCs w:val="28"/>
          <w:rtl w:val="true"/>
          <w:lang w:bidi="fa-IR"/>
        </w:rPr>
        <w:t>.</w:t>
      </w:r>
    </w:p>
    <w:p>
      <w:pPr>
        <w:pStyle w:val="Heading4"/>
        <w:numPr>
          <w:ilvl w:val="3"/>
          <w:numId w:val="1"/>
        </w:numPr>
        <w:rPr/>
      </w:pPr>
      <w:bookmarkStart w:id="475" w:name="__RefHeading___Toc1119902_1738255347"/>
      <w:bookmarkStart w:id="476" w:name="_Toc181"/>
      <w:bookmarkEnd w:id="475"/>
      <w:r>
        <w:rPr>
          <w:rtl w:val="true"/>
        </w:rPr>
        <w:t>پیرامون نامه‌های مأمون</w:t>
      </w:r>
      <w:bookmarkEnd w:id="476"/>
    </w:p>
    <w:p>
      <w:pPr>
        <w:pStyle w:val="Heading5"/>
        <w:numPr>
          <w:ilvl w:val="4"/>
          <w:numId w:val="1"/>
        </w:numPr>
        <w:rPr/>
      </w:pPr>
      <w:bookmarkStart w:id="477" w:name="__RefHeading___Toc1119904_1738255347"/>
      <w:bookmarkStart w:id="478" w:name="_Toc182"/>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نگارنده تاکنون سرّ اصرار مأمون را نسبت به مسألۀ خلق قرآن، به 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احتمال وجود دارد</w:t>
      </w:r>
      <w:r>
        <w:rPr>
          <w:rFonts w:eastAsia="IRNazanin" w:cs="IRNazanin"/>
          <w:color w:val="111111"/>
          <w:sz w:val="28"/>
          <w:szCs w:val="28"/>
          <w:rtl w:val="true"/>
          <w:lang w:bidi="fa-IR"/>
        </w:rPr>
        <w:t>:</w:t>
      </w:r>
    </w:p>
    <w:p>
      <w:pPr>
        <w:pStyle w:val="Heading5"/>
        <w:numPr>
          <w:ilvl w:val="4"/>
          <w:numId w:val="1"/>
        </w:numPr>
        <w:rPr/>
      </w:pPr>
      <w:bookmarkStart w:id="479" w:name="__RefHeading___Toc1119906_1738255347"/>
      <w:bookmarkStart w:id="480" w:name="_Toc183"/>
      <w:bookmarkEnd w:id="479"/>
      <w:r>
        <w:rPr>
          <w:rtl w:val="true"/>
        </w:rPr>
        <w:t>انگیزۀ مأمون از نشر خلقت قرآن چه بود؟</w:t>
      </w:r>
      <w:bookmarkEnd w:id="4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خلیفه از روی ایمان به توحید و اینکه اندیشۀ عدم خلق قرآن، به توحید اسلام لطمه وارد می‌سازد، وارد میدان شده و همۀ پیامدهای آن را به خاطر یک آرمان معنوی به جان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هرچند برای ریاست چند روزه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شهید کرد، ولی در مجرمان افرادی پیدا می‌شوند که در مواردی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با منافع مادی آنان در تزاحم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انجام دهند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این نوع مسائل بی‌حاصل و مشغول ساختن متفکران و محدثان به این نوع بحثها، بر غفلت مردم از مسائل اساسی کمک می‌کند و اندیشۀ انقلاب و براندازی نظام را ناتوان می‌سازد، وقتی دل فارغ از مسائل شد، به فکر ثوره و شورش می‌افتد، نه به هنگام اشتغال جدی به این نوع مسائل به اصطلاح</w:t>
      </w:r>
    </w:p>
    <w:p>
      <w:pPr>
        <w:pStyle w:val="BookText"/>
        <w:rPr/>
      </w:pPr>
      <w:r>
        <w:rPr>
          <w:rFonts w:ascii="IRNazanin" w:hAnsi="IRNazanin" w:eastAsia="IRNazanin"/>
          <w:color w:val="111111"/>
          <w:sz w:val="28"/>
          <w:sz w:val="28"/>
          <w:szCs w:val="28"/>
          <w:rtl w:val="true"/>
          <w:lang w:bidi="fa-IR"/>
        </w:rPr>
        <w:t>بی‌سروته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چهارگانه‌ای که طبری از خلیفه نقل کرده و ما قسمت کمی از آنها را منعکس کردیم، اگر به املای خود او صورت پذیرفته باشد، حاکی از تسلط خلیفه بر آیات قرآن و عمق تعقل در مضامین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پرتو تأمل در آیات قرآن از طرق مختلف، بر حدوث و مخلوق بودن قرآن استدلال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مخلوق بودن قرآن متعلق جعل</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إِنّا جَعَلْناهُ قُرْآناً عَرَبِیًّا است که به شاهد دیگر آیات، مانند وَ جَعَلَ مِنْها زَوْجَها وَ جَعَلْنَا اللَّیْلَ لِباساً، به معنی خلق و آفریدن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آن و احاطۀ لوح محفوظ به آن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محدث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توصیف شده وبا کلیۀ صفات حدوث توصیف گردیده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برای او پیش رو و پشت سر تصور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احاطۀ بر چنین آیاتی و استدلال با آنها در موقع مناسب بر مقصود، نشانۀ حافظۀ توانا و درک فوق العادۀ نویسندۀ نامه است، از آنجا که غالبا نامه‌های خلفا را دیگران تنظیم می‌کردند و به امضای او می‌رسانیدند، نمی‌توان دراین‌مورد قضاوت قطعی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سوم مأمون حاکی است که اندیشۀ عدم خلق قرآن ریشۀ مسیحی گیری دارد و در پوشش برخورد فرهنگی دو ملت به محیط اسلامی راه‌یافته است و این گروه در این عقیده مقلدان مسیحیانند که عیسای کلمة الله را قدیم می‌دانند و در گذشته یاد آور شدیم که اطرافیان خلافت اموی این اندیشه را مطرح می‌کردند و آن را به گونه‌ای در جامعۀ اسلامی منتشر می‌ساختند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مناظراتی که میان اسحاق بن ابراهیم و سران اهل حدیث انجام گرفته، حاکی</w:t>
      </w:r>
    </w:p>
    <w:p>
      <w:pPr>
        <w:pStyle w:val="BookText"/>
        <w:rPr/>
      </w:pPr>
      <w:r>
        <w:rPr>
          <w:rFonts w:ascii="IRNazanin" w:hAnsi="IRNazanin" w:eastAsia="IRNazanin"/>
          <w:color w:val="111111"/>
          <w:sz w:val="28"/>
          <w:sz w:val="28"/>
          <w:szCs w:val="28"/>
          <w:rtl w:val="true"/>
          <w:lang w:bidi="fa-IR"/>
        </w:rPr>
        <w:t>است که اهل حدیث، به حق افرادی جامد و دور از تعقل و استدلال بوده‌اند، زیرا به هنگام سؤال از قرآن، همگی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خالق نیست، ولی حاضر نبودند بگویند قرآن مخلوق است و در نتیجه سیان خالق و مخلوق، واسطه‌ای ثابت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علت پرهیز آنان از اعتراف به مخلوق بودن قرآن این است که مبادا دشمنان از آنان سوء استفاده و آن را مجعول بشر بدانند، کافی بود که بگویند، قرآن مخلوق خداست نه بشر، مجعول مقام ربوبی است، ارتباطی به بشر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خلیفه بدون شک دور از تعالیم معتزله بوده، زیرا این گروه به عقیدۀ خود پرچمدار حریت و آزادی بودند، هرچند پس از رسیدن به قدرت، این اصل را زیر پا نهادند و این نوع محاکمه‌ها، شبیه محاکمه‌های تفتیش عقاید است که بعدها در غرب پی‌ریزی شده و هزاران انسان، قربانی این نوع محاکم گردیدند و در نتیجه گروهی سوخته، گروهی تحویل چوبۀ دار و گروههای دیگر به انواع وسایل نابود شدند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 دورانت، عصر ایمان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 و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اعترافها و اقرارها که در سایۀ زور انجام می‌گیرد، فاقد ارزش است، مگر اینکه هدف بازداری مردم از گرایش به باطل باشد اصولا جایگاه عقیده و ایمان، قلب و دل است و زور به آنجا راه ندارد اکراه می‌تواند در اندام انسان مؤثر باشد، نه در روح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خلافت این بود که این گروه در سایۀ زور، به حدوث قرآن تظاهر کنند و مردم که از حرکتهای پشت پرده آگاهی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اعتمادی که به اهل حدیث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پیروی کنند و سرانجام، شرک به جامعۀ اسلامی راه نیابد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از کارهای رنگارنگ خلیفه است در حالی که همۀ بیست و شش نفر،</w:t>
      </w:r>
    </w:p>
    <w:p>
      <w:pPr>
        <w:pStyle w:val="BookText"/>
        <w:rPr/>
      </w:pPr>
      <w:r>
        <w:rPr>
          <w:rFonts w:ascii="IRNazanin" w:hAnsi="IRNazanin" w:eastAsia="IRNazanin"/>
          <w:color w:val="111111"/>
          <w:sz w:val="28"/>
          <w:sz w:val="28"/>
          <w:szCs w:val="28"/>
          <w:rtl w:val="true"/>
          <w:lang w:bidi="fa-IR"/>
        </w:rPr>
        <w:t xml:space="preserve">جرم واحدی فی اشتند و هیچ یک به حدوث قرآن اعتراف ننمودند و به اصطلاح علم فقه،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دو نفر را گردن بزنند و دیگران را دست‌بسته روانۀ اقامتگاه خلیفه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ملاک قتل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همگان در این جرم یکسان بودند، معلوم نیست چرا در حکم اعدام تبعیض قائل شده و این خود حاکی است که خلیفه هم حاکم بود و هم قاضی، هم شاکی بود و هم داور و دستگاه قضایی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در مواردی استقلال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خواسته‌های خلیفه، تسلیم محض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محنت عدم خلق قرآن در زمان مأمون به نحوی که بیان گردید، به پایان رسید و پیامدی از قبیل ضرب و قتل نداشت، جز هفت نافر بدون اینکه به زنجیر کشیده شوند، به اقامتگاه خلیفه اعزام شدند و همگی در پیشگاه خلیفه، به خلق قرآن اعتراف نمودند، سپس هشت و شش نفر دستگیر شدند و همگان جز چهار نفر، اقرار به حدوث قرآن نمودند و آزاد شدند و چهار نفر محکوم به تبعید گردیدند که از میان آنان دو نفر به هنگام تبعید، اعتراف به حدوث نمودند و دو نفر دست‌بسته روانۀ اقامتگاه خلیفه شدند، هنوز به طرسوس نرسیده بودند که در نیمۀ راه خبر مرگ خلیفه رسید و آنان از همان راه به بغداد باز گردانیده شدند و پس از مدتی آزاد شدند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خلاصۀ محنت عدم خلق قرآن در عصر مأمون</w:t>
      </w:r>
      <w:r>
        <w:rPr>
          <w:rFonts w:eastAsia="IRNazanin" w:cs="IRNazanin"/>
          <w:color w:val="111111"/>
          <w:sz w:val="28"/>
          <w:szCs w:val="28"/>
          <w:rtl w:val="true"/>
          <w:lang w:bidi="fa-IR"/>
        </w:rPr>
        <w:t>.</w:t>
      </w:r>
      <w:bookmarkStart w:id="481" w:name="pg17029_176784"/>
    </w:p>
    <w:p>
      <w:pPr>
        <w:pStyle w:val="BookText"/>
        <w:rPr/>
      </w:pPr>
      <w:bookmarkEnd w:id="481"/>
      <w:r>
        <w:rPr>
          <w:rFonts w:ascii="IRNazanin" w:hAnsi="IRNazanin" w:eastAsia="IRNazanin"/>
          <w:color w:val="111111"/>
          <w:sz w:val="28"/>
          <w:sz w:val="28"/>
          <w:szCs w:val="28"/>
          <w:rtl w:val="true"/>
          <w:lang w:bidi="fa-IR"/>
        </w:rPr>
        <w:t>سرگذشت معتزله از پیدایش تا انقراض</w:t>
      </w:r>
    </w:p>
    <w:p>
      <w:pPr>
        <w:pStyle w:val="Heading3"/>
        <w:numPr>
          <w:ilvl w:val="2"/>
          <w:numId w:val="1"/>
        </w:numPr>
        <w:rPr/>
      </w:pPr>
      <w:bookmarkStart w:id="482" w:name="__RefHeading___Toc1119908_1738255347"/>
      <w:bookmarkStart w:id="483" w:name="_Toc184"/>
      <w:bookmarkEnd w:id="482"/>
      <w:r>
        <w:rPr/>
        <w:t>2</w:t>
      </w:r>
      <w:bookmarkEnd w:id="483"/>
    </w:p>
    <w:p>
      <w:pPr>
        <w:pStyle w:val="Heading4"/>
        <w:numPr>
          <w:ilvl w:val="3"/>
          <w:numId w:val="1"/>
        </w:numPr>
        <w:rPr/>
      </w:pPr>
      <w:bookmarkStart w:id="484" w:name="__RefHeading___Toc1119910_1738255347"/>
      <w:bookmarkStart w:id="485" w:name="_Toc185"/>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معتزله</w:t>
      </w:r>
    </w:p>
    <w:p>
      <w:pPr>
        <w:pStyle w:val="BookText"/>
        <w:rPr/>
      </w:pPr>
      <w:r>
        <w:rPr>
          <w:rFonts w:ascii="IRNazanin" w:hAnsi="IRNazanin" w:eastAsia="IRNazanin"/>
          <w:color w:val="111111"/>
          <w:sz w:val="28"/>
          <w:sz w:val="28"/>
          <w:szCs w:val="28"/>
          <w:rtl w:val="true"/>
          <w:lang w:bidi="fa-IR"/>
        </w:rPr>
        <w:t>در عصر معتصم و واثق باللّه</w:t>
      </w:r>
    </w:p>
    <w:p>
      <w:pPr>
        <w:pStyle w:val="Heading4"/>
        <w:numPr>
          <w:ilvl w:val="3"/>
          <w:numId w:val="1"/>
        </w:numPr>
        <w:rPr/>
      </w:pPr>
      <w:bookmarkStart w:id="486" w:name="__RefHeading___Toc1119912_1738255347"/>
      <w:bookmarkStart w:id="487" w:name="_Toc186"/>
      <w:bookmarkEnd w:id="486"/>
      <w:r>
        <w:rPr>
          <w:rtl w:val="true"/>
        </w:rPr>
        <w:t>معتزله در عصر معتصم</w:t>
      </w:r>
      <w:bookmarkEnd w:id="487"/>
    </w:p>
    <w:p>
      <w:pPr>
        <w:pStyle w:val="BookText"/>
        <w:rPr/>
      </w:pPr>
      <w:r>
        <w:rPr>
          <w:rFonts w:ascii="IRNazanin" w:hAnsi="IRNazanin" w:eastAsia="IRNazanin"/>
          <w:color w:val="111111"/>
          <w:sz w:val="28"/>
          <w:sz w:val="28"/>
          <w:szCs w:val="28"/>
          <w:rtl w:val="true"/>
          <w:lang w:bidi="fa-IR"/>
        </w:rPr>
        <w:t xml:space="preserve">مأمون در تاریخ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او معتصم، زمام خلافت را به دست گرفت و تا سال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بر پهنۀ اسلامی حکم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پیرو راه مأمون بود، بر قائلان به عدم خلق قرآن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را که سمبل این گروه بود، دستگیر کرد و شخصا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پاسخ پرسش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بارۀ خلق قرآن چیزی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بازجویی مجدد را از احمد بن حنبل بر عهدۀ عبد الرحمان بن اسحاق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محضر گروهی از فقها با احمد سخن گفت، سرانجام نتوانست از او اقرار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چند ضربۀ شلاق محکوم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شرطۀ دوران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 او را بر عهدۀ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درخواست او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سخنانی که میان این دو رد و بدل شده است و می‌تواند بیانگر قدرت فکری اسحاق و جمود طرف مقابل باشد</w:t>
      </w:r>
      <w:r>
        <w:rPr>
          <w:rFonts w:eastAsia="IRNazanin" w:cs="IRNazanin"/>
          <w:color w:val="111111"/>
          <w:sz w:val="28"/>
          <w:szCs w:val="28"/>
          <w:rtl w:val="true"/>
          <w:lang w:bidi="fa-IR"/>
        </w:rPr>
        <w:t>.</w:t>
      </w:r>
    </w:p>
    <w:p>
      <w:pPr>
        <w:pStyle w:val="Heading4"/>
        <w:numPr>
          <w:ilvl w:val="3"/>
          <w:numId w:val="1"/>
        </w:numPr>
        <w:rPr/>
      </w:pPr>
      <w:bookmarkStart w:id="488" w:name="__RefHeading___Toc1119914_1738255347"/>
      <w:bookmarkStart w:id="489" w:name="_Toc187"/>
      <w:bookmarkEnd w:id="488"/>
      <w:r>
        <w:rPr>
          <w:rtl w:val="true"/>
        </w:rPr>
        <w:t>مناظره اسحاق بن ابراهیم با احمد بن حنبل</w:t>
      </w:r>
      <w:bookmarkEnd w:id="489"/>
    </w:p>
    <w:p>
      <w:pPr>
        <w:pStyle w:val="BookText"/>
        <w:rPr/>
      </w:pPr>
      <w:r>
        <w:rPr>
          <w:rFonts w:ascii="IRNazanin" w:hAnsi="IRNazanin" w:eastAsia="IRNazanin"/>
          <w:color w:val="111111"/>
          <w:sz w:val="28"/>
          <w:sz w:val="28"/>
          <w:szCs w:val="28"/>
          <w:rtl w:val="true"/>
          <w:lang w:bidi="fa-IR"/>
        </w:rPr>
        <w:t>اسحاق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که دارید آیا از فرشته‌ای آموخته ای یا از رجال زمان خویش؟</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زمان خود آموخته‌ام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آموخته ای، یا به تدریج؟</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آموخته‌ام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مانده که نیاموخته باشی؟</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تو نمی‌دانی، ولی امیر مؤمنان آن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را می‌گویم که امیر مؤمنان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قرآن؟</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خلق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شهود بر اقرار او گواهی دادند و تبرئه گردید و به او خلعت بخشیدند و روانۀ منزلش شد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lang w:bidi="fa-IR"/>
        </w:rPr>
        <w:t>472/2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سمبل مقاومت، این مقام و موقعیت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مناظرۀ عبد الرحمان و اسحاق با احمد در یک مجلس بوده، یا در دو مجلس؟ بنابر فرض دوم، مجلس دوم به فاصلۀ چند روز برگزار شده، چندان روشن مسعودی فقط بخش اول گفتار یعقوبی را آورده،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معتصم بر احمد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زد تا به خلق قرآن اعتراف کند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جزری در تاریخ خود یادآور می‌شود، معتصم احمد را احضار کرد و از او در خواست کرد بر خلق قرآن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ابا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او را تازیانه بزنند، تا آنجا که از هوش رفت و پوست او زخم برداشت و دست بسته روانۀ زندان گردید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مسألۀ محنت احمد در عصر معتصم، بعدها رنگ سیاسی به خود گرفت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حدیث و حنابله کوشش می‌کنند که از احمد قهرمانی بسازند که در راه عقیدۀ</w:t>
      </w:r>
      <w:bookmarkStart w:id="490" w:name="pg17029_176786"/>
    </w:p>
    <w:p>
      <w:pPr>
        <w:pStyle w:val="BookText"/>
        <w:rPr/>
      </w:pPr>
      <w:bookmarkEnd w:id="490"/>
      <w:r>
        <w:rPr>
          <w:rFonts w:ascii="IRNazanin" w:hAnsi="IRNazanin" w:eastAsia="IRNazanin"/>
          <w:color w:val="111111"/>
          <w:sz w:val="28"/>
          <w:sz w:val="28"/>
          <w:szCs w:val="28"/>
          <w:rtl w:val="true"/>
          <w:lang w:bidi="fa-IR"/>
        </w:rPr>
        <w:t xml:space="preserve">خود استقامت ورزید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به زنجیر کشیده شده بود پیمود و در محضر معتصم به‌اندازه‌ای تازیانه خورد که از حال رفت و از عقیدۀ خود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دیگران از این شدت عمل چیزی گزارش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حداکثر می‌نویسند که معتصم او را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تازیانه زد و بنا به نگارش یعقوبی، او به خلق قرآن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در کتاب مناقب الإمام أحمد، ابن کثیر در کتاب البدایة و النهایة و نویسندۀ معاصر ابو زهره در کتاب ابن حنبل، بیشترین مبالغه را در حق او دارند، در حالی که در تاریخ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مبالغه خبری نیست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lang w:bidi="fa-IR"/>
        </w:rPr>
        <w:t>320/10</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حنبل حیاته و عصره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که از سران معتزله است و عصر معتصم و واثق را به خوبی درک کرده، یاد آور می‌شود از سخت‌گیریهایی که گفته می‌شود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امتحان بدرفتاری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وضع مأیوس کننده و نه به زنجیر کشیده شده بود و نه قلب او بر اثر تهدید، از جای کنده می‌شد</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491" w:name="__RefHeading___Toc1119916_1738255347"/>
      <w:bookmarkStart w:id="492" w:name="_Toc188"/>
      <w:bookmarkEnd w:id="491"/>
      <w:r>
        <w:rPr>
          <w:rtl w:val="true"/>
        </w:rPr>
        <w:t>معتزله در عصر واثق باللّه</w:t>
      </w:r>
      <w:bookmarkEnd w:id="492"/>
    </w:p>
    <w:p>
      <w:pPr>
        <w:pStyle w:val="BookText"/>
        <w:rPr/>
      </w:pPr>
      <w:r>
        <w:rPr>
          <w:rFonts w:ascii="IRNazanin" w:hAnsi="IRNazanin" w:eastAsia="IRNazanin"/>
          <w:color w:val="111111"/>
          <w:sz w:val="28"/>
          <w:sz w:val="28"/>
          <w:szCs w:val="28"/>
          <w:rtl w:val="true"/>
          <w:lang w:bidi="fa-IR"/>
        </w:rPr>
        <w:t xml:space="preserve">معتصم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اریکۀ خلافت تکیه زد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نیز راه عمو و پدر را ادامه داد،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بخشنامه کرد و دستور داد که مردم به وسیلۀ آن مسأله مورد آزمایش قرار گیرند، فقط شهادت کسانی پذیرفته شود که معتقد به خلق قرآن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قدیم ندانند و برای خدا شریکی قائل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گروه زیادی دستگیر شدند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ابن کثیر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دستور داد از مسلمانانی که در بند رومیان بودند و بنا بود با پرداخت غرامت آزاد شوند، آزمون به عمل آید و هر کس را که به خلق قرآن و عدم امکان رؤیت خدا در آخرت اعتراف نکند، تحویل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وقتی این بخش از تاریخ را نقل می‌کند، آن را بدعت شنیع و عمل کورکورانه که دلیلی از کتاب و سنت ندارد، توصیف می‌نماید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النهابة </w:t>
      </w:r>
      <w:r>
        <w:rPr>
          <w:rFonts w:eastAsia="IRNazanin" w:cs="IRNazanin"/>
          <w:color w:val="111111"/>
          <w:sz w:val="28"/>
          <w:szCs w:val="28"/>
          <w:lang w:bidi="fa-IR"/>
        </w:rPr>
        <w:t>307/10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که طبری در تاریخ خود پیرامون حوادث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معلوم می‌شود که واثق خلیفۀ وقت، فشار را بر اهل حدیث دو چندان کرده بود و آنان نیز در فکر بر اندازی و قتل خلیفه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خزاعی از نقیبان بنی العباس بود، نوۀ او به نام احمد بن نصر بن مالک به وسیلۀ اهل حدیث فریفته شد تا مقدمات قتل خلیفه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مجالس از مسألۀ خلق قرآن انتقاد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کار او رو شد و دستگیر گردید و به دار الخلفای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گردید و پس از یک گفتگو پیرامون خلق قرآن و رؤیت خدا و سرای دیگر، به وسیلۀ خود خلیفه با شمشیر موروثی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معد 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واثق فرمان داد که مرزنشینان 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بیازمایند، پس از یک آزمون همه به مخلوق بودن آن اعتراف کردند جز چهار نفر که به فرمان واثق کشته شدند</w:t>
      </w:r>
      <w:r>
        <w:rPr>
          <w:rFonts w:eastAsia="IRNazanin" w:cs="IRNazanin"/>
          <w:color w:val="111111"/>
          <w:sz w:val="28"/>
          <w:szCs w:val="28"/>
          <w:rtl w:val="true"/>
          <w:lang w:bidi="fa-IR"/>
        </w:rPr>
        <w:t>.</w:t>
      </w:r>
      <w:r>
        <w:rPr>
          <w:rStyle w:val="FootnoteAnchor"/>
          <w:rtl w:val="true"/>
        </w:rPr>
        <w:footnoteReference w:id="21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واثق به دنبال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مسلمان را که در بند رومیان بودند، مورد آزمایش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به خلق قرآن اعتراف می‌کرد، با پرداخت غرامت به میهن اسلامی برگردانیده شد و آن کس که از اعتراف به آن خود داری می‌نمود، در بند رومیان باقی می‌ماند</w:t>
      </w:r>
      <w:r>
        <w:rPr>
          <w:rFonts w:eastAsia="IRNazanin" w:cs="IRNazanin"/>
          <w:color w:val="111111"/>
          <w:sz w:val="28"/>
          <w:szCs w:val="28"/>
          <w:rtl w:val="true"/>
          <w:lang w:bidi="fa-IR"/>
        </w:rPr>
        <w:t>.</w:t>
      </w:r>
      <w:bookmarkStart w:id="493" w:name="pg17029_176788"/>
    </w:p>
    <w:p>
      <w:pPr>
        <w:pStyle w:val="BookText"/>
        <w:rPr/>
      </w:pPr>
      <w:bookmarkEnd w:id="493"/>
      <w:r>
        <w:rPr>
          <w:rFonts w:ascii="IRNazanin" w:hAnsi="IRNazanin" w:eastAsia="IRNazanin"/>
          <w:color w:val="111111"/>
          <w:sz w:val="28"/>
          <w:sz w:val="28"/>
          <w:szCs w:val="28"/>
          <w:rtl w:val="true"/>
          <w:lang w:bidi="fa-IR"/>
        </w:rPr>
        <w:t xml:space="preserve">این فشار تا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که واثق در آن سال درگذشت و تمام این فشارها و به اصطلاح بگیر و ببندها زیر نظر سران سیاسی معتزله انجام می‌گرفت که در رأس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ثمامة بن اشرس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أبی دوأد دزیات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Heading4"/>
        <w:numPr>
          <w:ilvl w:val="3"/>
          <w:numId w:val="1"/>
        </w:numPr>
        <w:rPr/>
      </w:pPr>
      <w:bookmarkStart w:id="494" w:name="__RefHeading___Toc1119918_1738255347"/>
      <w:bookmarkStart w:id="495" w:name="_Toc189"/>
      <w:bookmarkEnd w:id="494"/>
      <w:r>
        <w:rPr>
          <w:rtl w:val="true"/>
        </w:rPr>
        <w:t>معتزله در سراشیبی ضعف</w:t>
      </w:r>
      <w:bookmarkEnd w:id="495"/>
    </w:p>
    <w:p>
      <w:pPr>
        <w:pStyle w:val="BookText"/>
        <w:rPr/>
      </w:pPr>
      <w:r>
        <w:rPr>
          <w:rFonts w:ascii="IRNazanin" w:hAnsi="IRNazanin" w:eastAsia="IRNazanin"/>
          <w:color w:val="111111"/>
          <w:sz w:val="28"/>
          <w:sz w:val="28"/>
          <w:szCs w:val="28"/>
          <w:rtl w:val="true"/>
          <w:lang w:bidi="fa-IR"/>
        </w:rPr>
        <w:t>واثق باللّه درگذشت و فرزند او متوکل، زمام خلافت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کار او این بود که هرنوع بحث و جدل، بالأخص پیرامون خلق قرآن را ممنوع ساخت و به محدثان اجازه داد، به نقل حدیث بپردازند و کسانی که به خاطر عدم اعتراف به خلی قرآن به زندان افتاده بودند، همه را آزاد ساخت و به آنان خلعت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ضربتی که از ناحیۀ متوکل بر معتزله متوجه شد این بود که هر نوع بحث و جدل و نزاع و مناظره که سلاح برندۀ معتزله بود، ممنوع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ضربت چندان کاری نبود، بالأخره سران معتزله باز در مصادر امور بودند و احمد بن دوأد قاضی القضاة کشور بود و تا فلج نشده بود، بر سرکار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بیماری فلج مبتلا شد، فرزندش محمد بن احمد بن أبی دوأد، به این مقام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متوکل برای کسب موقعیت در میان تودۀ مردم که نبض آنان در دست اهل حدیث و فقه بود، به تدریج قدرت را از دست سران اعتزال باز ستاند، آنگاه ضربت بسیار مهلکی بر حیثیت و شئون اجتماعی آنان وارد ساخت که در سال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تمام مشایخ و اساتید معتزلی را از مساجد و مدارس بیرون کرد و به جای آنان مشایخ اهل حدیث را گمارد و به این نیز اکتفا نکرد، دستور داد در مجالس و محافل، بر رد معتزله و جهمیه سخن گویند و دربارۀ رؤیت خدا داد سخن بدهند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ایجاد فشار بر معتزله به این مقدار بسنده نکرد و به دو شخصیت از اهل حدیث به نامهای عثمان بن ابی‌شیبه و أبو بکر بن شیبه، اجازه داد که به منبر بروند</w:t>
      </w:r>
    </w:p>
    <w:p>
      <w:pPr>
        <w:pStyle w:val="BookText"/>
        <w:rPr/>
      </w:pPr>
      <w:r>
        <w:rPr>
          <w:rFonts w:ascii="IRNazanin" w:hAnsi="IRNazanin" w:eastAsia="IRNazanin"/>
          <w:color w:val="111111"/>
          <w:sz w:val="28"/>
          <w:sz w:val="28"/>
          <w:szCs w:val="28"/>
          <w:rtl w:val="true"/>
          <w:lang w:bidi="fa-IR"/>
        </w:rPr>
        <w:t>و پیرامون معتزله و جهمیه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قریب سی هزار نفر پای منابر هر یک حاضر بودند، به نقد از این دو مذهب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هر روز بر فشار خود بر معتزله می‌افزود، اراضی مزروعی احمد بن دوأد را مصادره کرد و فرزند او محمد بن احمد که مدتها دستگاه قضایی را پس از بیماری پدر اداره می‌کرد،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پسر در ذیقعدۀ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بیست روز پس از او درگذشت و چراغ این خانواده که سالیان درازی نبض حکومت را در دست داشتند، خاموش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ستارۀ بخت معتزله به افول و غروب گرایید، زخم‌زبان زیاد شد و شعرای وقت به هجوآنان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شعرا به‌طور درست و نادرست، قصیدۀ خود را با این نیم بیت آغاز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افلت سعود نجومک ابن دوأد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دوأد ستارۀ بخت تو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من کریمة مغتر ارملتها و محدث اوثقت بالاقیاد</w:t>
      </w:r>
    </w:p>
    <w:p>
      <w:pPr>
        <w:pStyle w:val="BookText"/>
        <w:rPr/>
      </w:pPr>
      <w:r>
        <w:rPr>
          <w:rFonts w:ascii="IRNazanin" w:hAnsi="IRNazanin" w:eastAsia="IRNazanin"/>
          <w:color w:val="111111"/>
          <w:sz w:val="28"/>
          <w:sz w:val="28"/>
          <w:szCs w:val="28"/>
          <w:rtl w:val="true"/>
          <w:lang w:bidi="fa-IR"/>
        </w:rPr>
        <w:t>چقدر زنان را بیوه کردی و محدثها به زنجیر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مجلس للّه قد عطلته کیلا یحدث فیه بالاسناد</w:t>
      </w:r>
    </w:p>
    <w:p>
      <w:pPr>
        <w:pStyle w:val="BookText"/>
        <w:rPr/>
      </w:pPr>
      <w:r>
        <w:rPr>
          <w:rFonts w:ascii="IRNazanin" w:hAnsi="IRNazanin" w:eastAsia="IRNazanin"/>
          <w:color w:val="111111"/>
          <w:sz w:val="28"/>
          <w:sz w:val="28"/>
          <w:szCs w:val="28"/>
          <w:rtl w:val="true"/>
          <w:lang w:bidi="fa-IR"/>
        </w:rPr>
        <w:t>چقدر مجالس خدایی را تعطیل کردی تا محدثان در آن با سند درس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نکند ستارۀ اقبال گروهی افول کند، چه‌بسا گروه نا اهل فرصت را مغتنم شمرده حتی روایاتی در مذمت آنان از پیامبر نقل می‌کنند، از این جهت روایاتی در ذم معتزله جعل و منتشر شده و تنفر عمومی را برای آنان برانگیخت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سران اعتزال در بصره بود، برای جبران ضعف،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و چیزی نگذشت که از طرف احمد بن یحیی شیعی رواندی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نقد قرار گرفت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فضیحة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w:t>
      </w:r>
      <w:bookmarkStart w:id="496" w:name="pg17029_176790"/>
    </w:p>
    <w:p>
      <w:pPr>
        <w:pStyle w:val="BookText"/>
        <w:rPr/>
      </w:pPr>
      <w:bookmarkEnd w:id="496"/>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به خاطر مساعد بودن شرایط، موجی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ابو الحسین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بر نقد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Heading4"/>
        <w:numPr>
          <w:ilvl w:val="3"/>
          <w:numId w:val="1"/>
        </w:numPr>
        <w:rPr/>
      </w:pPr>
      <w:bookmarkStart w:id="497" w:name="__RefHeading___Toc1119920_1738255347"/>
      <w:bookmarkStart w:id="498" w:name="_Toc190"/>
      <w:bookmarkEnd w:id="497"/>
      <w:r>
        <w:rPr>
          <w:rtl w:val="true"/>
        </w:rPr>
        <w:t>دو ضربۀ کاری دیگر</w:t>
      </w:r>
      <w:bookmarkEnd w:id="498"/>
    </w:p>
    <w:p>
      <w:pPr>
        <w:pStyle w:val="Heading5"/>
        <w:numPr>
          <w:ilvl w:val="4"/>
          <w:numId w:val="1"/>
        </w:numPr>
        <w:rPr/>
      </w:pPr>
      <w:bookmarkStart w:id="499" w:name="__RefHeading___Toc1119922_1738255347"/>
      <w:bookmarkStart w:id="500" w:name="_Toc191"/>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 xml:space="preserve">دگرگونی شرایط و کارهای نسنجیدۀ معتزله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خلفای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ضعف جامعۀ اعتزال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شخصیتهای علمی آنان در اطراف و اکناف، فراوان بودند ولی دو عامل دیگر، هستی آنان را به باد داد</w:t>
      </w:r>
      <w:r>
        <w:rPr>
          <w:rFonts w:eastAsia="IRNazanin" w:cs="IRNazanin"/>
          <w:color w:val="111111"/>
          <w:sz w:val="28"/>
          <w:szCs w:val="28"/>
          <w:rtl w:val="true"/>
          <w:lang w:bidi="fa-IR"/>
        </w:rPr>
        <w:t>:</w:t>
      </w:r>
    </w:p>
    <w:p>
      <w:pPr>
        <w:pStyle w:val="Heading5"/>
        <w:numPr>
          <w:ilvl w:val="4"/>
          <w:numId w:val="1"/>
        </w:numPr>
        <w:rPr/>
      </w:pPr>
      <w:bookmarkStart w:id="501" w:name="__RefHeading___Toc1119924_1738255347"/>
      <w:bookmarkStart w:id="502" w:name="_Toc192"/>
      <w:bookmarkEnd w:id="501"/>
      <w:r>
        <w:rPr/>
        <w:t>1</w:t>
      </w:r>
      <w:r>
        <w:rPr>
          <w:rtl w:val="true"/>
        </w:rPr>
        <w:t xml:space="preserve"> - </w:t>
      </w:r>
      <w:r>
        <w:rPr>
          <w:rtl w:val="true"/>
        </w:rPr>
        <w:t>فرقه گرایی</w:t>
      </w:r>
      <w:bookmarkEnd w:id="502"/>
    </w:p>
    <w:p>
      <w:pPr>
        <w:pStyle w:val="BookText"/>
        <w:rPr/>
      </w:pPr>
      <w:r>
        <w:rPr>
          <w:rFonts w:ascii="IRNazanin" w:hAnsi="IRNazanin" w:eastAsia="IRNazanin"/>
          <w:color w:val="111111"/>
          <w:sz w:val="28"/>
          <w:sz w:val="28"/>
          <w:szCs w:val="28"/>
          <w:rtl w:val="true"/>
          <w:lang w:bidi="fa-IR"/>
        </w:rPr>
        <w:t>فرقه‌گرایی در میان معتزله، نابودی آنان را قطعی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علاوه بر انقسام به دو منهج بزرگ به نامهای معتزلۀ بغداد و معتزلۀ بصره، به صورت بیست گروه درآمدند که جز در پنج اصل، در اکثر مسائل با هم اختلاف داشتند و در سراشیبی ضعف، دو تن از متفکرین آنان به نامهای ابو علی جبایی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او ابو هاشم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خواستند مجد پیشین را بازگردانند، کاری از پیش نبردند، حتی نتوانستند دامن اختلاف را کوتاه کنند، بلکه خود آنان نیز گرهی بر گره‌های اختلاف افزودند</w:t>
      </w:r>
      <w:r>
        <w:rPr>
          <w:rFonts w:eastAsia="IRNazanin" w:cs="IRNazanin"/>
          <w:color w:val="111111"/>
          <w:sz w:val="28"/>
          <w:szCs w:val="28"/>
          <w:rtl w:val="true"/>
          <w:lang w:bidi="fa-IR"/>
        </w:rPr>
        <w:t>.</w:t>
      </w:r>
    </w:p>
    <w:p>
      <w:pPr>
        <w:pStyle w:val="Heading5"/>
        <w:numPr>
          <w:ilvl w:val="4"/>
          <w:numId w:val="1"/>
        </w:numPr>
        <w:rPr/>
      </w:pPr>
      <w:bookmarkStart w:id="503" w:name="__RefHeading___Toc1119926_1738255347"/>
      <w:bookmarkStart w:id="504" w:name="_Toc193"/>
      <w:bookmarkEnd w:id="503"/>
      <w:r>
        <w:rPr/>
        <w:t>2</w:t>
      </w:r>
      <w:r>
        <w:rPr>
          <w:rtl w:val="true"/>
        </w:rPr>
        <w:t xml:space="preserve"> - </w:t>
      </w:r>
      <w:r>
        <w:rPr>
          <w:rtl w:val="true"/>
        </w:rPr>
        <w:t>رجوع ابو الحسن اشعری از اعتزال</w:t>
      </w:r>
      <w:bookmarkEnd w:id="504"/>
    </w:p>
    <w:p>
      <w:pPr>
        <w:pStyle w:val="BookText"/>
        <w:rPr/>
      </w:pPr>
      <w:r>
        <w:rPr>
          <w:rFonts w:ascii="IRNazanin" w:hAnsi="IRNazanin" w:eastAsia="IRNazanin"/>
          <w:color w:val="111111"/>
          <w:sz w:val="28"/>
          <w:sz w:val="28"/>
          <w:szCs w:val="28"/>
          <w:rtl w:val="true"/>
          <w:lang w:bidi="fa-IR"/>
        </w:rPr>
        <w:t xml:space="preserve">ضربۀ دیگر از ناحیۀ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یعنی ابو الحسن اشعری متوجه معتزله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داشتن چهل سال سابقه در اعتزال، در یکی از روزها به منبر رفت و بازگشت خود را از مذهب اعتزال به مکتب اهل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پیشاپیش آنان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بازگشت، به افشاگری پرداخت و چیزهایی به معتزله نسبت داد که</w:t>
      </w:r>
      <w:bookmarkStart w:id="505" w:name="pg17029_176791"/>
    </w:p>
    <w:p>
      <w:pPr>
        <w:pStyle w:val="BookText"/>
        <w:rPr/>
      </w:pPr>
      <w:bookmarkEnd w:id="505"/>
      <w:r>
        <w:rPr>
          <w:rFonts w:ascii="IRNazanin" w:hAnsi="IRNazanin" w:eastAsia="IRNazanin"/>
          <w:color w:val="111111"/>
          <w:sz w:val="28"/>
          <w:sz w:val="28"/>
          <w:szCs w:val="28"/>
          <w:rtl w:val="true"/>
          <w:lang w:bidi="fa-IR"/>
        </w:rPr>
        <w:t>هرگز نمی‌توان باور کرد و آنان را همگام با ملاحده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 گروه سخت سخن خود را آشکارا و گروه دوم در پوشش یک‌رشته مسائل که منتهی به سخن آنان می‌گردد، بیان می‌دارند واو به این مطلب در بحث صفات تصریح می‌کند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اشتری را در بخش صفات خبریه، مطالعه فرمایید</w:t>
      </w:r>
      <w:r>
        <w:rPr>
          <w:rFonts w:eastAsia="IRNazanin" w:cs="IRNazanin"/>
          <w:color w:val="111111"/>
          <w:sz w:val="28"/>
          <w:szCs w:val="28"/>
          <w:rtl w:val="true"/>
          <w:lang w:bidi="fa-IR"/>
        </w:rPr>
        <w:t>.</w:t>
      </w:r>
    </w:p>
    <w:p>
      <w:pPr>
        <w:pStyle w:val="Heading4"/>
        <w:numPr>
          <w:ilvl w:val="3"/>
          <w:numId w:val="1"/>
        </w:numPr>
        <w:rPr/>
      </w:pPr>
      <w:bookmarkStart w:id="506" w:name="__RefHeading___Toc1119928_1738255347"/>
      <w:bookmarkStart w:id="507" w:name="_Toc194"/>
      <w:bookmarkEnd w:id="506"/>
      <w:r>
        <w:rPr>
          <w:rtl w:val="true"/>
        </w:rPr>
        <w:t>تاریخ تکرار می‌شود</w:t>
      </w:r>
      <w:bookmarkEnd w:id="507"/>
    </w:p>
    <w:p>
      <w:pPr>
        <w:pStyle w:val="Heading5"/>
        <w:numPr>
          <w:ilvl w:val="4"/>
          <w:numId w:val="1"/>
        </w:numPr>
        <w:rPr/>
      </w:pPr>
      <w:bookmarkStart w:id="508" w:name="__RefHeading___Toc1119930_1738255347"/>
      <w:bookmarkStart w:id="509" w:name="_Toc195"/>
      <w:bookmarkEnd w:id="508"/>
      <w:r>
        <w:rPr>
          <w:rtl w:val="true"/>
        </w:rPr>
        <w:t>رساله البیان قادری پیرامون عقائد اهل سنت</w:t>
      </w:r>
      <w:bookmarkEnd w:id="50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قادر بالله یکی از خلفای عباسی، کتابی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البیان القادری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 و در آن فضایل صحابه را به ترتیبی که اهل حدیث قائلند آورد، سپس فضایل عمر بن عبد العزیز را نقل کرد و به تکفیر معتزله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تمام جمعه‌ها در جلسات اهل حدیث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قرائت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همین سال دستور دستگیری تمام معتزله را صادر نمود و آنان را واداشت که صریحا از منهج اعتزال بازگردند و دست خطی از همه گرفت و افزود که اگر کسی از این به بعد، دست از پا خطا کند و غیر راه اهل حدیث برود شدیدا مجازات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فرمان القادر محمود سبکتکین امیر خلیفه در منطقۀ خراسان، به کشتار معتزله و شیعه و اسماعیلیه و قرامطه پرداخت و آنان را به دار آویخت و گروهی را زندانی کرد و به اصحاب حدیث دستور داد که بالای منبر، آنها را لعن کنند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تمام کتابهای مربوط به فلسفه و نجوم و اعتزال را سوزانید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در تاریخ خود مربوط به سالهای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از مظالم اهل حدیث نسبت به معتزله سخن گفته که به خاطر اختصار، از درج آنها خود داری می‌کنیم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مطالعۀ حوادث دوران قدرت معتزله و ضعف آنان به اصل مکافات، اعتقاد راسخ پیدا می‌کند و از قدیم الأیام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تدین</w:t>
      </w:r>
      <w:bookmarkStart w:id="510" w:name="pg17029_176792"/>
    </w:p>
    <w:p>
      <w:pPr>
        <w:pStyle w:val="BookText"/>
        <w:rPr/>
      </w:pPr>
      <w:bookmarkEnd w:id="510"/>
      <w:r>
        <w:rPr>
          <w:rFonts w:ascii="IRNazanin" w:hAnsi="IRNazanin" w:eastAsia="IRNazanin"/>
          <w:color w:val="111111"/>
          <w:sz w:val="28"/>
          <w:sz w:val="28"/>
          <w:szCs w:val="28"/>
          <w:rtl w:val="true"/>
          <w:lang w:bidi="fa-IR"/>
        </w:rPr>
        <w:t>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مکافات عمل غافل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همۀ اعمال را نمی‌توان از این راه توجیه کرد، مظلوم کشی بی‌جهت در جهان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معتزله نه‌تنها از نظر سیاسی و اجتماعی سقوط کردند، بلکه از نظر علمی و فکری نیز سقوط نمودند و پس از جبائیان در قرن چهارم، و قاضی عبد الجبار در قرن پنجم، دیگر شخصیتی در دامن این مکتب پرورش نیافت که هم سنگ پیشینیان و در ردیف ابو الهذیل علاف و نظام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پس از این شخصیتها در صحنۀ علمی ظاهر شدند،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جشمی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بیانگران آرای گذشتگان و توضیح دهندگان مطالب آنان بودند، نه مؤسس اصلی یا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علت سقوط بنی‌امیه را انحراف آنان از خط حریت و آزادی دانسته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ناشایست آنان در عصر مأمون و معتصم و واثق، انحلال آنان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عوامل دیگری هست که از نظر محققان اهل سنت مخفی مانده و ما به‌طور موجز به آن اشاره می‌کنیم و تأثیر این عوامل، کمتر از عامل قبلی نبوده است</w:t>
      </w:r>
      <w:r>
        <w:rPr>
          <w:rFonts w:eastAsia="IRNazanin" w:cs="IRNazanin"/>
          <w:color w:val="111111"/>
          <w:sz w:val="28"/>
          <w:szCs w:val="28"/>
          <w:rtl w:val="true"/>
          <w:lang w:bidi="fa-IR"/>
        </w:rPr>
        <w:t>.</w:t>
      </w:r>
    </w:p>
    <w:p>
      <w:pPr>
        <w:pStyle w:val="Heading4"/>
        <w:numPr>
          <w:ilvl w:val="3"/>
          <w:numId w:val="1"/>
        </w:numPr>
        <w:rPr/>
      </w:pPr>
      <w:bookmarkStart w:id="511" w:name="__RefHeading___Toc1119932_1738255347"/>
      <w:bookmarkStart w:id="512" w:name="_Toc196"/>
      <w:bookmarkEnd w:id="511"/>
      <w:r>
        <w:rPr>
          <w:rtl w:val="true"/>
        </w:rPr>
        <w:t>وصلۀ ناهمرنگ</w:t>
      </w:r>
      <w:bookmarkEnd w:id="512"/>
    </w:p>
    <w:p>
      <w:pPr>
        <w:pStyle w:val="BookText"/>
        <w:rPr/>
      </w:pPr>
      <w:r>
        <w:rPr>
          <w:rFonts w:ascii="IRNazanin" w:hAnsi="IRNazanin" w:eastAsia="IRNazanin"/>
          <w:color w:val="111111"/>
          <w:sz w:val="28"/>
          <w:sz w:val="28"/>
          <w:szCs w:val="28"/>
          <w:rtl w:val="true"/>
          <w:lang w:bidi="fa-IR"/>
        </w:rPr>
        <w:t>عنوان بالا می‌تواند در برگیرندۀ مطالب دهگانه ای باشد که سقوط معتزله را حتمی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در این مورد به درازا کشید، همگی را به صورت موجز بیان می‌کنیم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استناد گروهی که خلافت از پیامبر را مقام تنصیص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خلیفۀ خود را در حال حیات خویش معین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فرق اسلامی،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 و خود را بخشی از آنان می‌دانند، حالا گروهی از اهل سنت، معتزله، خوارج و حتی اشاعره را از اهل</w:t>
      </w:r>
    </w:p>
    <w:p>
      <w:pPr>
        <w:pStyle w:val="BookText"/>
        <w:rPr/>
      </w:pPr>
      <w:r>
        <w:rPr>
          <w:rFonts w:ascii="IRNazanin" w:hAnsi="IRNazanin" w:eastAsia="IRNazanin"/>
          <w:color w:val="111111"/>
          <w:sz w:val="28"/>
          <w:sz w:val="28"/>
          <w:szCs w:val="28"/>
          <w:rtl w:val="true"/>
          <w:lang w:bidi="fa-IR"/>
        </w:rPr>
        <w:t>سنت نمی‌دانند،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احتکار و تخصیص، یک نوع خود محوری است وگرنه تمام فرق اسلامی، سنت پیامبر را محترم شمرده و به آن احترام می‌گذارند، فقط سخن در این جاست که آیا فلان حدیث، گفتار پیامبر است یا دروغی است که دروغگویان جعل و نشر کرده‌اند؟</w:t>
      </w:r>
    </w:p>
    <w:p>
      <w:pPr>
        <w:pStyle w:val="BookText"/>
        <w:rPr/>
      </w:pPr>
      <w:r>
        <w:rPr>
          <w:rFonts w:ascii="IRNazanin" w:hAnsi="IRNazanin" w:eastAsia="IRNazanin"/>
          <w:color w:val="111111"/>
          <w:sz w:val="28"/>
          <w:sz w:val="28"/>
          <w:szCs w:val="28"/>
          <w:rtl w:val="true"/>
          <w:lang w:bidi="fa-IR"/>
        </w:rPr>
        <w:t>شیعۀ امام علی به خاطر لقب خاصی که از پیامبر گرفته‌اند، خود را شیعه معرفی می‌کردند، ولی گروههای دیگر که همه سنت صحیح پیامبر را کمتر از قرآن نمی‌دانند، همگی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قرارگرفته و همه خود را جزئی از آن اکثریت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آنجاکه معتزله نمی‌توانست در کنار شیعه قرار گیرد ناچار بود خود را جزء همان گروه اکثریت معرفی کند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عقاید اهل سنت، عدالت همه صحابه و استواری احادیث جبر و تشبیه و تجسیم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به خاطر انتساب به این اکثریت، ناچار بودند که به این اصول احترام بگذارند در حالی که تفکر آنان در مسائل جبر و تشبیه درست نقطه مقابل این احادیث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سعی می‌کردند که جزئی از این اکثریتی باشند که بر صد هزار صحابی لباس عدالت بلکه عصمت پوشانیده و گفتار و سخنان آنان را بدون کم و زیاد حجت می‌دانستند، از طرف دیگر می‌خواستند متفکر و آزاد منش نیز باشند که در سایۀ پرتو عقل، بر معارف دست یابند و چون این دو با هم ناسازگار بودند، از این جهت نتوانستند به حیات علمی و اجتهادی خود ادامه دهند و اصولا مزاج جامعۀ تسنن پذیرای آنان نبود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حقیقی، همان است که امروز در نجد و ریاض و به عنف و زور، در مدینه و مکه رواج دارد و بر تمام روایات وارد در قلمرو جبر و تشبیه و رؤیت خدا ارزش قائل شده و صفات جبریه را به معنی حرفی تفسیر می‌کنند و تسننی که</w:t>
      </w:r>
    </w:p>
    <w:p>
      <w:pPr>
        <w:pStyle w:val="BookText"/>
        <w:rPr/>
      </w:pPr>
      <w:r>
        <w:rPr>
          <w:rFonts w:ascii="IRNazanin" w:hAnsi="IRNazanin" w:eastAsia="IRNazanin"/>
          <w:color w:val="111111"/>
          <w:sz w:val="28"/>
          <w:sz w:val="28"/>
          <w:szCs w:val="28"/>
          <w:rtl w:val="true"/>
          <w:lang w:bidi="fa-IR"/>
        </w:rPr>
        <w:t>احمد بن حنبل اصول آن را پی‌ریزی کرده، جز این نمی‌تواند معنی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نه‌تنها معتزله مطرود این اکثریت می‌باشند، بلکه اشاعره نیز از آن در رنج بوده که در بخش دوم این فرهنگ، سرگذشت غم انگیز آنان را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تسنن حقیقی با استدلال و برهان وبا تفکر و تعقل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ظواهر قرآن و روایاتی است که از طریق صحابه به دست آنان رسیده است، ایمان به یک چنین اصلی که نیتجۀ آن اعدام عقل و خرد است، نمی‌تواند با اعتزال سازگار باشد و در نتیجه معتزله در چین جامعه‌ای، حالت وصلۀ ناهمرنگ پیدا کردند که از دور، بیگانگی آنها از جامعۀ اسلامی معلوم و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حنابله از ابو الحسن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نکردند، زیرا او می‌خواست عقاید حنابله را با دلیل و برهان ثابت کند و مزاج مذهب حنبلی، پذیرای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به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حنابلۀ وقت رسید و از شیوۀ کار خود سخن گفت، وی چهره در هم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که می‌گویی نمی‌فهمم، احمد بن حنبل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جامعه‌ای برای معتزله جایگاهی نبوده، زیرا هرگز نمی‌توانستند در عین بستگی به آن، به نشر عقاید و افکار خود بپردازند، یا باید حساب خود را از آن جدا سازند که این شدنی نبود و یا دست از عقاید خود بردارند و در غیر این دو صورت باید محکوم به فنا گردند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مزاج جامعۀ اسلامی در دست خطبا و محدثان و ائمۀ جمعه و جماعات بود و غذای روحی آنان را، روایات و احادیث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معتزله با این گروه، حمیت و غیرت دینی آنان را بر می‌انگیخت، از این جهت سالیان دراز از قدرت منبر و اجتماعات بهره گرفتند و بر ضد آنان سخن گفتند و همین امر کافی بود که معتزله از چشم مردم افتاده و کینۀ آنان در دل توده‌ها لانه 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عقاید معتزله، عواطف تودۀ مردم را خدشه‌دار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مسلمانان معتقدند که پیامبر گرامی دربارۀ گناهکاران امت شفاعت خواهد کرد، زیرا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ادخرت شفاعتی لأهل الکبائر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خود را بر مرتکبان کبایر از امت خود ذخیره کرده‌ام، ولی معتزله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از آن عادلان است و هدف از آن ترفیع درجه است نه محو گناه، بلکه گناهکارانی که بدون توبه بمیرند در آتش دوزخ جاودان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حدیث دهها روایت پیرامون شفاعت می‌خواندند و مردم را به شفاعت پیامبر امیدوار می‌ساختند، در حالی که از معتزله نقل می‌کردند که آنان منکر شفاعتند، یا شفاعت را به گونه‌ای دیگر تفسیر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 گفته آن کس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مأمون و معتصم و واثق بر سرکار بودند، عزت و عظمت آنان محفوظ بود، وقتی شمشیر قدرت به دست بیگانگان افتاد و مدتها بر اریکۀ قدرت تکیه زدند، به تدریج به اعتزال زدایی پرداختند و دانشمندان و آثار علمی آنان را منزوی نمودند و به مرور زمان، منقرض گردیدند و جز آثار کمی در میان شیعه یمن چیزی از آنان باقی نماند و شاید در کتابخانه‌های عظیم دنیا غیر آنچه که امروز موجود است، آثاری از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استقامت احمد بن حنبل در طریق عقیده، او را در میان مردم به عنوان اسطورۀ مقاومت و سمبل شکیبایی در راه دین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سرسختانۀ او بر این گروه، عواطف مردم را بر ضد معتزله تحریک کرد، تا آنجا که به آنان از دیدۀ تنفر می‌نگریستند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معتزله که پرچمدار حریت و آزادی بشر در عمل و عقیده بود، با پی‌ریزی جریان تفتیش عقاید، آب پاکی بر مکتب خود ریختند وعملا بر ناسازگاری عمل با عقیده صحه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در این کار عجله نمی‌کردند وبا کمال متانت و آرامش به روشنگری پرداخته و با تربیت نیرو به نشر دعوت می‌پرداختند، چیزی</w:t>
      </w:r>
    </w:p>
    <w:p>
      <w:pPr>
        <w:pStyle w:val="BookText"/>
        <w:rPr/>
      </w:pPr>
      <w:r>
        <w:rPr>
          <w:rFonts w:ascii="IRNazanin" w:hAnsi="IRNazanin" w:eastAsia="IRNazanin"/>
          <w:color w:val="111111"/>
          <w:sz w:val="28"/>
          <w:sz w:val="28"/>
          <w:szCs w:val="28"/>
          <w:rtl w:val="true"/>
          <w:lang w:bidi="fa-IR"/>
        </w:rPr>
        <w:t>نمی‌گذشت که پایه‌های مکتب، محکمتر شده و عطر و بوی خوش دعوت، به مشام مسلمانان جهان می‌رسید و اگر هم دگرگونی بنیادی در جامعه پدید نمی‌آمد، لا اقل موجودیت آنان محفوظ می‌ماند و به تدریج به کار خود ادامه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ارتجاع در نفوس مردم آن زمان، رسوخ کرده بود، اعتقاد به عدالت صحابه و قداست سلف، جزء مسلمات عقاید آنان بود و مخالفت با این اصل، نوعی الحاد و مبارزه با اصل اسلام به شمار می‌رفت و طبعا گروه مخالف با این اصل، نمی‌توانند در مقابل سیل بنیان‌کن جامعه مقاومت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الحسن اشعری پس از بازگشت از اعتزال به آیین حنابله، منطقی را که از معتزله آموخته بود، بر ضد خود آنها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جای اینکه با این منطق، با ارتجاع و بازگشت به تجسیم و تشبیه و جبر در عمل، مبارزه کند، 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نیتی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منطق را بر ضد معتزله به کار برد و سرانجام ارتجاع را تأیید و خرد و خردمندان را کوبید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عقاید اهل حدیث بر حفظ قدرت و سیطرۀ خلفای عباسی کمک می‌کرد، زیرا آنان مخالفت با سلطان جائر را حرام و اطاعت او را واجب می‌دانستند و شعارشان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خلف کل برّ و ناجر، پشت سر هر انسان خوب و بد نماز بگزار، طبعا چنین عقیده‌ای به نفع دستگاه خلافت بوده و باید متوکلها و قادریها آن را تأیید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نباید از سنت الهی غفلت کرد، سنت او بر این جاری است که قدرت و سلطه باید دست به دست بگردد و در هر برهه‌ای گروهی قدرت را در دست بگیرند، چنانکه می‌فرماید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تِلْکَ الْأَیّامُ نُداوِلُها بَیْنَ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بشمر، بر هیچ قومی ابدیت و پیوستگی نوشته نشده و جهان پیوسته مرکز تبادل قدرتها و سلطه‌ها بوده است و از تسلیم در برابر این اصل، چاره‌ای نیست</w:t>
      </w:r>
      <w:r>
        <w:rPr>
          <w:rFonts w:eastAsia="IRNazanin" w:cs="IRNazanin"/>
          <w:color w:val="111111"/>
          <w:sz w:val="28"/>
          <w:szCs w:val="28"/>
          <w:rtl w:val="true"/>
          <w:lang w:bidi="fa-IR"/>
        </w:rPr>
        <w:t>.</w:t>
      </w:r>
      <w:bookmarkStart w:id="513" w:name="pg17029_176797"/>
    </w:p>
    <w:p>
      <w:pPr>
        <w:pStyle w:val="Heading2"/>
        <w:numPr>
          <w:ilvl w:val="1"/>
          <w:numId w:val="1"/>
        </w:numPr>
        <w:rPr/>
      </w:pPr>
      <w:bookmarkStart w:id="514" w:name="__RefHeading___Toc1119934_1738255347"/>
      <w:bookmarkStart w:id="515" w:name="_Toc197"/>
      <w:bookmarkEnd w:id="513"/>
      <w:bookmarkEnd w:id="514"/>
      <w:r>
        <w:rPr>
          <w:rtl w:val="true"/>
        </w:rPr>
        <w:t>پیشوایان و دانشمندان</w:t>
      </w:r>
      <w:bookmarkEnd w:id="515"/>
    </w:p>
    <w:p>
      <w:pPr>
        <w:pStyle w:val="Heading3"/>
        <w:numPr>
          <w:ilvl w:val="2"/>
          <w:numId w:val="1"/>
        </w:numPr>
        <w:rPr/>
      </w:pPr>
      <w:bookmarkStart w:id="516" w:name="__RefHeading___Toc1119936_1738255347"/>
      <w:bookmarkStart w:id="517" w:name="_Toc198"/>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معتزله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آثار علمی به جای مانده از آنان</w:t>
      </w:r>
      <w:bookmarkStart w:id="518" w:name="pg17029_176798"/>
    </w:p>
    <w:p>
      <w:pPr>
        <w:pStyle w:val="Heading3"/>
        <w:numPr>
          <w:ilvl w:val="2"/>
          <w:numId w:val="1"/>
        </w:numPr>
        <w:rPr/>
      </w:pPr>
      <w:bookmarkStart w:id="519" w:name="__RefHeading___Toc1119938_1738255347"/>
      <w:bookmarkStart w:id="520" w:name="_Toc199"/>
      <w:bookmarkEnd w:id="518"/>
      <w:bookmarkEnd w:id="519"/>
      <w:r>
        <w:rPr>
          <w:rtl w:val="true"/>
        </w:rPr>
        <w:t>پیشوایان معتزله</w:t>
      </w:r>
      <w:bookmarkEnd w:id="5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واصل بن عطا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عمروبن عبید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الهذبل علاف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یسار معروف به نظام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علی جبایی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هاشم جبایی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القضاة عبد الجبار بن احمد همدانی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521" w:name="__RefHeading___Toc1119940_1738255347"/>
      <w:bookmarkStart w:id="522" w:name="_Toc200"/>
      <w:bookmarkEnd w:id="521"/>
      <w:r>
        <w:rPr>
          <w:rtl w:val="true"/>
        </w:rPr>
        <w:t>دانشمندان معتزله</w:t>
      </w:r>
      <w:bookmarkEnd w:id="52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سهل بشر بن 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معمر بن عباد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ثمامة بن اشرس ابو معن نمیری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بکر عبد الرحمن بن کیسان الاصم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موسی عیسی بن صبیح المزدار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محمد بن عبد الله اسکام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ابی دوأد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عثمان عمرو بن بحر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الحسین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القاسم بلخی کعبی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523" w:name="pg17029_176799"/>
    </w:p>
    <w:p>
      <w:pPr>
        <w:pStyle w:val="Heading3"/>
        <w:numPr>
          <w:ilvl w:val="2"/>
          <w:numId w:val="1"/>
        </w:numPr>
        <w:rPr/>
      </w:pPr>
      <w:bookmarkStart w:id="524" w:name="__RefHeading___Toc1119942_1738255347"/>
      <w:bookmarkStart w:id="525" w:name="_Toc201"/>
      <w:bookmarkEnd w:id="523"/>
      <w:bookmarkEnd w:id="524"/>
      <w:r>
        <w:rPr>
          <w:rtl w:val="true"/>
        </w:rPr>
        <w:t>پیشوایان معتزله</w:t>
      </w:r>
      <w:bookmarkEnd w:id="525"/>
    </w:p>
    <w:p>
      <w:pPr>
        <w:pStyle w:val="Heading4"/>
        <w:numPr>
          <w:ilvl w:val="3"/>
          <w:numId w:val="1"/>
        </w:numPr>
        <w:rPr/>
      </w:pPr>
      <w:bookmarkStart w:id="526" w:name="__RefHeading___Toc1119944_1738255347"/>
      <w:bookmarkStart w:id="527" w:name="_Toc202"/>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مجموع اندیشمندان معتزله را می‌توان به دو بخش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پیشوایان صاحب‌نظر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مبین مکتب گروه نخست، کسانی هستند که در عین اعتقاد به اصول پنجگانۀ معتزله، خود در برخی از مسائل صاحب‌نظر بوده و اصل یا اصولی را در مذهب مطرح کرد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گروه دوم، افراد مستعد و با فضیلتی بودند که به تبیین مکتب اعتزال پرداختند، بدون اینکه اصل و یا اصولی را به صورت چشمگیر پی‌ریزی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بخش، بیشتر پیشوایان صاحب‌نظر و به اصطلاح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پردازان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را مطرح می‌کنیم و به گونه‌ای فشرده، به بیان شرح‌حال آنان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دیگر که بیانگر حال دانشمندان معتزله است، از قلمرو بحث ما بیرون بوده و این فرهنگ را یارای گردآوری شرح‌حال همۀ آنان نیست و اگر هم مناسبت ایجاب کرد، به‌طور رهگذر به آنها اشاره کرده و دامن سخن را جمع می‌کنیم</w:t>
      </w:r>
      <w:r>
        <w:rPr>
          <w:rFonts w:eastAsia="IRNazanin" w:cs="IRNazanin"/>
          <w:color w:val="111111"/>
          <w:sz w:val="28"/>
          <w:szCs w:val="28"/>
          <w:rtl w:val="true"/>
          <w:lang w:bidi="fa-IR"/>
        </w:rPr>
        <w:t>.</w:t>
      </w:r>
    </w:p>
    <w:p>
      <w:pPr>
        <w:pStyle w:val="Heading4"/>
        <w:numPr>
          <w:ilvl w:val="3"/>
          <w:numId w:val="1"/>
        </w:numPr>
        <w:rPr/>
      </w:pPr>
      <w:bookmarkStart w:id="528" w:name="__RefHeading___Toc1119946_1738255347"/>
      <w:bookmarkStart w:id="529" w:name="_Toc203"/>
      <w:bookmarkEnd w:id="528"/>
      <w:r>
        <w:rPr/>
        <w:t>1</w:t>
      </w:r>
      <w:r>
        <w:rPr>
          <w:rtl w:val="true"/>
        </w:rPr>
        <w:t xml:space="preserve"> - </w:t>
      </w:r>
      <w:r>
        <w:rPr>
          <w:rtl w:val="true"/>
        </w:rPr>
        <w:t xml:space="preserve">و اصل بن عطا </w:t>
      </w:r>
      <w:r>
        <w:rPr>
          <w:rtl w:val="true"/>
        </w:rPr>
        <w:t>(</w:t>
      </w:r>
      <w:r>
        <w:rPr/>
        <w:t>80</w:t>
      </w:r>
      <w:r>
        <w:rPr>
          <w:rtl w:val="true"/>
        </w:rPr>
        <w:t>-</w:t>
      </w:r>
      <w:r>
        <w:rPr/>
        <w:t>131</w:t>
      </w:r>
      <w:r>
        <w:rPr>
          <w:rtl w:val="true"/>
        </w:rPr>
        <w:t>)</w:t>
      </w:r>
      <w:bookmarkEnd w:id="529"/>
    </w:p>
    <w:p>
      <w:pPr>
        <w:pStyle w:val="Heading5"/>
        <w:numPr>
          <w:ilvl w:val="4"/>
          <w:numId w:val="1"/>
        </w:numPr>
        <w:rPr/>
      </w:pPr>
      <w:bookmarkStart w:id="530" w:name="__RefHeading___Toc1119948_1738255347"/>
      <w:bookmarkStart w:id="531" w:name="_Toc204"/>
      <w:bookmarkEnd w:id="530"/>
      <w:r>
        <w:rPr>
          <w:rtl w:val="true"/>
        </w:rPr>
        <w:t>اشاره</w:t>
      </w:r>
      <w:bookmarkEnd w:id="53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کنیۀ او ابو حذیفه معروف به واصل به عطا، از اعجوبه‌های زمان در امر سخنوری بوده است، با اینکه او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درستی نمی‌توانست تلفظ کند، ولی</w:t>
      </w:r>
    </w:p>
    <w:p>
      <w:pPr>
        <w:pStyle w:val="BookText"/>
        <w:rPr/>
      </w:pPr>
      <w:r>
        <w:rPr>
          <w:rFonts w:ascii="IRNazanin" w:hAnsi="IRNazanin" w:eastAsia="IRNazanin"/>
          <w:color w:val="111111"/>
          <w:sz w:val="28"/>
          <w:sz w:val="28"/>
          <w:szCs w:val="28"/>
          <w:rtl w:val="true"/>
          <w:lang w:bidi="fa-IR"/>
        </w:rPr>
        <w:t xml:space="preserve">در سخنرانیهای خود کوشش می‌کرد تا از به کار بردن کلمه بر مشتمل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مثلااو به جای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گندم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می‌برد و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می‌گرفت و به جای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چنان سخن می‌راند که احدی نمی‌دانست او صاحب مخرج راء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اصل به عطا بنیانگذار مکتب اعتزال، در حقیقت ادامه دهندۀ مکتب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 از او زندگی می‌کردند، یعنی آنان که به حریت و آزادی انسان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دهۀ اول قرن دوم، به هنگام سؤال از حکم مرتکب کبیره،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ابراز کرد و از حلقۀ درس استاد حسن بصری فاصله گرفت و کم‌کم در فکر او دیگر اصول اعتزال جوانه زد و شاید مجموع یا بخش اعظم اصول خمسه، در آرا و نظریات او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کارهای مهم او این بود که گروهی را برای دعوت به توحید و پیراستگی از تجسیم به اطراف و اکناف جهان فرستاد،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خراسان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یمن 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جزیره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ذاکوان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کوفه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ارمنستان، اعزام کرد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یحیی المرتضی، المنیة و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نیز این خط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تفسیر قرآن برداشتهای ذوقی خاصی دارد که یکی را یادآور می‌شویم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می‌گفت که خدا از بندگان خواسته است، اول او را بشناسند بعدا عمل کنند، سپس بیاموزند و بر گفتار خود به آیات سورة و العصر استدلال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عمل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آموزش است</w:t>
      </w:r>
      <w:r>
        <w:rPr>
          <w:rFonts w:eastAsia="IRNazanin" w:cs="IRNazanin"/>
          <w:color w:val="111111"/>
          <w:sz w:val="28"/>
          <w:szCs w:val="28"/>
          <w:rtl w:val="true"/>
          <w:lang w:bidi="fa-IR"/>
        </w:rPr>
        <w:t>.</w:t>
      </w:r>
      <w:r>
        <w:rPr>
          <w:rStyle w:val="FootnoteAnchor"/>
          <w:rtl w:val="true"/>
        </w:rPr>
        <w:footnoteReference w:id="223"/>
      </w:r>
      <w:bookmarkStart w:id="532" w:name="pg17029_176801"/>
    </w:p>
    <w:p>
      <w:pPr>
        <w:pStyle w:val="Heading5"/>
        <w:numPr>
          <w:ilvl w:val="4"/>
          <w:numId w:val="1"/>
        </w:numPr>
        <w:rPr/>
      </w:pPr>
      <w:bookmarkStart w:id="533" w:name="__RefHeading___Toc1119950_1738255347"/>
      <w:bookmarkStart w:id="534" w:name="_Toc205"/>
      <w:bookmarkEnd w:id="532"/>
      <w:bookmarkEnd w:id="533"/>
      <w:r>
        <w:rPr>
          <w:rtl w:val="true"/>
        </w:rPr>
        <w:t>سرگذشت شگفت‌آور واصل با خوارج</w:t>
      </w:r>
      <w:bookmarkEnd w:id="534"/>
    </w:p>
    <w:p>
      <w:pPr>
        <w:pStyle w:val="BookText"/>
        <w:rPr/>
      </w:pPr>
      <w:r>
        <w:rPr>
          <w:rFonts w:ascii="IRNazanin" w:hAnsi="IRNazanin" w:eastAsia="IRNazanin"/>
          <w:color w:val="111111"/>
          <w:sz w:val="28"/>
          <w:sz w:val="28"/>
          <w:szCs w:val="28"/>
          <w:rtl w:val="true"/>
          <w:lang w:bidi="fa-IR"/>
        </w:rPr>
        <w:t>همگی می‌دانیم که خوارج در بخشی از زندگی سیاسی خود به قتل و غارت می‌پرداختند و به تعبیر امیر مؤمنان در نهج البلاغه، به صورت دزدان بیابانی درآمده بودند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واصل بن عطا با گروهی از یارانش از منطقه‌ای عبور می‌کردند، ناگهان متوجه شدند که خوارج راه را بر آنان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در دو قدمی خود احساس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اینها را به عهدۀ من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خوارج روبرو شدند، آنان از واصل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یارانت بر چه مذهبی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مشرک هستیم و به شما پناه آورده‌ایم که کلام خدا را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امان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احکام خدا را به ما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احکام خدا را به آنان برشمردند و واصل مرتب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یارانم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شما برادران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کافی نیست، باید ما را به محل امنی برسانید، زیرا 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الْمُشْرِکِینَ اسْتَجارَکَ فَأَجِرْهُ حَتّی یَسْمَعَ کَلامَ اللّهِ ثُمَّ أَبْلِغْهُ مَأْمَنَهُ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مشرکان از تو پناه بخواهد او را پناه بده تا سخن خدا را بشنود، سپس او را به جایگاه امن خود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همۀ آنها را از آن منطقه، به محل امنی بردند و رها کردند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دربارۀ تهجد و زهد واصل سخن گفته‌اند و از ابن ندیم آثار او را چنین یادآور می‌شود</w:t>
      </w:r>
      <w:r>
        <w:rPr>
          <w:rFonts w:eastAsia="IRNazanin" w:cs="IRNazanin"/>
          <w:color w:val="111111"/>
          <w:sz w:val="28"/>
          <w:szCs w:val="28"/>
          <w:rtl w:val="true"/>
          <w:lang w:bidi="fa-IR"/>
        </w:rPr>
        <w:t>:</w:t>
      </w:r>
    </w:p>
    <w:p>
      <w:pPr>
        <w:pStyle w:val="Heading5"/>
        <w:numPr>
          <w:ilvl w:val="4"/>
          <w:numId w:val="1"/>
        </w:numPr>
        <w:rPr/>
      </w:pPr>
      <w:bookmarkStart w:id="535" w:name="__RefHeading___Toc1119952_1738255347"/>
      <w:bookmarkStart w:id="536" w:name="_Toc206"/>
      <w:bookmarkEnd w:id="535"/>
      <w:r>
        <w:rPr>
          <w:rtl w:val="true"/>
        </w:rPr>
        <w:t>آثار علمی واصل</w:t>
      </w:r>
      <w:bookmarkEnd w:id="5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اصناف المرجئة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التوبة</w:t>
      </w:r>
      <w:r>
        <w:rPr>
          <w:rFonts w:eastAsia="IRNazanin" w:cs="IRNazanin"/>
          <w:color w:val="111111"/>
          <w:sz w:val="28"/>
          <w:szCs w:val="28"/>
          <w:rtl w:val="true"/>
          <w:lang w:bidi="fa-IR"/>
        </w:rPr>
        <w:t>.</w:t>
      </w:r>
      <w:bookmarkStart w:id="537" w:name="pg17029_176802"/>
    </w:p>
    <w:p>
      <w:pPr>
        <w:pStyle w:val="BookText"/>
        <w:rPr/>
      </w:pPr>
      <w:bookmarkEnd w:id="53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المنزلة بین المنزلتین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فاقد لفظ راء، این خطبه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عبد السلام هارون چاپ‌شده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معانی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الخطب فی التوحید و العدل که بعید نیست خطبه‌های اسیر مؤمنان را گردآورده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مناظرات او با عمرو بن عبید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الشیل إلی معرفة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فی الدعوة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طبقات أهل العلم و الجهل</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ندیم،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اول از مقالۀ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4"/>
        <w:numPr>
          <w:ilvl w:val="3"/>
          <w:numId w:val="1"/>
        </w:numPr>
        <w:rPr/>
      </w:pPr>
      <w:bookmarkStart w:id="538" w:name="__RefHeading___Toc1119954_1738255347"/>
      <w:bookmarkStart w:id="539" w:name="_Toc207"/>
      <w:bookmarkEnd w:id="538"/>
      <w:r>
        <w:rPr/>
        <w:t>2</w:t>
      </w:r>
      <w:r>
        <w:rPr>
          <w:rtl w:val="true"/>
        </w:rPr>
        <w:t xml:space="preserve"> - </w:t>
      </w:r>
      <w:r>
        <w:rPr>
          <w:rtl w:val="true"/>
        </w:rPr>
        <w:t xml:space="preserve">عمرو بن عبید </w:t>
      </w:r>
      <w:r>
        <w:rPr>
          <w:rtl w:val="true"/>
        </w:rPr>
        <w:t>(</w:t>
      </w:r>
      <w:r>
        <w:rPr/>
        <w:t>80</w:t>
      </w:r>
      <w:r>
        <w:rPr>
          <w:rtl w:val="true"/>
        </w:rPr>
        <w:t>-</w:t>
      </w:r>
      <w:r>
        <w:rPr/>
        <w:t>143</w:t>
      </w:r>
      <w:r>
        <w:rPr>
          <w:rtl w:val="true"/>
        </w:rPr>
        <w:t>)</w:t>
      </w:r>
      <w:bookmarkEnd w:id="539"/>
    </w:p>
    <w:p>
      <w:pPr>
        <w:pStyle w:val="Heading5"/>
        <w:numPr>
          <w:ilvl w:val="4"/>
          <w:numId w:val="1"/>
        </w:numPr>
        <w:rPr/>
      </w:pPr>
      <w:bookmarkStart w:id="540" w:name="__RefHeading___Toc1119956_1738255347"/>
      <w:bookmarkStart w:id="541" w:name="_Toc208"/>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دومین شخصیت گروه معتزله پس از واصل بن عطا، عمرو بن عبید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اعضای حلقۀ تدریس حسن بصری بود که بعدها از او جدا شد و به همتای خود واصل بن عطا پیوست و علت آن مناظره‌ای بود که میان آن دو انجام گرفت و سرانجام عمرو به او جذب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 که ترجمه نگاران دربارۀ او نوشته‌اند، به دست می‌آید که او مرد وعظ و خطابه و تعلیم و تدریس و تا حدی معرض از دنیا بوده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سخنانی گفته‌اند که مصداق واضح غلو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المرتضی از جاحظ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تمام نماز صبح را با وضوی نماز مغرب</w:t>
      </w:r>
      <w:bookmarkStart w:id="542" w:name="pg17029_176803"/>
    </w:p>
    <w:p>
      <w:pPr>
        <w:pStyle w:val="BookText"/>
        <w:rPr/>
      </w:pPr>
      <w:bookmarkEnd w:id="542"/>
      <w:r>
        <w:rPr>
          <w:rFonts w:ascii="IRNazanin" w:hAnsi="IRNazanin" w:eastAsia="IRNazanin"/>
          <w:color w:val="111111"/>
          <w:sz w:val="28"/>
          <w:sz w:val="28"/>
          <w:szCs w:val="28"/>
          <w:rtl w:val="true"/>
          <w:lang w:bidi="fa-IR"/>
        </w:rPr>
        <w:t>خوانده و چهل بار با پای پیاده به مکه رفت، در این مدت شتر خود را در اختیار محصوران از حج قرار می‌داد و همۀ شب را با یک رکعت تماز و تکرار یک آیه، احیا می‌کرد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المرتضی، المنیة و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اغراق گویی رسم مریدان غالی است که با نقل این افسانه، دیگر فضایل مسلم او را نیز زیر سؤال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برای اینکه از کاروان اغراق عقب نماند، این نوع غلوها را دربارۀ ابو الحسن اشعری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این دو انسان در این مدت طولانی نه مریض شده، نه سفر کرده، نه گرفتاری پیدا کرده و نه میل به مسائل جنسی داشته‌اند</w:t>
      </w:r>
      <w:r>
        <w:rPr>
          <w:rFonts w:eastAsia="IRNazanin" w:cs="IRNazanin"/>
          <w:color w:val="111111"/>
          <w:sz w:val="28"/>
          <w:szCs w:val="28"/>
          <w:rtl w:val="true"/>
          <w:lang w:bidi="fa-IR"/>
        </w:rPr>
        <w:t>.</w:t>
      </w:r>
    </w:p>
    <w:p>
      <w:pPr>
        <w:pStyle w:val="Heading5"/>
        <w:numPr>
          <w:ilvl w:val="4"/>
          <w:numId w:val="1"/>
        </w:numPr>
        <w:rPr/>
      </w:pPr>
      <w:bookmarkStart w:id="543" w:name="__RefHeading___Toc1119958_1738255347"/>
      <w:bookmarkStart w:id="544" w:name="_Toc209"/>
      <w:bookmarkEnd w:id="543"/>
      <w:r>
        <w:rPr>
          <w:rtl w:val="true"/>
        </w:rPr>
        <w:t>مناظره هشام با عمرو بن عبید</w:t>
      </w:r>
      <w:bookmarkEnd w:id="544"/>
    </w:p>
    <w:p>
      <w:pPr>
        <w:pStyle w:val="BookText"/>
        <w:rPr/>
      </w:pPr>
      <w:r>
        <w:rPr>
          <w:rFonts w:ascii="IRNazanin" w:hAnsi="IRNazanin" w:eastAsia="IRNazanin"/>
          <w:color w:val="111111"/>
          <w:sz w:val="28"/>
          <w:sz w:val="28"/>
          <w:szCs w:val="28"/>
          <w:rtl w:val="true"/>
          <w:lang w:bidi="fa-IR"/>
        </w:rPr>
        <w:t>سید مرتضی در امالی خود مناظرۀ هشام را با عمرو بن عبید،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مناظره هشام جوان بر پیر مناظر غالب شد، ولی آن پیر، اخلاق اسلامی را رعایت کرده و از هشام خواست که مهلت دهد دربارۀ سؤال او مطالعه کند و هرگز بر او پرخاش نکرد و یا او را مرتد و خارج از دین قلمداد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مناظرۀ او با عمرو در بسیاری از کتابها آمده است که ما عصارۀ آن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وارد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عمرو بن عبید دربارۀ امامت، نظریۀ خاصی دارد و آن را مقام انتخابی می‌داند، نه تنصیصی و معتقد است که پیامبر درگذشت و خدا برای امت امامی را تعیین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گفتگویی کوتاه،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 و سؤال خود را چنین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به شما چشم داده است و اگر داده است برای چه داده است؟</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با آن دیدنیها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 و از آنها عبرت بگیرم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به شما گوش داده است؟ و برای چه؟</w:t>
      </w:r>
      <w:bookmarkStart w:id="545" w:name="pg17029_176804"/>
    </w:p>
    <w:p>
      <w:pPr>
        <w:pStyle w:val="BookText"/>
        <w:rPr/>
      </w:pPr>
      <w:bookmarkEnd w:id="545"/>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شنیدنیها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باقیماندۀ اعضا را که هر یک حامل حسی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بینی 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 و عمرو نیز به هر یک پاسخی داد که کاملا با آن عضو حامل حس خاص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علاوه بر این پنج حس، قلب نیز به شما داده است و اگر داده است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این حواس در آنچه به من گزارش می‌دهند خطا کردند، قلب به اصلاح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هشام به نتیجۀ مناظره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راضی نشدی که خدا به تو پنج حس بدهد، مگر اینکه برای آنها پیشوایی معین کند که داور در میان آنها باشد، چگونه راضی شدی که خدا این بشر را بیافریند ولی برای آنان پیشوایی که داور آنان باشد، قرار ندهد و پیامبر گرامی درگذرد در حالی که خدا برای مردم پیشوایی تعیین نکند که در موارد اختلاف، داور آنان باشد؟ اینجا بود که عمرو سربلند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دربارۀ سؤال تو فکر کنم</w:t>
      </w:r>
      <w:r>
        <w:rPr>
          <w:rFonts w:eastAsia="IRNazanin" w:cs="IRNazanin"/>
          <w:color w:val="111111"/>
          <w:sz w:val="28"/>
          <w:szCs w:val="28"/>
          <w:rtl w:val="true"/>
          <w:lang w:bidi="fa-IR"/>
        </w:rPr>
        <w:t>.</w:t>
      </w:r>
    </w:p>
    <w:p>
      <w:pPr>
        <w:pStyle w:val="Heading5"/>
        <w:numPr>
          <w:ilvl w:val="4"/>
          <w:numId w:val="1"/>
        </w:numPr>
        <w:rPr/>
      </w:pPr>
      <w:bookmarkStart w:id="546" w:name="__RefHeading___Toc1119960_1738255347"/>
      <w:bookmarkStart w:id="547" w:name="_Toc210"/>
      <w:bookmarkEnd w:id="546"/>
      <w:r>
        <w:rPr>
          <w:rtl w:val="true"/>
        </w:rPr>
        <w:t>نمونه‌ای از دانش تفسیری و کلامی او</w:t>
      </w:r>
      <w:bookmarkEnd w:id="547"/>
    </w:p>
    <w:p>
      <w:pPr>
        <w:pStyle w:val="BookText"/>
        <w:rPr/>
      </w:pPr>
      <w:r>
        <w:rPr>
          <w:rFonts w:ascii="IRNazanin" w:hAnsi="IRNazanin" w:eastAsia="IRNazanin"/>
          <w:color w:val="111111"/>
          <w:sz w:val="28"/>
          <w:sz w:val="28"/>
          <w:szCs w:val="28"/>
          <w:rtl w:val="true"/>
          <w:lang w:bidi="fa-IR"/>
        </w:rPr>
        <w:t>دربارۀ تفسیر آیات قرآن و یا مسائل کلامی، چیزهایی از او نقل‌شده است که بیانگر مرتبۀ علمی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پاسخها از خود اوست یا از دیگری چندان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امالی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این دو آیه را چگونه حل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تَسْتَطِیعُوا أَنْ تَعْدِلُوا بَیْنَ النِّساءِ وَ لَوْ حَرَصْتُمْ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آیه‌ای که می‌گوید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فَانْکِحُوا ما طابَ لَکُمْ مِنَ النِّساءِ مَثْنی وَ ثُلاثَ وَ رُباعَ فَإِنْ خِفْتُمْ أَلاّ تَعْدِلُوا فَواحِدَةً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مفاد آیۀ اول، عدالت میان زنان متعدد را غیر ممکن می‌داند، در حالی که آیۀ دوم از امکان آن گزارش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ترسیدید که نتوانید میان آنان به عدالت رفتار کنید، به یکی اکتفا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نخست مربوط به مهر و محبت است که از اختیار انسان خارج بوده و برای خود ملاکات خاصی دارد، ایجاد تساوی در میان آنان از نظر تمایلات قلبی امکان‌پذیر نیست، در حالی که دومی مربوط به هزینۀ زندگی و رفتار عادلانه در سیان آنان است که کاملا امکان‌پذیر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الدرر و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این اشکال به ابن أبی العوجا ملحد عصر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بصره این شبهه را منتشر کرد تا نتیجه بگیرد که در قرآن تناقض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هشام بن حکم از اشکال او آگاه شد، برای فراگیری پاسخ، بصره را به عزم مدینه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حضور امام صادق رسید و اشکال ابن أبی العوجا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همان را گفت که از عمرو بن عبید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هشام به بصره بازگشت و ابن أبی العوجا را از پاسخ آگاه ساخت،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را شتران از حجاز آورده‌اند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احتمال دارد پاسخ امام صادق به عمرو رسیده باشد، همان‌طور که احتمال دارد پاسخ ابتکار خود ار بوده، در این صورت باید هر دو را از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توارد خاطرین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جاحظ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عمرو بن عبید دربارۀ قدر مناظره کرد و گویا آن مرد قدری قائل به جبر یوده و تقدیر الهی را مایۀ سلب اختیار از بشر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 ای است که شک را از دل شما می‌زداید و آن اینکه</w:t>
      </w:r>
      <w:bookmarkStart w:id="548" w:name="pg17029_176806"/>
    </w:p>
    <w:p>
      <w:pPr>
        <w:pStyle w:val="BookText"/>
        <w:rPr/>
      </w:pPr>
      <w:bookmarkEnd w:id="548"/>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رَبِّکَ لَنَسْئَلَنَّهُمْ أَجْمَعِینَ عَمّا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 تو از آنچه که آنها انجام می‌دهند، سؤال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که ما انجام می‌دهیم سؤال می‌کند، اگر ما فاقد اختیار بودیم و مجریان قضای الهی به شمار می‌رفتیم، باید بگوید از قضا و قدر خود سؤال خواهیم کرد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یادآور می‌شویم که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شناختن آنچه که مسؤلیت آن بر دوش انسان است و آنچه که مربوط به او نیست، ضابطه‌ای ارائه فرموده است و آن اینکه هر جا فعل انسان قابل ملامت باشد، آن فعل خود انسان است و آنجا که از دایرۀ نکوهش بیرون باشد، آن خارج از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کافر شدی ولی نمی‌گوید چرا بیمار شدی؟ و این گواه بر آن است که افعال انسان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زمام آن در دست انسان و در برخی دیگر محکوم تقدیر است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549" w:name="__RefHeading___Toc1119962_1738255347"/>
      <w:bookmarkStart w:id="550" w:name="_Toc211"/>
      <w:bookmarkEnd w:id="549"/>
      <w:r>
        <w:rPr>
          <w:rtl w:val="true"/>
        </w:rPr>
        <w:t>موضع سیاسی عمرو بن عبید</w:t>
      </w:r>
      <w:bookmarkEnd w:id="55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ولید بن یزید در شام کشته شد، سران معتزله در مکه به حضور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سخنان زیادی در محضرآن حضرت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خود یک نفر را به عنوان سخنگو انتخاب کنید تا من با او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عمرو بن عبید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 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شام خلیفۀ خود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برخی از آنان را به دست برخی دیگر نابود کرد و رشتۀ کارشان گسسته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کار مسلمین نگریستیم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برای خلافت برگزیدیم که دارای عقل و مروت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محمد بن 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bookmarkStart w:id="551" w:name="pg17029_176807"/>
    </w:p>
    <w:p>
      <w:pPr>
        <w:pStyle w:val="BookText"/>
        <w:rPr/>
      </w:pPr>
      <w:bookmarkEnd w:id="55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دور او را بگیریم و با او بیعت کنیم و خواسته‌های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توحید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او آشکار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سخنان او به آخر رسید، امام با او به صورت گسترده سخن گفت و در پایان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شنیده‌ام، او بهترین مردم روی زمین و آگاهترین آنان به کتاب خدا و سنت و رسول بود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مردم را با شمشیر خود بزند و آنان را به سوی خود بخواند در حالی که در میان مسلمانان داناتر از او هست، گمراه و زروگوست</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هر چند عمرو بن عبید از نفس زکیه حمایت می‌کند، ولی آنگاه که بنی‌عباس از قیام علویان به نفع خود استفاده کردند و شتر خلافت، در خانۀ آنها خوابید و زمام کار را از دست علویها گرفتند، در این شرایط عمرو بن عبید به گواه اینکه او رابطۀ بسیار حسنه‌ای با منصور داونیقی داشت، تغییر موضع داد و به بنی‌عباس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ابو جعفر منصور بر سر قبر او حاضر شد، اشعاری در سوک او سروده که سید مرتضی آنها را در امالی و ابن خلکان در و فیات الاعیان آورده‌اند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1119964_1738255347"/>
      <w:bookmarkStart w:id="553" w:name="_Toc212"/>
      <w:bookmarkEnd w:id="552"/>
      <w:r>
        <w:rPr/>
        <w:t>3</w:t>
      </w:r>
      <w:r>
        <w:rPr>
          <w:rtl w:val="true"/>
        </w:rPr>
        <w:t xml:space="preserve"> - </w:t>
      </w:r>
      <w:r>
        <w:rPr>
          <w:rtl w:val="true"/>
        </w:rPr>
        <w:t xml:space="preserve">ابو الهذیل العلاف </w:t>
      </w:r>
      <w:r>
        <w:rPr>
          <w:rtl w:val="true"/>
        </w:rPr>
        <w:t>(</w:t>
      </w:r>
      <w:r>
        <w:rPr/>
        <w:t>135</w:t>
      </w:r>
      <w:r>
        <w:rPr>
          <w:rtl w:val="true"/>
        </w:rPr>
        <w:t>-</w:t>
      </w:r>
      <w:r>
        <w:rPr/>
        <w:t>235</w:t>
      </w:r>
      <w:r>
        <w:rPr>
          <w:rtl w:val="true"/>
        </w:rPr>
        <w:t>)</w:t>
      </w:r>
      <w:bookmarkEnd w:id="553"/>
    </w:p>
    <w:p>
      <w:pPr>
        <w:pStyle w:val="Heading5"/>
        <w:numPr>
          <w:ilvl w:val="4"/>
          <w:numId w:val="1"/>
        </w:numPr>
        <w:rPr/>
      </w:pPr>
      <w:bookmarkStart w:id="554" w:name="__RefHeading___Toc1119966_1738255347"/>
      <w:bookmarkStart w:id="555" w:name="_Toc213"/>
      <w:bookmarkEnd w:id="554"/>
      <w:r>
        <w:rPr>
          <w:rtl w:val="true"/>
        </w:rPr>
        <w:t>اشاره</w:t>
      </w:r>
      <w:bookmarkEnd w:id="55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هذیل، معروف به ابو الهذیل علاف سرمین شخصیت معتزله در قرن سوم اسلامی است، و در بصره می‌زیست و خانۀ او در کوی علافان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 بزرگ معتزلۀ وقت خویش و مربی گروهی به شمار می‌رفت که یکی از آنان ابراهیم نظام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زرتشتیان و دوگانه پرستان مناظرات طولانی</w:t>
      </w:r>
      <w:bookmarkStart w:id="556" w:name="pg17029_176808"/>
    </w:p>
    <w:p>
      <w:pPr>
        <w:pStyle w:val="BookText"/>
        <w:rPr/>
      </w:pPr>
      <w:bookmarkEnd w:id="556"/>
      <w:r>
        <w:rPr>
          <w:rFonts w:ascii="IRNazanin" w:hAnsi="IRNazanin" w:eastAsia="IRNazanin"/>
          <w:color w:val="111111"/>
          <w:sz w:val="28"/>
          <w:sz w:val="28"/>
          <w:szCs w:val="28"/>
          <w:rtl w:val="true"/>
          <w:lang w:bidi="fa-IR"/>
        </w:rPr>
        <w:t xml:space="preserve">داشته است و به وسیلۀ او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آیین اسلام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انسانی فصیحتر از ابو الهذیل و جاحظ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مناظره مردی زبر دست بود و من در یکی از مناظره‌های او شرکت کردم که در آن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استشهاد کرد و در مجلس مأمون،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بر گفتار خود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نمونه‌هایی از مناظرات او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عبد القدوس زندیق عصر خویش بود، فرزندش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دوستانش بر او گریستند، وقتی پدرش بر او گریست، ابو الهذیل به او اعتراض کرد که چرا گریه می‌کنی در حالی که از نظر تو مردم مانند بوته‌هایی هستند که می‌رویند و سپس نابود می‌شوند؟ پدر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می‌کنم که او مرد و کتابی از کتابهای 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 و این کتابی است که اگر کسی آن را بخواند، در همه چیز شک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تو نیز در مرگ فرزندت شک کن و فرض کن که او نمرده است</w:t>
      </w:r>
      <w:r>
        <w:rPr>
          <w:rFonts w:eastAsia="IRNazanin" w:cs="IRNazanin"/>
          <w:color w:val="111111"/>
          <w:sz w:val="28"/>
          <w:szCs w:val="28"/>
          <w:rtl w:val="true"/>
          <w:lang w:bidi="fa-IR"/>
        </w:rPr>
        <w:t>.</w:t>
      </w:r>
    </w:p>
    <w:p>
      <w:pPr>
        <w:pStyle w:val="Heading5"/>
        <w:numPr>
          <w:ilvl w:val="4"/>
          <w:numId w:val="1"/>
        </w:numPr>
        <w:rPr/>
      </w:pPr>
      <w:bookmarkStart w:id="557" w:name="__RefHeading___Toc1119968_1738255347"/>
      <w:bookmarkStart w:id="558" w:name="_Toc214"/>
      <w:bookmarkEnd w:id="557"/>
      <w:r>
        <w:rPr>
          <w:rtl w:val="true"/>
        </w:rPr>
        <w:t>مناظره ابی الهذیل با متکلم یهودی</w:t>
      </w:r>
      <w:bookmarkEnd w:id="55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متکلمی یهودی در عصر وی در بصره به مناظره می‌پرداخت و راه را بر دیگران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الهذیل دوران جوانی خود را می‌گذراند وقتی از جریان آگاه شد، به عموی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من نزد این یهودی برویم تا من با او مناظره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او را از اقدام به چنین کاری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 کرد که باید بروم، هر دو نفر وارد مجلس او شدند و شنیدند که او نبوت موسی را تقریر می‌کند و از مردم اقرار می‌گیرد و اضافه می‌کند، حالا که نبوت موسی نزد ما و شما مسلم است، باید نبوت مدعیان پس از وی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ابو الهذیل نزد وی رفت و گفت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موسی پیامبر راستگوست یا نه؟ یهودی به تجلیل از پیامبر خویش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 الهذیل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موسایی که از او پرسیدم، اگر به نبوت پیامبر اسلام گواهی داده و او را تصدیق کرده، پیامبر صادق است و اگر به غیر این وصف</w:t>
      </w:r>
    </w:p>
    <w:p>
      <w:pPr>
        <w:pStyle w:val="BookText"/>
        <w:rPr/>
      </w:pPr>
      <w:r>
        <w:rPr>
          <w:rFonts w:ascii="IRNazanin" w:hAnsi="IRNazanin" w:eastAsia="IRNazanin"/>
          <w:color w:val="111111"/>
          <w:sz w:val="28"/>
          <w:sz w:val="28"/>
          <w:szCs w:val="28"/>
          <w:rtl w:val="true"/>
          <w:lang w:bidi="fa-IR"/>
        </w:rPr>
        <w:t>بوده است، شیطان بوده و من به نبوت او اعتراف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می‌پذیرید یا نه؟ ابو الهذیل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تورات همان سخنی است که دربارۀ موسی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بردارندۀ بشارت به نبوت پیامبر است، حق است و در غیر این صورت به او اقرا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خود را در تنگنای عجیبی احساس کرد، زیرا او از اعتراف مسلمانان به نبوت موسی کمک می‌گرفت تا راه شک را در نبوت خاتم باز کند، وقتی این جوان اعتراف به نبوت موسی را در چهار چوب اقرار به نبوت پیامبر خاتم پذیرفت، هر نوع راه سوء استفاده را به روی او بست، دیگر اعتراف آنان نمی‌تواند نردبان محکومیت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مناظر یهودی خواست این جوان را بر بدگویی به خویش تحریک کند، تا از این طریق حیثیت از دست رفته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جوان نزدیکتر بیا تا به گوش تو سخنی بگریم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الهذیل نزدیکتر شد، آهسته در گوش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 و کسی که این سخنان را به تو آموخته است چنین و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الهذیل فهمید که این بدگویی برای تحریک او انجام گرفته تا پرخاش کند و سرانجام، عواطف به سوی مناظر یهودی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گرامی بدارد و سلامت باشی و از این طریق، نقشۀ او را نقش‌برآب کرد و تفهیم کرد که او به صورت آهسته بر او دعا کرده، به حقانیت آیین او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بر اثر تحریک ابو الهذیل، مردم برای دستگیری وی هجوم آوردند، او از بصره گریخت</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الدرر و الغرر</w:t>
      </w:r>
      <w:r>
        <w:rPr>
          <w:rFonts w:eastAsia="IRNazanin" w:cs="IRNazanin"/>
          <w:color w:val="111111"/>
          <w:sz w:val="28"/>
          <w:szCs w:val="28"/>
          <w:rtl w:val="true"/>
          <w:lang w:bidi="fa-IR"/>
        </w:rPr>
        <w:t xml:space="preserve">: </w:t>
      </w:r>
      <w:r>
        <w:rPr>
          <w:rFonts w:eastAsia="IRNazanin" w:cs="IRNazanin"/>
          <w:color w:val="111111"/>
          <w:sz w:val="28"/>
          <w:szCs w:val="28"/>
          <w:lang w:bidi="fa-IR"/>
        </w:rPr>
        <w:t>178/1</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یادآور می‌شویم که این شبهه در عصر عباسیها بالا گرفته و پیوسته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نبوت موسی را پذیرفته‌اید و ما و شما در این امر مشترکیم</w:t>
      </w:r>
    </w:p>
    <w:p>
      <w:pPr>
        <w:pStyle w:val="BookText"/>
        <w:rPr/>
      </w:pPr>
      <w:r>
        <w:rPr>
          <w:rFonts w:ascii="IRNazanin" w:hAnsi="IRNazanin" w:eastAsia="IRNazanin"/>
          <w:color w:val="111111"/>
          <w:sz w:val="28"/>
          <w:sz w:val="28"/>
          <w:szCs w:val="28"/>
          <w:rtl w:val="true"/>
          <w:lang w:bidi="fa-IR"/>
        </w:rPr>
        <w:t>و باید نبوت دیگران را مورد بحث و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مأمون جاثلیق نصرانی این شبهه را مطرح کرد، او به جای نبوت موسی از نبوت حضرت مسیح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نبوت عیسایی و کتاب او اعتراف دارم که نبوت پیامبر اسلام را بپذیرد و به نبوت عیسایی که به پیامبری محمد و کتاب او اعتراف نکرده و امتش را به آن بشارت نداده کافرم</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این پاسخ، سینه به سینه در میان مردم گشته و ابو الهذیل آنرا از این چشمۀ جوشان اخذ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احتمال دارد، از قبیل توارد خاطرین باشد و اگر این مناظره در ایام جوانی ابو الهذیل بوده، قهرا دومی متعین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برایم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وارد شهر بصره شدم کسی را ندیدم که به من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تو را به من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آیاتی است که از نظر ادبی، ملحون و غیر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آیاتی که مضامین آنها با هم متناقضند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تو را یکجا بگویم یا آیه به آیه؟ او گفت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قریش افصح عرب بودند و پیامبر در میان آنان به فصاحت معروف بود و می‌دانید که قریش اهل جدل و مناظره بود</w:t>
      </w:r>
      <w:r>
        <w:rPr>
          <w:rStyle w:val="FootnoteAnchor"/>
          <w:rtl w:val="true"/>
        </w:rPr>
        <w:footnoteReference w:id="235"/>
      </w:r>
      <w:r>
        <w:rPr>
          <w:rFonts w:ascii="IRNazanin" w:hAnsi="IRNazanin" w:eastAsia="IRNazanin"/>
          <w:color w:val="111111"/>
          <w:sz w:val="28"/>
          <w:sz w:val="28"/>
          <w:szCs w:val="28"/>
          <w:rtl w:val="true"/>
          <w:lang w:bidi="fa-IR"/>
        </w:rPr>
        <w:t>و هرگز آنان نه به لغت پیامبر ایراد گرفتند و نه به مضامین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تو سخن نقادان لغت و استادان مناظره را بگیر، نه قول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جز خدای یگانه خدایی نیست و محمد فرستادۀ</w:t>
      </w:r>
      <w:bookmarkStart w:id="559" w:name="pg17029_176811"/>
    </w:p>
    <w:p>
      <w:pPr>
        <w:pStyle w:val="BookText"/>
        <w:rPr/>
      </w:pPr>
      <w:bookmarkEnd w:id="559"/>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 الجبار حمدانی، طبقات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5"/>
        <w:numPr>
          <w:ilvl w:val="4"/>
          <w:numId w:val="1"/>
        </w:numPr>
        <w:rPr/>
      </w:pPr>
      <w:bookmarkStart w:id="560" w:name="__RefHeading___Toc1119970_1738255347"/>
      <w:bookmarkStart w:id="561" w:name="_Toc215"/>
      <w:bookmarkEnd w:id="560"/>
      <w:r>
        <w:rPr>
          <w:rtl w:val="true"/>
        </w:rPr>
        <w:t>نگارشها و آثار او</w:t>
      </w:r>
      <w:bookmarkEnd w:id="561"/>
    </w:p>
    <w:p>
      <w:pPr>
        <w:pStyle w:val="BookText"/>
        <w:rPr/>
      </w:pPr>
      <w:r>
        <w:rPr>
          <w:rFonts w:ascii="IRNazanin" w:hAnsi="IRNazanin" w:eastAsia="IRNazanin"/>
          <w:color w:val="111111"/>
          <w:sz w:val="28"/>
          <w:sz w:val="28"/>
          <w:szCs w:val="28"/>
          <w:rtl w:val="true"/>
          <w:lang w:bidi="fa-IR"/>
        </w:rPr>
        <w:t>ابن ندیم برای ابو الهذیل تألیفی ذکر نکرده، فقط در باب کتب مؤلّفۀ در متشابه قرآن، یادآور شده است که ابو الهذیل نگارشی در این فن</w:t>
      </w:r>
      <w:r>
        <w:rPr>
          <w:rStyle w:val="FootnoteAnchor"/>
          <w:rtl w:val="true"/>
        </w:rPr>
        <w:footnoteReference w:id="237"/>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خلکان تألیفات او را فقط یک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که مناظرۀ او با یک مرد مسیحی به نام میلاس بوده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ولی این المرتضی برای او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ذکر کرده که همگی در رد مخالفان در علم کلام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احمد ین أبی دوأد بر او با پنج تکبیر نماز خواند، ولی وقتی هشام بن عمرو فوت کرد، بر او با چهار تکبیر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أبی دوأد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او با پنج تکبیر و بر این با چهار تکبیر نماز گزاردی؟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الهذیل شیعۀ بنی‌هاشم بود و علی را بر عثمان تفضیل می‌داد</w:t>
      </w:r>
      <w:r>
        <w:rPr>
          <w:rStyle w:val="FootnoteAnchor"/>
          <w:rtl w:val="true"/>
        </w:rPr>
        <w:footnoteReference w:id="239"/>
      </w:r>
      <w:r>
        <w:rPr>
          <w:rFonts w:ascii="IRNazanin" w:hAnsi="IRNazanin" w:eastAsia="IRNazanin"/>
          <w:color w:val="111111"/>
          <w:sz w:val="28"/>
          <w:sz w:val="28"/>
          <w:szCs w:val="28"/>
          <w:rtl w:val="true"/>
          <w:lang w:bidi="fa-IR"/>
        </w:rPr>
        <w:t>، لذا من نماز میت آنان را بر او خواندم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علی را بر همۀ خلفا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پرسیدند کدام‌یک از دو نفر ابو بکر و علی بر دیگری برتری دارد،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علی در جنگ خندق با عمرو بن عبدود، بر همۀ اعمال مهاجرین و انصار برتری دارد تا چه رسد بر اعمال أبی بکر</w:t>
      </w:r>
      <w:r>
        <w:rPr>
          <w:rFonts w:eastAsia="IRNazanin" w:cs="IRNazanin"/>
          <w:color w:val="111111"/>
          <w:sz w:val="28"/>
          <w:szCs w:val="28"/>
          <w:rtl w:val="true"/>
          <w:lang w:bidi="fa-IR"/>
        </w:rPr>
        <w:t>.</w:t>
      </w:r>
      <w:r>
        <w:rPr>
          <w:rStyle w:val="FootnoteAnchor"/>
          <w:rtl w:val="true"/>
        </w:rPr>
        <w:footnoteReference w:id="240"/>
      </w:r>
      <w:bookmarkStart w:id="562" w:name="pg17029_176812"/>
    </w:p>
    <w:p>
      <w:pPr>
        <w:pStyle w:val="BookText"/>
        <w:rPr/>
      </w:pPr>
      <w:bookmarkEnd w:id="562"/>
      <w:r>
        <w:rPr>
          <w:rFonts w:ascii="IRNazanin" w:hAnsi="IRNazanin" w:eastAsia="IRNazanin"/>
          <w:color w:val="111111"/>
          <w:sz w:val="28"/>
          <w:sz w:val="28"/>
          <w:szCs w:val="28"/>
          <w:rtl w:val="true"/>
          <w:lang w:bidi="fa-IR"/>
        </w:rPr>
        <w:t>در اینجا ما نتیجه می‌گیریم که تشیع اصطلاحات مختلفی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اصطلاحات ترجیح دادن علی بر دیگر خلفا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 را خلیفۀ بلا فصل و منصوص از جانب خدا نداند و أبو الهذیل از همین گروه بود</w:t>
      </w:r>
      <w:r>
        <w:rPr>
          <w:rFonts w:eastAsia="IRNazanin" w:cs="IRNazanin"/>
          <w:color w:val="111111"/>
          <w:sz w:val="28"/>
          <w:szCs w:val="28"/>
          <w:rtl w:val="true"/>
          <w:lang w:bidi="fa-IR"/>
        </w:rPr>
        <w:t>.</w:t>
      </w:r>
    </w:p>
    <w:p>
      <w:pPr>
        <w:pStyle w:val="Heading5"/>
        <w:numPr>
          <w:ilvl w:val="4"/>
          <w:numId w:val="1"/>
        </w:numPr>
        <w:rPr/>
      </w:pPr>
      <w:bookmarkStart w:id="563" w:name="__RefHeading___Toc1119972_1738255347"/>
      <w:bookmarkStart w:id="564" w:name="_Toc216"/>
      <w:bookmarkEnd w:id="563"/>
      <w:r>
        <w:rPr>
          <w:rtl w:val="true"/>
        </w:rPr>
        <w:t>تهمتهای ناروا</w:t>
      </w:r>
      <w:bookmarkEnd w:id="564"/>
    </w:p>
    <w:p>
      <w:pPr>
        <w:pStyle w:val="BookText"/>
        <w:rPr/>
      </w:pPr>
      <w:r>
        <w:rPr>
          <w:rFonts w:ascii="IRNazanin" w:hAnsi="IRNazanin" w:eastAsia="IRNazanin"/>
          <w:color w:val="111111"/>
          <w:sz w:val="28"/>
          <w:sz w:val="28"/>
          <w:szCs w:val="28"/>
          <w:rtl w:val="true"/>
          <w:lang w:bidi="fa-IR"/>
        </w:rPr>
        <w:t>ابو الهذیل مانند دیگر مشایخ معتزله، آماج تهمتها و نسبتهای ناروای حنابله و أهل حدیث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دربارۀ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حرکات بهشتیان در بهشت پایان‌پذیر است و طبعا باید معتقد شود که نعمتهای الهی نیز منقطع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أُکُلُها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به او نسبت می‌دهد که منکر صفات خدا بوده، زیرا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خدا عین ذات او هستند و خدا را به عنوان علم و قدرت معرفی می‌کرد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الحسین خیاط در کتاب الانتصار، دربارۀ نسبت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کتابهای ابو الهذیل در دست نیست و هرگز نمی‌توان به نقل دشمن دربارۀ او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تهمت دوم، حق این است که خطیب و امثال او به مقصود معتزله پی نبرده‌اند، لذا آنان را منکران صفات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هدف آنان نفی صفات زاید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وجود باری مرکب از ذات و علم بوده، به گونه‌ای که علم او و رای ذات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تفسیر سخن او را در بخش دوم این فرهنگ عقاید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این است که حنابله و اهل حدیث در متهم کردن معتزله به اعمال شنیع حد و مرزی نمی‌شناختند و بسیاری از آنان مصداق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 وَ اللّهُ یَعْلَمُ وَ أَنْتُمْ لا</w:t>
      </w:r>
      <w:bookmarkStart w:id="565" w:name="pg17029_176813"/>
    </w:p>
    <w:p>
      <w:pPr>
        <w:pStyle w:val="BookText"/>
        <w:rPr/>
      </w:pPr>
      <w:bookmarkEnd w:id="565"/>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1119974_1738255347"/>
      <w:bookmarkStart w:id="567" w:name="_Toc217"/>
      <w:bookmarkEnd w:id="566"/>
      <w:r>
        <w:rPr/>
        <w:t>4</w:t>
      </w:r>
      <w:r>
        <w:rPr>
          <w:rtl w:val="true"/>
        </w:rPr>
        <w:t xml:space="preserve"> - </w:t>
      </w:r>
      <w:r>
        <w:rPr>
          <w:rtl w:val="true"/>
        </w:rPr>
        <w:t xml:space="preserve">ابراهیم بن سیّار معروف به </w:t>
      </w:r>
      <w:r>
        <w:rPr>
          <w:rtl w:val="true"/>
        </w:rPr>
        <w:t>«</w:t>
      </w:r>
      <w:r>
        <w:rPr>
          <w:rtl w:val="true"/>
        </w:rPr>
        <w:t>نظام</w:t>
      </w:r>
      <w:r>
        <w:rPr>
          <w:rtl w:val="true"/>
        </w:rPr>
        <w:t>» (</w:t>
      </w:r>
      <w:r>
        <w:rPr/>
        <w:t>160</w:t>
      </w:r>
      <w:r>
        <w:rPr>
          <w:rtl w:val="true"/>
        </w:rPr>
        <w:t>-</w:t>
      </w:r>
      <w:r>
        <w:rPr/>
        <w:t>231</w:t>
      </w:r>
      <w:r>
        <w:rPr>
          <w:rtl w:val="true"/>
        </w:rPr>
        <w:t xml:space="preserve"> </w:t>
      </w:r>
      <w:r>
        <w:rPr>
          <w:rtl w:val="true"/>
        </w:rPr>
        <w:t>ه</w:t>
      </w:r>
      <w:r>
        <w:rPr>
          <w:rtl w:val="true"/>
        </w:rPr>
        <w:t>)</w:t>
      </w:r>
      <w:bookmarkEnd w:id="567"/>
    </w:p>
    <w:p>
      <w:pPr>
        <w:pStyle w:val="Heading5"/>
        <w:numPr>
          <w:ilvl w:val="4"/>
          <w:numId w:val="1"/>
        </w:numPr>
        <w:rPr/>
      </w:pPr>
      <w:bookmarkStart w:id="568" w:name="__RefHeading___Toc1119976_1738255347"/>
      <w:bookmarkStart w:id="569" w:name="_Toc218"/>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نظام چهارمین شخصیت معتزله است که در مدرسۀ اعتزال بصره رشد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کنیۀ او ابو اسحاق و متکلم، شاعر و ادیب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ابو نواس با او رابطۀ خوبی نداشته و این دو بیت یاد شده در زیر را در حق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 لمن یدعی فی العلم فلسفة حفظت شیئا و غابت عنک أشیاء</w:t>
      </w:r>
    </w:p>
    <w:p>
      <w:pPr>
        <w:pStyle w:val="BookText"/>
        <w:rPr/>
      </w:pPr>
      <w:r>
        <w:rPr>
          <w:rFonts w:ascii="IRNazanin" w:hAnsi="IRNazanin" w:eastAsia="IRNazanin"/>
          <w:color w:val="111111"/>
          <w:sz w:val="28"/>
          <w:sz w:val="28"/>
          <w:szCs w:val="28"/>
          <w:rtl w:val="true"/>
          <w:lang w:bidi="fa-IR"/>
        </w:rPr>
        <w:t>لا تحظر العفو إن کنت امرء حرجا فإن خطر که بالدین ازراء</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ندیم، فن اوّل از مقاله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کس که ادعای آگاهی از فلسفه دارد، بگو یک چیز را فراگرفتی و چیزهای بسیاری را فراموش کرده‌ای اگر تو خودت مرد سخت‌گیری هستی، عفو الهی را ممنوع نشمار، نگو رحمت حق به گنهکارانی که بدون توبه مرده‌اند نخواهد رسید، زیرا چنین منعی دین را خوار و کوچک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بیت اخیر به عقیدۀ نظام اشاره می‌کند که خدا از گنهکاری که بدون توبه از جهان رفته است، نخواهد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انتقاد می‌کند که تو نباید عفو الهی را ممنوع بشماری، زیرا منع عفو، یک نوع اهانت به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کعبی از او چنین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بصره بود و آرای مخصوصی در علم کلام داشت</w:t>
      </w:r>
      <w:r>
        <w:rPr>
          <w:rFonts w:eastAsia="IRNazanin" w:cs="IRNazanin"/>
          <w:color w:val="111111"/>
          <w:sz w:val="28"/>
          <w:szCs w:val="28"/>
          <w:rtl w:val="true"/>
          <w:lang w:bidi="fa-IR"/>
        </w:rPr>
        <w:t>.</w:t>
      </w:r>
      <w:r>
        <w:rPr>
          <w:rStyle w:val="FootnoteAnchor"/>
          <w:rtl w:val="true"/>
        </w:rPr>
        <w:footnoteReference w:id="24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او را چنین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کلام برتری خاصی داشت، حاضر جواب، عمیق و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آرای ناصواب کشیده شد، به</w:t>
      </w:r>
      <w:bookmarkStart w:id="570" w:name="pg17029_176814"/>
    </w:p>
    <w:p>
      <w:pPr>
        <w:pStyle w:val="BookText"/>
        <w:rPr/>
      </w:pPr>
      <w:bookmarkEnd w:id="570"/>
      <w:r>
        <w:rPr>
          <w:rFonts w:ascii="IRNazanin" w:hAnsi="IRNazanin" w:eastAsia="IRNazanin"/>
          <w:color w:val="111111"/>
          <w:sz w:val="28"/>
          <w:sz w:val="28"/>
          <w:szCs w:val="28"/>
          <w:rtl w:val="true"/>
          <w:lang w:bidi="fa-IR"/>
        </w:rPr>
        <w:t>خاطر عمق گرایی او بوده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الإعتزال و طبقات المعتزله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 الجبار او را از شاگردان ابو الهذیل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آرای استاد خود مخالفت کرد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1" w:name="__RefHeading___Toc1119978_1738255347"/>
      <w:bookmarkStart w:id="572" w:name="_Toc219"/>
      <w:bookmarkEnd w:id="571"/>
      <w:r>
        <w:rPr>
          <w:rtl w:val="true"/>
        </w:rPr>
        <w:t>نظام در آزمون خلیل بن احمد</w:t>
      </w:r>
      <w:bookmarkEnd w:id="572"/>
    </w:p>
    <w:p>
      <w:pPr>
        <w:pStyle w:val="BookText"/>
        <w:rPr/>
      </w:pPr>
      <w:r>
        <w:rPr>
          <w:rFonts w:ascii="IRNazanin" w:hAnsi="IRNazanin" w:eastAsia="IRNazanin"/>
          <w:color w:val="111111"/>
          <w:sz w:val="28"/>
          <w:sz w:val="28"/>
          <w:szCs w:val="28"/>
          <w:rtl w:val="true"/>
          <w:lang w:bidi="fa-IR"/>
        </w:rPr>
        <w:t>سید مرتضی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نظام او را که نوجوانی بیش نبود، نزد خلیل بن احمد 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به او درس بیاموزد، خلیل او را چنین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 جام بلورین را برای من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کنم یا نکوهش؟ خلیل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تریک القذی و لا تقبل الأذی و لا تستر ماوراء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خاشاک را به تو نشان می‌دهد و آلودگی را به خود نمی‌پذیرد، پشت سر خود را نمی‌پوشاند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ستایش کردی، آن را نکوهش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کسرها، بطیئ جبرها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می‌شکند و به سختی بند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به درختی که در خانه‌اش بود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خرما را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کنم یا نکوهش؟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حلو مجتناها، باسق منتهاها، ناضر اعلاها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میوه‌اش شیرین، بلند و کشیده و بالای آن سرسبز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نکوهش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صعبة المرتفی بعیدة المجتنی، محفوفة بالأذی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رفتن از آن دشوار، میوۀ آن دور از دسترس و بهره‌گیری از آن همراه با نارحتی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مقابل این سخنان فصیح و بلیغ نوجوان در شگفت ماند و گفت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ما در دانش آموختن به تو نیازمندتریم تا تو 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مرتضی پس از نقل این داستان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بلیغ از نظام، در حد بالایی است و سر بلاغت آن این است که او در توصیف، خواه در نکوهش یا ستایش، به بالاترین چیزی که دربارۀ آن می‌توان گفت، دست‌یافته است</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امالی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خواندن و نوشتن بلد نبود، قرآن و دیگر کتابهای به اصطلاح آسمانی و قسمتی از فتاوای فقها را حفظ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فوق العاده اگر در اختیار استاد واردی قرار گیرد، آن را به‌طور صحیح رهبری می‌کند و در غیر این صورت گاهی اتفاق می‌افتد که به انحراف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نظام، آراف ناصحیحی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اشاعره از او نقل می‌کنند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به خاطر نبوع رهبری نشدۀ او بوده است البته سخن در این است که او دارای چنین افکاری بوده است یا نه؟</w:t>
      </w:r>
    </w:p>
    <w:p>
      <w:pPr>
        <w:pStyle w:val="BookText"/>
        <w:rPr/>
      </w:pPr>
      <w:r>
        <w:rPr>
          <w:rFonts w:ascii="IRNazanin" w:hAnsi="IRNazanin" w:eastAsia="IRNazanin"/>
          <w:color w:val="111111"/>
          <w:sz w:val="28"/>
          <w:sz w:val="28"/>
          <w:szCs w:val="28"/>
          <w:rtl w:val="true"/>
          <w:lang w:bidi="fa-IR"/>
        </w:rPr>
        <w:t>در هر حال ما وظیفه داریم که نسبت به هر مسلمانی خوشبین باشیم، مگر این‌که به‌طور صحیح انحراف او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او را به انحراف فکری و اخلاقی متهم می‌کند، ولی قاضی عبد الجبار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به هنگام قبض روح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کنت تعلم إنّی لم أقصر فی نصرة توحیدک و لم أعتقد مذهبا إلأ ما سنّده التوحید، اللّهم إن کنت تعلم ذلک فاغفر لی ذنوبی و سهل علیّ سکرات الموت</w:t>
      </w:r>
      <w:r>
        <w:rPr>
          <w:rFonts w:eastAsia="IRNazanin" w:cs="IRNazanin"/>
          <w:color w:val="111111"/>
          <w:sz w:val="28"/>
          <w:szCs w:val="28"/>
          <w:rtl w:val="true"/>
          <w:lang w:bidi="fa-IR"/>
        </w:rPr>
        <w:t>».</w:t>
      </w:r>
      <w:r>
        <w:rPr>
          <w:rStyle w:val="FootnoteAnchor"/>
          <w:rtl w:val="true"/>
        </w:rPr>
        <w:footnoteReference w:id="24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اگر می‌دانی که من در یاری کردن یکتایی تو کوتاهی نورزیده‌ام و مذهبی را معتقد نشده‌ام مگر اینکه مطابق با توحید باشد، خدایا اگر تو می‌دانی چنین است، گناهان مرا ببخش و سختیهای مرگ را بر من آسان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را گفت و همان دم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حدیث و اشاعره مطالبی به او نسبت می‌دهند که نزد ما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که در میان اشاعره تا حدی نزاهت قلم دارد، آرای سیزده گانه‌ای از او نقل کرده که مخصوص خود او بوده است و ما از میان آنها دو نظر را در اینجا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عالم به صورت بی‌نهایت تقسیم می‌شوند و در حقیقت جزء لا یتجزی را باطل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 بغدای در نقد این نظریه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انقسام أجزا به صورت بی‌نهایت، امتناع احاطۀ خدا بر همۀ اجزای عالم خواهد بود، در حالی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أَحاطَ بِما لَدَیْهِمْ وَ أَحْصی کُلَّ شَیْءٍ عَدَداً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از حقیقت نظریه نا آگاه بوده، تصور کرده است هر جزئی از اجزای جسم به صورت بالفعل از اجزای بی‌نهایت تشکیل یافته است، در حالی که قائلان به این نظر، انقسام به بی‌نهایت را بالقوه می‌دانند نه بالفعل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جزئی را که شما فرض کنید، شرف آن غیر غرب آن است و پشت و روی آن از یکدیگر متمایز است و همین، زمینۀ امکان انقسام به بی‌نهایت، نه انقسام بالفعل را پدید می‌آورد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نکتۀ دیگری را نیز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قائلان به بطلان جزء لا یتجزی هر جزئی از اجزای عالم را به صورت بی‌نهایت قابل تقسیم می‌دانند، ولی بی‌نهایت بودن اجزا مانع از احاطۀ خدا به آنها نیست، زیرا وجود حق، وجود نامتناهی است و به خاطر همین صفت نامتناهی، هیچ‌چیز از جهان، از حیطۀ وجود او دور نیست</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573" w:name="pg17029_176817"/>
    </w:p>
    <w:p>
      <w:pPr>
        <w:pStyle w:val="BookText"/>
        <w:rPr/>
      </w:pPr>
      <w:bookmarkEnd w:id="57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معتقد بوده که واقعیت انسان روح اوست و آن جسم لطیفی است که داخل بدن او می‌باشد، آنگاه عبد القاهر بغدادی اشکال کودکانه ای متوجه او کرده که انسان از نقل آن شرم می‌کند، مثلا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واقعیت انسان روح او باشد، در این صورت اگر انسانی را دیدیم،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ندیده‌ایم، زیرا جسد او را دیده‌ایم نه واقعیت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صحابه، پیامبر را ندیده‌اند، بلکه جسد او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نظام نیست که واقعیت انسان را روح او می‌داند، بلکه قرآن نیز این نظریه را تأیید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در پاسخ منکران معاد که پخش اجزای بدن انسان در زمین را دستاویز انکار معاد قرار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یَتَوَفّاکُمْ مَلَکُ الْمَوْتِ الَّذِی وُکِّلَ بِکُمْ ثُمَّ إِلی رَبِّکُمْ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فرشتۀ مرگ که بر شما گمارده شده شما را می‌گیرد، آنگاه به سوی پروردگار خود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حاکی است که واقعیت آدمی همان روح اوست که فرشتۀ مرگ آن را می‌گیرد و هیچگاه در زمین پخش نمی‌شود، آنچه که پخش می‌شود، لباس اوست و پخش آن در جهان مانع از معاد انسان نیست، چون واقعیت او که روح اوست گم نشده بلکه نزد خدا محفوظ است و وارد هر بدنی شود، واقعیت او را تشکیل می‌دهد</w:t>
      </w:r>
      <w:r>
        <w:rPr>
          <w:rFonts w:eastAsia="IRNazanin" w:cs="IRNazanin"/>
          <w:color w:val="111111"/>
          <w:sz w:val="28"/>
          <w:szCs w:val="28"/>
          <w:rtl w:val="true"/>
          <w:lang w:bidi="fa-IR"/>
        </w:rPr>
        <w:t>.</w:t>
      </w:r>
    </w:p>
    <w:p>
      <w:pPr>
        <w:pStyle w:val="Heading5"/>
        <w:numPr>
          <w:ilvl w:val="4"/>
          <w:numId w:val="1"/>
        </w:numPr>
        <w:rPr/>
      </w:pPr>
      <w:bookmarkStart w:id="574" w:name="__RefHeading___Toc1119980_1738255347"/>
      <w:bookmarkStart w:id="575" w:name="_Toc220"/>
      <w:bookmarkEnd w:id="574"/>
      <w:r>
        <w:rPr>
          <w:rtl w:val="true"/>
        </w:rPr>
        <w:t xml:space="preserve">نظام و مذهب </w:t>
      </w:r>
      <w:r>
        <w:rPr>
          <w:rtl w:val="true"/>
        </w:rPr>
        <w:t>«</w:t>
      </w:r>
      <w:r>
        <w:rPr>
          <w:rtl w:val="true"/>
        </w:rPr>
        <w:t>صرفه</w:t>
      </w:r>
      <w:r>
        <w:rPr>
          <w:rtl w:val="true"/>
        </w:rPr>
        <w:t>»</w:t>
      </w:r>
      <w:bookmarkEnd w:id="575"/>
    </w:p>
    <w:p>
      <w:pPr>
        <w:pStyle w:val="BookText"/>
        <w:rPr/>
      </w:pPr>
      <w:r>
        <w:rPr>
          <w:rFonts w:ascii="IRNazanin" w:hAnsi="IRNazanin" w:eastAsia="IRNazanin"/>
          <w:color w:val="111111"/>
          <w:sz w:val="28"/>
          <w:sz w:val="28"/>
          <w:szCs w:val="28"/>
          <w:rtl w:val="true"/>
          <w:lang w:bidi="fa-IR"/>
        </w:rPr>
        <w:t>از آرایی که در اعجاز قرآن به نظام نسبت داده‌اند، نظریۀ صرفه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این نظریه آن است که اعجاز قرآن از نظر فصاحت و بلاغت در حد خارج از</w:t>
      </w:r>
    </w:p>
    <w:p>
      <w:pPr>
        <w:pStyle w:val="BookText"/>
        <w:rPr/>
      </w:pPr>
      <w:r>
        <w:rPr>
          <w:rFonts w:ascii="IRNazanin" w:hAnsi="IRNazanin" w:eastAsia="IRNazanin"/>
          <w:color w:val="111111"/>
          <w:sz w:val="28"/>
          <w:sz w:val="28"/>
          <w:szCs w:val="28"/>
          <w:rtl w:val="true"/>
          <w:lang w:bidi="fa-IR"/>
        </w:rPr>
        <w:t xml:space="preserve">توان انسان نیست شاید در زمانهای پیش از اسلام افراد فصیح و بلیغ، توانایی گفتن سخنانی نظیر قرآن را داشته‌اند ولی هرگاه بشر بخواهد نظیر آن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توان خدادادی استفاده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جلو کار او را می‌گیرد و از آوردن مثل آن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نظریۀ صرفه باطل است، ولی مخالفان او همین نظریۀ باطل را از او به صورت نادرستی نقل کرده‌اند و گفته‌اند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نظر نظم معجزه نیست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او منکر اعجاز نیست، بلکه آوردن مانند آنرا اساسا از توان بشر خارج نمی‌داند، ولی در عین حال معتقد است که خداوند، افراد بشر را از آوردن مانند آن جلوگیری می‌کند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این مورد شهرستانی نیز به صورت صحیح، مذهب او را نقل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نظر گزارش امور پنهان از حس، معجزه است ولی خدا انگیزه‌های مردم را از آوردن مثل آن بازداشته است و اگر آنان را رها می‌کرد، از آوردن سوره ای از سوره‌های قرآن که در بلاغت و فصاحت و نظم و سیاق همسان او باشد، عاجز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صرفه نظریۀ باطل و بی‌اساسی است چیزی که مهم است نقل نظریۀ نظام به صورت صحیح است نه به صورت باطل و در هر حال، خواه به آن صورت خواه به این صورت نقل گردد، اصل نظریه با نص قرآن کاملا مخالف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قرآن صریحا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 و جن جمع شوند و یکدیگر را کمک</w:t>
      </w:r>
      <w:bookmarkStart w:id="576" w:name="pg17029_176819"/>
    </w:p>
    <w:p>
      <w:pPr>
        <w:pStyle w:val="BookText"/>
        <w:rPr/>
      </w:pPr>
      <w:bookmarkEnd w:id="576"/>
      <w:r>
        <w:rPr>
          <w:rFonts w:ascii="IRNazanin" w:hAnsi="IRNazanin" w:eastAsia="IRNazanin"/>
          <w:color w:val="111111"/>
          <w:sz w:val="28"/>
          <w:sz w:val="28"/>
          <w:szCs w:val="28"/>
          <w:rtl w:val="true"/>
          <w:lang w:bidi="fa-IR"/>
        </w:rPr>
        <w:t>کنند، نظیر آن را نمی‌توانند بیاورند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 وَ لَوْ کانَ بَعْضُهُمْ لِبَعْضٍ ظَهِیراً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آیه این است که بشر را توانایی مقابله با آن نیست، نه اینکه توانایی دارند اما خدا توجه و انگیزۀ کار را از آنان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به‌راستی بشر را توانایی آوردن سوره‌ای از سوره‌های قرآن بود، باید از فصیحان و بلیغان قبل از اسلام، نمونه‌هایی مثل آن را در دست داشته باشیم، زیرا ممانعت خدا از آوردن مثل آن پس از نزول قرآن بوده نه پیش از بعثت پیامبر اکرم، در حالی که از مجموع سخنانی که از عرب فصیح و بلیغ جاهلی به دست ما رسیده است، چیزی شبیه قرآن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این کار با حکمت خدا سازگار نیست که آنان را به مقابله و معارضه بطلبد، آنگاه به هنگام اعمال قدرت، مانع از انجام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اگر مسأله مسألۀ صرف دواعی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انگیزه‌ها را در دلها نابود می‌سازد که سراغ ساختن سوره‌ای از سوره‌های قرآن نروند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نبود اعجاز قرآن فصاحت و بلاغت آن باشد، بلکه می‌توانست کلام پست و پایین، معجزۀ پیامبر گردد آنگاه مردم را به مقابله بطلبد و به هنگام مقابله مانع از آن بشود که کلام به آن ابتذالی بیاورند</w:t>
      </w:r>
      <w:r>
        <w:rPr>
          <w:rFonts w:eastAsia="IRNazanin" w:cs="IRNazanin"/>
          <w:color w:val="111111"/>
          <w:sz w:val="28"/>
          <w:szCs w:val="28"/>
          <w:rtl w:val="true"/>
          <w:lang w:bidi="fa-IR"/>
        </w:rPr>
        <w:t>.</w:t>
      </w:r>
    </w:p>
    <w:p>
      <w:pPr>
        <w:pStyle w:val="Heading5"/>
        <w:numPr>
          <w:ilvl w:val="4"/>
          <w:numId w:val="1"/>
        </w:numPr>
        <w:rPr/>
      </w:pPr>
      <w:bookmarkStart w:id="577" w:name="__RefHeading___Toc1119982_1738255347"/>
      <w:bookmarkStart w:id="578" w:name="_Toc221"/>
      <w:bookmarkEnd w:id="577"/>
      <w:r>
        <w:rPr>
          <w:rtl w:val="true"/>
        </w:rPr>
        <w:t>آثار نظام</w:t>
      </w:r>
      <w:bookmarkEnd w:id="57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دربارۀ نظام سخن زیاد گفته‌شده، حتی محمد عبد الهادی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مستقلی دربارۀ آرای نظام نوشته و آن را ابراهیم بن سیار النظام نام نهاده و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به چاپ رسیده است، با این همه مجموع آثاری که از وی نام می‌برند از چهار کتاب تجاوز نمی‌کند</w:t>
      </w:r>
      <w:r>
        <w:rPr>
          <w:rFonts w:eastAsia="IRNazanin" w:cs="IRNazanin"/>
          <w:color w:val="111111"/>
          <w:sz w:val="28"/>
          <w:szCs w:val="28"/>
          <w:rtl w:val="true"/>
          <w:lang w:bidi="fa-IR"/>
        </w:rPr>
        <w:t>.</w:t>
      </w:r>
      <w:bookmarkStart w:id="579" w:name="pg17029_176820"/>
    </w:p>
    <w:p>
      <w:pPr>
        <w:pStyle w:val="BookText"/>
        <w:rPr/>
      </w:pPr>
      <w:bookmarkEnd w:id="57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علی الثنویة </w:t>
      </w:r>
      <w:r>
        <w:rPr>
          <w:rFonts w:eastAsia="IRNazanin" w:cs="IRNazanin"/>
          <w:color w:val="111111"/>
          <w:sz w:val="28"/>
          <w:szCs w:val="28"/>
          <w:rtl w:val="true"/>
          <w:lang w:bidi="fa-IR"/>
        </w:rPr>
        <w:t>***</w:t>
      </w:r>
    </w:p>
    <w:p>
      <w:pPr>
        <w:pStyle w:val="Heading4"/>
        <w:numPr>
          <w:ilvl w:val="3"/>
          <w:numId w:val="1"/>
        </w:numPr>
        <w:rPr/>
      </w:pPr>
      <w:bookmarkStart w:id="580" w:name="__RefHeading___Toc1119984_1738255347"/>
      <w:bookmarkStart w:id="581" w:name="_Toc222"/>
      <w:bookmarkEnd w:id="580"/>
      <w:r>
        <w:rPr/>
        <w:t>5</w:t>
      </w:r>
      <w:r>
        <w:rPr>
          <w:rtl w:val="true"/>
        </w:rPr>
        <w:t xml:space="preserve"> - </w:t>
      </w:r>
      <w:r>
        <w:rPr>
          <w:rtl w:val="true"/>
        </w:rPr>
        <w:t xml:space="preserve">ابو علی الجبائی </w:t>
      </w:r>
      <w:r>
        <w:rPr>
          <w:rtl w:val="true"/>
        </w:rPr>
        <w:t>(</w:t>
      </w:r>
      <w:r>
        <w:rPr/>
        <w:t>235</w:t>
      </w:r>
      <w:r>
        <w:rPr>
          <w:rtl w:val="true"/>
        </w:rPr>
        <w:t>-</w:t>
      </w:r>
      <w:r>
        <w:rPr/>
        <w:t>303</w:t>
      </w:r>
      <w:r>
        <w:rPr>
          <w:rtl w:val="true"/>
        </w:rPr>
        <w:t xml:space="preserve"> </w:t>
      </w:r>
      <w:r>
        <w:rPr>
          <w:rtl w:val="true"/>
        </w:rPr>
        <w:t>ه</w:t>
      </w:r>
      <w:r>
        <w:rPr>
          <w:rtl w:val="true"/>
        </w:rPr>
        <w:t>)</w:t>
      </w:r>
      <w:bookmarkEnd w:id="581"/>
    </w:p>
    <w:p>
      <w:pPr>
        <w:pStyle w:val="BookText"/>
        <w:rPr/>
      </w:pPr>
      <w:r>
        <w:rPr>
          <w:rFonts w:ascii="IRNazanin" w:hAnsi="IRNazanin" w:eastAsia="IRNazanin"/>
          <w:color w:val="111111"/>
          <w:sz w:val="28"/>
          <w:sz w:val="28"/>
          <w:szCs w:val="28"/>
          <w:rtl w:val="true"/>
          <w:lang w:bidi="fa-IR"/>
        </w:rPr>
        <w:t>ابو علی جبایی، محمد بن عبد الوهاب از پیشوایان معتزله در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دربارۀ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معتزلۀ بصره است و علم کلام را برای آیندگان آسان کرد و سختیهای‌آن را برطرف نمود و ریاست متکلمین معتزلی در عصر وی،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 یعقوب شحام علم کلام را آموخته، آنگاه به بغداد رفته و از مجلس أبو الضریر بهره گرفته، سپس خود بر کرسی تدریس نشست و علم و نقل او بر همه آشکار گشت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ندیم،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اوّل از مقالۀ پنجم،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پیشوایان معتزله و خود پیشوایی در علم کلام بود و دانش خود را از ابو یوسف یعقوب بن عبد اللّه شحام بصری فراگرفت که خود رئیس معتزلۀ بصره بود و جبایی خود دارای نظریات خاصی در علم کلام است و شیخ ابو الحسن اشعری نزد او علم کلام را فراگرفته، با او مناظره‌هایی داشته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جبایی منسوب به جتا که منطقه‌ای در خوزستان است و میان بصره و اهواز قرار دارد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المرتضی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علم کلام را آسان کرد و در عین حال فقیهی باتقوا و زاهدی جلیل القدر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ابو الهذیل هیچ‌کس بسان وی مورد اتفاق دانشمندان معتزلی نبود، و او در دوران جوانی به نیرومندی در مناظره معروف بود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برای نشان دادن پایۀ استعداد او در دوران نوجوانی، نمونه‌ای از</w:t>
      </w:r>
    </w:p>
    <w:p>
      <w:pPr>
        <w:pStyle w:val="BookText"/>
        <w:rPr/>
      </w:pPr>
      <w:r>
        <w:rPr>
          <w:rFonts w:ascii="IRNazanin" w:hAnsi="IRNazanin" w:eastAsia="IRNazanin"/>
          <w:color w:val="111111"/>
          <w:sz w:val="28"/>
          <w:sz w:val="28"/>
          <w:szCs w:val="28"/>
          <w:rtl w:val="true"/>
          <w:lang w:bidi="fa-IR"/>
        </w:rPr>
        <w:t>مناظرات او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جبایی در مجلسی با شخص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 روبرو شد که گویا طرفدار مذهب جبر بود و معتقد بود که کارهای خوب و بد بندگان از آن خداست و او فاعل حقیقی است نه بندگان، جبابی خود را به او نزدیک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دارم، پاسخ می‌گویی؟ حاضران از جرأت این نوجوان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در میان بندگان به عدل رفتار می‌کند؟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این کار، او را عادل می‌نامی؟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خدا ظلم هم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ظلمی است که از بندگان سربزند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فعل او را جائر می‌نامی؟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نباید عادل نیز بنامی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پاسخ متحیّر ماند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نوجوان تحقیق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جبّاست که بعدها به نام أبو علی جبّایی معروف گشت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المرتضی، المنیة و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مناظره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ستوده و قابل ستایش است، ولی از نظر واقع گرایی چندان استوار نیست؛ زیرا مجبره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کارهایی که در جهان از عدل و ظلم انجام می‌گیرد، همه از جانب خداست، زیرا افعال بشر مخلوق او می‌باشد ولی در این حال خدا را عادل می‌نامیم و جائر نمی‌نامیم، زیرا اسامی خدا توقیفی است و تا دلیلی از شرع نباشد، نمی‌توانیم او را به نامی بخوانیم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المرتضی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بزرگی از ابو علی به جای مانده آنگاه که آثار علمی او را بر شمردند، دیدند او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مطلب نوشته و برجای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المرتضی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تفسیری را نگاشته و در آن تفسیر تنها از اصم معتزلی نقل می‌کند، مرحوم طبرسی در مجمع البیان آرای ابو علی جبایی را در</w:t>
      </w:r>
      <w:bookmarkStart w:id="582" w:name="pg17029_176822"/>
    </w:p>
    <w:p>
      <w:pPr>
        <w:pStyle w:val="BookText"/>
        <w:rPr/>
      </w:pPr>
      <w:bookmarkEnd w:id="582"/>
      <w:r>
        <w:rPr>
          <w:rFonts w:ascii="IRNazanin" w:hAnsi="IRNazanin" w:eastAsia="IRNazanin"/>
          <w:color w:val="111111"/>
          <w:sz w:val="28"/>
          <w:sz w:val="28"/>
          <w:szCs w:val="28"/>
          <w:rtl w:val="true"/>
          <w:lang w:bidi="fa-IR"/>
        </w:rPr>
        <w:t>تفسیر آیات فراوان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نگارش ابن المرتضی استفاده می‌شود که او به اهل‌بیت علاقه‌مند بود،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هرگاه از پیامبر صلّی الله علیه و آله و سلم دربارۀ علی و حسن و حسین و فاطمه حدیث یاد شده را نقل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حاربکم و سلم لمن سالمکم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بی‌ریشه‌ها در شگفتم که این حدیث را نقل می‌کنند و باز هم به معاویه محبت می‌ورزند</w:t>
      </w:r>
      <w:r>
        <w:rPr>
          <w:rFonts w:eastAsia="IRNazanin" w:cs="IRNazanin"/>
          <w:color w:val="111111"/>
          <w:sz w:val="28"/>
          <w:szCs w:val="28"/>
          <w:rtl w:val="true"/>
          <w:lang w:bidi="fa-IR"/>
        </w:rPr>
        <w:t>.</w:t>
      </w:r>
    </w:p>
    <w:p>
      <w:pPr>
        <w:pStyle w:val="Heading4"/>
        <w:numPr>
          <w:ilvl w:val="3"/>
          <w:numId w:val="1"/>
        </w:numPr>
        <w:rPr/>
      </w:pPr>
      <w:bookmarkStart w:id="583" w:name="__RefHeading___Toc1119986_1738255347"/>
      <w:bookmarkStart w:id="584" w:name="_Toc223"/>
      <w:bookmarkEnd w:id="583"/>
      <w:r>
        <w:rPr/>
        <w:t>6</w:t>
      </w:r>
      <w:r>
        <w:rPr>
          <w:rtl w:val="true"/>
        </w:rPr>
        <w:t xml:space="preserve"> - </w:t>
      </w:r>
      <w:r>
        <w:rPr>
          <w:rtl w:val="true"/>
        </w:rPr>
        <w:t xml:space="preserve">ابو هاشم جبایی </w:t>
      </w:r>
      <w:r>
        <w:rPr>
          <w:rtl w:val="true"/>
        </w:rPr>
        <w:t>(</w:t>
      </w:r>
      <w:r>
        <w:rPr/>
        <w:t>277</w:t>
      </w:r>
      <w:r>
        <w:rPr>
          <w:rtl w:val="true"/>
        </w:rPr>
        <w:t>-</w:t>
      </w:r>
      <w:r>
        <w:rPr/>
        <w:t>321</w:t>
      </w:r>
      <w:r>
        <w:rPr>
          <w:rtl w:val="true"/>
        </w:rPr>
        <w:t xml:space="preserve"> </w:t>
      </w:r>
      <w:r>
        <w:rPr>
          <w:rtl w:val="true"/>
        </w:rPr>
        <w:t>ه</w:t>
      </w:r>
      <w:r>
        <w:rPr>
          <w:rtl w:val="true"/>
        </w:rPr>
        <w:t>)</w:t>
      </w:r>
      <w:bookmarkEnd w:id="584"/>
    </w:p>
    <w:p>
      <w:pPr>
        <w:pStyle w:val="Heading5"/>
        <w:numPr>
          <w:ilvl w:val="4"/>
          <w:numId w:val="1"/>
        </w:numPr>
        <w:rPr/>
      </w:pPr>
      <w:bookmarkStart w:id="585" w:name="__RefHeading___Toc1119988_1738255347"/>
      <w:bookmarkStart w:id="586" w:name="_Toc224"/>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 xml:space="preserve">عبد السلام بن محمد بن عبد الوهاب، فرزند ابی علی جبایی که در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و در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معتزله و نویسندۀ کتابهایی به روش اعتزال است، در پایان عمر در بغداد سکونت گزید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55/11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متکلمی معروف و پدرش از بزرگان معتزله بودند و مقالاتی در مذهب اعتزال دارند و کتابهای کلامی با آرای این پدر و پسر مشحون است و عجیب اینکه او فرزندی داشت به نام ابو علی که فاقد دانش 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پسر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به فکر اینکه او نیز از پدر سهمی از علم و دانش به ارث برده است، از جای خود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کنار خود نشاند و به عنوان آزمون مطلبی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نیمی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به رسم مطایبه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راست گفتی، ولی پدرت با نیمۀ دیگر پیشرفت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دانش</w:t>
      </w:r>
      <w:r>
        <w:rPr>
          <w:rFonts w:eastAsia="IRNazanin" w:cs="IRNazanin"/>
          <w:color w:val="111111"/>
          <w:sz w:val="28"/>
          <w:szCs w:val="28"/>
          <w:rtl w:val="true"/>
          <w:lang w:bidi="fa-IR"/>
        </w:rPr>
        <w:t>).</w:t>
      </w:r>
      <w:r>
        <w:rPr>
          <w:rStyle w:val="FootnoteAnchor"/>
          <w:rtl w:val="true"/>
        </w:rPr>
        <w:footnoteReference w:id="258"/>
      </w:r>
      <w:bookmarkStart w:id="587" w:name="pg17029_176823"/>
    </w:p>
    <w:p>
      <w:pPr>
        <w:pStyle w:val="BookText"/>
        <w:rPr/>
      </w:pPr>
      <w:bookmarkEnd w:id="587"/>
      <w:r>
        <w:rPr>
          <w:rFonts w:ascii="IRNazanin" w:hAnsi="IRNazanin" w:eastAsia="IRNazanin"/>
          <w:color w:val="111111"/>
          <w:sz w:val="28"/>
          <w:sz w:val="28"/>
          <w:szCs w:val="28"/>
          <w:rtl w:val="true"/>
          <w:lang w:bidi="fa-IR"/>
        </w:rPr>
        <w:t>قاضی عبد الجبار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علم و دانش به پایه‌ای رسید که هیچیک از سران علم کلام به آن پایه نرسیدتد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اخذ دانش بسیار حریص و آزمند بود و گاهی پدر از فزونی پرسشهای او متأذی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ساعات روز پدر را از سؤال و پرسش رها نمی‌کرد، آنگاه که پدر برای استراحت به خوابگاه خود می‌رفت، زودتر در خوابگاه حاضر می‌شد که مبادا پدر قبل از او وارد شود و در را بر روی او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قاضی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برای اندوختن علم و دانش تا این پایه حریص باشد، از ترقی و تعالی او نباید شگفت‌زده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حالی که متکلم برجسته‌ای بر مذهب اعتزال بود، ولی با و الد خود در قسمتی از مسائل اختلاف نظر داشت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 الجبار، طبقات المعتزلة</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آرای معروف او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هنوز در هاله‌ای از ابهام باقی است و چندان روشن نیست و می‌گویند سه چیز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ابو هاشم، طفرۀ نظام و کسب اشعری</w:t>
      </w:r>
      <w:r>
        <w:rPr>
          <w:rFonts w:eastAsia="IRNazanin" w:cs="IRNazanin"/>
          <w:color w:val="111111"/>
          <w:sz w:val="28"/>
          <w:szCs w:val="28"/>
          <w:rtl w:val="true"/>
          <w:lang w:bidi="fa-IR"/>
        </w:rPr>
        <w:t>.</w:t>
      </w:r>
    </w:p>
    <w:p>
      <w:pPr>
        <w:pStyle w:val="Heading5"/>
        <w:numPr>
          <w:ilvl w:val="4"/>
          <w:numId w:val="1"/>
        </w:numPr>
        <w:rPr/>
      </w:pPr>
      <w:bookmarkStart w:id="588" w:name="__RefHeading___Toc1119990_1738255347"/>
      <w:bookmarkStart w:id="589" w:name="_Toc225"/>
      <w:bookmarkEnd w:id="588"/>
      <w:r>
        <w:rPr>
          <w:rtl w:val="true"/>
        </w:rPr>
        <w:t>آثار علمی ابو هاشم</w:t>
      </w:r>
      <w:bookmarkEnd w:id="589"/>
    </w:p>
    <w:p>
      <w:pPr>
        <w:pStyle w:val="BookText"/>
        <w:rPr/>
      </w:pP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هاشم در 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بغداد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بصره به بغداد منتقل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باهوش و زیرک و خوش فهم بود و در سخن گفتن دست توانایی داشت و آثاری از خود به شرح زیر به یادگار 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الکبیر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الأبواب الکبیرة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الأبواب الصغیرة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الإنسان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العوض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المسائل العسکریات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النقض علی ارسطاطالیس فی الکون و الفساد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الطبائع و النقض علی القائلین بها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الاجتهاد</w:t>
      </w:r>
      <w:r>
        <w:rPr>
          <w:rFonts w:eastAsia="IRNazanin" w:cs="IRNazanin"/>
          <w:color w:val="111111"/>
          <w:sz w:val="28"/>
          <w:szCs w:val="28"/>
          <w:rtl w:val="true"/>
          <w:lang w:bidi="fa-IR"/>
        </w:rPr>
        <w:t>.</w:t>
      </w:r>
      <w:r>
        <w:rPr>
          <w:rStyle w:val="FootnoteAnchor"/>
          <w:rtl w:val="true"/>
        </w:rPr>
        <w:footnoteReference w:id="26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 خطیب بغدادی استفاده می‌شود که مذهب او در اوایل قرن پنجم در بغداد لراج داشته است و پیروان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می‌نامیده‌اند،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bookmarkStart w:id="590" w:name="pg17029_176824"/>
    </w:p>
    <w:p>
      <w:pPr>
        <w:pStyle w:val="BookText"/>
        <w:rPr/>
      </w:pPr>
      <w:bookmarkEnd w:id="590"/>
      <w:r>
        <w:rPr>
          <w:rFonts w:ascii="IRNazanin" w:hAnsi="IRNazanin" w:eastAsia="IRNazanin"/>
          <w:color w:val="111111"/>
          <w:sz w:val="28"/>
          <w:sz w:val="28"/>
          <w:szCs w:val="28"/>
          <w:rtl w:val="true"/>
          <w:lang w:bidi="fa-IR"/>
        </w:rPr>
        <w:t>معتزلۀ عصر ما پیرو او هستند و صاحب بن عباد وزیر آل بویه، معتزله را به سوی او سوق می‌داد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درگذشت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درگذشت و مردم وقتی هر دو جنازه را یک‌زمان در قبرستان مشاهده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کلام مرد و به یاد درگذشت همزمان محمد بن حسن شیبانی و کسائی در ری زاید افتادند که اولی فقیه بود، دومی ادیب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ادب مرد</w:t>
      </w:r>
      <w:r>
        <w:rPr>
          <w:rFonts w:eastAsia="IRNazanin" w:cs="IRNazanin"/>
          <w:color w:val="111111"/>
          <w:sz w:val="28"/>
          <w:szCs w:val="28"/>
          <w:rtl w:val="true"/>
          <w:lang w:bidi="fa-IR"/>
        </w:rPr>
        <w:t>.</w:t>
      </w:r>
    </w:p>
    <w:p>
      <w:pPr>
        <w:pStyle w:val="Heading4"/>
        <w:numPr>
          <w:ilvl w:val="3"/>
          <w:numId w:val="1"/>
        </w:numPr>
        <w:rPr/>
      </w:pPr>
      <w:bookmarkStart w:id="591" w:name="__RefHeading___Toc1119992_1738255347"/>
      <w:bookmarkStart w:id="592" w:name="_Toc226"/>
      <w:bookmarkEnd w:id="591"/>
      <w:r>
        <w:rPr/>
        <w:t>7</w:t>
      </w:r>
      <w:r>
        <w:rPr>
          <w:rtl w:val="true"/>
        </w:rPr>
        <w:t xml:space="preserve"> - </w:t>
      </w:r>
      <w:r>
        <w:rPr>
          <w:rtl w:val="true"/>
        </w:rPr>
        <w:t xml:space="preserve">قاضی القضاة عبد الجبار بن احمد همدانی </w:t>
      </w:r>
      <w:r>
        <w:rPr>
          <w:rtl w:val="true"/>
        </w:rPr>
        <w:t>(</w:t>
      </w:r>
      <w:r>
        <w:rPr/>
        <w:t>324</w:t>
      </w:r>
      <w:r>
        <w:rPr>
          <w:rtl w:val="true"/>
        </w:rPr>
        <w:t>-</w:t>
      </w:r>
      <w:r>
        <w:rPr/>
        <w:t>415</w:t>
      </w:r>
      <w:r>
        <w:rPr>
          <w:rtl w:val="true"/>
        </w:rPr>
        <w:t xml:space="preserve"> </w:t>
      </w:r>
      <w:r>
        <w:rPr>
          <w:rtl w:val="true"/>
        </w:rPr>
        <w:t>ه</w:t>
      </w:r>
      <w:r>
        <w:rPr>
          <w:rtl w:val="true"/>
        </w:rPr>
        <w:t>)</w:t>
      </w:r>
      <w:bookmarkEnd w:id="592"/>
    </w:p>
    <w:p>
      <w:pPr>
        <w:pStyle w:val="Heading5"/>
        <w:numPr>
          <w:ilvl w:val="4"/>
          <w:numId w:val="1"/>
        </w:numPr>
        <w:rPr/>
      </w:pPr>
      <w:bookmarkStart w:id="593" w:name="__RefHeading___Toc1119994_1738255347"/>
      <w:bookmarkStart w:id="594" w:name="_Toc227"/>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او عبد الجبار بن احمد بن عبد الجبار همدانی اسدآبادی ملقب به قاضی القضاة است و این لقب به غیر او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فروع، از مذهب شافعی پیروی کرده و در اصول از معتزله و دارای مؤلفاتی است و مدتها قاضی شهرستان ری بود و در راه حج وارد بغداد شد و در آنجا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سفرم به خراسان پیش از آنکه به ری برسم، قاضی عبد الجبار در گذشته بود و این جریان در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حاکم جشمی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عیون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معتزلۀ بصره و از مروجین مذهب ابی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نزد أبی اسحاق بن عیاش، آنگاه نزد شیخ أبی عبد اللّه بصری تلمذ کرد، سپس حاکم اضافه می‌کند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سخنی ندارم که بتواند مراتب فضل و دانش او را بیان کند، زیرا او کسی است که کلام را به زبان روشن بیان کرد و دربارۀ آن کتابهایی نوشت که دانشجویان برای</w:t>
      </w:r>
      <w:bookmarkStart w:id="595" w:name="pg17029_176825"/>
    </w:p>
    <w:p>
      <w:pPr>
        <w:pStyle w:val="BookText"/>
        <w:rPr/>
      </w:pPr>
      <w:bookmarkEnd w:id="595"/>
      <w:r>
        <w:rPr>
          <w:rFonts w:ascii="IRNazanin" w:hAnsi="IRNazanin" w:eastAsia="IRNazanin"/>
          <w:color w:val="111111"/>
          <w:sz w:val="28"/>
          <w:sz w:val="28"/>
          <w:szCs w:val="28"/>
          <w:rtl w:val="true"/>
          <w:lang w:bidi="fa-IR"/>
        </w:rPr>
        <w:t>فراگیری آن رنج سفر بر خود هموار می‌سازند و آثار او به شرق و غرب رسید و آن چنان نکات دقیق و ظریفی را بیان کرد که پیش از او کسی به آن کار موفق نگردیده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عمر طولانی بهره‌مند گشت و در این مدت پیوسته به کار تدریس و املا اشغال داشت و ریاست مذهب اعتزال در دورۀ او به وی منتقل گشت و به شیخ معتزله شناخته شد و کتابهای او مورد اعتماد گشت و در سایۀ این اقبال، کتابهای دیگران منسوخ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اسدآباد همدان بود، سپس به بصره رفت و در دوران جوانی بر مذهب اشعری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معتزله نشست و برخاست کرد و به مناظره پرداخت، مذهب اعتزال را برگزید و از ایی اسحاق بن عیاش وابو عبد اللّه بصری</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از طبقۀ دهم از طبقات معتزله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گرفت وبر اقران خود تقدم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صاحب بن عباد او را به ری دعوت کرد تا در آنجا تدریس کند واو در آنجا اقامت گزید و در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همان‌جا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مدتی شیخین را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تفضیل می‌داد، ولی در آخر عمر از این عقیده برگشت و به تفضیل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اکثر آثار به جای مانده از او املای خود اوست که شاگردانش به نگارش در آورده‌اند</w:t>
      </w:r>
      <w:r>
        <w:rPr>
          <w:rFonts w:eastAsia="IRNazanin" w:cs="IRNazanin"/>
          <w:color w:val="111111"/>
          <w:sz w:val="28"/>
          <w:szCs w:val="28"/>
          <w:rtl w:val="true"/>
          <w:lang w:bidi="fa-IR"/>
        </w:rPr>
        <w:t>.</w:t>
      </w:r>
    </w:p>
    <w:p>
      <w:pPr>
        <w:pStyle w:val="Heading5"/>
        <w:numPr>
          <w:ilvl w:val="4"/>
          <w:numId w:val="1"/>
        </w:numPr>
        <w:rPr/>
      </w:pPr>
      <w:bookmarkStart w:id="596" w:name="__RefHeading___Toc1119996_1738255347"/>
      <w:bookmarkStart w:id="597" w:name="_Toc228"/>
      <w:bookmarkEnd w:id="596"/>
      <w:r>
        <w:rPr>
          <w:rtl w:val="true"/>
        </w:rPr>
        <w:t>آثار علمی قاضی</w:t>
      </w:r>
      <w:bookmarkEnd w:id="597"/>
    </w:p>
    <w:p>
      <w:pPr>
        <w:pStyle w:val="BookText"/>
        <w:rPr/>
      </w:pPr>
      <w:r>
        <w:rPr>
          <w:rFonts w:ascii="IRNazanin" w:hAnsi="IRNazanin" w:eastAsia="IRNazanin"/>
          <w:color w:val="111111"/>
          <w:sz w:val="28"/>
          <w:sz w:val="28"/>
          <w:szCs w:val="28"/>
          <w:rtl w:val="true"/>
          <w:lang w:bidi="fa-IR"/>
        </w:rPr>
        <w:t>اینک برخی از آثار مطبوع او را یاد آور می‌شویم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الأصول الخمسة، این کتاب به املای قاضی و نگارش تلامیذ او بوده و جامعترین و در عین حال موجزترین کتاب در شرح عقاید معتزله است اگر این کتاب در اختیار محققین معاصر نبود، در تبیین عقاید معتزله دچار اشکال می‌شدند</w:t>
      </w:r>
    </w:p>
    <w:p>
      <w:pPr>
        <w:pStyle w:val="BookText"/>
        <w:rPr/>
      </w:pPr>
      <w:r>
        <w:rPr>
          <w:rFonts w:ascii="IRNazanin" w:hAnsi="IRNazanin" w:eastAsia="IRNazanin"/>
          <w:color w:val="111111"/>
          <w:sz w:val="28"/>
          <w:sz w:val="28"/>
          <w:szCs w:val="28"/>
          <w:rtl w:val="true"/>
          <w:lang w:bidi="fa-IR"/>
        </w:rPr>
        <w:t>و ناچار بودند که از نوشته‌های اشاعره و یا دیگر فرق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عبد الکریم عثمان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تحقیق کرده و در قاهره چاپ‌شده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شاگرد قاضی و نویسندۀ این کتاب شیعه زیدی بود و در بحث امامت نظریات استاد را نپذیرفت و خود، این بخش را بر محور افکار زیدیه نگاشته است و در حقیقت این بخش از کتاب مربوط به قاضی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المغنی فی أبواب التوحید و العدل، این کتاب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بوده و قرنها بود که از آن اثری در دست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مصری از طریقی آگاه شدند که نسخۀ خطی این کتاب در یمن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هیأت علمی بلند پایه‌ای از طرف دولت مصر مأمور شد که به یمن برود و از این آثار عکس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این سفر علمی این شد که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موجودآن میکرو فیلم گرفته شد و همگی در قاهره منتشر گشت و هنوز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دیگر آن پیدا نشده است و این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جلد اخیر، مربوط به عقیدۀ امامیه است که به وسیلۀ سید مرتضی نقد شده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گردیده است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شیخ طوسی خلاصه شده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المحیط بالتکلیف، این کتاب در مصر به وسیلۀ سید عزمی تحقیق و منتشر گشته است، گویا قاضی املا کرده و حسن بن احمد بن ثنویه نگارش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متشابه القرآن که در قاهره به وسیلۀ عدنان محمد زرزور چاپ و منتشر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تنزیه القرآن عن المطاعن، در بیروت چاپ و منتشر شده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الاعتزال و طبقات المعتزلة، این کتاب در حقیقت اساس</w:t>
      </w:r>
    </w:p>
    <w:p>
      <w:pPr>
        <w:pStyle w:val="BookText"/>
        <w:rPr/>
      </w:pPr>
      <w:r>
        <w:rPr>
          <w:rFonts w:ascii="IRNazanin" w:hAnsi="IRNazanin" w:eastAsia="IRNazanin"/>
          <w:color w:val="111111"/>
          <w:sz w:val="28"/>
          <w:sz w:val="28"/>
          <w:szCs w:val="28"/>
          <w:rtl w:val="true"/>
          <w:lang w:bidi="fa-IR"/>
        </w:rPr>
        <w:t>طبقات المعتزلة ابن المرتضی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فؤاد سید این کتاب را تحقیق و به همین نام منتشر کرد و کتاب ذکر المعتزلۀ کعبی را نیز به آن ضمیمه نمود و به این اکتفا نکرد، بلکه طبقۀ یازدهم و دوازدهم از مشایخ معتزله را که به قلم حاکم جشمی نگارش یافته بود، بر آن افزود و در حقیقت این کتاب از سه رساله تشکیل یافته وبا توجه به طبقات معتزلۀ ابن مرتضی، می‌توان بر تاریخ معتزله از عصر واصل تا عصر ابن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فضل قاضی همین بس که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درس خوانده و مذاکرات خویش با استاد را در کتاب مجازات نبویه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به صفحات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ما با مشایخ و بنیانگذاران مذهب اعتزال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رصیده است که با دیگر دانشمندان آنان از طبقات مختلف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هر چند صاحب آرای جدیدی نبودند، ولی در عین حال در توضیح و تبیین مذهب کوشا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ما این فصل را از فصل پیش جدا می‌سازیم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فصل گذشته پیرامون بنیانگذاران و پی افکنان مکتب اعتزال سخن گفتیم، در این فصل به ترجمۀ برخی از دانشمندان آنان می‌پردازیم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ممکن است در این جدا سازی دچار اشتباه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فصل به ترجمۀ بسیار اندکی از آنان می‌پردازیم</w:t>
      </w:r>
      <w:r>
        <w:rPr>
          <w:rFonts w:eastAsia="IRNazanin" w:cs="IRNazanin"/>
          <w:color w:val="111111"/>
          <w:sz w:val="28"/>
          <w:szCs w:val="28"/>
          <w:rtl w:val="true"/>
          <w:lang w:bidi="fa-IR"/>
        </w:rPr>
        <w:t>.</w:t>
      </w:r>
      <w:bookmarkStart w:id="598" w:name="pg17029_176828"/>
    </w:p>
    <w:p>
      <w:pPr>
        <w:pStyle w:val="Heading3"/>
        <w:numPr>
          <w:ilvl w:val="2"/>
          <w:numId w:val="1"/>
        </w:numPr>
        <w:rPr/>
      </w:pPr>
      <w:bookmarkStart w:id="599" w:name="__RefHeading___Toc1119998_1738255347"/>
      <w:bookmarkStart w:id="600" w:name="_Toc229"/>
      <w:bookmarkEnd w:id="598"/>
      <w:bookmarkEnd w:id="599"/>
      <w:r>
        <w:rPr>
          <w:rtl w:val="true"/>
        </w:rPr>
        <w:t>دانشمندان معتزله</w:t>
      </w:r>
      <w:bookmarkEnd w:id="600"/>
    </w:p>
    <w:p>
      <w:pPr>
        <w:pStyle w:val="Heading4"/>
        <w:numPr>
          <w:ilvl w:val="3"/>
          <w:numId w:val="1"/>
        </w:numPr>
        <w:rPr/>
      </w:pPr>
      <w:bookmarkStart w:id="601" w:name="__RefHeading___Toc1120000_1738255347"/>
      <w:bookmarkStart w:id="602" w:name="_Toc230"/>
      <w:bookmarkEnd w:id="601"/>
      <w:r>
        <w:rPr/>
        <w:t>1</w:t>
      </w:r>
      <w:r>
        <w:rPr>
          <w:rtl w:val="true"/>
        </w:rPr>
        <w:t xml:space="preserve"> - </w:t>
      </w:r>
      <w:r>
        <w:rPr>
          <w:rtl w:val="true"/>
        </w:rPr>
        <w:t xml:space="preserve">ابو سهل بشر بن معتمر </w:t>
      </w:r>
      <w:r>
        <w:rPr>
          <w:rtl w:val="true"/>
        </w:rPr>
        <w:t>(</w:t>
      </w:r>
      <w:r>
        <w:rPr>
          <w:rtl w:val="true"/>
        </w:rPr>
        <w:t>م</w:t>
      </w:r>
      <w:r>
        <w:rPr>
          <w:rtl w:val="true"/>
        </w:rPr>
        <w:t xml:space="preserve">/ </w:t>
      </w:r>
      <w:r>
        <w:rPr/>
        <w:t>210</w:t>
      </w:r>
      <w:r>
        <w:rPr>
          <w:rtl w:val="true"/>
        </w:rPr>
        <w:t xml:space="preserve"> </w:t>
      </w:r>
      <w:r>
        <w:rPr>
          <w:rtl w:val="true"/>
        </w:rPr>
        <w:t>ه</w:t>
      </w:r>
      <w:r>
        <w:rPr>
          <w:rtl w:val="true"/>
        </w:rPr>
        <w:t>)</w:t>
      </w:r>
      <w:bookmarkEnd w:id="602"/>
    </w:p>
    <w:p>
      <w:pPr>
        <w:pStyle w:val="BookText"/>
        <w:rPr/>
      </w:pPr>
      <w:r>
        <w:rPr>
          <w:rFonts w:ascii="IRNazanin" w:hAnsi="IRNazanin" w:eastAsia="IRNazanin"/>
          <w:color w:val="111111"/>
          <w:sz w:val="28"/>
          <w:sz w:val="28"/>
          <w:szCs w:val="28"/>
          <w:rtl w:val="true"/>
          <w:lang w:bidi="fa-IR"/>
        </w:rPr>
        <w:t>ابو سهل پایه‌گذار مکتب اعتزال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بلخی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بغداد و گاهی گفته می‌شود از اهل کوفه بود و اشعار فراوانی دارد که با آن اشعار، بر دیگر مذاهب احتجاج می‌شود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 الجبار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رهبر معتزلۀ بغداد بود و قصیده ای دارد که می‌گویند در حدود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بود و در حقیقت ملل و نحل را در آن به نظم آوره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به خاطر علاقه بشر به اهل‌بیت، او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اشعاری در زندان نوشت و توجه رشید را جلب کرد و آزاد شد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ذهبی در لسان المیزان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اصولا مکتبهای بصره و بغداد هر دو نسبت به اعتزال وفادارند، اما معتزلۀ بغداد نسبت به ائمۀ اهل‌بیت بیشتر مهر و محبت می‌ورزند</w:t>
      </w:r>
      <w:r>
        <w:rPr>
          <w:rFonts w:eastAsia="IRNazanin" w:cs="IRNazanin"/>
          <w:color w:val="111111"/>
          <w:sz w:val="28"/>
          <w:szCs w:val="28"/>
          <w:rtl w:val="true"/>
          <w:lang w:bidi="fa-IR"/>
        </w:rPr>
        <w:t>.</w:t>
      </w:r>
    </w:p>
    <w:p>
      <w:pPr>
        <w:pStyle w:val="Heading4"/>
        <w:numPr>
          <w:ilvl w:val="3"/>
          <w:numId w:val="1"/>
        </w:numPr>
        <w:rPr/>
      </w:pPr>
      <w:bookmarkStart w:id="603" w:name="__RefHeading___Toc1120002_1738255347"/>
      <w:bookmarkStart w:id="604" w:name="_Toc231"/>
      <w:bookmarkEnd w:id="603"/>
      <w:r>
        <w:rPr/>
        <w:t>2</w:t>
      </w:r>
      <w:r>
        <w:rPr>
          <w:rtl w:val="true"/>
        </w:rPr>
        <w:t xml:space="preserve"> - </w:t>
      </w:r>
      <w:r>
        <w:rPr>
          <w:rtl w:val="true"/>
        </w:rPr>
        <w:t xml:space="preserve">معمر بن عباد سلمی </w:t>
      </w:r>
      <w:r>
        <w:rPr>
          <w:rtl w:val="true"/>
        </w:rPr>
        <w:t>(</w:t>
      </w:r>
      <w:r>
        <w:rPr>
          <w:rtl w:val="true"/>
        </w:rPr>
        <w:t>م</w:t>
      </w:r>
      <w:r>
        <w:rPr>
          <w:rtl w:val="true"/>
        </w:rPr>
        <w:t xml:space="preserve">/ </w:t>
      </w:r>
      <w:r>
        <w:rPr/>
        <w:t>215</w:t>
      </w:r>
      <w:r>
        <w:rPr>
          <w:rtl w:val="true"/>
        </w:rPr>
        <w:t xml:space="preserve"> </w:t>
      </w:r>
      <w:r>
        <w:rPr>
          <w:rtl w:val="true"/>
        </w:rPr>
        <w:t>ه</w:t>
      </w:r>
      <w:r>
        <w:rPr>
          <w:rtl w:val="true"/>
        </w:rPr>
        <w:t>)</w:t>
      </w:r>
      <w:bookmarkEnd w:id="60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کنیۀ او ابو عمرو استاد بشر بن معتمر و هشام بن عمرو وابو الحسین مدائنی</w:t>
      </w:r>
    </w:p>
    <w:p>
      <w:pPr>
        <w:pStyle w:val="BookText"/>
        <w:rPr/>
      </w:pPr>
      <w:r>
        <w:rPr>
          <w:rFonts w:ascii="IRNazanin" w:hAnsi="IRNazanin" w:eastAsia="IRNazanin"/>
          <w:color w:val="111111"/>
          <w:sz w:val="28"/>
          <w:sz w:val="28"/>
          <w:szCs w:val="28"/>
          <w:rtl w:val="true"/>
          <w:lang w:bidi="fa-IR"/>
        </w:rPr>
        <w:t>بود و در مناظره دست توانایی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 الجبار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هر نوع مجادله در دین را ممنوع ساخت و متکلمان را از هرگونه بحث کردن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وسیلۀ یکی از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او رسید که در آن نامه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رئیس قومی هستی که از در انصاف وارد نمی‌شوند و مقلد دیگرانند و پیروزی آنها به وسیلۀ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بر دین خود اطمینان داری، کسی را به سوی من اعزام کن تا با او به مناظره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تشخیص دادم که آیین تو حق است، با کسانی‌که با من هستند پیرو تو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یکی از قاضیان بغداد را به سند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حضور ملک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یک نفر از سمنی‌ها نشسته بود و گویا او ملک را به نگارش نامه به هارون وادار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سند قاضی را به احترام پذیرفت و در بالای مجلس نشانید، به مرد سمنی دستور داد که با او مناظره کند که اینک مناظرۀ او را به صورت فشرده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خبر بده، آیا قادر و تواناست یا نه؟</w:t>
      </w:r>
    </w:p>
    <w:p>
      <w:pPr>
        <w:pStyle w:val="BookText"/>
        <w:rPr/>
      </w:pPr>
      <w:r>
        <w:rPr>
          <w:rFonts w:ascii="IRNazanin" w:hAnsi="IRNazanin" w:eastAsia="IRNazanin"/>
          <w:color w:val="111111"/>
          <w:sz w:val="28"/>
          <w:sz w:val="28"/>
          <w:szCs w:val="28"/>
          <w:rtl w:val="true"/>
          <w:lang w:bidi="fa-IR"/>
        </w:rPr>
        <w:t>قاضی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قادر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قادر است مانند خود را خلق کند؟</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مربوط به علم کلام است و بحث دربارۀ آن بدعت است و اساتید ما این علم را تحریم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استادان تو چه کسانی هستند؟</w:t>
      </w:r>
    </w:p>
    <w:p>
      <w:pPr>
        <w:pStyle w:val="BookText"/>
        <w:rPr/>
      </w:pPr>
      <w:r>
        <w:rPr>
          <w:rFonts w:ascii="IRNazanin" w:hAnsi="IRNazanin" w:eastAsia="IRNazanin"/>
          <w:color w:val="111111"/>
          <w:sz w:val="28"/>
          <w:sz w:val="28"/>
          <w:szCs w:val="28"/>
          <w:rtl w:val="true"/>
          <w:lang w:bidi="fa-IR"/>
        </w:rPr>
        <w:t>قبل از آنکه قاضی پاسخ بگوید، سمنی رو به پادشاه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به تو گفتم که اینها افرادی جاهل و مقلد هستند و در سایۀ شمشیر پیش می‌روند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ملک به قاضی دستور داد که به بغداد برگردد و نامه ای نیز به هارون الرشید نوشت و در آن چنین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مکاتبه را من گشودم و هنگام نگارش</w:t>
      </w:r>
    </w:p>
    <w:p>
      <w:pPr>
        <w:pStyle w:val="BookText"/>
        <w:rPr/>
      </w:pPr>
      <w:r>
        <w:rPr>
          <w:rFonts w:ascii="IRNazanin" w:hAnsi="IRNazanin" w:eastAsia="IRNazanin"/>
          <w:color w:val="111111"/>
          <w:sz w:val="28"/>
          <w:sz w:val="28"/>
          <w:szCs w:val="28"/>
          <w:rtl w:val="true"/>
          <w:lang w:bidi="fa-IR"/>
        </w:rPr>
        <w:t>نامه به آنچه که از شما برای من نقل می‌کردند اطمینان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حضور این قاضی که شما فرستادید، برای من یقین شد و جریان مناظره را در نامه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به دست رشید رسید، سخت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اسلام کسی را ندارد که از آن دفاع کند؟ اطرافیان رشید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مدافعان، همانها هستند که آنها را از مناظره ممنوع ساختی و گروهی را زندانی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زندان بیرون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همگی در محضر رشید جمع شدند، رشید سؤال آن سمنی را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سؤال چه می‌گویید؟ جوانی در میان آنان قبل از همه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 مثل خداوند محال است، زیرا مخلوق حادث می‌شود و حادث نمی‌تواند مانند قدیم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مثل خود را خلق کند یا نمی‌تواند؟ همچنان که درست نیست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خود را عاجز و ناتوان و جاهل و نادان سازد؟</w:t>
      </w:r>
    </w:p>
    <w:p>
      <w:pPr>
        <w:pStyle w:val="BookText"/>
        <w:rPr/>
      </w:pPr>
      <w:r>
        <w:rPr>
          <w:rFonts w:ascii="IRNazanin" w:hAnsi="IRNazanin" w:eastAsia="IRNazanin"/>
          <w:color w:val="111111"/>
          <w:sz w:val="28"/>
          <w:sz w:val="28"/>
          <w:szCs w:val="28"/>
          <w:rtl w:val="true"/>
          <w:lang w:bidi="fa-IR"/>
        </w:rPr>
        <w:t>هارون الرشید ذوق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جوان را برای مناظره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رشید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این جوان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سؤالات دیگری نیز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اتفاق نظر پیدا کردند که معمر بن عباد سلمی را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معمر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بود که جاسوسان ملک او را از اعزام چنین فردی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سمنی از ترس اینکه مبادا محکوم شود به دست‌وپا افتاد، زیرا قبلا پاسخ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طریق عوامل خود او را مسموم کرد واو در سرزمین غربت درگذشت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المرتضی، المنیة و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3331</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به نکته‌ای اشاره کرد و آن اینکه وقتی جاهلان بر اریکۀ قدرت تکیه کنند و نادانها به عنوان خلیفۀ پیامبر معرفی شوند، طبعا باید دانشمندان از صحنه کنار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معمر و امثال او زندانی شوند، بلکه حجتهای الهی مانند</w:t>
      </w:r>
      <w:bookmarkStart w:id="605" w:name="pg17029_176831"/>
    </w:p>
    <w:p>
      <w:pPr>
        <w:pStyle w:val="BookText"/>
        <w:rPr/>
      </w:pPr>
      <w:bookmarkEnd w:id="605"/>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امر رشید زندانی شوند و در آنجا جان به جان‌آفرین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علاقمندان مقام و منصب لا أقل دست پیشوایان معصوم را در تعلیم و تربیت باز می‌گذاشتند، این نوع آبرو ریزیها پیش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از فارغ التحصلان مکتب اعتزال بصره بود</w:t>
      </w:r>
      <w:r>
        <w:rPr>
          <w:rFonts w:eastAsia="IRNazanin" w:cs="IRNazanin"/>
          <w:color w:val="111111"/>
          <w:sz w:val="28"/>
          <w:szCs w:val="28"/>
          <w:rtl w:val="true"/>
          <w:lang w:bidi="fa-IR"/>
        </w:rPr>
        <w:t>.</w:t>
      </w:r>
    </w:p>
    <w:p>
      <w:pPr>
        <w:pStyle w:val="Heading4"/>
        <w:numPr>
          <w:ilvl w:val="3"/>
          <w:numId w:val="1"/>
        </w:numPr>
        <w:rPr/>
      </w:pPr>
      <w:bookmarkStart w:id="606" w:name="__RefHeading___Toc1120004_1738255347"/>
      <w:bookmarkStart w:id="607" w:name="_Toc232"/>
      <w:bookmarkEnd w:id="606"/>
      <w:r>
        <w:rPr/>
        <w:t>3</w:t>
      </w:r>
      <w:r>
        <w:rPr>
          <w:rtl w:val="true"/>
        </w:rPr>
        <w:t xml:space="preserve"> - </w:t>
      </w:r>
      <w:r>
        <w:rPr>
          <w:rtl w:val="true"/>
        </w:rPr>
        <w:t xml:space="preserve">ثمامة بن اشرس ابو معن نمیری </w:t>
      </w:r>
      <w:r>
        <w:rPr>
          <w:rtl w:val="true"/>
        </w:rPr>
        <w:t>(</w:t>
      </w:r>
      <w:r>
        <w:rPr>
          <w:rtl w:val="true"/>
        </w:rPr>
        <w:t>م</w:t>
      </w:r>
      <w:r>
        <w:rPr>
          <w:rtl w:val="true"/>
        </w:rPr>
        <w:t xml:space="preserve">/ </w:t>
      </w:r>
      <w:r>
        <w:rPr/>
        <w:t>213</w:t>
      </w:r>
      <w:r>
        <w:rPr>
          <w:rtl w:val="true"/>
        </w:rPr>
        <w:t xml:space="preserve"> </w:t>
      </w:r>
      <w:r>
        <w:rPr>
          <w:rtl w:val="true"/>
        </w:rPr>
        <w:t>ه</w:t>
      </w:r>
      <w:r>
        <w:rPr>
          <w:rtl w:val="true"/>
        </w:rPr>
        <w:t>)</w:t>
      </w:r>
      <w:bookmarkEnd w:id="607"/>
    </w:p>
    <w:p>
      <w:pPr>
        <w:pStyle w:val="BookText"/>
        <w:rPr/>
      </w:pPr>
      <w:r>
        <w:rPr>
          <w:rFonts w:ascii="IRNazanin" w:hAnsi="IRNazanin" w:eastAsia="IRNazanin"/>
          <w:color w:val="111111"/>
          <w:sz w:val="28"/>
          <w:sz w:val="28"/>
          <w:szCs w:val="28"/>
          <w:rtl w:val="true"/>
          <w:lang w:bidi="fa-IR"/>
        </w:rPr>
        <w:t>او از تربیت‌یافتگان مکتب اعتزال بغداد و نویسندۀ بلیغی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از فضل او آگاه شد، او را به و زارت دعوت کرد، ولی او نپذیرفت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ندیم، الفهرست، فن اول از مقاله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منصور بغدادی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رهبر قدریه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مأمون و معتصم و واثق بود واو بود که مأمون را به اعتزال دعوت کرد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سخن ابو منصور با تاریخ خلفای سه‌گانه تطبیق نمی‌کند، زیرا مأمون در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معتصم و واثق، به ترتیب پس از مأمون زمام خلافت را به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رهبر معتزله در عصر این دو خلیفۀ اخیر باشد، مگر اینکه توجیه شود که شاگردان او پرچمدار اعتزال در عصر معتصم و واثق بودند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مرتضی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ثمامة بن اشرس مکنی به ابو معن نمیری، یگانۀ روزگار در علم و ادب بود و در جدل دست والایی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بلخی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روزی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مسألۀ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افعال انسان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کلمه برای شما خلاصه می‌کنم و برای انسان ضعیف چیزی بر آن می</w:t>
      </w:r>
    </w:p>
    <w:p>
      <w:pPr>
        <w:pStyle w:val="BookText"/>
        <w:rPr/>
      </w:pPr>
      <w:r>
        <w:rPr>
          <w:rFonts w:ascii="IRNazanin" w:hAnsi="IRNazanin" w:eastAsia="IRNazanin"/>
          <w:color w:val="111111"/>
          <w:sz w:val="28"/>
          <w:sz w:val="28"/>
          <w:szCs w:val="28"/>
          <w:rtl w:val="true"/>
          <w:lang w:bidi="fa-IR"/>
        </w:rPr>
        <w:t>افزایم،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ضعیف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اکثم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القضاة عصر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باره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انسان از خوب و بد از سه حالت بیرون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همگی از جانب خداست و بشر در آن نقشی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از جانب آنها و هم از جانب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از جانب خود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نخست مستحق پاداش و کیفر نخواهند بود، زیرا کاری را صورت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دوم با ید خدا و بشر هر دو مستحق پاداش و کیفر و یا نکوهش و ستایش شوند در حالی که خدا بالاتر از آن است که دارای چنین استحقاقی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سومی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کیفر و پاداش و مدح و ذم، متوجه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 ثمامه در اینجا اثبات تفویض بود، بدین معنا که کار بشر از جانب خدا منقطع است و انسان در انجام آن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مأمون فرد درس خوانده‌ای بود سخنی نیست، اما او فاقدآن ملکۀ فلسفی و کلامی بود که برهان ثمامه را تجزیه‌وتحلیل کند و تفویض را رد کرده و امر بین الأمرین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همین برهان را بر امام هشتم یا 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می‌کرد، آنان به تحلیل بیان او می‌پرداختند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شق دوم است، زیرا نمی‌توان نیاز ممکن را بر واجب در ذات و فعل انکار کرد و بی‌نیازی ممکن در ایجاد از واجب، مستلزم بی‌نیازی ذات او از ذات واجب خواهد بود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می‌شود ذات انسان وابسته به واجب باشد، ولی در فعل خود مستقل و پا برجا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فعل، به هر دو انتساب دارد امّا مسؤولیت فعل از آن کسی است که قدرت مطلقه را رنگ‌آمیزی کرده و آن را در قالب اکل و شرب، صوم و صلاة یا</w:t>
      </w:r>
      <w:bookmarkStart w:id="608" w:name="pg17029_176833"/>
    </w:p>
    <w:p>
      <w:pPr>
        <w:pStyle w:val="BookText"/>
        <w:rPr/>
      </w:pPr>
      <w:bookmarkEnd w:id="608"/>
      <w:r>
        <w:rPr>
          <w:rFonts w:ascii="IRNazanin" w:hAnsi="IRNazanin" w:eastAsia="IRNazanin"/>
          <w:color w:val="111111"/>
          <w:sz w:val="28"/>
          <w:sz w:val="28"/>
          <w:szCs w:val="28"/>
          <w:rtl w:val="true"/>
          <w:lang w:bidi="fa-IR"/>
        </w:rPr>
        <w:t>ازدواج و زنا در می‌آورد و پاداش و کیفر برای این رنگ آمیزیهاست و شکی نیست که این نوع رنگ‌آمیزی، از آن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که می‌نوشد و می‌خورد و نماز می‌گزارد و روزه می‌گیرد و ازدواج می‌کند، 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 پاداش و کیفر از آن جزء اخیر از علت تامه است و آن بندۀ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اتفاقا چنین مناظره‌ای میان ابو حنیفه و امام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نوجوانی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به‌تفصیل مناظره، می‌توانند به مدرک یاد شده در زیر مراجعه کنند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609" w:name="__RefHeading___Toc1120006_1738255347"/>
      <w:bookmarkStart w:id="610" w:name="_Toc233"/>
      <w:bookmarkEnd w:id="609"/>
      <w:r>
        <w:rPr/>
        <w:t>4</w:t>
      </w:r>
      <w:r>
        <w:rPr>
          <w:rtl w:val="true"/>
        </w:rPr>
        <w:t xml:space="preserve"> - </w:t>
      </w:r>
      <w:r>
        <w:rPr>
          <w:rtl w:val="true"/>
        </w:rPr>
        <w:t xml:space="preserve">ابو بکر عبد الرحمن بن کیسان الأصم </w:t>
      </w:r>
      <w:r>
        <w:rPr>
          <w:rtl w:val="true"/>
        </w:rPr>
        <w:t>(</w:t>
      </w:r>
      <w:r>
        <w:rPr>
          <w:rtl w:val="true"/>
        </w:rPr>
        <w:t>م</w:t>
      </w:r>
      <w:r>
        <w:rPr>
          <w:rtl w:val="true"/>
        </w:rPr>
        <w:t xml:space="preserve">/ </w:t>
      </w:r>
      <w:r>
        <w:rPr/>
        <w:t>225</w:t>
      </w:r>
      <w:r>
        <w:rPr>
          <w:rtl w:val="true"/>
        </w:rPr>
        <w:t xml:space="preserve"> </w:t>
      </w:r>
      <w:r>
        <w:rPr>
          <w:rtl w:val="true"/>
        </w:rPr>
        <w:t>ه</w:t>
      </w:r>
      <w:r>
        <w:rPr>
          <w:rtl w:val="true"/>
        </w:rPr>
        <w:t>)</w:t>
      </w:r>
      <w:bookmarkEnd w:id="610"/>
    </w:p>
    <w:p>
      <w:pPr>
        <w:pStyle w:val="BookText"/>
        <w:rPr/>
      </w:pPr>
      <w:r>
        <w:rPr>
          <w:rFonts w:ascii="IRNazanin" w:hAnsi="IRNazanin" w:eastAsia="IRNazanin"/>
          <w:color w:val="111111"/>
          <w:sz w:val="28"/>
          <w:sz w:val="28"/>
          <w:szCs w:val="28"/>
          <w:rtl w:val="true"/>
          <w:lang w:bidi="fa-IR"/>
        </w:rPr>
        <w:t>قاضی عبدالجبار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 فصیح و فقیه وبا تقوایی بود و از آرای او نفی اعراض است و اشکالی که اصحاب ما بر او گرفته‌اند، اعراض او از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هنگام مناظره با هشام بن حکم گاهی برتری از او و گاهی از هشام بود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سخن قاضی در اینجا خالی از تعصب نیست، زیرا در تاریخ مناظره کسی بر هشام پیروز نبوده تا چه رسد به ابو بکر 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قاضی نتوانسته است پیش از این نرمش نشان دهد</w:t>
      </w:r>
      <w:r>
        <w:rPr>
          <w:rFonts w:eastAsia="IRNazanin" w:cs="IRNazanin"/>
          <w:color w:val="111111"/>
          <w:sz w:val="28"/>
          <w:szCs w:val="28"/>
          <w:rtl w:val="true"/>
          <w:lang w:bidi="fa-IR"/>
        </w:rPr>
        <w:t>.</w:t>
      </w:r>
    </w:p>
    <w:p>
      <w:pPr>
        <w:pStyle w:val="Heading4"/>
        <w:numPr>
          <w:ilvl w:val="3"/>
          <w:numId w:val="1"/>
        </w:numPr>
        <w:rPr/>
      </w:pPr>
      <w:bookmarkStart w:id="611" w:name="__RefHeading___Toc1120008_1738255347"/>
      <w:bookmarkStart w:id="612" w:name="_Toc234"/>
      <w:bookmarkEnd w:id="611"/>
      <w:r>
        <w:rPr/>
        <w:t>5</w:t>
      </w:r>
      <w:r>
        <w:rPr>
          <w:rtl w:val="true"/>
        </w:rPr>
        <w:t xml:space="preserve"> - </w:t>
      </w:r>
      <w:r>
        <w:rPr>
          <w:rtl w:val="true"/>
        </w:rPr>
        <w:t xml:space="preserve">ابو موسی عیسی بن صبیح المزدار </w:t>
      </w:r>
      <w:r>
        <w:rPr>
          <w:rtl w:val="true"/>
        </w:rPr>
        <w:t>(</w:t>
      </w:r>
      <w:r>
        <w:rPr>
          <w:rtl w:val="true"/>
        </w:rPr>
        <w:t>م</w:t>
      </w:r>
      <w:r>
        <w:rPr>
          <w:rtl w:val="true"/>
        </w:rPr>
        <w:t xml:space="preserve">/ </w:t>
      </w:r>
      <w:r>
        <w:rPr/>
        <w:t>226</w:t>
      </w:r>
      <w:r>
        <w:rPr>
          <w:rtl w:val="true"/>
        </w:rPr>
        <w:t xml:space="preserve"> </w:t>
      </w:r>
      <w:r>
        <w:rPr>
          <w:rtl w:val="true"/>
        </w:rPr>
        <w:t>ه</w:t>
      </w:r>
      <w:r>
        <w:rPr>
          <w:rtl w:val="true"/>
        </w:rPr>
        <w:t>)</w:t>
      </w:r>
      <w:bookmarkEnd w:id="61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شخصیتهای علمی معتزله عیسی بن صبیح است که به عبادت و زهد نیز اشتهار داشت،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الهذیل مجلس او را دید و در آن شرکت کرد آنگاه که</w:t>
      </w:r>
      <w:bookmarkStart w:id="613" w:name="pg17029_176834"/>
    </w:p>
    <w:p>
      <w:pPr>
        <w:pStyle w:val="BookText"/>
        <w:rPr/>
      </w:pPr>
      <w:bookmarkEnd w:id="613"/>
      <w:r>
        <w:rPr>
          <w:rFonts w:ascii="IRNazanin" w:hAnsi="IRNazanin" w:eastAsia="IRNazanin"/>
          <w:color w:val="111111"/>
          <w:sz w:val="28"/>
          <w:sz w:val="28"/>
          <w:szCs w:val="28"/>
          <w:rtl w:val="true"/>
          <w:lang w:bidi="fa-IR"/>
        </w:rPr>
        <w:t>او پیرامون عدل الهی و تفضلش سخن می‌گفت، وقتی لحظۀ مرگش رسید، تمام اموال خود را به فقیران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تلامیذ معروف او جعفر بن حرب و جعفر بن مبشر است و از نظر طبقه بندی، جزء طبقه ششم می‌باشد</w:t>
      </w:r>
      <w:r>
        <w:rPr>
          <w:rFonts w:eastAsia="IRNazanin" w:cs="IRNazanin"/>
          <w:color w:val="111111"/>
          <w:sz w:val="28"/>
          <w:szCs w:val="28"/>
          <w:rtl w:val="true"/>
          <w:lang w:bidi="fa-IR"/>
        </w:rPr>
        <w:t>.</w:t>
      </w:r>
    </w:p>
    <w:p>
      <w:pPr>
        <w:pStyle w:val="Heading4"/>
        <w:numPr>
          <w:ilvl w:val="3"/>
          <w:numId w:val="1"/>
        </w:numPr>
        <w:rPr/>
      </w:pPr>
      <w:bookmarkStart w:id="614" w:name="__RefHeading___Toc1120010_1738255347"/>
      <w:bookmarkStart w:id="615" w:name="_Toc235"/>
      <w:bookmarkEnd w:id="614"/>
      <w:r>
        <w:rPr/>
        <w:t>6</w:t>
      </w:r>
      <w:r>
        <w:rPr>
          <w:rtl w:val="true"/>
        </w:rPr>
        <w:t xml:space="preserve"> - </w:t>
      </w:r>
      <w:r>
        <w:rPr>
          <w:rtl w:val="true"/>
        </w:rPr>
        <w:t xml:space="preserve">أبو جعفر محمد بن عبد الله اسکافی </w:t>
      </w:r>
      <w:r>
        <w:rPr>
          <w:rtl w:val="true"/>
        </w:rPr>
        <w:t>(</w:t>
      </w:r>
      <w:r>
        <w:rPr>
          <w:rtl w:val="true"/>
        </w:rPr>
        <w:t>م</w:t>
      </w:r>
      <w:r>
        <w:rPr>
          <w:rtl w:val="true"/>
        </w:rPr>
        <w:t xml:space="preserve">/ </w:t>
      </w:r>
      <w:r>
        <w:rPr/>
        <w:t>240</w:t>
      </w:r>
      <w:r>
        <w:rPr>
          <w:rtl w:val="true"/>
        </w:rPr>
        <w:t xml:space="preserve"> </w:t>
      </w:r>
      <w:r>
        <w:rPr>
          <w:rtl w:val="true"/>
        </w:rPr>
        <w:t>ه</w:t>
      </w:r>
      <w:r>
        <w:rPr>
          <w:rtl w:val="true"/>
        </w:rPr>
        <w:t>)</w:t>
      </w:r>
      <w:bookmarkEnd w:id="615"/>
    </w:p>
    <w:p>
      <w:pPr>
        <w:pStyle w:val="BookText"/>
        <w:rPr/>
      </w:pPr>
      <w:r>
        <w:rPr>
          <w:rFonts w:ascii="IRNazanin" w:hAnsi="IRNazanin" w:eastAsia="IRNazanin"/>
          <w:color w:val="111111"/>
          <w:sz w:val="28"/>
          <w:sz w:val="28"/>
          <w:szCs w:val="28"/>
          <w:rtl w:val="true"/>
          <w:lang w:bidi="fa-IR"/>
        </w:rPr>
        <w:t>او یکی از متکلمین بغداد است و آثار فراوانی دارد خطیب بغدادی، تاریخ درگذشت او را به نحوی که نگارش یافت ضبط کرده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ابو جعفر اسکافی از موالیان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است که او را بر دیگران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قول به تفضیل در میان معتزلۀ بغداد قول معروفی است، ولی ابو جعفر اسکافی در این زمینه سرسخت ترین آنان در سخن و عقیده بود نیز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 الجبار او را جزء طبقه هفتم شمرد ه واو قریب هفتاد کتاب در علم کلام نوشته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او نخستین کسی است که کتاب عثمانیۀ جاحظ را نقض کرد، ولی متأسفانه این کتاب تاکنون به دست ما ترسیده است، ولی محمد هارون مصری که کتاب عثمانیۀ جاحظ را تحقیق و منتشر کرد، برای اکمال هدف، آنچه را که ابن ابی الحدید از نقض عثمانیه در شرح خود آورده است، یکجا جمع کرد 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مقریزی در خطط مصری مطالبی را از لسان او نقل کرده که شایستۀ مقام</w:t>
      </w:r>
      <w:bookmarkStart w:id="616" w:name="pg17029_176835"/>
    </w:p>
    <w:p>
      <w:pPr>
        <w:pStyle w:val="BookText"/>
        <w:rPr/>
      </w:pPr>
      <w:bookmarkEnd w:id="616"/>
      <w:r>
        <w:rPr>
          <w:rFonts w:ascii="IRNazanin" w:hAnsi="IRNazanin" w:eastAsia="IRNazanin"/>
          <w:color w:val="111111"/>
          <w:sz w:val="28"/>
          <w:sz w:val="28"/>
          <w:szCs w:val="28"/>
          <w:rtl w:val="true"/>
          <w:lang w:bidi="fa-IR"/>
        </w:rPr>
        <w:t>علمی او نیست، مثلا نقل کرده است که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ظلم بر بندگان یا اطفال و مجانین قادر نیست، به‌طور مسلّم این نوع تهمتها از تعصب تقریزی به اشعری گری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آثار چاپ شدۀ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الموازنة و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اخیرا به همت محقق آثار اهل‌بیت آقای محمودی منتشر گردید</w:t>
      </w:r>
      <w:r>
        <w:rPr>
          <w:rFonts w:eastAsia="IRNazanin" w:cs="IRNazanin"/>
          <w:color w:val="111111"/>
          <w:sz w:val="28"/>
          <w:szCs w:val="28"/>
          <w:rtl w:val="true"/>
          <w:lang w:bidi="fa-IR"/>
        </w:rPr>
        <w:t>.</w:t>
      </w:r>
    </w:p>
    <w:p>
      <w:pPr>
        <w:pStyle w:val="Heading4"/>
        <w:numPr>
          <w:ilvl w:val="3"/>
          <w:numId w:val="1"/>
        </w:numPr>
        <w:rPr/>
      </w:pPr>
      <w:bookmarkStart w:id="617" w:name="__RefHeading___Toc1120012_1738255347"/>
      <w:bookmarkStart w:id="618" w:name="_Toc236"/>
      <w:bookmarkEnd w:id="617"/>
      <w:r>
        <w:rPr/>
        <w:t>7</w:t>
      </w:r>
      <w:r>
        <w:rPr>
          <w:rtl w:val="true"/>
        </w:rPr>
        <w:t xml:space="preserve"> - </w:t>
      </w:r>
      <w:r>
        <w:rPr>
          <w:rtl w:val="true"/>
        </w:rPr>
        <w:t xml:space="preserve">احمد بن أبی دوأد </w:t>
      </w:r>
      <w:r>
        <w:rPr>
          <w:rtl w:val="true"/>
        </w:rPr>
        <w:t>(</w:t>
      </w:r>
      <w:r>
        <w:rPr/>
        <w:t>160</w:t>
      </w:r>
      <w:r>
        <w:rPr>
          <w:rtl w:val="true"/>
        </w:rPr>
        <w:t>-</w:t>
      </w:r>
      <w:r>
        <w:rPr/>
        <w:t>230</w:t>
      </w:r>
      <w:r>
        <w:rPr>
          <w:rtl w:val="true"/>
        </w:rPr>
        <w:t xml:space="preserve"> </w:t>
      </w:r>
      <w:r>
        <w:rPr>
          <w:rtl w:val="true"/>
        </w:rPr>
        <w:t>ه</w:t>
      </w:r>
      <w:r>
        <w:rPr>
          <w:rtl w:val="true"/>
        </w:rPr>
        <w:t>)</w:t>
      </w:r>
      <w:bookmarkEnd w:id="618"/>
    </w:p>
    <w:p>
      <w:pPr>
        <w:pStyle w:val="BookText"/>
        <w:rPr/>
      </w:pPr>
      <w:r>
        <w:rPr>
          <w:rFonts w:ascii="IRNazanin" w:hAnsi="IRNazanin" w:eastAsia="IRNazanin"/>
          <w:color w:val="111111"/>
          <w:sz w:val="28"/>
          <w:sz w:val="28"/>
          <w:szCs w:val="28"/>
          <w:rtl w:val="true"/>
          <w:lang w:bidi="fa-IR"/>
        </w:rPr>
        <w:t>او از فارغ التحصیلان مکتب اعتزال بغداد بود و در احیای مذهب اعتزال کوشش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یحیی بن اکثم را با اعتزال آشنا کرد و وی را با مأمون مرتبط ساخت و از این طریق، اعتزال رشد فراوانی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کریمتر و شریفتر و سخی تر از او در آن زمان وجود نداشت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ندیم، الفهرست، فن اوّل از مقاله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ابن ندیم به ثناگویی او پرداخته، در مقابل اهل حدیث مانند ذهبی او را به بدترین وضع ترجمه کرده‌اند که ما از نقل عبارت او خود داری می‌کنیم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و در عین حال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صورت معتدلتری ترجمه کرده است و می‌گوید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قاضی القضاة، مردی فصیح و سخنران، شاعر و سخی بود و از سران جهمیه و معتزله به شمار می‌رفت واو کسی است که بر امام اهل سنت احمد بن حنبل شورید و به قتل او فتوا داد و متوکل 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بر او خشم گرفت و اموال او را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درهم بود، مصادره واو را زندانی کرد و سرانجام با بیماری فلج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w:t>
      </w:r>
      <w:r>
        <w:rPr>
          <w:rStyle w:val="FootnoteAnchor"/>
          <w:rtl w:val="true"/>
        </w:rPr>
        <w:footnoteReference w:id="277"/>
      </w:r>
      <w:bookmarkStart w:id="619" w:name="pg17029_176836"/>
    </w:p>
    <w:p>
      <w:pPr>
        <w:pStyle w:val="BookText"/>
        <w:rPr/>
      </w:pPr>
      <w:bookmarkEnd w:id="619"/>
      <w:r>
        <w:rPr>
          <w:rFonts w:ascii="IRNazanin" w:hAnsi="IRNazanin" w:eastAsia="IRNazanin"/>
          <w:color w:val="111111"/>
          <w:sz w:val="28"/>
          <w:sz w:val="28"/>
          <w:szCs w:val="28"/>
          <w:rtl w:val="true"/>
          <w:lang w:bidi="fa-IR"/>
        </w:rPr>
        <w:t>اگر ذهبی دربارۀ او تا این حد بی‌مهری می‌کند، نکتۀ آن این است که او رئیس مذهبش احمد بن حنبل را به محاألممه کشید و اینک صورت محاکمۀ او را که ابن ابی دوأد پیرامون حدوث و قدم قرآن ترتیب داد، در اینجا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دوأد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هر شیئی یا قدیم است یا حادث و از این دو بیرون نیست؟</w:t>
      </w:r>
    </w:p>
    <w:p>
      <w:pPr>
        <w:pStyle w:val="BookText"/>
        <w:rPr/>
      </w:pPr>
      <w:r>
        <w:rPr>
          <w:rFonts w:ascii="IRNazanin" w:hAnsi="IRNazanin" w:eastAsia="IRNazanin"/>
          <w:color w:val="111111"/>
          <w:sz w:val="28"/>
          <w:sz w:val="28"/>
          <w:szCs w:val="28"/>
          <w:rtl w:val="true"/>
          <w:lang w:bidi="fa-IR"/>
        </w:rPr>
        <w:t>احمدبن‌حنبل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دوأد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چیزی نیست؟</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دوأد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 نیست که قدیمی جز خدا وجود ندارد؟</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دوأد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قرآن حادث است چون قدیم منحصر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متکلم نیستم تا با تو مناظره کنم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در حاشیه الکامل مبرد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صور مناظرۀ قاضی با ابن حنبل است و خود می‌رساند که او در مناظره مردی توانا بوده و طرف، بسیار ضعیف و ناتوان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امثال این سبب شده است که حنابله و اشاعره دربارۀ او بدگویی کنند، تا آنجا که بغدادی در کتاب خود دربارۀ وفات او سخنی می‌گوید که به افسانه شبیه‌تر است</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620" w:name="__RefHeading___Toc1120014_1738255347"/>
      <w:bookmarkStart w:id="621" w:name="_Toc237"/>
      <w:bookmarkEnd w:id="620"/>
      <w:r>
        <w:rPr/>
        <w:t>8</w:t>
      </w:r>
      <w:r>
        <w:rPr>
          <w:rtl w:val="true"/>
        </w:rPr>
        <w:t xml:space="preserve"> - </w:t>
      </w:r>
      <w:r>
        <w:rPr>
          <w:rtl w:val="true"/>
        </w:rPr>
        <w:t xml:space="preserve">ابو عثمان عمرو بن بحر جاحظ </w:t>
      </w:r>
      <w:r>
        <w:rPr>
          <w:rtl w:val="true"/>
        </w:rPr>
        <w:t>(</w:t>
      </w:r>
      <w:r>
        <w:rPr>
          <w:rtl w:val="true"/>
        </w:rPr>
        <w:t>م</w:t>
      </w:r>
      <w:r>
        <w:rPr>
          <w:rtl w:val="true"/>
        </w:rPr>
        <w:t xml:space="preserve">/ </w:t>
      </w:r>
      <w:r>
        <w:rPr/>
        <w:t>255</w:t>
      </w:r>
      <w:r>
        <w:rPr>
          <w:rtl w:val="true"/>
        </w:rPr>
        <w:t xml:space="preserve"> </w:t>
      </w:r>
      <w:r>
        <w:rPr>
          <w:rtl w:val="true"/>
        </w:rPr>
        <w:t>ه</w:t>
      </w:r>
      <w:r>
        <w:rPr>
          <w:rtl w:val="true"/>
        </w:rPr>
        <w:t>)</w:t>
      </w:r>
      <w:bookmarkEnd w:id="62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عبد الجبار او را به انسان متفرد در علوم توصیف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علاوه بر تبحر در علم کلام، به تاریخ و ادب و فقه آشنایی کامل داشت و در جد و هزل، انسان توانایی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کتابهایی در توحید، نبوت، نظم قرآن و حدوث آن و فضایل معتزله نوشته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الإعتزال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فضایل معتزله که قاضی به آنها اشاره کرده است، ناظر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ابن الراوندی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نقد کرده و به نام فضیحة المعتزلة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الحسین خیاط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این کتاب برای اولین بار در سال </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منتشر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دو کتاب اول در دست نیست، ولی اخیرا یکی از مستشرقان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هر دو کتاب را درآورده و تا حدی توانسته است ما را با آن دو کتاب قبلی آشنا سازد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ارزندۀ جاحظ کتاب الحیوان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البیان و التبیین در دو جلد و کتاب البخلاء و مجموع الرسائل است و بی‌ارزشترین کتاب او که حاکی از یک نوع اعوجاج در فکر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مستشرقین دربارۀ جاحظ کتابهای فراوانی نوشته‌اند و از مجموع آثار او به دست می‌آید که انسان با هدفی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بی‌هدفی او همین کافی است که ملازم محمد بن عبدالملک زیات بود که ابن خلکان دربارۀ او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عبدالملک مردی قسی القلب و تند خو بود، برکسی رحم نمی‌کردودلش نمی‌سوخت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نشانۀ سست عنصری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همسایگان به او نامه نوشته و خود را همسایۀ او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دیوارهایمان به هم نزدیک است و ترحم از شیوه‌های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شکنجه دادن مخالفان تنوری ساخته و اطراف آن را میخهای تیزی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برکسی خشم می‌گرفت، او</w:t>
      </w:r>
      <w:bookmarkStart w:id="622" w:name="pg17029_176838"/>
    </w:p>
    <w:p>
      <w:pPr>
        <w:pStyle w:val="BookText"/>
        <w:rPr/>
      </w:pPr>
      <w:bookmarkEnd w:id="622"/>
      <w:r>
        <w:rPr>
          <w:rFonts w:ascii="IRNazanin" w:hAnsi="IRNazanin" w:eastAsia="IRNazanin"/>
          <w:color w:val="111111"/>
          <w:sz w:val="28"/>
          <w:sz w:val="28"/>
          <w:szCs w:val="28"/>
          <w:rtl w:val="true"/>
          <w:lang w:bidi="fa-IR"/>
        </w:rPr>
        <w:t>را در تنور می‌کرد به گونه‌ای که نمی‌توانست حرکت کند، اتفاقا متوکل بر او خشم گرفت و سه روز او را در همان تنور زندانی کرد و در آنجا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را از تنور بیرون کشیدند و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قبرش را گود نکرده بودند، نیمه‌شب طعمۀ سگان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گوشه‌ای از زندگانی جلیس و همنشین جاحظ است و به تعبیر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بر دین دوست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علاقمندان به نقاط ضعف جاحظ، به کتاب و فیات الأعیان مراجعه کنند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و 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473371</w:t>
      </w:r>
      <w:r>
        <w:rPr>
          <w:rFonts w:eastAsia="IRNazanin" w:cs="IRNazanin"/>
          <w:color w:val="111111"/>
          <w:sz w:val="28"/>
          <w:szCs w:val="28"/>
          <w:rtl w:val="true"/>
          <w:lang w:bidi="fa-IR"/>
        </w:rPr>
        <w:t>.</w:t>
      </w:r>
    </w:p>
    <w:p>
      <w:pPr>
        <w:pStyle w:val="Heading4"/>
        <w:numPr>
          <w:ilvl w:val="3"/>
          <w:numId w:val="1"/>
        </w:numPr>
        <w:rPr/>
      </w:pPr>
      <w:bookmarkStart w:id="623" w:name="__RefHeading___Toc1120016_1738255347"/>
      <w:bookmarkStart w:id="624" w:name="_Toc238"/>
      <w:bookmarkEnd w:id="623"/>
      <w:r>
        <w:rPr/>
        <w:t>9</w:t>
      </w:r>
      <w:r>
        <w:rPr>
          <w:rtl w:val="true"/>
        </w:rPr>
        <w:t xml:space="preserve"> - </w:t>
      </w:r>
      <w:r>
        <w:rPr>
          <w:rtl w:val="true"/>
        </w:rPr>
        <w:t xml:space="preserve">ابو الحسین خیاط </w:t>
      </w:r>
      <w:r>
        <w:rPr>
          <w:rtl w:val="true"/>
        </w:rPr>
        <w:t>(</w:t>
      </w:r>
      <w:r>
        <w:rPr>
          <w:rtl w:val="true"/>
        </w:rPr>
        <w:t xml:space="preserve">م </w:t>
      </w:r>
      <w:r>
        <w:rPr/>
        <w:t>311</w:t>
      </w:r>
      <w:r>
        <w:rPr>
          <w:rtl w:val="true"/>
        </w:rPr>
        <w:t xml:space="preserve"> </w:t>
      </w:r>
      <w:r>
        <w:rPr>
          <w:rtl w:val="true"/>
        </w:rPr>
        <w:t>ه</w:t>
      </w:r>
      <w:r>
        <w:rPr>
          <w:rtl w:val="true"/>
        </w:rPr>
        <w:t>)</w:t>
      </w:r>
      <w:bookmarkEnd w:id="624"/>
    </w:p>
    <w:p>
      <w:pPr>
        <w:pStyle w:val="BookText"/>
        <w:rPr/>
      </w:pPr>
      <w:r>
        <w:rPr>
          <w:rFonts w:ascii="IRNazanin" w:hAnsi="IRNazanin" w:eastAsia="IRNazanin"/>
          <w:color w:val="111111"/>
          <w:sz w:val="28"/>
          <w:sz w:val="28"/>
          <w:szCs w:val="28"/>
          <w:rtl w:val="true"/>
          <w:lang w:bidi="fa-IR"/>
        </w:rPr>
        <w:t>ابو الحسین خیاط عبد الرحیم ابن محمد، فارغ التحصیل مکتب اعتزال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دربارۀ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فردی عالم و فاضل از اصحاب جعفر بن مبشر ثقفی معتزلی بود که در سال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 و از طرفی استاد ابو القاسم بلخی است</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واو نقدهای بسیاری بر نوشته‌های ابن راوندی و دیگران دارد و از آثار معروف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وسیلۀ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فضیحة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راوندی را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چاپ‌شده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المرتضی نقل می‌کند که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فضیلت‌ترین صحابه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بن أبی‌طالب است، زیرا نمونه‌های فضیلت که</w:t>
      </w:r>
    </w:p>
    <w:p>
      <w:pPr>
        <w:pStyle w:val="BookText"/>
        <w:rPr/>
      </w:pPr>
      <w:r>
        <w:rPr>
          <w:rFonts w:ascii="IRNazanin" w:hAnsi="IRNazanin" w:eastAsia="IRNazanin"/>
          <w:color w:val="111111"/>
          <w:sz w:val="28"/>
          <w:sz w:val="28"/>
          <w:szCs w:val="28"/>
          <w:rtl w:val="true"/>
          <w:lang w:bidi="fa-IR"/>
        </w:rPr>
        <w:t>در میان دیگر صحابه پخش است، در او یک جا جمع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چرا پیشوایی از آن دیگران شد؟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چیزی نمی‌دانم، جز اینکه صحابه خلافت را از آن دیگری دانستند و علی نیز خلافت را به آنان تسلیم کرد و ندیدند که علی عمل صحابه را تخطئه کند یا با آن مخالفت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فهمیدم که کارآنان صحیح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المرتضی، المنیة و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خیاط در پاسخ به سؤال دوم بسیار سست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برترین صحابه بود، تقدیم مفضول بر فاضل کار قبیح و زشتی است حتی آنگاه که بنی‌اسرائیل به پیشوایی طالوت اعتراض کردند و فقر و ناداری او را بهانۀ عدم لیاقت او جلوه دادند، خدا به آنان چنین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اصْطَفاهُ عَلَیْکُمْ وَ زادَهُ بَسْطَةً فِی الْعِلْمِ وَ الْجِسْمِ وَ اللّهُ یُؤْتِی مُلْکَهُ مَنْ یَشاءُ وَ اللّهُ واسِعٌ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بر شما برگزیده و به او علم فراوان و توان جسمی بیشتری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فرمانروایی را به هرکس بخواهد می‌دهد و خدا گشایش دهنده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برتری او در قلمرو علم و قدرت، او را بر شما فرمانروا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آخر کلام خود می‌گوید که علی عمل صحابه را پذیرفت، این نیز حاکی از ناآگاهی او از تاریخ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به عمل آنان اعتراض کرد و صدای اعتراض خود را از طریق خطبه‌ها و کلمات کوتاه خرد به سمع گردانندگان دستگاه خلافت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ابو الحسین خیاط در این مورد قابل اغماض است و این چیزی است که همۀ معتزله از آن دم می‌زنند و شرح ابن ابی الحدید، مملو از این گفتارهاست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انتقادی که می‌توان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این است که او نسبتهای ناروا و باطلی را</w:t>
      </w:r>
      <w:bookmarkStart w:id="625" w:name="pg17029_176840"/>
    </w:p>
    <w:p>
      <w:pPr>
        <w:pStyle w:val="BookText"/>
        <w:rPr/>
      </w:pPr>
      <w:bookmarkEnd w:id="625"/>
      <w:r>
        <w:rPr>
          <w:rFonts w:ascii="IRNazanin" w:hAnsi="IRNazanin" w:eastAsia="IRNazanin"/>
          <w:color w:val="111111"/>
          <w:sz w:val="28"/>
          <w:sz w:val="28"/>
          <w:szCs w:val="28"/>
          <w:rtl w:val="true"/>
          <w:lang w:bidi="fa-IR"/>
        </w:rPr>
        <w:t>به شیعه داده است که روح تشیع از آن بیزار است،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رافضه معتقد است خدایش دارای هیئت و صورت است که گاهی متحرک و گاهی ساکن می‌باشد و پیوسته جا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عقیدۀ رافضه است، مگرآنان که با معتزله ارتباطی داشتند و توحید را معتقد شدند و رافضه آنان را از خود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عقیدۀ باطل را به هشام بن سالم و مؤمن الطاق و علی بن میثم و هشام بن حکم و سکاک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قلمرو عقیده، این نوع عقیدۀ زشت را به شیعه نسبت می‌دهد و در قلمرو احکام و عمل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رافضه معتقدند، یک زن را صد مرد می‌تواند در یک روز به عقد خود در آورند وبا او نزدیکی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استبراء لازم است و نه عده</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دربارۀ این نسبتهای ناروا سخنی نمی‌گوییم، زیرا یی پایه بودن این نسبتها بر اهل تحقیق روشن است</w:t>
      </w:r>
      <w:r>
        <w:rPr>
          <w:rFonts w:eastAsia="IRNazanin" w:cs="IRNazanin"/>
          <w:color w:val="111111"/>
          <w:sz w:val="28"/>
          <w:szCs w:val="28"/>
          <w:rtl w:val="true"/>
          <w:lang w:bidi="fa-IR"/>
        </w:rPr>
        <w:t>.</w:t>
      </w:r>
    </w:p>
    <w:p>
      <w:pPr>
        <w:pStyle w:val="Heading4"/>
        <w:numPr>
          <w:ilvl w:val="3"/>
          <w:numId w:val="1"/>
        </w:numPr>
        <w:rPr/>
      </w:pPr>
      <w:bookmarkStart w:id="626" w:name="__RefHeading___Toc1120018_1738255347"/>
      <w:bookmarkStart w:id="627" w:name="_Toc239"/>
      <w:bookmarkEnd w:id="626"/>
      <w:r>
        <w:rPr/>
        <w:t>10</w:t>
      </w:r>
      <w:r>
        <w:rPr>
          <w:rtl w:val="true"/>
        </w:rPr>
        <w:t xml:space="preserve"> - </w:t>
      </w:r>
      <w:r>
        <w:rPr>
          <w:rtl w:val="true"/>
        </w:rPr>
        <w:t xml:space="preserve">ابو القاسم بلخی کعبی </w:t>
      </w:r>
      <w:r>
        <w:rPr>
          <w:rtl w:val="true"/>
        </w:rPr>
        <w:t>(</w:t>
      </w:r>
      <w:r>
        <w:rPr/>
        <w:t>273</w:t>
      </w:r>
      <w:r>
        <w:rPr>
          <w:rtl w:val="true"/>
        </w:rPr>
        <w:t>-</w:t>
      </w:r>
      <w:r>
        <w:rPr/>
        <w:t>317</w:t>
      </w:r>
      <w:r>
        <w:rPr>
          <w:rtl w:val="true"/>
        </w:rPr>
        <w:t xml:space="preserve"> </w:t>
      </w:r>
      <w:r>
        <w:rPr>
          <w:rtl w:val="true"/>
        </w:rPr>
        <w:t xml:space="preserve">یا </w:t>
      </w:r>
      <w:r>
        <w:rPr/>
        <w:t>219</w:t>
      </w:r>
      <w:r>
        <w:rPr>
          <w:rtl w:val="true"/>
        </w:rPr>
        <w:t xml:space="preserve"> </w:t>
      </w:r>
      <w:r>
        <w:rPr>
          <w:rtl w:val="true"/>
        </w:rPr>
        <w:t>ه</w:t>
      </w:r>
      <w:r>
        <w:rPr>
          <w:rtl w:val="true"/>
        </w:rPr>
        <w:t>)</w:t>
      </w:r>
      <w:bookmarkEnd w:id="627"/>
    </w:p>
    <w:p>
      <w:pPr>
        <w:pStyle w:val="BookText"/>
        <w:rPr/>
      </w:pPr>
      <w:r>
        <w:rPr>
          <w:rFonts w:ascii="IRNazanin" w:hAnsi="IRNazanin" w:eastAsia="IRNazanin"/>
          <w:color w:val="111111"/>
          <w:sz w:val="28"/>
          <w:sz w:val="28"/>
          <w:szCs w:val="28"/>
          <w:rtl w:val="true"/>
          <w:lang w:bidi="fa-IR"/>
        </w:rPr>
        <w:t>عبد الله بن احمد بن محمود ابو القاسم بلخی معروف به کعبی، از سران معتزلۀ بغداد که در علم کلام از خود آثار فراوانی به یادگار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بغداد زیست و آثارش در آنجا منتشر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بلخ بازگشت و در شعبان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آنجا درگذشت</w:t>
      </w:r>
      <w:r>
        <w:rPr>
          <w:rFonts w:eastAsia="IRNazanin" w:cs="IRNazanin"/>
          <w:color w:val="111111"/>
          <w:sz w:val="28"/>
          <w:szCs w:val="28"/>
          <w:rtl w:val="true"/>
          <w:lang w:bidi="fa-IR"/>
        </w:rPr>
        <w:t>.</w:t>
      </w:r>
      <w:r>
        <w:rPr>
          <w:rStyle w:val="FootnoteAnchor"/>
          <w:rtl w:val="true"/>
        </w:rPr>
        <w:footnoteReference w:id="28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که خود اشعری است دربارۀ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گروهی از معتزله به نام کعبیه است، آنها می‌گویند که خدا فاقد اراده است و کارهایش بدون</w:t>
      </w:r>
    </w:p>
    <w:p>
      <w:pPr>
        <w:pStyle w:val="BookText"/>
        <w:rPr/>
      </w:pPr>
      <w:r>
        <w:rPr>
          <w:rFonts w:ascii="IRNazanin" w:hAnsi="IRNazanin" w:eastAsia="IRNazanin"/>
          <w:color w:val="111111"/>
          <w:sz w:val="28"/>
          <w:sz w:val="28"/>
          <w:szCs w:val="28"/>
          <w:rtl w:val="true"/>
          <w:lang w:bidi="fa-IR"/>
        </w:rPr>
        <w:t>اراده و خواست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متکلمین بزرگ ودارای‌آرایی در علم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قبیلۀ بنی کعب بود، ولی در بلخ دیده به جهان گشوده بود، از این جهت او را کعبی و بلخی می‌گویند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شمارۀ 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به خاطر ناآگاهی از عقاید معتزله چنین نظری را به کعبی نسبت داده است، در حالی که کعبی چنین سخنی را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هدف بالاتری دارد، مقصود او این است که کار خدا مسبوق به مشیت و ارادۀ حادث نیست، زیرا حدوث اراده در ذات، موجب تغیر و دگرگونی در ذات حق‌تعالی است و شیئ متجدد و متغیر، حادث است و نمی‌تواند قدیم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مانع از آن نیست که خدا دارای کمال اراده باشد، نه خود اراده حادث را، زیرا اراده از آن نظر کمال است که رمز اختیار و آزادی است و خدا این صفت را به‌طور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شاکر کسبی در کتاب عیون الأخبار جمله‌ای دارد که همین معنا را روشن می‌سازد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ابن حجر در ترجمۀ بلخی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 زیادی به عنوان طعن بر محدثان نوشته است که حاکی از فزونی اطلاعات و تعصب او در مذهب می‌باشد</w:t>
      </w:r>
      <w:r>
        <w:rPr>
          <w:rFonts w:eastAsia="IRNazanin" w:cs="IRNazanin"/>
          <w:color w:val="111111"/>
          <w:sz w:val="28"/>
          <w:szCs w:val="28"/>
          <w:rtl w:val="true"/>
          <w:lang w:bidi="fa-IR"/>
        </w:rPr>
        <w:t>.</w:t>
      </w:r>
      <w:r>
        <w:rPr>
          <w:rStyle w:val="FootnoteAnchor"/>
          <w:rtl w:val="true"/>
        </w:rPr>
        <w:footnoteReference w:id="28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در ترجمۀ محمد بن عبد الرحمان به قبۀ رازی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 سوسنجردی که از اعاظم علمای شیعه و متکلمین امامیه بود و کتابی در امامت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امام هشتم را زیارت نمودم، سپس برای دیدار ابو القاسم به بلخ رفتم و به حضور او رسیدم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بن قبه رازی در امامت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الانصاف را مطالعه کرد و نقدی بر آن نوشت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نقد او را همراه خود به شهرستان ری آورم و به ابن</w:t>
      </w:r>
      <w:bookmarkStart w:id="628" w:name="pg17029_176842"/>
    </w:p>
    <w:p>
      <w:pPr>
        <w:pStyle w:val="BookText"/>
        <w:rPr/>
      </w:pPr>
      <w:bookmarkEnd w:id="628"/>
      <w:r>
        <w:rPr>
          <w:rFonts w:ascii="IRNazanin" w:hAnsi="IRNazanin" w:eastAsia="IRNazanin"/>
          <w:color w:val="111111"/>
          <w:sz w:val="28"/>
          <w:sz w:val="28"/>
          <w:szCs w:val="28"/>
          <w:rtl w:val="true"/>
          <w:lang w:bidi="fa-IR"/>
        </w:rPr>
        <w:t>قبه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نقدی بر نقد نوشت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المستثبت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ومنآن را همراه خود به بلخ آوردم و تسلیم ابو القاسم بلخی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نقضی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ومنآن را به ری آوردم که تسلیم ابن قبه نمایم، وقتی وارد شهر شدم آگاه شدم که او در گذشته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ده نفر از بزرگان معتزله آشنا شدیم که از نظر موقعیت علمی در درجۀ دوم قرار داشتند و در اینجا دامن قلم را کوتاه می‌کنیم، زیرا نگارش حیات مجموع دانشمندان معتزله خود به کتاب مستقلی نیازمند است و فقط برای تکمیل مطلب یادی از دو مکتب بغداد و بصره نموده و اسامی گروهی از فارغ التحصیلان هر دو را به صورت اجمال یادآور می‌شویم</w:t>
      </w:r>
      <w:r>
        <w:rPr>
          <w:rFonts w:eastAsia="IRNazanin" w:cs="IRNazanin"/>
          <w:color w:val="111111"/>
          <w:sz w:val="28"/>
          <w:szCs w:val="28"/>
          <w:rtl w:val="true"/>
          <w:lang w:bidi="fa-IR"/>
        </w:rPr>
        <w:t>.</w:t>
      </w:r>
    </w:p>
    <w:p>
      <w:pPr>
        <w:pStyle w:val="Heading4"/>
        <w:numPr>
          <w:ilvl w:val="3"/>
          <w:numId w:val="1"/>
        </w:numPr>
        <w:rPr/>
      </w:pPr>
      <w:bookmarkStart w:id="629" w:name="__RefHeading___Toc1120020_1738255347"/>
      <w:bookmarkStart w:id="630" w:name="_Toc240"/>
      <w:bookmarkEnd w:id="629"/>
      <w:r>
        <w:rPr>
          <w:rtl w:val="true"/>
        </w:rPr>
        <w:t>طبقات معتزله</w:t>
      </w:r>
      <w:bookmarkEnd w:id="630"/>
    </w:p>
    <w:p>
      <w:pPr>
        <w:pStyle w:val="BookText"/>
        <w:rPr/>
      </w:pPr>
      <w:r>
        <w:rPr>
          <w:rFonts w:ascii="IRNazanin" w:hAnsi="IRNazanin" w:eastAsia="IRNazanin"/>
          <w:color w:val="111111"/>
          <w:sz w:val="28"/>
          <w:sz w:val="28"/>
          <w:szCs w:val="28"/>
          <w:rtl w:val="true"/>
          <w:lang w:bidi="fa-IR"/>
        </w:rPr>
        <w:t>معتزله را می‌توان به دو نوع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نظر طبقه‌بندی زمانی و گاهی به اعتبار مراکزی که در آنجا تحصیل‌کرده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 الجبار آنان را به ده طبقه تقسیم کرده و خود نیز که در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 در آن طبقه و یا در طبقۀ بعد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جشمی بیهقی متوفای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طبقه بر آنها افزوده و مجموعا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رسیده است و ابن المرتضی همۀ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المنیة و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بازگویی این طبقات و شرح حال هر دانشمند معتزلی که در یکی از این طبقات قرارگرفته است، مایۀ گستردگی سخن و از قلمرو کتاب ما بیرون می‌باشد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علاقمندان به دو کتاب یاد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 الجبار که به ضمیمۀ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کعبی چاپ و منتشر شده و کتاب</w:t>
      </w:r>
      <w:bookmarkStart w:id="631" w:name="pg17029_176843"/>
    </w:p>
    <w:p>
      <w:pPr>
        <w:pStyle w:val="BookText"/>
        <w:rPr/>
      </w:pPr>
      <w:bookmarkEnd w:id="6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المنیة و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ابن المرتضی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تقسیم از نظر مرکزی که در آنجا به تحصیل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از دو مرکز فراتر نیست،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نخست زادگاه اعتزال است و واصل بن عطا و عمرو بن عبید و وابو الهذیل علاف و نظام بر خاسته از این مرکزند، ولی در اواخر قرن دوم مرکز دیگری برای معتزله در بغداد تأسیس شد و گروهی از فارغ التحصیلان بصره به آنجا مهاجرت نمودند و نخستین کسی که این مرکز را تأسیس کرد، بشر بن معتمر متوفای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این مرکز گروهی به تحصیل پرداخته و طبعا در قسمتی از مسائل با فارغ التحصیلان بصره اختلاف نظر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مرکز برای خود اساتید و فارغ التحصیلانی دارند که هر گروه با ویژگی خاصی از گروه دیگر متمایز است، ولی معمولا بغدادیها به اهل‌بیت نزدیکتر از بصریها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 اینجا مشایخ و بزرگان هر دو مکتب را فهرست‌وار می‌نگاریم </w:t>
      </w:r>
      <w:r>
        <w:rPr>
          <w:rFonts w:eastAsia="IRNazanin" w:cs="IRNazanin"/>
          <w:color w:val="111111"/>
          <w:sz w:val="28"/>
          <w:szCs w:val="28"/>
          <w:rtl w:val="true"/>
          <w:lang w:bidi="fa-IR"/>
        </w:rPr>
        <w:t>:</w:t>
      </w:r>
    </w:p>
    <w:p>
      <w:pPr>
        <w:pStyle w:val="Heading4"/>
        <w:numPr>
          <w:ilvl w:val="3"/>
          <w:numId w:val="1"/>
        </w:numPr>
        <w:rPr/>
      </w:pPr>
      <w:bookmarkStart w:id="632" w:name="__RefHeading___Toc1120022_1738255347"/>
      <w:bookmarkStart w:id="633" w:name="_Toc241"/>
      <w:bookmarkEnd w:id="632"/>
      <w:r>
        <w:rPr>
          <w:rtl w:val="true"/>
        </w:rPr>
        <w:t>مشایخ اعتزال بصره</w:t>
      </w:r>
      <w:bookmarkEnd w:id="6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واصل بن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الهذیل علاف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سیار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الاسوار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معمرین عباد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فوطی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634" w:name="pg17029_176844"/>
    </w:p>
    <w:p>
      <w:pPr>
        <w:pStyle w:val="BookText"/>
        <w:rPr/>
      </w:pPr>
      <w:bookmarkEnd w:id="634"/>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بحر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یعقوب شحام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علی جبایی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هاشم جبایی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عبد الله الحسینی بن علی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اسحاق بن 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قاضی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635" w:name="__RefHeading___Toc1120024_1738255347"/>
      <w:bookmarkStart w:id="636" w:name="_Toc242"/>
      <w:bookmarkEnd w:id="635"/>
      <w:r>
        <w:rPr>
          <w:rtl w:val="true"/>
        </w:rPr>
        <w:t>مشایخ اعتزال بغداد</w:t>
      </w:r>
      <w:bookmarkEnd w:id="6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بشربن 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ثمامة بن اشرس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أبی دوأد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الحسین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القاسم بلخی کعبی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317</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آگاهی از نقاط اختلاف میان این دو مکتب، به موارد مختلف از شرح نهج البلاغۀ ابن ابی الحدید مراجعه کنید</w:t>
      </w:r>
      <w:r>
        <w:rPr>
          <w:rFonts w:eastAsia="IRNazanin" w:cs="IRNazanin"/>
          <w:color w:val="111111"/>
          <w:sz w:val="28"/>
          <w:szCs w:val="28"/>
          <w:rtl w:val="true"/>
          <w:lang w:bidi="fa-IR"/>
        </w:rPr>
        <w:t>.</w:t>
      </w:r>
      <w:bookmarkStart w:id="637" w:name="pg17029_176845"/>
    </w:p>
    <w:p>
      <w:pPr>
        <w:pStyle w:val="Heading4"/>
        <w:numPr>
          <w:ilvl w:val="3"/>
          <w:numId w:val="1"/>
        </w:numPr>
        <w:rPr/>
      </w:pPr>
      <w:bookmarkStart w:id="638" w:name="__RefHeading___Toc1120026_1738255347"/>
      <w:bookmarkStart w:id="639" w:name="_Toc243"/>
      <w:bookmarkEnd w:id="637"/>
      <w:bookmarkEnd w:id="638"/>
      <w:r>
        <w:rPr>
          <w:rtl w:val="true"/>
        </w:rPr>
        <w:t>آثار به جای مانده از معتزله</w:t>
      </w:r>
      <w:bookmarkEnd w:id="639"/>
    </w:p>
    <w:p>
      <w:pPr>
        <w:pStyle w:val="BookText"/>
        <w:rPr/>
      </w:pPr>
      <w:r>
        <w:rPr>
          <w:rFonts w:ascii="IRNazanin" w:hAnsi="IRNazanin" w:eastAsia="IRNazanin"/>
          <w:color w:val="111111"/>
          <w:sz w:val="28"/>
          <w:sz w:val="28"/>
          <w:szCs w:val="28"/>
          <w:rtl w:val="true"/>
          <w:lang w:bidi="fa-IR"/>
        </w:rPr>
        <w:t xml:space="preserve">مشایخ معتزله از قریحۀ سخنوری بهرۀ کافی داشتند و یکی از احتمالات در بارۀ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پرچمداران این دانش در میان اهل سنت، معتزله بودند که به تکلم و سخنوری معروف بودند و به خاطر فزونی ممارست آنان در خطابه و سخنرانی، نام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با آن سروکار داشتند، از خصوصیتی که دارا بودند الهام گرفته و علم کلام نام‌گذاری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نگارش زندگی شخصیتهای بزرگ آنان به این نکته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قریحۀ سخنوری قریحۀ نویسندگی را نیز به دنبال دارد، قطعا از چنین گروهی باید آثار فراوانی به جای مانده باشد، ولی جور خلفا و بی‌رحمی امیران به نابودی آثار علمی آنان منتهی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بخش آثار چاپ شدۀ آنان را یادآور می‌شویم و دربارۀ بخش مخطوطات باید به فهارس کتابخانه‌های بزرگ مراجعه کرد، به جای رعایت حروف الفبا، تقدم عصر مقیاس قرارگرفته و به این ترتیب از سی و شش اثر بزرگ اسم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المعیار و الموازنة، نگارش ابو جعفر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فضایل امیر مؤمنان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محمدباقر محمودی، طبع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درة التنزیل و غرة التأویل، نگارش ابو جعفر اسکافی، طبع مطبعة السعادة</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و التبیین، نگارش عمرو بن بحر معروف به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جلد، طبع دار الفکر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و الأضداد، أیضا نگارش وی، طبع</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المختارة فی کتب الجاحظ، گردآورنده عبید اللّه بن حسان، در حاشیۀ کامل مبرد</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العثمانیة، گردآورنده محمد هارون مصری، وی اصل عثمانیه و نقض 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کرده و یک جا چاپ کرده است، اصل، نگارش جاحظ و نقض، نگارش اسکافی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الجاحظ، در دو جلد، تحقیق عبد السلام هارون، طبع 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البخلا، أیضا نگارش جاحظ تحقیق طه حاجزی، 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الانتصار، نگارش أبو الحسین خیاط، نقدی بر فضیحة المعتزلة ابن راوندی، تحقیق خاورشناس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نیبرج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الإعتزال أو ذکر المعتزلة، نگارش ابو القاسم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فؤاد سید، طبع دار التونسیة</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الخمسة، نگارش قاضی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دکتر عبد الکریم عثمان، طبع مصر</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این کتاب، جامعترین کتابی است که از معتزله در اختیار داریم و دیدگاه‌های آنان را در تمام مسائل کلامی روشن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المفنی، املای قاضی عبد الجبار، در بیست جلد که فقط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آن به همت اساتید مصر چاپ و منتشر گردیده است و جلد بیستم آن دربارۀ امامت است که سید مرتضی آن را نقض کرده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جلد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تنزیه القرآن عن المطاعن، أیضا نگارش قاضی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متشابه القرآن، نیز نگارش قاضی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چاپ قاهره، ناشر</w:t>
      </w:r>
    </w:p>
    <w:p>
      <w:pPr>
        <w:pStyle w:val="BookText"/>
        <w:rPr/>
      </w:pPr>
      <w:r>
        <w:rPr>
          <w:rFonts w:ascii="IRNazanin" w:hAnsi="IRNazanin" w:eastAsia="IRNazanin"/>
          <w:color w:val="111111"/>
          <w:sz w:val="28"/>
          <w:sz w:val="28"/>
          <w:szCs w:val="28"/>
          <w:rtl w:val="true"/>
          <w:lang w:bidi="fa-IR"/>
        </w:rPr>
        <w:t>دار التراث، تحقیق عثمان زرزور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المجموع المحیط بالتکلیف، نیز نگارش قاضی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المختصر، از رسائل عدل و توحید، تحقیق محمد عماره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معتزله، قاضی عبد الجبار، تحقیق فؤاد سید، چاپ دار التونسیة</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الأصول فی التوحید، نگارش أبی رشید سعید بن محمد نیشابوری رئیس معتزله پس از قاضی عبد الجبار، تحقیق محمد عبد الهادی ابو ریده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الطبقتان الحادیة عشر و الثانیة عشر از طبقات معتزله، نگارش ابو السعد محسن بن محمد جشمی ببیهقی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طبقات المعتزلة قاضی عبد الجبار است، تحقیق فؤاد سید، طبع الدار التونسیة در یک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ابلیس إلی اخوانه المناحیس، نگارش جشمی بیهقی، تحقیق حسین مدرسی، چاپ</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الکشاف، محمود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مرجع تمام مفسران و شامل ادبی قرآن است و او آرای معتزله در تفسیر آیات را وارد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 البلاغة، ایضا نگارش او، 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أطواق الذاهب فی المواعظ و الخطب، حاوی صد مقاله، 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 العجاب شرح لامیة العرب، طبع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انموذج، متن عربی است در نحو که در ایران با شرح عبد الغنی اردبیلی چاپ‌شده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الجبال و الأمکنة و المیاه، طبع لندن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 الأبرار و نصوص الأخبار، افست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العائق فی غریب الحدیث، طبع حیدرآباد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الکلم النوابغ أو نوابغ الکلم، طبع قاهره و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المفصل فی صناعة الإعراب، 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مقدمة الأدب، در لغت، و همۀ اینها از آثار زمخشری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نگارش 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اخیرا، و در گذشته در مصر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در دو جلد در ایران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کتاب را از ده هزار کتاب نفیس تنظیم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طبعات المعتزلة، نگارش احمد بن یحیی بن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جزئی از اجزای کتاب اوست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المنیة و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ملل و نحل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الزخّار،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نگارش ابن 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الأساس لعقائد الأکیاس، نگارش قاسم بن محمد زیدی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الشامخ فی ایثار الحق علی الاباء و المشایخ، نگارش شیخ صالح مقبل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کتب برخی از زیدیه که آشکارا به معتزله پیوسته‌اند بر اینها اضافه کنیم آمار کتابها بالاتر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کتب زیدیه را از آن خود آنها می‌دانیم نه معتزله هر چند دریک رشته اصول با هم مشترکند و فقط طبقات معتزله و امثال آن را جزء کتب معتزله آوردیم و علت آن نیز روشن است</w:t>
      </w:r>
      <w:r>
        <w:rPr>
          <w:rFonts w:eastAsia="IRNazanin" w:cs="IRNazanin"/>
          <w:color w:val="111111"/>
          <w:sz w:val="28"/>
          <w:szCs w:val="28"/>
          <w:rtl w:val="true"/>
          <w:lang w:bidi="fa-IR"/>
        </w:rPr>
        <w:t>.</w:t>
      </w:r>
      <w:bookmarkStart w:id="640" w:name="pg17029_176849"/>
    </w:p>
    <w:p>
      <w:pPr>
        <w:pStyle w:val="Heading2"/>
        <w:numPr>
          <w:ilvl w:val="1"/>
          <w:numId w:val="1"/>
        </w:numPr>
        <w:rPr/>
      </w:pPr>
      <w:bookmarkStart w:id="641" w:name="__RefHeading___Toc1120028_1738255347"/>
      <w:bookmarkStart w:id="642" w:name="_Toc244"/>
      <w:bookmarkEnd w:id="640"/>
      <w:bookmarkEnd w:id="641"/>
      <w:r>
        <w:rPr>
          <w:rtl w:val="true"/>
        </w:rPr>
        <w:t>فهرست</w:t>
      </w:r>
      <w:bookmarkEnd w:id="642"/>
    </w:p>
    <w:p>
      <w:pPr>
        <w:pStyle w:val="Heading3"/>
        <w:numPr>
          <w:ilvl w:val="2"/>
          <w:numId w:val="1"/>
        </w:numPr>
        <w:rPr/>
      </w:pPr>
      <w:bookmarkStart w:id="643" w:name="__RefHeading___Toc1120030_1738255347"/>
      <w:bookmarkStart w:id="644" w:name="_Toc245"/>
      <w:bookmarkEnd w:id="643"/>
      <w:r>
        <w:rPr>
          <w:rtl w:val="true"/>
        </w:rPr>
        <w:t>اشاره</w:t>
      </w:r>
      <w:bookmarkEnd w:id="64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مطالب</w:t>
      </w:r>
      <w:bookmarkStart w:id="645" w:name="pg17029_176851"/>
    </w:p>
    <w:p>
      <w:pPr>
        <w:pStyle w:val="Heading3"/>
        <w:numPr>
          <w:ilvl w:val="2"/>
          <w:numId w:val="1"/>
        </w:numPr>
        <w:rPr/>
      </w:pPr>
      <w:bookmarkStart w:id="646" w:name="__RefHeading___Toc1120032_1738255347"/>
      <w:bookmarkStart w:id="647" w:name="_Toc246"/>
      <w:bookmarkEnd w:id="645"/>
      <w:bookmarkEnd w:id="646"/>
      <w:r>
        <w:rPr>
          <w:rtl w:val="true"/>
        </w:rPr>
        <w:t>فهرست مصادر و مآخذ</w:t>
      </w:r>
      <w:bookmarkEnd w:id="647"/>
    </w:p>
    <w:p>
      <w:pPr>
        <w:pStyle w:val="Heading4"/>
        <w:numPr>
          <w:ilvl w:val="3"/>
          <w:numId w:val="1"/>
        </w:numPr>
        <w:rPr/>
      </w:pPr>
      <w:bookmarkStart w:id="648" w:name="__RefHeading___Toc1120034_1738255347"/>
      <w:bookmarkStart w:id="649" w:name="_Toc247"/>
      <w:bookmarkEnd w:id="648"/>
      <w:r>
        <w:rPr>
          <w:rtl w:val="true"/>
        </w:rPr>
        <w:t>اشاره</w:t>
      </w:r>
      <w:bookmarkEnd w:id="649"/>
    </w:p>
    <w:p>
      <w:pPr>
        <w:pStyle w:val="BookText"/>
        <w:rPr/>
      </w:pPr>
      <w:r>
        <w:rPr>
          <w:rFonts w:ascii="IRNazanin" w:hAnsi="IRNazanin" w:eastAsia="IRNazanin"/>
          <w:color w:val="111111"/>
          <w:sz w:val="28"/>
          <w:sz w:val="28"/>
          <w:szCs w:val="28"/>
          <w:rtl w:val="true"/>
          <w:lang w:bidi="fa-IR"/>
        </w:rPr>
        <w:t>در تألیف و نگارش این بخش از فرهنگ عقاید و مذاهب اسلامی به کتابهای عربی و فارسی، چاپی و مخطوط زیادی مراجعه شده است در این جا، قسمت مهم از مصادر آمده است</w:t>
      </w:r>
      <w:r>
        <w:rPr>
          <w:rFonts w:eastAsia="IRNazanin" w:cs="IRNazanin"/>
          <w:color w:val="111111"/>
          <w:sz w:val="28"/>
          <w:szCs w:val="28"/>
          <w:rtl w:val="true"/>
          <w:lang w:bidi="fa-IR"/>
        </w:rPr>
        <w:t>.</w:t>
      </w:r>
    </w:p>
    <w:p>
      <w:pPr>
        <w:pStyle w:val="Heading4"/>
        <w:numPr>
          <w:ilvl w:val="3"/>
          <w:numId w:val="1"/>
        </w:numPr>
        <w:rPr/>
      </w:pPr>
      <w:bookmarkStart w:id="650" w:name="__RefHeading___Toc1120036_1738255347"/>
      <w:bookmarkStart w:id="651" w:name="_Toc248"/>
      <w:bookmarkEnd w:id="650"/>
      <w:r>
        <w:rPr>
          <w:rtl w:val="true"/>
        </w:rPr>
        <w:t>الف</w:t>
      </w:r>
      <w:bookmarkEnd w:id="6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الإبانة عن اصول الدیانة، ابو الحسن علی بن اسماعیل اشعری</w:t>
      </w:r>
      <w:r>
        <w:rPr>
          <w:rFonts w:eastAsia="IRNazanin" w:cs="IRNazanin"/>
          <w:color w:val="111111"/>
          <w:sz w:val="28"/>
          <w:szCs w:val="28"/>
          <w:rtl w:val="true"/>
          <w:lang w:bidi="fa-IR"/>
        </w:rPr>
        <w:t>.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قاموس التراجم، للمشاهیر، دار العلم خیر الدین زرکلی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الانتصار فی الرد علی ابن الراوندی، ابو الحسین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اوائل المقالات، 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فی اصول الدین، امام الحرمین عبد الملک بن عبد اللّه جوینی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الأساس لعقائد الأکیاس، قاسم محمد بن زید علوی ط دار الطلیعة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 السیاسة، ابو محمد عبد اللّه بن مسلم دینوری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حنبل حیاته و عصره، ابو زهره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اتحاف السادة المتقین فی أسرار احیاء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بن محمد الزبیدی مشهور به مرتضی حسینی</w:t>
      </w:r>
      <w:r>
        <w:rPr>
          <w:rFonts w:eastAsia="IRNazanin" w:cs="IRNazanin"/>
          <w:color w:val="111111"/>
          <w:sz w:val="28"/>
          <w:szCs w:val="28"/>
          <w:rtl w:val="true"/>
          <w:lang w:bidi="fa-IR"/>
        </w:rPr>
        <w:t>) (</w:t>
      </w:r>
      <w:r>
        <w:rPr>
          <w:rFonts w:eastAsia="IRNazanin" w:cs="IRNazanin"/>
          <w:color w:val="111111"/>
          <w:sz w:val="28"/>
          <w:szCs w:val="28"/>
          <w:lang w:bidi="fa-IR"/>
        </w:rPr>
        <w:t>1135</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اشارات المرام من عبارات الإمام، فی شرح الفقه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حسام الدین بیاضی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w:t>
      </w:r>
      <w:bookmarkStart w:id="652" w:name="pg17029_176852"/>
    </w:p>
    <w:p>
      <w:pPr>
        <w:pStyle w:val="BookText"/>
        <w:rPr/>
      </w:pPr>
      <w:bookmarkEnd w:id="652"/>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الدین، ابو الیسر محمد بن عبد الکریم بزدوی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Heading4"/>
        <w:numPr>
          <w:ilvl w:val="3"/>
          <w:numId w:val="1"/>
        </w:numPr>
        <w:rPr/>
      </w:pPr>
      <w:bookmarkStart w:id="653" w:name="__RefHeading___Toc1120038_1738255347"/>
      <w:bookmarkStart w:id="654" w:name="_Toc249"/>
      <w:bookmarkEnd w:id="653"/>
      <w:r>
        <w:rPr>
          <w:rtl w:val="true"/>
        </w:rPr>
        <w:t>ب</w:t>
      </w:r>
      <w:bookmarkEnd w:id="65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محمد بن باقر 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بحوث فی الملل و النحل، جعفر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 النهایة، الحافظ ابو الفداء معروف به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و التبیین، جاحظ ابو عمرو بن بحر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فی تفسیر القرآن، سید هاشم توبلی بحرانی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Heading4"/>
        <w:numPr>
          <w:ilvl w:val="3"/>
          <w:numId w:val="1"/>
        </w:numPr>
        <w:rPr/>
      </w:pPr>
      <w:bookmarkStart w:id="655" w:name="__RefHeading___Toc1120040_1738255347"/>
      <w:bookmarkStart w:id="656" w:name="_Toc250"/>
      <w:bookmarkEnd w:id="655"/>
      <w:r>
        <w:rPr>
          <w:rtl w:val="true"/>
        </w:rPr>
        <w:t>ت</w:t>
      </w:r>
      <w:bookmarkEnd w:id="656"/>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تأویلات أهل السنّة، ابو منصور محمد بن محمد بن محمود ماتریدی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ابو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المذاهب الإسلامیّة، ابو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دکتور حسن ابراهیم حسن مصری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علوم اسلامی، جلال همائی،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تبیین کذب المفتری، ابو القاسم علی بن الحسن بن هبة اللّه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مختلف الحدیث، عبد اللّه بن مسلم دینوری معروف به ابن قتیبه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ابو منصور محمد بن محمد بن محمود ماتریدی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و اثبات صفات ربّ العالمین، محمد بن اسحاق بن خزیمة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ابو الفداء معروف به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773</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احمد بن علی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w:t>
      </w:r>
      <w:bookmarkStart w:id="657" w:name="pg17029_176853"/>
    </w:p>
    <w:p>
      <w:pPr>
        <w:pStyle w:val="BookText"/>
        <w:rPr/>
      </w:pPr>
      <w:bookmarkEnd w:id="657"/>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احمد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کامل، ابن الأثیر محمد بن محمد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ابن واضح اخباری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قرن سوم</w:t>
      </w:r>
      <w:r>
        <w:rPr>
          <w:rFonts w:eastAsia="IRNazanin" w:cs="IRNazanin"/>
          <w:color w:val="111111"/>
          <w:sz w:val="28"/>
          <w:szCs w:val="28"/>
          <w:rtl w:val="true"/>
          <w:lang w:bidi="fa-IR"/>
        </w:rPr>
        <w:t>.</w:t>
      </w:r>
    </w:p>
    <w:p>
      <w:pPr>
        <w:pStyle w:val="Heading4"/>
        <w:numPr>
          <w:ilvl w:val="3"/>
          <w:numId w:val="1"/>
        </w:numPr>
        <w:rPr/>
      </w:pPr>
      <w:bookmarkStart w:id="658" w:name="__RefHeading___Toc1120042_1738255347"/>
      <w:bookmarkStart w:id="659" w:name="_Toc251"/>
      <w:bookmarkEnd w:id="658"/>
      <w:r>
        <w:rPr>
          <w:rtl w:val="true"/>
        </w:rPr>
        <w:t>ج</w:t>
      </w:r>
      <w:bookmarkEnd w:id="659"/>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محمد حسن بن محمد باقر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1200</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المضیئه، حافظ، علی بن عبد الکافی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Heading4"/>
        <w:numPr>
          <w:ilvl w:val="3"/>
          <w:numId w:val="1"/>
        </w:numPr>
        <w:rPr/>
      </w:pPr>
      <w:bookmarkStart w:id="660" w:name="__RefHeading___Toc1120044_1738255347"/>
      <w:bookmarkStart w:id="661" w:name="_Toc252"/>
      <w:bookmarkEnd w:id="660"/>
      <w:r>
        <w:rPr>
          <w:rtl w:val="true"/>
        </w:rPr>
        <w:t>ح</w:t>
      </w:r>
      <w:bookmarkEnd w:id="661"/>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الحضارة الإسلامیّة، آدام متز مستشرق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المعتزلة، ابو القاسم بلخی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کشی، ابو عمرو محمد بن عمر بن عبد العزیز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ابو العباس احمد بن علی نجاشی کوفی اسدی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الإسلام، مجله نشر دار التقریب بین المذاهب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صاغانیه، شیخ 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413336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البهیّة فی شرح اللمعة الدمشقیّة، زین الدین معروف به شهید ثانی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ریحانة الأدب، محمد علی بن محمد طاهر مدرس تبریزی</w:t>
      </w:r>
      <w:bookmarkStart w:id="662" w:name="pg17029_176854"/>
    </w:p>
    <w:p>
      <w:pPr>
        <w:pStyle w:val="BookText"/>
        <w:rPr/>
      </w:pPr>
      <w:bookmarkEnd w:id="662"/>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الزیدیّه، علی بن عبد الکریم شرف الدین یمنی، معاصر</w:t>
      </w:r>
      <w:r>
        <w:rPr>
          <w:rFonts w:eastAsia="IRNazanin" w:cs="IRNazanin"/>
          <w:color w:val="111111"/>
          <w:sz w:val="28"/>
          <w:szCs w:val="28"/>
          <w:rtl w:val="true"/>
          <w:lang w:bidi="fa-IR"/>
        </w:rPr>
        <w:t>.</w:t>
      </w:r>
    </w:p>
    <w:p>
      <w:pPr>
        <w:pStyle w:val="Heading4"/>
        <w:numPr>
          <w:ilvl w:val="3"/>
          <w:numId w:val="1"/>
        </w:numPr>
        <w:rPr/>
      </w:pPr>
      <w:bookmarkStart w:id="663" w:name="__RefHeading___Toc1120046_1738255347"/>
      <w:bookmarkStart w:id="664" w:name="_Toc253"/>
      <w:bookmarkEnd w:id="663"/>
      <w:r>
        <w:rPr>
          <w:rtl w:val="true"/>
        </w:rPr>
        <w:t>س</w:t>
      </w:r>
      <w:bookmarkEnd w:id="664"/>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السنّة،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ابو داود حافظ بن سلیمان بن اشعث سجستانی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ترمذی، ابو عیسی محمد بن عیسی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Heading4"/>
        <w:numPr>
          <w:ilvl w:val="3"/>
          <w:numId w:val="1"/>
        </w:numPr>
        <w:rPr/>
      </w:pPr>
      <w:bookmarkStart w:id="665" w:name="__RefHeading___Toc1120048_1738255347"/>
      <w:bookmarkStart w:id="666" w:name="_Toc254"/>
      <w:bookmarkEnd w:id="665"/>
      <w:r>
        <w:rPr>
          <w:rtl w:val="true"/>
        </w:rPr>
        <w:t>ش</w:t>
      </w:r>
      <w:bookmarkEnd w:id="666"/>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تجرید، علاء الدین علی بن محمد قوشچی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مواقف، میرسید شریف علی بن محمد</w:t>
      </w:r>
      <w:r>
        <w:rPr>
          <w:rFonts w:eastAsia="IRNazanin" w:cs="IRNazanin"/>
          <w:color w:val="111111"/>
          <w:sz w:val="28"/>
          <w:szCs w:val="28"/>
          <w:rtl w:val="true"/>
          <w:lang w:bidi="fa-IR"/>
        </w:rPr>
        <w:t>]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العقیدة الطحاویة، شیخ عبد الغنی میدانی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اصول خمسه، قاضی عبد الجبّار همدانی،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ابن ابی الحدید، عزالدین عبد الحمید بغدادی 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اشارات، خواجه نصیر الدین طوسی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عقائد صدوق، شیخ مفید محمد بن نعمان </w:t>
      </w:r>
      <w:r>
        <w:rPr>
          <w:rFonts w:eastAsia="IRNazanin" w:cs="IRNazanin"/>
          <w:color w:val="111111"/>
          <w:sz w:val="28"/>
          <w:szCs w:val="28"/>
          <w:rtl w:val="true"/>
          <w:lang w:bidi="fa-IR"/>
        </w:rPr>
        <w:t>(</w:t>
      </w:r>
      <w:r>
        <w:rPr>
          <w:rFonts w:eastAsia="IRNazanin" w:cs="IRNazanin"/>
          <w:color w:val="111111"/>
          <w:sz w:val="28"/>
          <w:szCs w:val="28"/>
          <w:lang w:bidi="fa-IR"/>
        </w:rPr>
        <w:t>414336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المقاصد، تفتازانی سعد الدین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شوارق الالهام، عبد الرزاق لاهیجی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عقائد عضدی، محقق 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909</w:t>
      </w:r>
      <w:r>
        <w:rPr>
          <w:rFonts w:eastAsia="IRNazanin" w:cs="IRNazanin"/>
          <w:color w:val="111111"/>
          <w:sz w:val="28"/>
          <w:szCs w:val="28"/>
          <w:rtl w:val="true"/>
          <w:lang w:bidi="fa-IR"/>
        </w:rPr>
        <w:t>).</w:t>
      </w:r>
    </w:p>
    <w:p>
      <w:pPr>
        <w:pStyle w:val="Heading4"/>
        <w:numPr>
          <w:ilvl w:val="3"/>
          <w:numId w:val="1"/>
        </w:numPr>
        <w:rPr/>
      </w:pPr>
      <w:bookmarkStart w:id="667" w:name="__RefHeading___Toc1120050_1738255347"/>
      <w:bookmarkStart w:id="668" w:name="_Toc255"/>
      <w:bookmarkEnd w:id="667"/>
      <w:r>
        <w:rPr>
          <w:rtl w:val="true"/>
        </w:rPr>
        <w:t>ص</w:t>
      </w:r>
      <w:bookmarkEnd w:id="66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w:t>
      </w:r>
      <w:bookmarkStart w:id="669" w:name="pg17029_176855"/>
    </w:p>
    <w:p>
      <w:pPr>
        <w:pStyle w:val="Heading4"/>
        <w:numPr>
          <w:ilvl w:val="3"/>
          <w:numId w:val="1"/>
        </w:numPr>
        <w:rPr/>
      </w:pPr>
      <w:bookmarkStart w:id="670" w:name="__RefHeading___Toc1120052_1738255347"/>
      <w:bookmarkStart w:id="671" w:name="_Toc256"/>
      <w:bookmarkEnd w:id="669"/>
      <w:bookmarkEnd w:id="670"/>
      <w:r>
        <w:rPr>
          <w:rtl w:val="true"/>
        </w:rPr>
        <w:t>ض</w:t>
      </w:r>
      <w:bookmarkEnd w:id="671"/>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ضحی الإسلام، احمد امین معاصر مصری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Heading4"/>
        <w:numPr>
          <w:ilvl w:val="3"/>
          <w:numId w:val="1"/>
        </w:numPr>
        <w:rPr/>
      </w:pPr>
      <w:bookmarkStart w:id="672" w:name="__RefHeading___Toc1120054_1738255347"/>
      <w:bookmarkStart w:id="673" w:name="_Toc257"/>
      <w:bookmarkEnd w:id="672"/>
      <w:r>
        <w:rPr>
          <w:rtl w:val="true"/>
        </w:rPr>
        <w:t>ط</w:t>
      </w:r>
      <w:bookmarkEnd w:id="673"/>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المعتزله، احمد بن یحیی المرتضی الزیدی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صادر</w:t>
      </w:r>
      <w:r>
        <w:rPr>
          <w:rFonts w:eastAsia="IRNazanin" w:cs="IRNazanin"/>
          <w:color w:val="111111"/>
          <w:sz w:val="28"/>
          <w:szCs w:val="28"/>
          <w:rtl w:val="true"/>
          <w:lang w:bidi="fa-IR"/>
        </w:rPr>
        <w:t>.</w:t>
      </w:r>
    </w:p>
    <w:p>
      <w:pPr>
        <w:pStyle w:val="Heading4"/>
        <w:numPr>
          <w:ilvl w:val="3"/>
          <w:numId w:val="1"/>
        </w:numPr>
        <w:rPr/>
      </w:pPr>
      <w:bookmarkStart w:id="674" w:name="__RefHeading___Toc1120056_1738255347"/>
      <w:bookmarkStart w:id="675" w:name="_Toc258"/>
      <w:bookmarkEnd w:id="674"/>
      <w:r>
        <w:rPr>
          <w:rtl w:val="true"/>
        </w:rPr>
        <w:t>ظ</w:t>
      </w:r>
      <w:bookmarkEnd w:id="675"/>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ظهر الإسلام، احمد امین مصری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Heading4"/>
        <w:numPr>
          <w:ilvl w:val="3"/>
          <w:numId w:val="1"/>
        </w:numPr>
        <w:rPr/>
      </w:pPr>
      <w:bookmarkStart w:id="676" w:name="__RefHeading___Toc1120058_1738255347"/>
      <w:bookmarkStart w:id="677" w:name="_Toc259"/>
      <w:bookmarkEnd w:id="676"/>
      <w:r>
        <w:rPr>
          <w:rtl w:val="true"/>
        </w:rPr>
        <w:t>ع</w:t>
      </w:r>
      <w:bookmarkEnd w:id="677"/>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ایمانا، ویل دورانت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عقائد نسفی، ابو حفص نجم الدین النسفی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العبر فی خبر من غبر 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الکلام، صبحی صالح،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الأخبار، محمد ابن شاکر کتبی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w:t>
      </w:r>
    </w:p>
    <w:p>
      <w:pPr>
        <w:pStyle w:val="Heading4"/>
        <w:numPr>
          <w:ilvl w:val="3"/>
          <w:numId w:val="1"/>
        </w:numPr>
        <w:rPr/>
      </w:pPr>
      <w:bookmarkStart w:id="678" w:name="__RefHeading___Toc1120060_1738255347"/>
      <w:bookmarkStart w:id="679" w:name="_Toc260"/>
      <w:bookmarkEnd w:id="678"/>
      <w:r>
        <w:rPr>
          <w:rtl w:val="true"/>
        </w:rPr>
        <w:t>غ</w:t>
      </w:r>
      <w:bookmarkEnd w:id="679"/>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الغرر و الدرر، شریف 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Heading4"/>
        <w:numPr>
          <w:ilvl w:val="3"/>
          <w:numId w:val="1"/>
        </w:numPr>
        <w:rPr/>
      </w:pPr>
      <w:bookmarkStart w:id="680" w:name="__RefHeading___Toc1120062_1738255347"/>
      <w:bookmarkStart w:id="681" w:name="_Toc261"/>
      <w:bookmarkEnd w:id="680"/>
      <w:r>
        <w:rPr>
          <w:rtl w:val="true"/>
        </w:rPr>
        <w:t>ف</w:t>
      </w:r>
      <w:bookmarkEnd w:id="681"/>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فی الملل و النحل، ابن حزم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الاعتزال أو ذکر المعتزلة، ابو القاسم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319</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الإسلام، احمد أمین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eastAsia="IRNazanin" w:cs="IRNazanin"/>
          <w:color w:val="111111"/>
          <w:sz w:val="28"/>
          <w:szCs w:val="28"/>
          <w:rtl w:val="true"/>
          <w:lang w:bidi="fa-IR"/>
        </w:rPr>
        <w:t>).</w:t>
      </w:r>
      <w:bookmarkStart w:id="682" w:name="pg17029_176856"/>
    </w:p>
    <w:p>
      <w:pPr>
        <w:pStyle w:val="BookText"/>
        <w:rPr/>
      </w:pPr>
      <w:bookmarkEnd w:id="682"/>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الفرق، عبد القاهر بن طاهر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 الشیعة، نوبختی حسن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ابن ندیم، محمد بن اسحاق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جاحظ ابو عثمان عمرو بن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1120064_1738255347"/>
      <w:bookmarkStart w:id="684" w:name="_Toc262"/>
      <w:bookmarkEnd w:id="683"/>
      <w:r>
        <w:rPr>
          <w:rtl w:val="true"/>
        </w:rPr>
        <w:t>ک</w:t>
      </w:r>
      <w:bookmarkEnd w:id="684"/>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کشاف، محمو بن عمرزمخشری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المراد، علامۀ 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Heading4"/>
        <w:numPr>
          <w:ilvl w:val="3"/>
          <w:numId w:val="1"/>
        </w:numPr>
        <w:rPr/>
      </w:pPr>
      <w:bookmarkStart w:id="685" w:name="__RefHeading___Toc1120066_1738255347"/>
      <w:bookmarkStart w:id="686" w:name="_Toc263"/>
      <w:bookmarkEnd w:id="685"/>
      <w:r>
        <w:rPr>
          <w:rtl w:val="true"/>
        </w:rPr>
        <w:t>ل</w:t>
      </w:r>
      <w:bookmarkEnd w:id="686"/>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اللّمح و الرد علی الزیم و البدع، ابو الحسن اشعری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علی بن احمد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المحیط بالتکلیف، قاضی عبد الحبار همدانی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طبرسی، فضل بن الحسن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مسعودی، ابو الحسن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مقالات الإسلامیین، ابو الحسن اشعری،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ملل و نحل،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المواقف، عضد الدین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السنّة،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662</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المعتزلة بین الأدب و الفکر، علی الشابی</w:t>
      </w:r>
      <w:bookmarkStart w:id="687" w:name="pg17029_176857"/>
    </w:p>
    <w:p>
      <w:pPr>
        <w:pStyle w:val="BookText"/>
        <w:rPr/>
      </w:pPr>
      <w:bookmarkEnd w:id="687"/>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المعتزلة، زهدی حسن جار الله مصری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الرسائل، احمد بن تیمیّه </w:t>
      </w:r>
      <w:r>
        <w:rPr>
          <w:rFonts w:eastAsia="IRNazanin" w:cs="IRNazanin"/>
          <w:color w:val="111111"/>
          <w:sz w:val="28"/>
          <w:szCs w:val="28"/>
          <w:rtl w:val="true"/>
          <w:lang w:bidi="fa-IR"/>
        </w:rPr>
        <w:t>(</w:t>
      </w:r>
      <w:r>
        <w:rPr>
          <w:rFonts w:eastAsia="IRNazanin" w:cs="IRNazanin"/>
          <w:color w:val="111111"/>
          <w:sz w:val="28"/>
          <w:szCs w:val="28"/>
          <w:lang w:bidi="fa-IR"/>
        </w:rPr>
        <w:t>728661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المغنی، قاضی عبد الجبار همدانی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مغازی، واقدی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معتزلة الیمن، احمد بن محمد بن صلاح شرفی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مفاهیم القرآن، جعفر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 یاقوت حموئی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گردآورنده شریف رضی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Heading4"/>
        <w:numPr>
          <w:ilvl w:val="3"/>
          <w:numId w:val="1"/>
        </w:numPr>
        <w:rPr/>
      </w:pPr>
      <w:bookmarkStart w:id="688" w:name="__RefHeading___Toc1120068_1738255347"/>
      <w:bookmarkStart w:id="689" w:name="_Toc264"/>
      <w:bookmarkEnd w:id="688"/>
      <w:r>
        <w:rPr>
          <w:rtl w:val="true"/>
        </w:rPr>
        <w:t>و</w:t>
      </w:r>
      <w:bookmarkEnd w:id="689"/>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فیات الأعیان، شمس الدین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Heading4"/>
        <w:numPr>
          <w:ilvl w:val="3"/>
          <w:numId w:val="1"/>
        </w:numPr>
        <w:rPr/>
      </w:pPr>
      <w:bookmarkStart w:id="690" w:name="__RefHeading___Toc1120070_1738255347"/>
      <w:bookmarkStart w:id="691" w:name="_Toc265"/>
      <w:bookmarkEnd w:id="690"/>
      <w:r>
        <w:rPr>
          <w:rtl w:val="true"/>
        </w:rPr>
        <w:t>ی</w:t>
      </w:r>
      <w:bookmarkEnd w:id="69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الیهودیة، احمد شبلی</w:t>
      </w:r>
      <w:r>
        <w:rPr>
          <w:rFonts w:eastAsia="IRNazanin" w:cs="IRNazanin"/>
          <w:color w:val="111111"/>
          <w:sz w:val="28"/>
          <w:szCs w:val="28"/>
          <w:rtl w:val="true"/>
          <w:lang w:bidi="fa-IR"/>
        </w:rPr>
        <w:t>.</w:t>
      </w:r>
      <w:bookmarkStart w:id="692" w:name="pg17029_176859"/>
    </w:p>
    <w:p>
      <w:pPr>
        <w:pStyle w:val="Heading3"/>
        <w:numPr>
          <w:ilvl w:val="2"/>
          <w:numId w:val="1"/>
        </w:numPr>
        <w:rPr/>
      </w:pPr>
      <w:bookmarkStart w:id="693" w:name="__RefHeading___Toc1120072_1738255347"/>
      <w:bookmarkStart w:id="694" w:name="_Toc266"/>
      <w:bookmarkEnd w:id="692"/>
      <w:bookmarkEnd w:id="693"/>
      <w:r>
        <w:rPr>
          <w:rtl w:val="true"/>
        </w:rPr>
        <w:t>فهرست</w:t>
      </w:r>
      <w:bookmarkEnd w:id="694"/>
    </w:p>
    <w:p>
      <w:pPr>
        <w:pStyle w:val="BookText"/>
        <w:rPr/>
      </w:pPr>
      <w:r>
        <w:rPr>
          <w:rFonts w:ascii="IRNazanin" w:hAnsi="IRNazanin" w:eastAsia="IRNazanin"/>
          <w:color w:val="111111"/>
          <w:sz w:val="28"/>
          <w:sz w:val="28"/>
          <w:szCs w:val="28"/>
          <w:rtl w:val="true"/>
          <w:lang w:bidi="fa-IR"/>
        </w:rPr>
        <w:t>مندرجات جزء چهارم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مکتب ماتریدی در مشرق زمین تفاوتهای دو مکتب در مسائل نهگانه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مکتب ماتریدی و اشعری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ابو منصور ماتریدی پایه‌گذار مکتب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الیسر بزدوی مروّج مکتب در قرن پنجم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نسفی میمون بن محمد مروّج سوم در قرن ششم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محمد نسفی شخصیت بارز این مکتب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الهمام، محمد بن عبد الواحد ماتریدی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بیاضی، کمال الدین احمد بن حسن رومی حنفی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مکتب اعتزال داوری‌های اهل‌بیت دربارۀ معتزله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توجّه به فکتب اعتزال در عصر ما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توحید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فراگرفته‌اند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سران معتزله بر این مطلب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گروه را معتزله می‌نامند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معتزله در کتب اشاعره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کلام شیعه و نظریه احمد امین </w:t>
      </w:r>
      <w:r>
        <w:rPr>
          <w:rFonts w:eastAsia="IRNazanin" w:cs="IRNazanin"/>
          <w:color w:val="111111"/>
          <w:sz w:val="28"/>
          <w:szCs w:val="28"/>
          <w:lang w:bidi="fa-IR"/>
        </w:rPr>
        <w:t>44</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تفاوتهای کلام شیعی و معتزلی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پنجگانه معتزله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اسلامی غیر از آراء کلامی است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ابعاد مختلف ثمرات چهارگانۀ اصل نخست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و عینیت صفات خدا با ذات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اشاعره از تعدد قدما در زیادی صفات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معتزله از جانب اشاعره در مورد نفی صفات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و صفات خبریه خدا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مقبول غیر از تأویل مردود است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از تأویل مقبول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آفرینش آدم با دو دست خدا چیست؟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استواء در آیۀ إنّ اللّه علی العرش استوی چیست؟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استواء در قرآن و لغت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در لغت و عرف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استوا در آیات مقارن با مظاهر قدرت است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تنزیه خدا از رؤیت حسی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نقلی بر امتناع رؤیت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و حدوث قرآن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اهل حدیث در مسألۀ حدوث قرآن چیست؟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قرآن از شاخه‌های توحید است نه عدل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حدوث و قدم چیست؟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و بازی با الفاظ </w:t>
      </w:r>
      <w:r>
        <w:rPr>
          <w:rFonts w:eastAsia="IRNazanin" w:cs="IRNazanin"/>
          <w:color w:val="111111"/>
          <w:sz w:val="28"/>
          <w:szCs w:val="28"/>
          <w:lang w:bidi="fa-IR"/>
        </w:rPr>
        <w:t>98</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ثمرات آن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انسان مخلوق خدا نیست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نظریه تفویض در مکتب معتزله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تفویض از نظر براهین عقلی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و تکلیف فراتر از توان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ارادۀ گستردۀ خدا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و لطف الهی بر بندگان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محصل و لطف مقرّب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مخالفان لطف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و تقدم قدرت بر فعل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خرد در این 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و قضاء و قدر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در اندیشه صحابه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 قدر در کتاب و سنت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 قدر نزد معتزله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به صورتهای کلی و جزئی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و قضاهای علمی و عینی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ارادۀ ازلی بر افعال بندگان، مایه جبر نیست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و وعید و ثمرات آن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عمل به وعید مانند عمل به وعد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ادلۀ معتزله در اثبات این لزوم و نقد آنها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جاودانگی گنهکاران در آتش و دلائل نقلی آن </w:t>
      </w:r>
      <w:r>
        <w:rPr>
          <w:rFonts w:eastAsia="IRNazanin" w:cs="IRNazanin"/>
          <w:color w:val="111111"/>
          <w:sz w:val="28"/>
          <w:szCs w:val="28"/>
          <w:lang w:bidi="fa-IR"/>
        </w:rPr>
        <w:t>175</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دلائل قائلان به خلود گنهکاران در آتش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 از آن تائبان است نه گنهکاران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معتزله در تفسیر شفاعت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مرجئه با راجیه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احباط و تکفیر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احباط در کشاکش جواز و منع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نافیان احباط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احباط در قرآن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بین المنزلتین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دانشمندان دربارۀ مرتکب کبیره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مرتکب کبیره مؤمن فاسق است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کبیره کافر است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مرتکب کبیره نه مؤمن است نه کافر بلکه در منزلتی بین آن دو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معتزله بر عقیده خویش و نقد آن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امر به معروف و نهی از منکر واجب است یا نه؟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فرض وجوب، حاکم بر آن عقل است یا نقل؟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شرائط وجوب این دو چیست؟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وجوب آن دو عینی است یا کفائی؟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مراتب امربه‌معروف و نهی از منکر چیست؟ </w:t>
      </w:r>
      <w:r>
        <w:rPr>
          <w:rFonts w:eastAsia="IRNazanin" w:cs="IRNazanin"/>
          <w:color w:val="111111"/>
          <w:sz w:val="28"/>
          <w:szCs w:val="28"/>
          <w:lang w:bidi="fa-IR"/>
        </w:rPr>
        <w:t>217</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معتزله در کشاکش قدرت و ضعف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معتزله و اتهام به آلودگی اخلاقی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معتزله در اوج قدرت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نامه‌های چهارگانه مأمون به رئیس شرطه بغداد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محنت احمد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بحثی پیرامون نامه‌های مأمون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انگیزۀ مأمون از نشر خلقت قرآن چه بود؟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معتزله در عصر معتصم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مناظره اسحاق بن ابراهیم با احمد بن حنبل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معتزله در عصر واثق باللّه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معتزله در سراشیبی ضعف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ضربه کاری برکیان معتزله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البیان قادری پیرامون عقائد اهل سنت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معتزله وصله ناهمرنک در میان اهل سنت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معتزله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واصل بن عطاء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واصل با خوارج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علمی واصل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عبید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هشام با عمرو بن عبید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آراء تفسیر و کلامی عمرو بن عبید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سیاسی عمرو بن عبید </w:t>
      </w:r>
      <w:r>
        <w:rPr>
          <w:rFonts w:eastAsia="IRNazanin" w:cs="IRNazanin"/>
          <w:color w:val="111111"/>
          <w:sz w:val="28"/>
          <w:szCs w:val="28"/>
          <w:lang w:bidi="fa-IR"/>
        </w:rPr>
        <w:t>252</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الهذیل العلاف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ابی الهذیل با متکلم یهودی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علمی ابی الهذیل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تهمتهای ناروا به ابی الهذیل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در آزمون خلیل بن احمد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شهرستانی در تفسیر نظریه نظام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و مذهب صرفه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علمی نظام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علی جبائی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آثار علمی جبائی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هاشم جبائی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علمی ابو هاشم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القضاة عبد الجبار همدانی </w:t>
      </w:r>
      <w:r>
        <w:rPr>
          <w:rFonts w:eastAsia="IRNazanin" w:cs="IRNazanin"/>
          <w:color w:val="111111"/>
          <w:sz w:val="28"/>
          <w:szCs w:val="28"/>
          <w:rtl w:val="true"/>
          <w:lang w:bidi="fa-IR"/>
        </w:rPr>
        <w:t>(</w:t>
      </w:r>
      <w:r>
        <w:rPr>
          <w:rFonts w:eastAsia="IRNazanin" w:cs="IRNazanin"/>
          <w:color w:val="111111"/>
          <w:sz w:val="28"/>
          <w:szCs w:val="28"/>
          <w:lang w:bidi="fa-IR"/>
        </w:rPr>
        <w:t>415324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علمی قاضی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معتزله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سهل بشر بن معتمر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معمر بن عباد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ثمامة بن اشرس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بکر عبد الرحمان الاصم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موسی عیسی بن صبیح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محمد بن عبد الله اسکافی م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ابی دوأد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281</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عثمان عمرو بن بحر جاخط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الحسین خیاط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القاسم بلخی کعبی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معتزله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معتزله بصره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معتزله بغداد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باقی‌مانده از معتزله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مصادر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موضوعات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کتاب الحمد للّه 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تقارن قدرت با فعل یا تقدم آن بر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ابو حنیفه بسان دیگر اهل سنت گفته است که مقارن با فعل می‌باشد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اشارات المرام،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السعادة و مصباح السیادة،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حاشیه کستلی بر شرح العقائد النسفیة که همراه با شرح چاپ شده است،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تأویلات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ابو منصور است که جد پدر بزدوی، آن دو را نزد او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اصول الدین بزدوی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المذاهب الإسلامیة،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مقدمۀ تبیین کذب المفتری،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دین نگارش بزدوی،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مقدمۀ کتاب توحید ماتریدی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اشارات المرام، فصل الخلافیات، بین ماتریدی و اشعری،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الدین،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الابانة،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عبارت او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استوی علی عرشه کما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یلیق من غیر طول الاستقرار و یشهد له ما روی عن رسول الله إذا بقی ثلث اللیل ینزل الله تبارک‌و تعالی، فیقول من ذا الذی یدعونی فاستجیب 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مقدمۀ اصول دین نگارش بزدوی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ملل و نحل،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المتعزلة بین العمل و الفکر تألیف علی الشابی،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گویا از کتابهای معتزله الانتصار أبو الحسین خیاط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زمخشری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دیده بود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تحقیق بدران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کتابهای خود زیدیه این را شایعه‌ای بیش نمی‌دانند وجدا آن را تکذیب می‌کنند و معتقدند که این غلط از شهرستانی سرچشمه گرفته و او کوچکترین دلیلی بر گفتار خود نیاورده است و تنها مدرک او مشترکاتی است که میان زیدیه و معتزله است به کتاب الزیدیة نظریة و تطبیق، تألیف علی بن عبد الکریم شرف الدین،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مراجعه فرمایید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المعتزلة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بخشی از مقالات الإسلامیین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بلخی،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المنیة و الأمل،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آن تصریح می‌کند که غیلان دمشقی نیز که پرچمدار آزادی اراده در انسان بود مکتب خود را از حسن فرزند محمد حنفیه آموخته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هفتم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خمسه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شرح اصول خمسة،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انتصار،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الإسلامیین، جمع و تحقیق فؤاد سید، باب ذکر المعتزلة،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الفرق بین الفرق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ابن ندیم، فن دوم از مقالۀ پنجم،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شمارۀ ترجمه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فهرست ابن ندیم، فن درم از مقالۀ پنجم، ص </w:t>
      </w:r>
      <w:r>
        <w:rPr>
          <w:rFonts w:eastAsia="IRNazanin" w:cs="IRNazanin"/>
          <w:b w:val="false"/>
          <w:bCs w:val="false"/>
          <w:i w:val="false"/>
          <w:iCs w:val="false"/>
          <w:color w:val="333333"/>
          <w:sz w:val="20"/>
          <w:szCs w:val="20"/>
        </w:rPr>
        <w:t>333</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ضحی،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شمارۀ ترجمه، </w:t>
      </w:r>
      <w:r>
        <w:rPr>
          <w:rFonts w:eastAsia="IRNazanin" w:cs="IRNazanin"/>
          <w:b w:val="false"/>
          <w:bCs w:val="false"/>
          <w:i w:val="false"/>
          <w:iCs w:val="false"/>
          <w:color w:val="333333"/>
          <w:sz w:val="20"/>
          <w:szCs w:val="20"/>
        </w:rPr>
        <w:t>1068</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مفید، رسالۀ صاغانیات،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النجاشی، الرجال،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ترجمه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اشعری، الابانة عن أصول الدیانة،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حنبل، کتاب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خزیمة، 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خمسه،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این نه به آن معنی است که یک مرد الهی و وارسته بوده است، بلکه مقصود این است که عملکرد او در این مورد قابل ستایش می‌باشد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فن سوم از مقاله پنجم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شبلی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مختلف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الجیل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آفریده است، از اسرار مخلوق خودآگاه نیست؟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منصور 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متن عربی او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لیس لله عزّوجلّ فی أکسابهم و لا فی أعمال سائر الحیوانات صنع و تقدیر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قاضی عبد الجبار، شرح الأصول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ذیل همین کلام، خلاف آنچه در آغاز از این عبارت تبادر می‌کند، گفته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 سید شریف، شرح المواقف،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شهرستانی، ملل و نحل،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خمسه،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الأوائل، ج،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هدف برداشت بیت اموی از این اصل بود که نقش انسان را در کارهای خویش انکار کنند و فعل او را مستقیما از آن خدا بدانند و این مطلب غیر آن است که در گذشته ما یادآور شدیم و حقیقت این اصل را توضیح دادیم و گفتیم که هیچ پدیده‌ای در جهان بدون اراده و خواست خدا صورت نمی‌پذیرد و محال است که در قلمرو جهان کاری انجام بگیرد که او نخواسته باشد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عسقلانی، 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محمد بن صلاح شرفی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معتزله الیمن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المحیط بالتکلیف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املاء قاضی و گردآوری شاگرد او حسن بن احمد بن متویه برای آگاهی از زندگانی ابن متویه به کتاب المنیة و الامل مرتضی مراجعه فرمایید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مفید، 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قاضی عبد الجبار، شرح اصول خمسه،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مدرک پیش</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تفتازانی شرح مقاصد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قاضی عبد الجبار، اصول خمسه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دوازدهم از ابواب جهاد،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نصیرالدین، متن تجرید در کشف المراد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 عاملی، وسائل الشیعة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جواهر الکلام،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و اخیرا مرحوم محقق خوبی نظریۀ دوم را برگزیده بود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ترمذی، سنن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الفن،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بشمارۀ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بخاری، صحیح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یقرع فی القسمة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جاحظ، البیان و التبیین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علامۀ حلی،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التبیین،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المنیة و الأمل،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تاریخ،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ط بیروت، تحقیق شارل پلا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ضرب المعتصم احمد بن حنبل ثمانیة و ثلاثین سوطا لیقول بخلق القرآن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در حاشیۀ کامل مبرد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مدرک پیش</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خطیب، تاریخ بغداد،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مرتضی، الغرر و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مرتضی، الغرر و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بحرانی،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مرتضی، الدرر و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ابن خلکان، و 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دربارۀ قریش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هُمْ قَوْمٌ خَصِمُونَ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 در مناظرات خود هنگامی‌که از پاسخ ابن عباس عاجز ماندند، این آیه را برای او خواندند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ندیم،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 سوم از مقالۀ نخست،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خلکان، و نیات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المنیة و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الإعتزال و طبقات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مرتضی، الدرر و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القاهر بغدادی، 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قاضی عبد الجبار، فضل الإعتزال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ابن المرتضی، المنیة و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مَعَکُمْ أَیْنَ ما کُنْتُمْ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اشعری، مقالات الإسلامیین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فیات الاعیان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قسمتی از مناظرات او را در بخش دوم این فرهنگ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اشاعره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آوردیم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خلکان، و 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 فن اول از مقالۀ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الاعتزال و طبقات المعتزلة، مقدمه به تلم فؤاد 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قاضی عبد الجبار، فضل الاعتزال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شمارۀ ترجمه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الإعتزال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سخنی را که از قاضی نقل کرده است، در طبقات قاضی که فؤاد سید آن را تحقیق کرده و منتشر ساخته است، موجود نیست و این حاکی از آن است که این نسخه ناقص یا منحرف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ذهبی،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شمارۀ ترجمه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 فی خبر من غبرا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الاعتزال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اگر او از درس جعفر بن مبشر بهره گرفته باشد، باید از عمر نسبتا طولانی بهره‌مند باشد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خطیب بغدادی،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مخطوط دار الکتب المصریة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image" Target="media/image2.jpeg"/><Relationship Id="rId310" Type="http://schemas.openxmlformats.org/officeDocument/2006/relationships/image" Target="media/image2.jpeg"/><Relationship Id="rId311" Type="http://schemas.openxmlformats.org/officeDocument/2006/relationships/footer" Target="footer304.xml"/><Relationship Id="rId312" Type="http://schemas.openxmlformats.org/officeDocument/2006/relationships/footnotes" Target="footnotes.xml"/><Relationship Id="rId313" Type="http://schemas.openxmlformats.org/officeDocument/2006/relationships/numbering" Target="numbering.xml"/><Relationship Id="rId314" Type="http://schemas.openxmlformats.org/officeDocument/2006/relationships/fontTable" Target="fontTable.xml"/><Relationship Id="rId315" Type="http://schemas.openxmlformats.org/officeDocument/2006/relationships/settings" Target="settings.xml"/><Relationship Id="rId3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312</Pages>
  <Words>70934</Words>
  <Characters>265905</Characters>
  <CharactersWithSpaces>334534</CharactersWithSpaces>
  <Paragraphs>2306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2026-08-24T12:23:10Z</dcterms:created>
  <dc:creator>ghaemiyeh.com</dc:creator>
  <dc:description/>
  <dc:language>en-US</dc:language>
  <cp:lastModifiedBy/>
  <dcterms:modified xsi:type="dcterms:W3CDTF">2026-08-24T15:53:20Z</dcterms:modified>
  <cp:revision>1</cp:revision>
  <dc:subject/>
  <dc:title>فرهنگ عقاید و مذاهب اسلامی جلد 4</dc:title>
</cp:coreProperties>
</file>

<file path=docProps/custom.xml><?xml version="1.0" encoding="utf-8"?>
<Properties xmlns="http://schemas.openxmlformats.org/officeDocument/2006/custom-properties" xmlns:vt="http://schemas.openxmlformats.org/officeDocument/2006/docPropsVTypes"/>
</file>